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33A" w:rsidRPr="002C79D8" w:rsidRDefault="00AA233A" w:rsidP="007F7172">
      <w:pPr>
        <w:widowControl w:val="0"/>
        <w:jc w:val="center"/>
        <w:rPr>
          <w:rFonts w:eastAsia="Times New Roman" w:cs="Times New Roman"/>
          <w:b/>
          <w:sz w:val="28"/>
          <w:szCs w:val="28"/>
          <w:lang w:eastAsia="pt-PT"/>
        </w:rPr>
      </w:pPr>
      <w:bookmarkStart w:id="0" w:name="OLE_LINK3"/>
      <w:bookmarkStart w:id="1" w:name="OLE_LINK4"/>
      <w:bookmarkStart w:id="2" w:name="OLE_LINK5"/>
      <w:r w:rsidRPr="002C79D8">
        <w:rPr>
          <w:rFonts w:eastAsia="Times New Roman" w:cs="Times New Roman"/>
          <w:b/>
          <w:sz w:val="28"/>
          <w:szCs w:val="28"/>
          <w:lang w:eastAsia="pt-PT"/>
        </w:rPr>
        <w:t>C</w:t>
      </w:r>
      <w:r w:rsidR="00695146" w:rsidRPr="002C79D8">
        <w:rPr>
          <w:rFonts w:eastAsia="Times New Roman" w:cs="Times New Roman"/>
          <w:b/>
          <w:sz w:val="28"/>
          <w:szCs w:val="28"/>
          <w:lang w:eastAsia="pt-PT"/>
        </w:rPr>
        <w:t>ARACTERIZAÇÃO DO PARQUE NACIONAL DE REFRIGERAÇÃO EM SETORES DE ATIVIDADE PARA OS QUAIS O FRIO INDUSTRIAL É CRÍTICO</w:t>
      </w:r>
    </w:p>
    <w:bookmarkEnd w:id="0"/>
    <w:bookmarkEnd w:id="1"/>
    <w:bookmarkEnd w:id="2"/>
    <w:p w:rsidR="00AA233A" w:rsidRPr="002C79D8" w:rsidRDefault="00AA233A" w:rsidP="00471F04">
      <w:pPr>
        <w:widowControl w:val="0"/>
        <w:spacing w:before="240" w:after="240"/>
        <w:jc w:val="center"/>
        <w:rPr>
          <w:rFonts w:eastAsia="Times New Roman" w:cs="Times New Roman"/>
          <w:b/>
          <w:sz w:val="24"/>
          <w:szCs w:val="24"/>
          <w:lang w:eastAsia="pt-PT"/>
        </w:rPr>
      </w:pPr>
      <w:r w:rsidRPr="002C79D8">
        <w:rPr>
          <w:rFonts w:eastAsia="Times New Roman" w:cs="Times New Roman"/>
          <w:b/>
          <w:sz w:val="24"/>
          <w:szCs w:val="24"/>
          <w:lang w:eastAsia="pt-PT"/>
        </w:rPr>
        <w:t>Clito Afonso</w:t>
      </w:r>
      <w:r w:rsidR="00873300">
        <w:rPr>
          <w:rFonts w:eastAsia="Times New Roman" w:cs="Times New Roman"/>
          <w:b/>
          <w:sz w:val="24"/>
          <w:szCs w:val="24"/>
          <w:vertAlign w:val="superscript"/>
          <w:lang w:eastAsia="pt-PT"/>
        </w:rPr>
        <w:t>1</w:t>
      </w:r>
      <w:r w:rsidR="00873300" w:rsidRPr="00873300">
        <w:rPr>
          <w:rFonts w:eastAsia="Times New Roman" w:cs="Times New Roman"/>
          <w:b/>
          <w:sz w:val="24"/>
          <w:szCs w:val="24"/>
          <w:lang w:eastAsia="pt-PT"/>
        </w:rPr>
        <w:t>*</w:t>
      </w:r>
      <w:r w:rsidR="00873300">
        <w:rPr>
          <w:rFonts w:eastAsia="Times New Roman" w:cs="Times New Roman"/>
          <w:b/>
          <w:sz w:val="24"/>
          <w:szCs w:val="24"/>
          <w:lang w:eastAsia="pt-PT"/>
        </w:rPr>
        <w:t xml:space="preserve">, </w:t>
      </w:r>
      <w:r w:rsidR="00873300" w:rsidRPr="002C79D8">
        <w:rPr>
          <w:rFonts w:eastAsia="Times New Roman" w:cs="Times New Roman"/>
          <w:b/>
          <w:sz w:val="24"/>
          <w:szCs w:val="24"/>
          <w:lang w:eastAsia="pt-PT"/>
        </w:rPr>
        <w:t>Hugo Manuel Pinto</w:t>
      </w:r>
      <w:r w:rsidR="00873300" w:rsidRPr="00873300">
        <w:rPr>
          <w:rFonts w:eastAsia="Times New Roman" w:cs="Times New Roman"/>
          <w:b/>
          <w:sz w:val="24"/>
          <w:szCs w:val="24"/>
          <w:vertAlign w:val="superscript"/>
          <w:lang w:eastAsia="pt-PT"/>
        </w:rPr>
        <w:t>2</w:t>
      </w:r>
      <w:r w:rsidR="00873300" w:rsidRPr="002C79D8">
        <w:rPr>
          <w:rFonts w:eastAsia="Times New Roman" w:cs="Times New Roman"/>
          <w:b/>
          <w:sz w:val="24"/>
          <w:szCs w:val="24"/>
          <w:lang w:eastAsia="pt-PT"/>
        </w:rPr>
        <w:t xml:space="preserve"> </w:t>
      </w:r>
      <w:r w:rsidRPr="002C79D8">
        <w:rPr>
          <w:rFonts w:eastAsia="Times New Roman" w:cs="Times New Roman"/>
          <w:b/>
          <w:sz w:val="24"/>
          <w:szCs w:val="24"/>
          <w:lang w:eastAsia="pt-PT"/>
        </w:rPr>
        <w:t>e João Paulo Pinto</w:t>
      </w:r>
      <w:r w:rsidR="00873300">
        <w:rPr>
          <w:rFonts w:eastAsia="Times New Roman" w:cs="Times New Roman"/>
          <w:b/>
          <w:sz w:val="24"/>
          <w:szCs w:val="24"/>
          <w:vertAlign w:val="superscript"/>
          <w:lang w:eastAsia="pt-PT"/>
        </w:rPr>
        <w:t>2</w:t>
      </w:r>
    </w:p>
    <w:p w:rsidR="00873300" w:rsidRPr="002C79D8" w:rsidRDefault="00AA233A" w:rsidP="00873300">
      <w:pPr>
        <w:widowControl w:val="0"/>
        <w:jc w:val="center"/>
        <w:rPr>
          <w:rFonts w:eastAsia="Times New Roman" w:cs="Times New Roman"/>
          <w:lang w:eastAsia="pt-PT"/>
        </w:rPr>
      </w:pPr>
      <w:r w:rsidRPr="002C79D8">
        <w:rPr>
          <w:rFonts w:eastAsia="Times New Roman" w:cs="Times New Roman"/>
          <w:lang w:eastAsia="pt-PT"/>
        </w:rPr>
        <w:t xml:space="preserve">1: </w:t>
      </w:r>
      <w:r w:rsidR="00873300" w:rsidRPr="002C79D8">
        <w:rPr>
          <w:rFonts w:eastAsia="Times New Roman" w:cs="Times New Roman"/>
          <w:lang w:eastAsia="pt-PT"/>
        </w:rPr>
        <w:t>Faculdade de Engenharia da Universidade do Porto, 4200-465 Porto</w:t>
      </w:r>
    </w:p>
    <w:p w:rsidR="00873300" w:rsidRPr="002C79D8" w:rsidRDefault="00873300" w:rsidP="00873300">
      <w:pPr>
        <w:widowControl w:val="0"/>
        <w:jc w:val="center"/>
        <w:rPr>
          <w:rFonts w:eastAsia="Times New Roman" w:cs="Times New Roman"/>
          <w:lang w:eastAsia="pt-PT"/>
        </w:rPr>
      </w:pPr>
      <w:r w:rsidRPr="002C79D8">
        <w:rPr>
          <w:rFonts w:eastAsia="Times New Roman" w:cs="Times New Roman"/>
          <w:lang w:eastAsia="pt-PT"/>
        </w:rPr>
        <w:t xml:space="preserve">e-mail: </w:t>
      </w:r>
      <w:hyperlink r:id="rId8" w:tgtFrame="_blank" w:history="1">
        <w:r w:rsidRPr="00471F04">
          <w:rPr>
            <w:rFonts w:eastAsia="Times New Roman" w:cs="Times New Roman"/>
            <w:lang w:eastAsia="pt-PT"/>
          </w:rPr>
          <w:t>clito@fe.up.pt</w:t>
        </w:r>
      </w:hyperlink>
      <w:r w:rsidRPr="002C79D8">
        <w:rPr>
          <w:rFonts w:eastAsia="Times New Roman" w:cs="Times New Roman"/>
          <w:lang w:eastAsia="pt-PT"/>
        </w:rPr>
        <w:t xml:space="preserve">,  web:  </w:t>
      </w:r>
      <w:hyperlink r:id="rId9" w:history="1">
        <w:r w:rsidRPr="00471F04">
          <w:t>http://www.fe.up.pt</w:t>
        </w:r>
      </w:hyperlink>
    </w:p>
    <w:p w:rsidR="00AA233A" w:rsidRPr="002C79D8" w:rsidRDefault="00AA233A" w:rsidP="007F7172">
      <w:pPr>
        <w:widowControl w:val="0"/>
        <w:jc w:val="center"/>
        <w:rPr>
          <w:rFonts w:eastAsia="Times New Roman" w:cs="Times New Roman"/>
          <w:lang w:eastAsia="pt-PT"/>
        </w:rPr>
      </w:pPr>
    </w:p>
    <w:p w:rsidR="00AA233A" w:rsidRPr="002C79D8" w:rsidRDefault="00873300" w:rsidP="007F7172">
      <w:pPr>
        <w:widowControl w:val="0"/>
        <w:jc w:val="center"/>
        <w:rPr>
          <w:rFonts w:eastAsia="Times New Roman" w:cs="Times New Roman"/>
          <w:lang w:eastAsia="pt-PT"/>
        </w:rPr>
      </w:pPr>
      <w:r>
        <w:rPr>
          <w:rFonts w:eastAsia="Times New Roman" w:cs="Times New Roman"/>
          <w:lang w:eastAsia="pt-PT"/>
        </w:rPr>
        <w:t>2</w:t>
      </w:r>
      <w:r w:rsidR="00AA233A" w:rsidRPr="002C79D8">
        <w:rPr>
          <w:rFonts w:eastAsia="Times New Roman" w:cs="Times New Roman"/>
          <w:lang w:eastAsia="pt-PT"/>
        </w:rPr>
        <w:t xml:space="preserve">: </w:t>
      </w:r>
      <w:r w:rsidR="00451C9A" w:rsidRPr="002C79D8">
        <w:rPr>
          <w:rFonts w:eastAsia="Times New Roman" w:cs="Times New Roman"/>
          <w:lang w:eastAsia="pt-PT"/>
        </w:rPr>
        <w:t>SKK - Refrigeração e Climatização</w:t>
      </w:r>
      <w:r w:rsidR="00AA233A" w:rsidRPr="002C79D8">
        <w:rPr>
          <w:rFonts w:eastAsia="Times New Roman" w:cs="Times New Roman"/>
          <w:lang w:eastAsia="pt-PT"/>
        </w:rPr>
        <w:t xml:space="preserve">, </w:t>
      </w:r>
      <w:r w:rsidR="00451C9A" w:rsidRPr="002C79D8">
        <w:rPr>
          <w:rFonts w:eastAsia="Times New Roman" w:cs="Times New Roman"/>
          <w:lang w:eastAsia="pt-PT"/>
        </w:rPr>
        <w:t>Lda.,</w:t>
      </w:r>
      <w:r w:rsidR="00AA233A" w:rsidRPr="002C79D8">
        <w:rPr>
          <w:rFonts w:eastAsia="Times New Roman" w:cs="Times New Roman"/>
          <w:lang w:eastAsia="pt-PT"/>
        </w:rPr>
        <w:t xml:space="preserve"> </w:t>
      </w:r>
      <w:r w:rsidR="00451C9A" w:rsidRPr="002C79D8">
        <w:rPr>
          <w:rFonts w:eastAsia="Times New Roman" w:cs="Times New Roman"/>
          <w:lang w:eastAsia="pt-PT"/>
        </w:rPr>
        <w:t>4460-059 Guifões</w:t>
      </w:r>
    </w:p>
    <w:p w:rsidR="00AA233A" w:rsidRPr="002C79D8" w:rsidRDefault="00AA233A" w:rsidP="007F7172">
      <w:pPr>
        <w:widowControl w:val="0"/>
        <w:jc w:val="center"/>
        <w:rPr>
          <w:rFonts w:eastAsia="Times New Roman" w:cs="Times New Roman"/>
          <w:lang w:eastAsia="pt-PT"/>
        </w:rPr>
      </w:pPr>
      <w:r w:rsidRPr="002C79D8">
        <w:rPr>
          <w:rFonts w:eastAsia="Times New Roman" w:cs="Times New Roman"/>
          <w:lang w:eastAsia="pt-PT"/>
        </w:rPr>
        <w:t>e-</w:t>
      </w:r>
      <w:r w:rsidRPr="00873300">
        <w:rPr>
          <w:rFonts w:eastAsia="Times New Roman" w:cs="Times New Roman"/>
          <w:lang w:eastAsia="pt-PT"/>
        </w:rPr>
        <w:t xml:space="preserve">mail: </w:t>
      </w:r>
      <w:r w:rsidR="00873300" w:rsidRPr="00873300">
        <w:t>hugopinto@skk.pt</w:t>
      </w:r>
      <w:r w:rsidR="00695146" w:rsidRPr="00873300">
        <w:rPr>
          <w:rFonts w:eastAsia="Times New Roman" w:cs="Times New Roman"/>
          <w:lang w:eastAsia="pt-PT"/>
        </w:rPr>
        <w:t xml:space="preserve"> </w:t>
      </w:r>
      <w:r w:rsidRPr="00873300">
        <w:rPr>
          <w:rFonts w:eastAsia="Times New Roman" w:cs="Times New Roman"/>
          <w:lang w:eastAsia="pt-PT"/>
        </w:rPr>
        <w:t xml:space="preserve"> </w:t>
      </w:r>
      <w:r w:rsidRPr="002C79D8">
        <w:rPr>
          <w:rFonts w:eastAsia="Times New Roman" w:cs="Times New Roman"/>
          <w:lang w:eastAsia="pt-PT"/>
        </w:rPr>
        <w:t xml:space="preserve">web: </w:t>
      </w:r>
      <w:hyperlink r:id="rId10" w:history="1">
        <w:r w:rsidR="00451C9A" w:rsidRPr="00471F04">
          <w:t>http://www.skk.pt</w:t>
        </w:r>
      </w:hyperlink>
    </w:p>
    <w:p w:rsidR="00AA233A" w:rsidRPr="00471F04" w:rsidRDefault="00AA233A" w:rsidP="00471F04">
      <w:pPr>
        <w:widowControl w:val="0"/>
        <w:spacing w:before="240"/>
        <w:rPr>
          <w:rFonts w:eastAsia="Times New Roman" w:cs="Times New Roman"/>
          <w:i/>
          <w:sz w:val="24"/>
          <w:szCs w:val="24"/>
          <w:lang w:eastAsia="pt-PT"/>
        </w:rPr>
      </w:pPr>
      <w:r w:rsidRPr="002C79D8">
        <w:rPr>
          <w:rFonts w:eastAsia="Times New Roman" w:cs="Times New Roman"/>
          <w:b/>
          <w:sz w:val="24"/>
          <w:szCs w:val="24"/>
          <w:lang w:eastAsia="pt-PT"/>
        </w:rPr>
        <w:t>Resumo</w:t>
      </w:r>
      <w:r w:rsidRPr="002C79D8">
        <w:rPr>
          <w:rFonts w:eastAsia="Times New Roman" w:cs="Times New Roman"/>
          <w:sz w:val="24"/>
          <w:szCs w:val="24"/>
          <w:lang w:eastAsia="pt-PT"/>
        </w:rPr>
        <w:t xml:space="preserve"> </w:t>
      </w:r>
      <w:r w:rsidR="00451C9A" w:rsidRPr="002C79D8">
        <w:rPr>
          <w:rFonts w:eastAsia="Times New Roman" w:cs="Times New Roman"/>
          <w:i/>
          <w:sz w:val="24"/>
          <w:szCs w:val="24"/>
          <w:lang w:eastAsia="pt-PT"/>
        </w:rPr>
        <w:t>Em Portugal, a indústria é responsável por cerca de um terço dos consumos energéticos. Em setores de atividade para os quais o frio industrial é crítico, as instalações de frio podem atingir consumos na ordem dos 85% do consumo total da empresa. Através de inquéritos direcionados a uma população de mais de 400 empresas, foram obtidas cerca de 100 respostas sobre consumos energéticos, idade das instalações, tipos de descongelação, isolamentos, fluidos frigorigéneos utilizados, entre outros.</w:t>
      </w:r>
      <w:r w:rsidR="00956267" w:rsidRPr="002C79D8">
        <w:rPr>
          <w:rFonts w:eastAsia="Times New Roman" w:cs="Times New Roman"/>
          <w:i/>
          <w:sz w:val="24"/>
          <w:szCs w:val="24"/>
          <w:lang w:eastAsia="pt-PT"/>
        </w:rPr>
        <w:t xml:space="preserve"> </w:t>
      </w:r>
      <w:r w:rsidR="00451C9A" w:rsidRPr="002C79D8">
        <w:rPr>
          <w:rFonts w:eastAsia="Times New Roman" w:cs="Times New Roman"/>
          <w:i/>
          <w:sz w:val="24"/>
          <w:szCs w:val="24"/>
          <w:lang w:eastAsia="pt-PT"/>
        </w:rPr>
        <w:t>O parque nacional de refrigeração apresenta, de acordo com a informação prestada pelas empresas, espaço para investimento no sentido de melhora</w:t>
      </w:r>
      <w:r w:rsidR="00956267" w:rsidRPr="002C79D8">
        <w:rPr>
          <w:rFonts w:eastAsia="Times New Roman" w:cs="Times New Roman"/>
          <w:i/>
          <w:sz w:val="24"/>
          <w:szCs w:val="24"/>
          <w:lang w:eastAsia="pt-PT"/>
        </w:rPr>
        <w:t>r a eficiência energética.</w:t>
      </w:r>
    </w:p>
    <w:p w:rsidR="00695146" w:rsidRPr="002C79D8" w:rsidRDefault="00AA233A" w:rsidP="00471F04">
      <w:pPr>
        <w:widowControl w:val="0"/>
        <w:spacing w:before="240"/>
        <w:rPr>
          <w:rFonts w:eastAsia="Times New Roman" w:cs="Times New Roman"/>
          <w:lang w:eastAsia="pt-PT"/>
        </w:rPr>
      </w:pPr>
      <w:r w:rsidRPr="002C79D8">
        <w:rPr>
          <w:rFonts w:eastAsia="Times New Roman" w:cs="Times New Roman"/>
          <w:b/>
          <w:lang w:eastAsia="pt-PT"/>
        </w:rPr>
        <w:t>Palavras-chave:</w:t>
      </w:r>
      <w:r w:rsidR="00956267" w:rsidRPr="002C79D8">
        <w:rPr>
          <w:rFonts w:eastAsia="Times New Roman" w:cs="Times New Roman"/>
          <w:lang w:eastAsia="pt-PT"/>
        </w:rPr>
        <w:t xml:space="preserve"> Frio industrial, </w:t>
      </w:r>
      <w:r w:rsidR="00695146" w:rsidRPr="002C79D8">
        <w:rPr>
          <w:rFonts w:eastAsia="Times New Roman" w:cs="Times New Roman"/>
          <w:lang w:eastAsia="pt-PT"/>
        </w:rPr>
        <w:t>Parque Nacional</w:t>
      </w:r>
      <w:r w:rsidR="00956267" w:rsidRPr="002C79D8">
        <w:rPr>
          <w:rFonts w:eastAsia="Times New Roman" w:cs="Times New Roman"/>
          <w:lang w:eastAsia="pt-PT"/>
        </w:rPr>
        <w:t>, Au</w:t>
      </w:r>
      <w:r w:rsidR="00695146" w:rsidRPr="002C79D8">
        <w:rPr>
          <w:rFonts w:eastAsia="Times New Roman" w:cs="Times New Roman"/>
          <w:lang w:eastAsia="pt-PT"/>
        </w:rPr>
        <w:t>ditoria, Caracterização</w:t>
      </w:r>
      <w:r w:rsidR="00240409">
        <w:rPr>
          <w:rFonts w:eastAsia="Times New Roman" w:cs="Times New Roman"/>
          <w:lang w:eastAsia="pt-PT"/>
        </w:rPr>
        <w:t xml:space="preserve"> Nacional</w:t>
      </w:r>
    </w:p>
    <w:p w:rsidR="00695146" w:rsidRPr="002C79D8" w:rsidRDefault="00695146" w:rsidP="007F7172">
      <w:pPr>
        <w:rPr>
          <w:rFonts w:eastAsia="Times New Roman" w:cs="Times New Roman"/>
          <w:lang w:eastAsia="pt-PT"/>
        </w:rPr>
      </w:pPr>
      <w:r w:rsidRPr="002C79D8">
        <w:rPr>
          <w:rFonts w:eastAsia="Times New Roman" w:cs="Times New Roman"/>
          <w:lang w:eastAsia="pt-PT"/>
        </w:rPr>
        <w:br w:type="page"/>
      </w:r>
    </w:p>
    <w:p w:rsidR="00590E7F" w:rsidRPr="002C79D8" w:rsidRDefault="00331E37" w:rsidP="004F0FB6">
      <w:pPr>
        <w:pStyle w:val="Cabealho1"/>
      </w:pPr>
      <w:r w:rsidRPr="002C79D8">
        <w:lastRenderedPageBreak/>
        <w:t>APRESENTAÇÃO DO PROBLEMA</w:t>
      </w:r>
    </w:p>
    <w:p w:rsidR="00590E7F" w:rsidRPr="002C79D8" w:rsidRDefault="00590E7F" w:rsidP="007F7172">
      <w:r w:rsidRPr="002C79D8">
        <w:t xml:space="preserve">Existe, nos dias que correm, uma enorme preocupação com as questões ambientais. Como é sabido, o consumo energético e a forma como a energia é utilizada são muito </w:t>
      </w:r>
      <w:r w:rsidR="00CC003C">
        <w:t>relevantes</w:t>
      </w:r>
      <w:r w:rsidRPr="002C79D8">
        <w:t>, numa altura em que o impacto ambiental deve ser minimizado.</w:t>
      </w:r>
    </w:p>
    <w:p w:rsidR="00590E7F" w:rsidRPr="002C79D8" w:rsidRDefault="00CD29F4" w:rsidP="007F7172">
      <w:r>
        <w:t>Em Portugal, a</w:t>
      </w:r>
      <w:r w:rsidR="00590E7F" w:rsidRPr="002C79D8">
        <w:t xml:space="preserve"> indústria é responsável por cerca de um terço do consumo total de energia primária, pelo que se torna extremamente importante conhecer as instalações </w:t>
      </w:r>
      <w:r w:rsidR="00CC003C">
        <w:t>existentes</w:t>
      </w:r>
      <w:r w:rsidR="00CC003C" w:rsidRPr="002C79D8">
        <w:t xml:space="preserve"> </w:t>
      </w:r>
      <w:r w:rsidR="00590E7F" w:rsidRPr="002C79D8">
        <w:t xml:space="preserve">a nível nacional </w:t>
      </w:r>
      <w:r w:rsidR="00590E7F" w:rsidRPr="002C79D8">
        <w:fldChar w:fldCharType="begin"/>
      </w:r>
      <w:r w:rsidR="00590E7F" w:rsidRPr="002C79D8">
        <w:instrText xml:space="preserve"> ADDIN EN.CITE &lt;EndNote&gt;&lt;Cite&gt;&lt;Author&gt;Sá&lt;/Author&gt;&lt;Year&gt;2007&lt;/Year&gt;&lt;RecNum&gt;3&lt;/RecNum&gt;&lt;DisplayText&gt;[7]&lt;/DisplayText&gt;&lt;record&gt;&lt;rec-number&gt;3&lt;/rec-number&gt;&lt;foreign-keys&gt;&lt;key app="EN" db-id="dw22x9dx12t0the2vdk5rr29xeew9swapafw"&gt;3&lt;/key&gt;&lt;key app="ENWeb" db-id=""&gt;0&lt;/key&gt;&lt;/foreign-keys&gt;&lt;ref-type name="Report"&gt;27&lt;/ref-type&gt;&lt;contributors&gt;&lt;authors&gt;&lt;author&gt;Emanuel S. Sá&lt;/author&gt;&lt;author&gt;José Luis Alexandre&lt;/author&gt;&lt;/authors&gt;&lt;/contributors&gt;&lt;titles&gt;&lt;title&gt;Auditorias Energéticas no Sector de Frio Industrial. Medidas de Poupança e de Eficiência Energética.&lt;/title&gt;&lt;/titles&gt;&lt;dates&gt;&lt;year&gt;2007&lt;/year&gt;&lt;/dates&gt;&lt;urls&gt;&lt;/urls&gt;&lt;/record&gt;&lt;/Cite&gt;&lt;/EndNote&gt;</w:instrText>
      </w:r>
      <w:r w:rsidR="00590E7F" w:rsidRPr="002C79D8">
        <w:fldChar w:fldCharType="separate"/>
      </w:r>
      <w:r w:rsidR="00590E7F" w:rsidRPr="002C79D8">
        <w:rPr>
          <w:noProof/>
        </w:rPr>
        <w:t>[</w:t>
      </w:r>
      <w:hyperlink w:anchor="_ENREF_7" w:tooltip="Sá, 2007 #3" w:history="1">
        <w:r w:rsidR="003F5738">
          <w:rPr>
            <w:noProof/>
          </w:rPr>
          <w:t>1</w:t>
        </w:r>
      </w:hyperlink>
      <w:r w:rsidR="00590E7F" w:rsidRPr="002C79D8">
        <w:rPr>
          <w:noProof/>
        </w:rPr>
        <w:t>]</w:t>
      </w:r>
      <w:r w:rsidR="00590E7F" w:rsidRPr="002C79D8">
        <w:fldChar w:fldCharType="end"/>
      </w:r>
      <w:r w:rsidR="00590E7F" w:rsidRPr="002C79D8">
        <w:t>.</w:t>
      </w:r>
    </w:p>
    <w:p w:rsidR="00590E7F" w:rsidRPr="002C79D8" w:rsidRDefault="00590E7F" w:rsidP="00240409">
      <w:r w:rsidRPr="002C79D8">
        <w:t>Este estudo foca-s</w:t>
      </w:r>
      <w:r w:rsidR="00240409">
        <w:t>e na análise dos Setores de Atividade Económica (SAE)</w:t>
      </w:r>
      <w:r w:rsidRPr="002C79D8">
        <w:t xml:space="preserve"> </w:t>
      </w:r>
      <w:r w:rsidR="00240409">
        <w:t xml:space="preserve">industrial </w:t>
      </w:r>
      <w:r w:rsidRPr="002C79D8">
        <w:t xml:space="preserve">que possuem refrigeração, </w:t>
      </w:r>
      <w:r w:rsidR="00CD29F4">
        <w:t>representando</w:t>
      </w:r>
      <w:r w:rsidRPr="002C79D8">
        <w:t xml:space="preserve"> uma área em que exist</w:t>
      </w:r>
      <w:r w:rsidR="00CC003C">
        <w:t>em</w:t>
      </w:r>
      <w:r w:rsidRPr="002C79D8">
        <w:t xml:space="preserve"> oportunidades para melhoria, dada a antiguidade de algumas das instalações.</w:t>
      </w:r>
    </w:p>
    <w:p w:rsidR="00590E7F" w:rsidRPr="002C79D8" w:rsidRDefault="00590E7F" w:rsidP="004F0FB6">
      <w:pPr>
        <w:pStyle w:val="Cabealho2"/>
      </w:pPr>
      <w:bookmarkStart w:id="3" w:name="_Toc412727857"/>
      <w:r w:rsidRPr="002C79D8">
        <w:t>Escolha dos Setores de Atividade</w:t>
      </w:r>
      <w:bookmarkEnd w:id="3"/>
    </w:p>
    <w:p w:rsidR="00590E7F" w:rsidRPr="002C79D8" w:rsidRDefault="00590E7F" w:rsidP="007F7172">
      <w:r w:rsidRPr="002C79D8">
        <w:t xml:space="preserve">Numa primeira fase foram escolhidos os SAE que seriam alvos de estudo. Neste caso, apenas se consideraram setores que pudessem possuir instalações industriais de refrigeração. Foram excluídos setores de retalho, pelo facto de as instalações </w:t>
      </w:r>
      <w:r w:rsidR="00CC003C">
        <w:t>util</w:t>
      </w:r>
      <w:r w:rsidR="00701592">
        <w:t>izarem tecnologias com características</w:t>
      </w:r>
      <w:r w:rsidR="00CC003C">
        <w:t xml:space="preserve"> próprias</w:t>
      </w:r>
      <w:r w:rsidRPr="002C79D8">
        <w:t>.</w:t>
      </w:r>
    </w:p>
    <w:p w:rsidR="00590E7F" w:rsidRPr="002C79D8" w:rsidRDefault="009929E8" w:rsidP="007F7172">
      <w:r>
        <w:t>O</w:t>
      </w:r>
      <w:r w:rsidR="00590E7F" w:rsidRPr="002C79D8">
        <w:t>s setores de atividade escolhidos e o número de empresas presentes na base de dados a apresentam-se na Tabela 1</w:t>
      </w:r>
      <w:r w:rsidR="007F7172" w:rsidRPr="002C79D8">
        <w:t>:</w:t>
      </w:r>
    </w:p>
    <w:p w:rsidR="00590E7F" w:rsidRPr="002C79D8" w:rsidRDefault="00590E7F" w:rsidP="007F7172">
      <w:pPr>
        <w:rPr>
          <w:rFonts w:cs="Times New Roman"/>
          <w:sz w:val="24"/>
          <w:szCs w:val="24"/>
        </w:rPr>
      </w:pPr>
    </w:p>
    <w:p w:rsidR="00590E7F" w:rsidRPr="001537B9" w:rsidRDefault="00590E7F" w:rsidP="007F7172">
      <w:pPr>
        <w:pStyle w:val="Legenda"/>
        <w:keepNext/>
        <w:spacing w:after="0"/>
        <w:jc w:val="center"/>
        <w:rPr>
          <w:i w:val="0"/>
          <w:color w:val="auto"/>
          <w:sz w:val="20"/>
        </w:rPr>
      </w:pPr>
      <w:r w:rsidRPr="001537B9">
        <w:rPr>
          <w:i w:val="0"/>
          <w:color w:val="auto"/>
          <w:sz w:val="20"/>
        </w:rPr>
        <w:t xml:space="preserve">Tabela </w:t>
      </w:r>
      <w:r w:rsidRPr="001537B9">
        <w:rPr>
          <w:i w:val="0"/>
          <w:color w:val="auto"/>
          <w:sz w:val="20"/>
        </w:rPr>
        <w:fldChar w:fldCharType="begin"/>
      </w:r>
      <w:r w:rsidRPr="001537B9">
        <w:rPr>
          <w:i w:val="0"/>
          <w:color w:val="auto"/>
          <w:sz w:val="20"/>
        </w:rPr>
        <w:instrText xml:space="preserve"> SEQ Tabela \* ARABIC </w:instrText>
      </w:r>
      <w:r w:rsidRPr="001537B9">
        <w:rPr>
          <w:i w:val="0"/>
          <w:color w:val="auto"/>
          <w:sz w:val="20"/>
        </w:rPr>
        <w:fldChar w:fldCharType="separate"/>
      </w:r>
      <w:r w:rsidRPr="001537B9">
        <w:rPr>
          <w:i w:val="0"/>
          <w:noProof/>
          <w:color w:val="auto"/>
          <w:sz w:val="20"/>
        </w:rPr>
        <w:t>1</w:t>
      </w:r>
      <w:r w:rsidRPr="001537B9">
        <w:rPr>
          <w:i w:val="0"/>
          <w:color w:val="auto"/>
          <w:sz w:val="20"/>
        </w:rPr>
        <w:fldChar w:fldCharType="end"/>
      </w:r>
      <w:r w:rsidRPr="001537B9">
        <w:rPr>
          <w:i w:val="0"/>
          <w:color w:val="auto"/>
          <w:sz w:val="20"/>
        </w:rPr>
        <w:t xml:space="preserve"> - Setores de Atividade Económica alvo de estudo</w:t>
      </w:r>
    </w:p>
    <w:tbl>
      <w:tblPr>
        <w:tblStyle w:val="ListTable2-Accent51"/>
        <w:tblW w:w="7938" w:type="dxa"/>
        <w:jc w:val="center"/>
        <w:tblLook w:val="04E0" w:firstRow="1" w:lastRow="1" w:firstColumn="1" w:lastColumn="0" w:noHBand="0" w:noVBand="1"/>
      </w:tblPr>
      <w:tblGrid>
        <w:gridCol w:w="6663"/>
        <w:gridCol w:w="1275"/>
      </w:tblGrid>
      <w:tr w:rsidR="002C79D8" w:rsidRPr="002C79D8" w:rsidTr="004F0FB6">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6663" w:type="dxa"/>
            <w:noWrap/>
            <w:vAlign w:val="center"/>
            <w:hideMark/>
          </w:tcPr>
          <w:p w:rsidR="00590E7F" w:rsidRPr="002C79D8" w:rsidRDefault="00590E7F" w:rsidP="007F7172">
            <w:pPr>
              <w:rPr>
                <w:rFonts w:eastAsia="Times New Roman" w:cs="Times New Roman"/>
                <w:sz w:val="24"/>
                <w:lang w:eastAsia="pt-PT"/>
              </w:rPr>
            </w:pPr>
            <w:r w:rsidRPr="002C79D8">
              <w:rPr>
                <w:rFonts w:eastAsia="Times New Roman" w:cs="Times New Roman"/>
                <w:sz w:val="24"/>
                <w:lang w:eastAsia="pt-PT"/>
              </w:rPr>
              <w:t>Setor de Atividade Económica</w:t>
            </w:r>
          </w:p>
        </w:tc>
        <w:tc>
          <w:tcPr>
            <w:tcW w:w="1275" w:type="dxa"/>
          </w:tcPr>
          <w:p w:rsidR="00590E7F" w:rsidRPr="002C79D8" w:rsidRDefault="00590E7F" w:rsidP="004F0FB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lang w:eastAsia="pt-PT"/>
              </w:rPr>
            </w:pPr>
            <w:r w:rsidRPr="002C79D8">
              <w:rPr>
                <w:rFonts w:eastAsia="Times New Roman" w:cs="Times New Roman"/>
                <w:sz w:val="24"/>
                <w:lang w:eastAsia="pt-PT"/>
              </w:rPr>
              <w:t>Nº de Empresas</w:t>
            </w:r>
          </w:p>
        </w:tc>
      </w:tr>
      <w:tr w:rsidR="002C79D8" w:rsidRPr="002C79D8" w:rsidTr="004F0FB6">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6663" w:type="dxa"/>
            <w:noWrap/>
            <w:vAlign w:val="center"/>
            <w:hideMark/>
          </w:tcPr>
          <w:p w:rsidR="00590E7F" w:rsidRPr="009929E8" w:rsidRDefault="00590E7F" w:rsidP="007F7172">
            <w:pPr>
              <w:rPr>
                <w:rFonts w:eastAsia="Times New Roman" w:cs="Times New Roman"/>
                <w:b w:val="0"/>
                <w:szCs w:val="20"/>
                <w:lang w:val="pt-PT" w:eastAsia="pt-PT"/>
              </w:rPr>
            </w:pPr>
            <w:r w:rsidRPr="009929E8">
              <w:rPr>
                <w:rFonts w:eastAsia="Times New Roman" w:cs="Times New Roman"/>
                <w:b w:val="0"/>
                <w:szCs w:val="20"/>
                <w:lang w:val="pt-PT" w:eastAsia="pt-PT"/>
              </w:rPr>
              <w:t>Abate de aves (produção de carne)</w:t>
            </w:r>
          </w:p>
        </w:tc>
        <w:tc>
          <w:tcPr>
            <w:tcW w:w="1275" w:type="dxa"/>
            <w:vAlign w:val="bottom"/>
          </w:tcPr>
          <w:p w:rsidR="00590E7F" w:rsidRPr="002C79D8" w:rsidRDefault="00590E7F" w:rsidP="004F0FB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0"/>
                <w:lang w:eastAsia="pt-PT"/>
              </w:rPr>
            </w:pPr>
            <w:r w:rsidRPr="002C79D8">
              <w:rPr>
                <w:rFonts w:cs="Times New Roman"/>
              </w:rPr>
              <w:t>25</w:t>
            </w:r>
          </w:p>
        </w:tc>
      </w:tr>
      <w:tr w:rsidR="002C79D8" w:rsidRPr="002C79D8" w:rsidTr="004F0FB6">
        <w:trPr>
          <w:trHeight w:val="360"/>
          <w:jc w:val="center"/>
        </w:trPr>
        <w:tc>
          <w:tcPr>
            <w:cnfStyle w:val="001000000000" w:firstRow="0" w:lastRow="0" w:firstColumn="1" w:lastColumn="0" w:oddVBand="0" w:evenVBand="0" w:oddHBand="0" w:evenHBand="0" w:firstRowFirstColumn="0" w:firstRowLastColumn="0" w:lastRowFirstColumn="0" w:lastRowLastColumn="0"/>
            <w:tcW w:w="6663" w:type="dxa"/>
            <w:noWrap/>
            <w:vAlign w:val="center"/>
            <w:hideMark/>
          </w:tcPr>
          <w:p w:rsidR="00590E7F" w:rsidRPr="009929E8" w:rsidRDefault="00590E7F" w:rsidP="007F7172">
            <w:pPr>
              <w:rPr>
                <w:rFonts w:eastAsia="Times New Roman" w:cs="Times New Roman"/>
                <w:b w:val="0"/>
                <w:szCs w:val="20"/>
                <w:lang w:val="pt-PT" w:eastAsia="pt-PT"/>
              </w:rPr>
            </w:pPr>
            <w:r w:rsidRPr="009929E8">
              <w:rPr>
                <w:rFonts w:eastAsia="Times New Roman" w:cs="Times New Roman"/>
                <w:b w:val="0"/>
                <w:szCs w:val="20"/>
                <w:lang w:val="pt-PT" w:eastAsia="pt-PT"/>
              </w:rPr>
              <w:t>Abate de gado (produção de carne)</w:t>
            </w:r>
          </w:p>
        </w:tc>
        <w:tc>
          <w:tcPr>
            <w:tcW w:w="1275" w:type="dxa"/>
            <w:vAlign w:val="bottom"/>
          </w:tcPr>
          <w:p w:rsidR="00590E7F" w:rsidRPr="002C79D8" w:rsidRDefault="00590E7F" w:rsidP="004F0FB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0"/>
                <w:lang w:eastAsia="pt-PT"/>
              </w:rPr>
            </w:pPr>
            <w:r w:rsidRPr="002C79D8">
              <w:rPr>
                <w:rFonts w:cs="Times New Roman"/>
              </w:rPr>
              <w:t>67</w:t>
            </w:r>
          </w:p>
        </w:tc>
      </w:tr>
      <w:tr w:rsidR="002C79D8" w:rsidRPr="002C79D8" w:rsidTr="004F0FB6">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6663" w:type="dxa"/>
            <w:noWrap/>
            <w:vAlign w:val="center"/>
            <w:hideMark/>
          </w:tcPr>
          <w:p w:rsidR="00590E7F" w:rsidRPr="002C79D8" w:rsidRDefault="00590E7F" w:rsidP="007F7172">
            <w:pPr>
              <w:rPr>
                <w:rFonts w:eastAsia="Times New Roman" w:cs="Times New Roman"/>
                <w:b w:val="0"/>
                <w:szCs w:val="20"/>
                <w:lang w:eastAsia="pt-PT"/>
              </w:rPr>
            </w:pPr>
            <w:r w:rsidRPr="002C79D8">
              <w:rPr>
                <w:rFonts w:eastAsia="Times New Roman" w:cs="Times New Roman"/>
                <w:b w:val="0"/>
                <w:szCs w:val="20"/>
                <w:lang w:eastAsia="pt-PT"/>
              </w:rPr>
              <w:t>Armazenagem frigorífica</w:t>
            </w:r>
          </w:p>
        </w:tc>
        <w:tc>
          <w:tcPr>
            <w:tcW w:w="1275" w:type="dxa"/>
            <w:vAlign w:val="bottom"/>
          </w:tcPr>
          <w:p w:rsidR="00590E7F" w:rsidRPr="002C79D8" w:rsidRDefault="00590E7F" w:rsidP="004F0FB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0"/>
                <w:lang w:eastAsia="pt-PT"/>
              </w:rPr>
            </w:pPr>
            <w:r w:rsidRPr="002C79D8">
              <w:rPr>
                <w:rFonts w:cs="Times New Roman"/>
              </w:rPr>
              <w:t>15</w:t>
            </w:r>
          </w:p>
        </w:tc>
      </w:tr>
      <w:tr w:rsidR="002C79D8" w:rsidRPr="002C79D8" w:rsidTr="004F0FB6">
        <w:trPr>
          <w:trHeight w:val="360"/>
          <w:jc w:val="center"/>
        </w:trPr>
        <w:tc>
          <w:tcPr>
            <w:cnfStyle w:val="001000000000" w:firstRow="0" w:lastRow="0" w:firstColumn="1" w:lastColumn="0" w:oddVBand="0" w:evenVBand="0" w:oddHBand="0" w:evenHBand="0" w:firstRowFirstColumn="0" w:firstRowLastColumn="0" w:lastRowFirstColumn="0" w:lastRowLastColumn="0"/>
            <w:tcW w:w="6663" w:type="dxa"/>
            <w:noWrap/>
            <w:vAlign w:val="center"/>
            <w:hideMark/>
          </w:tcPr>
          <w:p w:rsidR="00590E7F" w:rsidRPr="009929E8" w:rsidRDefault="00590E7F" w:rsidP="007F7172">
            <w:pPr>
              <w:rPr>
                <w:rFonts w:eastAsia="Times New Roman" w:cs="Times New Roman"/>
                <w:b w:val="0"/>
                <w:szCs w:val="20"/>
                <w:lang w:val="pt-PT" w:eastAsia="pt-PT"/>
              </w:rPr>
            </w:pPr>
            <w:r w:rsidRPr="009929E8">
              <w:rPr>
                <w:rFonts w:eastAsia="Times New Roman" w:cs="Times New Roman"/>
                <w:b w:val="0"/>
                <w:szCs w:val="20"/>
                <w:lang w:val="pt-PT" w:eastAsia="pt-PT"/>
              </w:rPr>
              <w:t>Congelação de frutos e de produtos hortícolas</w:t>
            </w:r>
          </w:p>
        </w:tc>
        <w:tc>
          <w:tcPr>
            <w:tcW w:w="1275" w:type="dxa"/>
            <w:vAlign w:val="bottom"/>
          </w:tcPr>
          <w:p w:rsidR="00590E7F" w:rsidRPr="002C79D8" w:rsidRDefault="00590E7F" w:rsidP="004F0FB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0"/>
                <w:lang w:eastAsia="pt-PT"/>
              </w:rPr>
            </w:pPr>
            <w:r w:rsidRPr="002C79D8">
              <w:rPr>
                <w:rFonts w:cs="Times New Roman"/>
              </w:rPr>
              <w:t>8</w:t>
            </w:r>
          </w:p>
        </w:tc>
      </w:tr>
      <w:tr w:rsidR="002C79D8" w:rsidRPr="002C79D8" w:rsidTr="004F0FB6">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6663" w:type="dxa"/>
            <w:noWrap/>
            <w:vAlign w:val="center"/>
            <w:hideMark/>
          </w:tcPr>
          <w:p w:rsidR="00590E7F" w:rsidRPr="009929E8" w:rsidRDefault="00590E7F" w:rsidP="007F7172">
            <w:pPr>
              <w:rPr>
                <w:rFonts w:eastAsia="Times New Roman" w:cs="Times New Roman"/>
                <w:b w:val="0"/>
                <w:szCs w:val="20"/>
                <w:lang w:val="pt-PT" w:eastAsia="pt-PT"/>
              </w:rPr>
            </w:pPr>
            <w:r w:rsidRPr="009929E8">
              <w:rPr>
                <w:rFonts w:eastAsia="Times New Roman" w:cs="Times New Roman"/>
                <w:b w:val="0"/>
                <w:szCs w:val="20"/>
                <w:lang w:val="pt-PT" w:eastAsia="pt-PT"/>
              </w:rPr>
              <w:t>Congelação de produtos da pesca e da aquicultura</w:t>
            </w:r>
          </w:p>
        </w:tc>
        <w:tc>
          <w:tcPr>
            <w:tcW w:w="1275" w:type="dxa"/>
            <w:vAlign w:val="bottom"/>
          </w:tcPr>
          <w:p w:rsidR="00590E7F" w:rsidRPr="002C79D8" w:rsidRDefault="00590E7F" w:rsidP="004F0FB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0"/>
                <w:lang w:eastAsia="pt-PT"/>
              </w:rPr>
            </w:pPr>
            <w:r w:rsidRPr="002C79D8">
              <w:rPr>
                <w:rFonts w:cs="Times New Roman"/>
              </w:rPr>
              <w:t>13</w:t>
            </w:r>
          </w:p>
        </w:tc>
      </w:tr>
      <w:tr w:rsidR="002C79D8" w:rsidRPr="002C79D8" w:rsidTr="004F0FB6">
        <w:trPr>
          <w:trHeight w:val="360"/>
          <w:jc w:val="center"/>
        </w:trPr>
        <w:tc>
          <w:tcPr>
            <w:cnfStyle w:val="001000000000" w:firstRow="0" w:lastRow="0" w:firstColumn="1" w:lastColumn="0" w:oddVBand="0" w:evenVBand="0" w:oddHBand="0" w:evenHBand="0" w:firstRowFirstColumn="0" w:firstRowLastColumn="0" w:lastRowFirstColumn="0" w:lastRowLastColumn="0"/>
            <w:tcW w:w="6663" w:type="dxa"/>
            <w:noWrap/>
            <w:vAlign w:val="center"/>
            <w:hideMark/>
          </w:tcPr>
          <w:p w:rsidR="00590E7F" w:rsidRPr="009929E8" w:rsidRDefault="00590E7F" w:rsidP="007F7172">
            <w:pPr>
              <w:rPr>
                <w:rFonts w:eastAsia="Times New Roman" w:cs="Times New Roman"/>
                <w:b w:val="0"/>
                <w:szCs w:val="20"/>
                <w:lang w:val="pt-PT" w:eastAsia="pt-PT"/>
              </w:rPr>
            </w:pPr>
            <w:r w:rsidRPr="009929E8">
              <w:rPr>
                <w:rFonts w:eastAsia="Times New Roman" w:cs="Times New Roman"/>
                <w:b w:val="0"/>
                <w:szCs w:val="20"/>
                <w:lang w:val="pt-PT" w:eastAsia="pt-PT"/>
              </w:rPr>
              <w:t>Fabricação de gelados e sorvetes</w:t>
            </w:r>
          </w:p>
        </w:tc>
        <w:tc>
          <w:tcPr>
            <w:tcW w:w="1275" w:type="dxa"/>
            <w:vAlign w:val="bottom"/>
          </w:tcPr>
          <w:p w:rsidR="00590E7F" w:rsidRPr="002C79D8" w:rsidRDefault="00590E7F" w:rsidP="004F0FB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0"/>
                <w:lang w:eastAsia="pt-PT"/>
              </w:rPr>
            </w:pPr>
            <w:r w:rsidRPr="002C79D8">
              <w:rPr>
                <w:rFonts w:cs="Times New Roman"/>
              </w:rPr>
              <w:t>14</w:t>
            </w:r>
          </w:p>
        </w:tc>
      </w:tr>
      <w:tr w:rsidR="002C79D8" w:rsidRPr="002C79D8" w:rsidTr="004F0FB6">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6663" w:type="dxa"/>
            <w:noWrap/>
            <w:vAlign w:val="center"/>
            <w:hideMark/>
          </w:tcPr>
          <w:p w:rsidR="00590E7F" w:rsidRPr="009929E8" w:rsidRDefault="00590E7F" w:rsidP="007F7172">
            <w:pPr>
              <w:rPr>
                <w:rFonts w:eastAsia="Times New Roman" w:cs="Times New Roman"/>
                <w:b w:val="0"/>
                <w:szCs w:val="20"/>
                <w:lang w:val="pt-PT" w:eastAsia="pt-PT"/>
              </w:rPr>
            </w:pPr>
            <w:r w:rsidRPr="009929E8">
              <w:rPr>
                <w:rFonts w:eastAsia="Times New Roman" w:cs="Times New Roman"/>
                <w:b w:val="0"/>
                <w:szCs w:val="20"/>
                <w:lang w:val="pt-PT" w:eastAsia="pt-PT"/>
              </w:rPr>
              <w:t>Fabricação de produtos à base de carne</w:t>
            </w:r>
          </w:p>
        </w:tc>
        <w:tc>
          <w:tcPr>
            <w:tcW w:w="1275" w:type="dxa"/>
            <w:vAlign w:val="bottom"/>
          </w:tcPr>
          <w:p w:rsidR="00590E7F" w:rsidRPr="002C79D8" w:rsidRDefault="00590E7F" w:rsidP="004F0FB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0"/>
                <w:lang w:eastAsia="pt-PT"/>
              </w:rPr>
            </w:pPr>
            <w:r w:rsidRPr="002C79D8">
              <w:rPr>
                <w:rFonts w:cs="Times New Roman"/>
              </w:rPr>
              <w:t>137</w:t>
            </w:r>
          </w:p>
        </w:tc>
      </w:tr>
      <w:tr w:rsidR="002C79D8" w:rsidRPr="002C79D8" w:rsidTr="004F0FB6">
        <w:trPr>
          <w:trHeight w:val="360"/>
          <w:jc w:val="center"/>
        </w:trPr>
        <w:tc>
          <w:tcPr>
            <w:cnfStyle w:val="001000000000" w:firstRow="0" w:lastRow="0" w:firstColumn="1" w:lastColumn="0" w:oddVBand="0" w:evenVBand="0" w:oddHBand="0" w:evenHBand="0" w:firstRowFirstColumn="0" w:firstRowLastColumn="0" w:lastRowFirstColumn="0" w:lastRowLastColumn="0"/>
            <w:tcW w:w="6663" w:type="dxa"/>
            <w:noWrap/>
            <w:vAlign w:val="center"/>
            <w:hideMark/>
          </w:tcPr>
          <w:p w:rsidR="00590E7F" w:rsidRPr="009929E8" w:rsidRDefault="00590E7F" w:rsidP="007F7172">
            <w:pPr>
              <w:rPr>
                <w:rFonts w:eastAsia="Times New Roman" w:cs="Times New Roman"/>
                <w:b w:val="0"/>
                <w:szCs w:val="20"/>
                <w:lang w:val="pt-PT" w:eastAsia="pt-PT"/>
              </w:rPr>
            </w:pPr>
            <w:r w:rsidRPr="009929E8">
              <w:rPr>
                <w:rFonts w:eastAsia="Times New Roman" w:cs="Times New Roman"/>
                <w:b w:val="0"/>
                <w:szCs w:val="20"/>
                <w:lang w:val="pt-PT" w:eastAsia="pt-PT"/>
              </w:rPr>
              <w:t>Fabricação de sumos de frutos e de produtos hortícolas</w:t>
            </w:r>
          </w:p>
        </w:tc>
        <w:tc>
          <w:tcPr>
            <w:tcW w:w="1275" w:type="dxa"/>
            <w:vAlign w:val="bottom"/>
          </w:tcPr>
          <w:p w:rsidR="00590E7F" w:rsidRPr="002C79D8" w:rsidRDefault="00590E7F" w:rsidP="004F0FB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0"/>
                <w:lang w:eastAsia="pt-PT"/>
              </w:rPr>
            </w:pPr>
            <w:r w:rsidRPr="002C79D8">
              <w:rPr>
                <w:rFonts w:cs="Times New Roman"/>
              </w:rPr>
              <w:t>6</w:t>
            </w:r>
          </w:p>
        </w:tc>
      </w:tr>
      <w:tr w:rsidR="002C79D8" w:rsidRPr="002C79D8" w:rsidTr="004F0FB6">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6663" w:type="dxa"/>
            <w:noWrap/>
            <w:vAlign w:val="center"/>
            <w:hideMark/>
          </w:tcPr>
          <w:p w:rsidR="00590E7F" w:rsidRPr="009929E8" w:rsidRDefault="00590E7F" w:rsidP="007F7172">
            <w:pPr>
              <w:rPr>
                <w:rFonts w:eastAsia="Times New Roman" w:cs="Times New Roman"/>
                <w:b w:val="0"/>
                <w:szCs w:val="20"/>
                <w:lang w:val="pt-PT" w:eastAsia="pt-PT"/>
              </w:rPr>
            </w:pPr>
            <w:r w:rsidRPr="009929E8">
              <w:rPr>
                <w:rFonts w:eastAsia="Times New Roman" w:cs="Times New Roman"/>
                <w:b w:val="0"/>
                <w:szCs w:val="20"/>
                <w:lang w:val="pt-PT" w:eastAsia="pt-PT"/>
              </w:rPr>
              <w:t>Indústrias do leite e derivados</w:t>
            </w:r>
          </w:p>
        </w:tc>
        <w:tc>
          <w:tcPr>
            <w:tcW w:w="1275" w:type="dxa"/>
            <w:vAlign w:val="bottom"/>
          </w:tcPr>
          <w:p w:rsidR="00590E7F" w:rsidRPr="002C79D8" w:rsidRDefault="00590E7F" w:rsidP="004F0FB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0"/>
                <w:lang w:eastAsia="pt-PT"/>
              </w:rPr>
            </w:pPr>
            <w:r w:rsidRPr="002C79D8">
              <w:rPr>
                <w:rFonts w:cs="Times New Roman"/>
              </w:rPr>
              <w:t>99</w:t>
            </w:r>
          </w:p>
        </w:tc>
      </w:tr>
      <w:tr w:rsidR="002C79D8" w:rsidRPr="002C79D8" w:rsidTr="004F0FB6">
        <w:trPr>
          <w:trHeight w:val="360"/>
          <w:jc w:val="center"/>
        </w:trPr>
        <w:tc>
          <w:tcPr>
            <w:cnfStyle w:val="001000000000" w:firstRow="0" w:lastRow="0" w:firstColumn="1" w:lastColumn="0" w:oddVBand="0" w:evenVBand="0" w:oddHBand="0" w:evenHBand="0" w:firstRowFirstColumn="0" w:firstRowLastColumn="0" w:lastRowFirstColumn="0" w:lastRowLastColumn="0"/>
            <w:tcW w:w="6663" w:type="dxa"/>
            <w:noWrap/>
            <w:vAlign w:val="center"/>
            <w:hideMark/>
          </w:tcPr>
          <w:p w:rsidR="00590E7F" w:rsidRPr="009929E8" w:rsidRDefault="00590E7F" w:rsidP="007F7172">
            <w:pPr>
              <w:rPr>
                <w:rFonts w:eastAsia="Times New Roman" w:cs="Times New Roman"/>
                <w:b w:val="0"/>
                <w:szCs w:val="20"/>
                <w:lang w:val="pt-PT" w:eastAsia="pt-PT"/>
              </w:rPr>
            </w:pPr>
            <w:r w:rsidRPr="009929E8">
              <w:rPr>
                <w:rFonts w:eastAsia="Times New Roman" w:cs="Times New Roman"/>
                <w:b w:val="0"/>
                <w:szCs w:val="20"/>
                <w:lang w:val="pt-PT" w:eastAsia="pt-PT"/>
              </w:rPr>
              <w:t>Preparação de produtos da pesca e da aquicultura</w:t>
            </w:r>
          </w:p>
        </w:tc>
        <w:tc>
          <w:tcPr>
            <w:tcW w:w="1275" w:type="dxa"/>
            <w:vAlign w:val="bottom"/>
          </w:tcPr>
          <w:p w:rsidR="00590E7F" w:rsidRPr="002C79D8" w:rsidRDefault="00590E7F" w:rsidP="004F0FB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0"/>
                <w:lang w:eastAsia="pt-PT"/>
              </w:rPr>
            </w:pPr>
            <w:r w:rsidRPr="002C79D8">
              <w:rPr>
                <w:rFonts w:cs="Times New Roman"/>
              </w:rPr>
              <w:t>25</w:t>
            </w:r>
          </w:p>
        </w:tc>
      </w:tr>
      <w:tr w:rsidR="002C79D8" w:rsidRPr="002C79D8" w:rsidTr="004F0FB6">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6663" w:type="dxa"/>
            <w:noWrap/>
            <w:vAlign w:val="center"/>
            <w:hideMark/>
          </w:tcPr>
          <w:p w:rsidR="00590E7F" w:rsidRPr="009929E8" w:rsidRDefault="00590E7F" w:rsidP="007F7172">
            <w:pPr>
              <w:rPr>
                <w:rFonts w:eastAsia="Times New Roman" w:cs="Times New Roman"/>
                <w:b w:val="0"/>
                <w:szCs w:val="20"/>
                <w:lang w:val="pt-PT" w:eastAsia="pt-PT"/>
              </w:rPr>
            </w:pPr>
            <w:r w:rsidRPr="009929E8">
              <w:rPr>
                <w:rFonts w:eastAsia="Times New Roman" w:cs="Times New Roman"/>
                <w:b w:val="0"/>
                <w:szCs w:val="20"/>
                <w:lang w:val="pt-PT" w:eastAsia="pt-PT"/>
              </w:rPr>
              <w:t>Preparação e conservação de batatas</w:t>
            </w:r>
          </w:p>
        </w:tc>
        <w:tc>
          <w:tcPr>
            <w:tcW w:w="1275" w:type="dxa"/>
            <w:vAlign w:val="bottom"/>
          </w:tcPr>
          <w:p w:rsidR="00590E7F" w:rsidRPr="002C79D8" w:rsidRDefault="00590E7F" w:rsidP="004F0FB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0"/>
                <w:lang w:eastAsia="pt-PT"/>
              </w:rPr>
            </w:pPr>
            <w:r w:rsidRPr="002C79D8">
              <w:rPr>
                <w:rFonts w:cs="Times New Roman"/>
              </w:rPr>
              <w:t>9</w:t>
            </w:r>
          </w:p>
        </w:tc>
      </w:tr>
      <w:tr w:rsidR="002C79D8" w:rsidRPr="002C79D8" w:rsidTr="004F0FB6">
        <w:trPr>
          <w:trHeight w:val="360"/>
          <w:jc w:val="center"/>
        </w:trPr>
        <w:tc>
          <w:tcPr>
            <w:cnfStyle w:val="001000000000" w:firstRow="0" w:lastRow="0" w:firstColumn="1" w:lastColumn="0" w:oddVBand="0" w:evenVBand="0" w:oddHBand="0" w:evenHBand="0" w:firstRowFirstColumn="0" w:firstRowLastColumn="0" w:lastRowFirstColumn="0" w:lastRowLastColumn="0"/>
            <w:tcW w:w="6663" w:type="dxa"/>
            <w:noWrap/>
            <w:vAlign w:val="center"/>
            <w:hideMark/>
          </w:tcPr>
          <w:p w:rsidR="00590E7F" w:rsidRPr="002C79D8" w:rsidRDefault="00590E7F" w:rsidP="007F7172">
            <w:pPr>
              <w:rPr>
                <w:rFonts w:eastAsia="Times New Roman" w:cs="Times New Roman"/>
                <w:b w:val="0"/>
                <w:szCs w:val="20"/>
                <w:lang w:eastAsia="pt-PT"/>
              </w:rPr>
            </w:pPr>
            <w:r w:rsidRPr="002C79D8">
              <w:rPr>
                <w:rFonts w:eastAsia="Times New Roman" w:cs="Times New Roman"/>
                <w:b w:val="0"/>
                <w:szCs w:val="20"/>
                <w:lang w:eastAsia="pt-PT"/>
              </w:rPr>
              <w:t>Produção de gelo</w:t>
            </w:r>
          </w:p>
        </w:tc>
        <w:tc>
          <w:tcPr>
            <w:tcW w:w="1275" w:type="dxa"/>
            <w:vAlign w:val="bottom"/>
          </w:tcPr>
          <w:p w:rsidR="00590E7F" w:rsidRPr="002C79D8" w:rsidRDefault="00590E7F" w:rsidP="004F0FB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0"/>
                <w:lang w:eastAsia="pt-PT"/>
              </w:rPr>
            </w:pPr>
            <w:r w:rsidRPr="002C79D8">
              <w:rPr>
                <w:rFonts w:cs="Times New Roman"/>
              </w:rPr>
              <w:t>4</w:t>
            </w:r>
          </w:p>
        </w:tc>
      </w:tr>
      <w:tr w:rsidR="002C79D8" w:rsidRPr="002C79D8" w:rsidTr="004F0FB6">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6663" w:type="dxa"/>
            <w:noWrap/>
            <w:vAlign w:val="center"/>
            <w:hideMark/>
          </w:tcPr>
          <w:p w:rsidR="00590E7F" w:rsidRPr="009929E8" w:rsidRDefault="00590E7F" w:rsidP="007F7172">
            <w:pPr>
              <w:rPr>
                <w:rFonts w:eastAsia="Times New Roman" w:cs="Times New Roman"/>
                <w:b w:val="0"/>
                <w:szCs w:val="20"/>
                <w:lang w:val="pt-PT" w:eastAsia="pt-PT"/>
              </w:rPr>
            </w:pPr>
            <w:r w:rsidRPr="009929E8">
              <w:rPr>
                <w:rFonts w:eastAsia="Times New Roman" w:cs="Times New Roman"/>
                <w:b w:val="0"/>
                <w:szCs w:val="20"/>
                <w:lang w:val="pt-PT" w:eastAsia="pt-PT"/>
              </w:rPr>
              <w:t>Produção e distribuição de vapor, água quente e fria e ar frio por conduta</w:t>
            </w:r>
          </w:p>
        </w:tc>
        <w:tc>
          <w:tcPr>
            <w:tcW w:w="1275" w:type="dxa"/>
            <w:vAlign w:val="bottom"/>
          </w:tcPr>
          <w:p w:rsidR="00590E7F" w:rsidRPr="002C79D8" w:rsidRDefault="00590E7F" w:rsidP="004F0FB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0"/>
                <w:lang w:eastAsia="pt-PT"/>
              </w:rPr>
            </w:pPr>
            <w:r w:rsidRPr="002C79D8">
              <w:rPr>
                <w:rFonts w:cs="Times New Roman"/>
              </w:rPr>
              <w:t>2</w:t>
            </w:r>
          </w:p>
        </w:tc>
      </w:tr>
      <w:tr w:rsidR="002C79D8" w:rsidRPr="002C79D8" w:rsidTr="004F0FB6">
        <w:trPr>
          <w:trHeight w:val="360"/>
          <w:jc w:val="center"/>
        </w:trPr>
        <w:tc>
          <w:tcPr>
            <w:cnfStyle w:val="001000000000" w:firstRow="0" w:lastRow="0" w:firstColumn="1" w:lastColumn="0" w:oddVBand="0" w:evenVBand="0" w:oddHBand="0" w:evenHBand="0" w:firstRowFirstColumn="0" w:firstRowLastColumn="0" w:lastRowFirstColumn="0" w:lastRowLastColumn="0"/>
            <w:tcW w:w="6663" w:type="dxa"/>
            <w:noWrap/>
            <w:vAlign w:val="center"/>
            <w:hideMark/>
          </w:tcPr>
          <w:p w:rsidR="004F0FB6" w:rsidRPr="009929E8" w:rsidRDefault="00590E7F" w:rsidP="007F7172">
            <w:pPr>
              <w:rPr>
                <w:rFonts w:eastAsia="Times New Roman" w:cs="Times New Roman"/>
                <w:b w:val="0"/>
                <w:szCs w:val="20"/>
                <w:lang w:val="pt-PT" w:eastAsia="pt-PT"/>
              </w:rPr>
            </w:pPr>
            <w:r w:rsidRPr="009929E8">
              <w:rPr>
                <w:rFonts w:eastAsia="Times New Roman" w:cs="Times New Roman"/>
                <w:b w:val="0"/>
                <w:szCs w:val="20"/>
                <w:lang w:val="pt-PT" w:eastAsia="pt-PT"/>
              </w:rPr>
              <w:t xml:space="preserve">Salga, secagem e outras atividades de transformação de produtos </w:t>
            </w:r>
          </w:p>
          <w:p w:rsidR="00590E7F" w:rsidRPr="002C79D8" w:rsidRDefault="00590E7F" w:rsidP="007F7172">
            <w:pPr>
              <w:rPr>
                <w:rFonts w:eastAsia="Times New Roman" w:cs="Times New Roman"/>
                <w:b w:val="0"/>
                <w:szCs w:val="20"/>
                <w:lang w:eastAsia="pt-PT"/>
              </w:rPr>
            </w:pPr>
            <w:r w:rsidRPr="002C79D8">
              <w:rPr>
                <w:rFonts w:eastAsia="Times New Roman" w:cs="Times New Roman"/>
                <w:b w:val="0"/>
                <w:szCs w:val="20"/>
                <w:lang w:eastAsia="pt-PT"/>
              </w:rPr>
              <w:t>da pesca e aquicultura</w:t>
            </w:r>
          </w:p>
        </w:tc>
        <w:tc>
          <w:tcPr>
            <w:tcW w:w="1275" w:type="dxa"/>
            <w:vAlign w:val="bottom"/>
          </w:tcPr>
          <w:p w:rsidR="00590E7F" w:rsidRPr="002C79D8" w:rsidRDefault="00590E7F" w:rsidP="004F0FB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0"/>
                <w:lang w:eastAsia="pt-PT"/>
              </w:rPr>
            </w:pPr>
            <w:r w:rsidRPr="002C79D8">
              <w:rPr>
                <w:rFonts w:cs="Times New Roman"/>
              </w:rPr>
              <w:t>34</w:t>
            </w:r>
          </w:p>
        </w:tc>
      </w:tr>
      <w:tr w:rsidR="002C79D8" w:rsidRPr="002C79D8" w:rsidTr="004F0FB6">
        <w:trPr>
          <w:cnfStyle w:val="010000000000" w:firstRow="0" w:lastRow="1"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6663" w:type="dxa"/>
            <w:noWrap/>
            <w:vAlign w:val="center"/>
          </w:tcPr>
          <w:p w:rsidR="00590E7F" w:rsidRPr="002C79D8" w:rsidRDefault="00590E7F" w:rsidP="007F7172">
            <w:pPr>
              <w:rPr>
                <w:rFonts w:eastAsia="Times New Roman" w:cs="Times New Roman"/>
                <w:szCs w:val="20"/>
                <w:lang w:eastAsia="pt-PT"/>
              </w:rPr>
            </w:pPr>
            <w:r w:rsidRPr="002C79D8">
              <w:rPr>
                <w:rFonts w:eastAsia="Times New Roman" w:cs="Times New Roman"/>
                <w:szCs w:val="20"/>
                <w:lang w:eastAsia="pt-PT"/>
              </w:rPr>
              <w:t>Total</w:t>
            </w:r>
          </w:p>
        </w:tc>
        <w:tc>
          <w:tcPr>
            <w:tcW w:w="1275" w:type="dxa"/>
            <w:vAlign w:val="bottom"/>
          </w:tcPr>
          <w:p w:rsidR="00590E7F" w:rsidRPr="002C79D8" w:rsidRDefault="00590E7F" w:rsidP="004F0FB6">
            <w:pPr>
              <w:jc w:val="center"/>
              <w:cnfStyle w:val="010000000000" w:firstRow="0" w:lastRow="1" w:firstColumn="0" w:lastColumn="0" w:oddVBand="0" w:evenVBand="0" w:oddHBand="0" w:evenHBand="0" w:firstRowFirstColumn="0" w:firstRowLastColumn="0" w:lastRowFirstColumn="0" w:lastRowLastColumn="0"/>
              <w:rPr>
                <w:rFonts w:eastAsia="Times New Roman" w:cs="Times New Roman"/>
                <w:b w:val="0"/>
                <w:szCs w:val="20"/>
                <w:lang w:eastAsia="pt-PT"/>
              </w:rPr>
            </w:pPr>
            <w:r w:rsidRPr="002C79D8">
              <w:rPr>
                <w:rFonts w:ascii="Calibri" w:hAnsi="Calibri"/>
              </w:rPr>
              <w:t>458</w:t>
            </w:r>
          </w:p>
        </w:tc>
      </w:tr>
    </w:tbl>
    <w:p w:rsidR="00590E7F" w:rsidRPr="002C79D8" w:rsidRDefault="00590E7F" w:rsidP="004F0FB6">
      <w:pPr>
        <w:pStyle w:val="Cabealho2"/>
      </w:pPr>
      <w:bookmarkStart w:id="4" w:name="_Toc412727859"/>
      <w:r w:rsidRPr="002C79D8">
        <w:t>Elaboração do primeiro inquérito</w:t>
      </w:r>
      <w:bookmarkEnd w:id="4"/>
    </w:p>
    <w:p w:rsidR="00590E7F" w:rsidRPr="002C79D8" w:rsidRDefault="00590E7F" w:rsidP="007F7172">
      <w:r w:rsidRPr="002C79D8">
        <w:t>Nesta secção será apresentada a metodologia utilizada na elaboração e recolha de informação do primeiro inquérito.</w:t>
      </w:r>
    </w:p>
    <w:p w:rsidR="00590E7F" w:rsidRPr="002C79D8" w:rsidRDefault="00590E7F" w:rsidP="004F0FB6">
      <w:pPr>
        <w:pStyle w:val="Cabealho3"/>
      </w:pPr>
      <w:bookmarkStart w:id="5" w:name="_Toc412727861"/>
      <w:r w:rsidRPr="002C79D8">
        <w:t>Pontos abordados</w:t>
      </w:r>
      <w:bookmarkEnd w:id="5"/>
    </w:p>
    <w:p w:rsidR="00590E7F" w:rsidRPr="002C79D8" w:rsidRDefault="00590E7F" w:rsidP="007F7172">
      <w:r w:rsidRPr="002C79D8">
        <w:t xml:space="preserve">O primeiro inquérito </w:t>
      </w:r>
      <w:r w:rsidR="00240409">
        <w:t>teve</w:t>
      </w:r>
      <w:r w:rsidRPr="002C79D8">
        <w:t xml:space="preserve"> como objetivo ser breve, pouco técnico, e abor</w:t>
      </w:r>
      <w:r w:rsidR="009929E8">
        <w:t xml:space="preserve">dar pontos relevantes e simples. </w:t>
      </w:r>
      <w:r w:rsidR="0072618B">
        <w:t>Foi</w:t>
      </w:r>
      <w:r w:rsidRPr="002C79D8">
        <w:t xml:space="preserve"> estruturado com o seguinte tipo de questões:</w:t>
      </w:r>
    </w:p>
    <w:p w:rsidR="00590E7F" w:rsidRPr="002C79D8" w:rsidRDefault="0072618B" w:rsidP="00240409">
      <w:pPr>
        <w:pStyle w:val="PargrafodaLista"/>
        <w:numPr>
          <w:ilvl w:val="0"/>
          <w:numId w:val="34"/>
        </w:numPr>
      </w:pPr>
      <w:r>
        <w:t>Sobre</w:t>
      </w:r>
      <w:r w:rsidR="00590E7F" w:rsidRPr="002C79D8">
        <w:t xml:space="preserve"> consumos e potência instalada;</w:t>
      </w:r>
    </w:p>
    <w:p w:rsidR="00590E7F" w:rsidRPr="002C79D8" w:rsidRDefault="0072618B" w:rsidP="00240409">
      <w:pPr>
        <w:pStyle w:val="PargrafodaLista"/>
        <w:numPr>
          <w:ilvl w:val="0"/>
          <w:numId w:val="34"/>
        </w:numPr>
      </w:pPr>
      <w:r>
        <w:t>Acerca do</w:t>
      </w:r>
      <w:r w:rsidR="00590E7F" w:rsidRPr="002C79D8">
        <w:t xml:space="preserve"> </w:t>
      </w:r>
      <w:r w:rsidR="00701592">
        <w:t>nível</w:t>
      </w:r>
      <w:r w:rsidRPr="002C79D8">
        <w:t xml:space="preserve"> </w:t>
      </w:r>
      <w:r w:rsidR="00590E7F" w:rsidRPr="002C79D8">
        <w:t>de frio (temperaturas negativas ou positivas), dimensões e idade da instalação;</w:t>
      </w:r>
    </w:p>
    <w:p w:rsidR="00590E7F" w:rsidRPr="002C79D8" w:rsidRDefault="0072618B" w:rsidP="00240409">
      <w:pPr>
        <w:pStyle w:val="PargrafodaLista"/>
        <w:numPr>
          <w:ilvl w:val="0"/>
          <w:numId w:val="34"/>
        </w:numPr>
      </w:pPr>
      <w:r>
        <w:t>Relacionado</w:t>
      </w:r>
      <w:r w:rsidR="00590E7F" w:rsidRPr="002C79D8">
        <w:t xml:space="preserve"> </w:t>
      </w:r>
      <w:r>
        <w:t xml:space="preserve">com </w:t>
      </w:r>
      <w:r w:rsidR="00590E7F" w:rsidRPr="002C79D8">
        <w:t>o fluído frigorigéneo, os isolamentos e a descongelação;</w:t>
      </w:r>
    </w:p>
    <w:p w:rsidR="00590E7F" w:rsidRPr="002C79D8" w:rsidRDefault="0072618B" w:rsidP="00240409">
      <w:pPr>
        <w:pStyle w:val="PargrafodaLista"/>
        <w:numPr>
          <w:ilvl w:val="0"/>
          <w:numId w:val="34"/>
        </w:numPr>
      </w:pPr>
      <w:r>
        <w:t>Sobre</w:t>
      </w:r>
      <w:r w:rsidR="00590E7F" w:rsidRPr="002C79D8">
        <w:t xml:space="preserve"> a manutenção e utilização das câmaras.</w:t>
      </w:r>
    </w:p>
    <w:p w:rsidR="00590E7F" w:rsidRPr="002C79D8" w:rsidRDefault="00590E7F" w:rsidP="007F7172">
      <w:r w:rsidRPr="002C79D8">
        <w:t xml:space="preserve">A informação sobre os consumos é </w:t>
      </w:r>
      <w:r w:rsidR="0072618B">
        <w:t>crucial</w:t>
      </w:r>
      <w:r w:rsidRPr="002C79D8">
        <w:t>, pois, aliada às questões de dimensões das câmaras, permite inferir sobre o tamanho da instalação. Além disto, a questão sobre a idade é também importante para conhecer de que forma a instalação será atual do ponto de vista tecnológico.</w:t>
      </w:r>
    </w:p>
    <w:p w:rsidR="00590E7F" w:rsidRPr="002C79D8" w:rsidRDefault="00590E7F" w:rsidP="007F7172">
      <w:r w:rsidRPr="002C79D8">
        <w:t>Por fim, foram também realizadas questões sobre manutenção e utilização pois será importante conhecer os hábitos de utilização das câmaras, bem como o nível de especialização da própria empresa no equipamento que tem instalado.</w:t>
      </w:r>
    </w:p>
    <w:p w:rsidR="00590E7F" w:rsidRPr="002C79D8" w:rsidRDefault="00590E7F" w:rsidP="004F0FB6">
      <w:pPr>
        <w:pStyle w:val="Cabealho3"/>
      </w:pPr>
      <w:bookmarkStart w:id="6" w:name="_Toc412727862"/>
      <w:r w:rsidRPr="002C79D8">
        <w:t>Metodologia usada na obtenção de respostas</w:t>
      </w:r>
      <w:bookmarkEnd w:id="6"/>
    </w:p>
    <w:p w:rsidR="009929E8" w:rsidRDefault="00590E7F" w:rsidP="007F7172">
      <w:r w:rsidRPr="002C79D8">
        <w:t>O contacto às empresas foi efetuado em várias fases. Inicialmente foi escolhida uma população de 20 empresas, com capitais sociais entre os € 75.000 e os € 700.000 e pertencentes a diferentes setores de atividade, com o objetivo de testar a abordagem e o inquérito, no sentido de r</w:t>
      </w:r>
      <w:r w:rsidR="009929E8">
        <w:t>ealizar os ajustes necessários.</w:t>
      </w:r>
    </w:p>
    <w:p w:rsidR="00590E7F" w:rsidRPr="002C79D8" w:rsidRDefault="009929E8" w:rsidP="007F7172">
      <w:r>
        <w:t xml:space="preserve">Telefonicamente foi </w:t>
      </w:r>
      <w:r w:rsidR="00590E7F" w:rsidRPr="002C79D8">
        <w:t>possível obter cerca de 5 a 8 respostas por dia, ao contrário das 11 respostas que tinham sido inicialmente ob</w:t>
      </w:r>
      <w:r>
        <w:t>tidas, num espaço de uma semana via e-mail.</w:t>
      </w:r>
    </w:p>
    <w:p w:rsidR="00590E7F" w:rsidRPr="002C79D8" w:rsidRDefault="00590E7F" w:rsidP="004F0FB6">
      <w:pPr>
        <w:pStyle w:val="Cabealho2"/>
      </w:pPr>
      <w:bookmarkStart w:id="7" w:name="_Toc412727863"/>
      <w:r w:rsidRPr="002C79D8">
        <w:t>Elaboração do segundo inquérito</w:t>
      </w:r>
      <w:bookmarkEnd w:id="7"/>
    </w:p>
    <w:p w:rsidR="00590E7F" w:rsidRPr="002C79D8" w:rsidRDefault="00590E7F" w:rsidP="007F7172">
      <w:r w:rsidRPr="002C79D8">
        <w:t xml:space="preserve">O segundo inquérito foi efetuado seguindo as metodologias do primeiro e foi direcionado às empresas que colaboraram na primeira fase do estudo. Desta vez, os pontos abordados foram mais </w:t>
      </w:r>
      <w:r w:rsidR="0072618B">
        <w:t>detalhados</w:t>
      </w:r>
      <w:r w:rsidR="0072618B" w:rsidRPr="002C79D8">
        <w:t xml:space="preserve"> </w:t>
      </w:r>
      <w:r w:rsidRPr="002C79D8">
        <w:t>e extensivos.</w:t>
      </w:r>
    </w:p>
    <w:p w:rsidR="00590E7F" w:rsidRPr="002C79D8" w:rsidRDefault="00590E7F" w:rsidP="004F0FB6">
      <w:pPr>
        <w:pStyle w:val="Cabealho3"/>
      </w:pPr>
      <w:bookmarkStart w:id="8" w:name="_Toc412727864"/>
      <w:r w:rsidRPr="002C79D8">
        <w:t>Pontos abordados</w:t>
      </w:r>
      <w:bookmarkEnd w:id="8"/>
    </w:p>
    <w:p w:rsidR="00590E7F" w:rsidRPr="002C79D8" w:rsidRDefault="00590E7F" w:rsidP="007F7172">
      <w:pPr>
        <w:rPr>
          <w:rFonts w:cs="Times New Roman"/>
          <w:szCs w:val="24"/>
        </w:rPr>
      </w:pPr>
      <w:r w:rsidRPr="002C79D8">
        <w:rPr>
          <w:rFonts w:cs="Times New Roman"/>
          <w:szCs w:val="24"/>
        </w:rPr>
        <w:t>Nesta segunda fase, a ideia de base para a realização dos inquéritos seria a de obter informação sobre os componentes das instalações onde pudessem existir oportunidades de melhoria do ponto de vista de eficiência energética.</w:t>
      </w:r>
    </w:p>
    <w:p w:rsidR="00590E7F" w:rsidRPr="002C79D8" w:rsidRDefault="00590E7F" w:rsidP="007F7172">
      <w:pPr>
        <w:rPr>
          <w:rFonts w:cs="Times New Roman"/>
          <w:szCs w:val="24"/>
        </w:rPr>
      </w:pPr>
      <w:r w:rsidRPr="002C79D8">
        <w:rPr>
          <w:rFonts w:cs="Times New Roman"/>
          <w:szCs w:val="24"/>
        </w:rPr>
        <w:t>Assim, o segundo inquérito encontra-s</w:t>
      </w:r>
      <w:r w:rsidR="009929E8">
        <w:rPr>
          <w:rFonts w:cs="Times New Roman"/>
          <w:szCs w:val="24"/>
        </w:rPr>
        <w:t xml:space="preserve">e estruturado </w:t>
      </w:r>
      <w:r w:rsidR="0072618B">
        <w:rPr>
          <w:rFonts w:cs="Times New Roman"/>
          <w:szCs w:val="24"/>
        </w:rPr>
        <w:t xml:space="preserve">para obter informação sobre os seguintes elementos: </w:t>
      </w:r>
    </w:p>
    <w:p w:rsidR="00590E7F" w:rsidRPr="002C79D8" w:rsidRDefault="0072618B" w:rsidP="007F7172">
      <w:pPr>
        <w:pStyle w:val="PargrafodaLista"/>
        <w:numPr>
          <w:ilvl w:val="0"/>
          <w:numId w:val="25"/>
        </w:numPr>
        <w:rPr>
          <w:rFonts w:cs="Times New Roman"/>
          <w:szCs w:val="24"/>
        </w:rPr>
      </w:pPr>
      <w:r>
        <w:rPr>
          <w:rFonts w:cs="Times New Roman"/>
          <w:szCs w:val="24"/>
        </w:rPr>
        <w:t>Compressores</w:t>
      </w:r>
      <w:r w:rsidR="00590E7F" w:rsidRPr="002C79D8">
        <w:rPr>
          <w:rFonts w:cs="Times New Roman"/>
          <w:szCs w:val="24"/>
        </w:rPr>
        <w:t>;</w:t>
      </w:r>
    </w:p>
    <w:p w:rsidR="00590E7F" w:rsidRPr="002C79D8" w:rsidRDefault="0072618B" w:rsidP="007F7172">
      <w:pPr>
        <w:pStyle w:val="PargrafodaLista"/>
        <w:numPr>
          <w:ilvl w:val="0"/>
          <w:numId w:val="25"/>
        </w:numPr>
        <w:rPr>
          <w:rFonts w:cs="Times New Roman"/>
          <w:szCs w:val="24"/>
        </w:rPr>
      </w:pPr>
      <w:r>
        <w:rPr>
          <w:rFonts w:cs="Times New Roman"/>
          <w:szCs w:val="24"/>
        </w:rPr>
        <w:t>Sistema</w:t>
      </w:r>
      <w:r w:rsidR="00590E7F" w:rsidRPr="002C79D8">
        <w:rPr>
          <w:rFonts w:cs="Times New Roman"/>
          <w:szCs w:val="24"/>
        </w:rPr>
        <w:t xml:space="preserve"> de condensação;</w:t>
      </w:r>
    </w:p>
    <w:p w:rsidR="00590E7F" w:rsidRPr="002C79D8" w:rsidRDefault="0072618B" w:rsidP="007F7172">
      <w:pPr>
        <w:pStyle w:val="PargrafodaLista"/>
        <w:numPr>
          <w:ilvl w:val="0"/>
          <w:numId w:val="25"/>
        </w:numPr>
        <w:rPr>
          <w:rFonts w:cs="Times New Roman"/>
          <w:szCs w:val="24"/>
        </w:rPr>
      </w:pPr>
      <w:r>
        <w:rPr>
          <w:rFonts w:cs="Times New Roman"/>
          <w:szCs w:val="24"/>
        </w:rPr>
        <w:t>Sistema</w:t>
      </w:r>
      <w:r w:rsidR="00590E7F" w:rsidRPr="002C79D8">
        <w:rPr>
          <w:rFonts w:cs="Times New Roman"/>
          <w:szCs w:val="24"/>
        </w:rPr>
        <w:t xml:space="preserve"> de expansão;</w:t>
      </w:r>
    </w:p>
    <w:p w:rsidR="00590E7F" w:rsidRPr="002C79D8" w:rsidRDefault="0072618B" w:rsidP="007F7172">
      <w:pPr>
        <w:pStyle w:val="PargrafodaLista"/>
        <w:numPr>
          <w:ilvl w:val="0"/>
          <w:numId w:val="25"/>
        </w:numPr>
        <w:rPr>
          <w:rFonts w:cs="Times New Roman"/>
          <w:szCs w:val="24"/>
        </w:rPr>
      </w:pPr>
      <w:r>
        <w:rPr>
          <w:rFonts w:cs="Times New Roman"/>
          <w:szCs w:val="24"/>
        </w:rPr>
        <w:t>Tecnologia</w:t>
      </w:r>
      <w:r w:rsidR="00590E7F" w:rsidRPr="002C79D8">
        <w:rPr>
          <w:rFonts w:cs="Times New Roman"/>
          <w:szCs w:val="24"/>
        </w:rPr>
        <w:t xml:space="preserve"> instalada;</w:t>
      </w:r>
    </w:p>
    <w:p w:rsidR="00590E7F" w:rsidRPr="002C79D8" w:rsidRDefault="0072618B" w:rsidP="007F7172">
      <w:pPr>
        <w:pStyle w:val="PargrafodaLista"/>
        <w:numPr>
          <w:ilvl w:val="0"/>
          <w:numId w:val="25"/>
        </w:numPr>
        <w:rPr>
          <w:rFonts w:cs="Times New Roman"/>
          <w:szCs w:val="24"/>
        </w:rPr>
      </w:pPr>
      <w:r>
        <w:rPr>
          <w:rFonts w:cs="Times New Roman"/>
          <w:szCs w:val="24"/>
        </w:rPr>
        <w:t>Sistema</w:t>
      </w:r>
      <w:r w:rsidR="00590E7F" w:rsidRPr="002C79D8">
        <w:rPr>
          <w:rFonts w:cs="Times New Roman"/>
          <w:szCs w:val="24"/>
        </w:rPr>
        <w:t xml:space="preserve"> de controlo e monitorização;</w:t>
      </w:r>
    </w:p>
    <w:p w:rsidR="00590E7F" w:rsidRPr="002C79D8" w:rsidRDefault="0072618B" w:rsidP="007F7172">
      <w:pPr>
        <w:pStyle w:val="PargrafodaLista"/>
        <w:numPr>
          <w:ilvl w:val="0"/>
          <w:numId w:val="25"/>
        </w:numPr>
        <w:rPr>
          <w:rFonts w:cs="Times New Roman"/>
          <w:szCs w:val="24"/>
        </w:rPr>
      </w:pPr>
      <w:r>
        <w:rPr>
          <w:rFonts w:cs="Times New Roman"/>
          <w:szCs w:val="24"/>
        </w:rPr>
        <w:t>Processos</w:t>
      </w:r>
      <w:r w:rsidR="00590E7F" w:rsidRPr="002C79D8">
        <w:rPr>
          <w:rFonts w:cs="Times New Roman"/>
          <w:szCs w:val="24"/>
        </w:rPr>
        <w:t xml:space="preserve"> nos quais seria possível implementar medidas visando a melhoria da eficiência energética.</w:t>
      </w:r>
    </w:p>
    <w:p w:rsidR="00590E7F" w:rsidRPr="002C79D8" w:rsidRDefault="00590E7F" w:rsidP="007F7172">
      <w:pPr>
        <w:rPr>
          <w:rFonts w:cs="Times New Roman"/>
          <w:szCs w:val="24"/>
        </w:rPr>
      </w:pPr>
      <w:r w:rsidRPr="002C79D8">
        <w:rPr>
          <w:rFonts w:cs="Times New Roman"/>
          <w:szCs w:val="24"/>
        </w:rPr>
        <w:t>De notar que para cada um dos componentes, são pedidas as informações sobre a marca, o modelo e o ano, para se obter uma noção mais pormenorizada sobre as tecnologias utilizadas e a sua atualidade.</w:t>
      </w:r>
    </w:p>
    <w:p w:rsidR="00590E7F" w:rsidRPr="002C79D8" w:rsidRDefault="00331E37" w:rsidP="004F0FB6">
      <w:pPr>
        <w:pStyle w:val="Cabealho1"/>
        <w:ind w:left="0" w:firstLine="0"/>
      </w:pPr>
      <w:r w:rsidRPr="002C79D8">
        <w:t>ANÁLISE DE RESULTADOS</w:t>
      </w:r>
    </w:p>
    <w:p w:rsidR="00590E7F" w:rsidRPr="002C79D8" w:rsidRDefault="00590E7F" w:rsidP="007F7172">
      <w:pPr>
        <w:rPr>
          <w:rFonts w:cs="Times New Roman"/>
          <w:szCs w:val="24"/>
        </w:rPr>
      </w:pPr>
      <w:r w:rsidRPr="002C79D8">
        <w:rPr>
          <w:rFonts w:cs="Times New Roman"/>
          <w:szCs w:val="24"/>
        </w:rPr>
        <w:t xml:space="preserve">Ao longo deste capítulo será efetuada uma </w:t>
      </w:r>
      <w:r w:rsidR="0072618B">
        <w:rPr>
          <w:rFonts w:cs="Times New Roman"/>
          <w:szCs w:val="24"/>
        </w:rPr>
        <w:t xml:space="preserve">primeira </w:t>
      </w:r>
      <w:r w:rsidRPr="002C79D8">
        <w:rPr>
          <w:rFonts w:cs="Times New Roman"/>
          <w:szCs w:val="24"/>
        </w:rPr>
        <w:t>análise ao parque instalado a nível nacional. Serão apresentados os dados estatísticos recolhidos, bem como as relações encontradas entre os diferentes pontos analisados.</w:t>
      </w:r>
    </w:p>
    <w:p w:rsidR="00590E7F" w:rsidRPr="002C79D8" w:rsidRDefault="00590E7F" w:rsidP="007F7172">
      <w:pPr>
        <w:rPr>
          <w:rFonts w:cs="Times New Roman"/>
          <w:szCs w:val="24"/>
        </w:rPr>
      </w:pPr>
      <w:r w:rsidRPr="002C79D8">
        <w:rPr>
          <w:rFonts w:cs="Times New Roman"/>
          <w:szCs w:val="24"/>
        </w:rPr>
        <w:t>Esta análise será dividida nas seguintes secções:</w:t>
      </w:r>
    </w:p>
    <w:p w:rsidR="00590E7F" w:rsidRPr="002C79D8" w:rsidRDefault="00590E7F" w:rsidP="007F7172">
      <w:pPr>
        <w:pStyle w:val="PargrafodaLista"/>
        <w:numPr>
          <w:ilvl w:val="0"/>
          <w:numId w:val="26"/>
        </w:numPr>
        <w:rPr>
          <w:rFonts w:cs="Times New Roman"/>
          <w:szCs w:val="24"/>
        </w:rPr>
      </w:pPr>
      <w:r w:rsidRPr="002C79D8">
        <w:rPr>
          <w:rFonts w:cs="Times New Roman"/>
          <w:szCs w:val="24"/>
        </w:rPr>
        <w:t>Amostra escolhida e População estudada;</w:t>
      </w:r>
    </w:p>
    <w:p w:rsidR="00590E7F" w:rsidRPr="002C79D8" w:rsidRDefault="00590E7F" w:rsidP="007F7172">
      <w:pPr>
        <w:pStyle w:val="PargrafodaLista"/>
        <w:numPr>
          <w:ilvl w:val="0"/>
          <w:numId w:val="26"/>
        </w:numPr>
        <w:rPr>
          <w:rFonts w:cs="Times New Roman"/>
          <w:szCs w:val="24"/>
        </w:rPr>
      </w:pPr>
      <w:r w:rsidRPr="002C79D8">
        <w:rPr>
          <w:rFonts w:cs="Times New Roman"/>
          <w:szCs w:val="24"/>
        </w:rPr>
        <w:t>Relação entre SAE, Consumo Energético e Capital Social;</w:t>
      </w:r>
    </w:p>
    <w:p w:rsidR="00590E7F" w:rsidRPr="002C79D8" w:rsidRDefault="00590E7F" w:rsidP="007F7172">
      <w:pPr>
        <w:pStyle w:val="PargrafodaLista"/>
        <w:numPr>
          <w:ilvl w:val="0"/>
          <w:numId w:val="26"/>
        </w:numPr>
        <w:rPr>
          <w:rFonts w:cs="Times New Roman"/>
          <w:szCs w:val="24"/>
        </w:rPr>
      </w:pPr>
      <w:r w:rsidRPr="002C79D8">
        <w:rPr>
          <w:rFonts w:cs="Times New Roman"/>
          <w:szCs w:val="24"/>
        </w:rPr>
        <w:t>Utilização energética para o Frio;</w:t>
      </w:r>
    </w:p>
    <w:p w:rsidR="00590E7F" w:rsidRPr="002C79D8" w:rsidRDefault="00590E7F" w:rsidP="007F7172">
      <w:pPr>
        <w:pStyle w:val="PargrafodaLista"/>
        <w:numPr>
          <w:ilvl w:val="0"/>
          <w:numId w:val="26"/>
        </w:numPr>
        <w:rPr>
          <w:rFonts w:cs="Times New Roman"/>
          <w:szCs w:val="24"/>
        </w:rPr>
      </w:pPr>
      <w:r w:rsidRPr="002C79D8">
        <w:rPr>
          <w:rFonts w:cs="Times New Roman"/>
          <w:szCs w:val="24"/>
        </w:rPr>
        <w:t>Capitais Sociais: Valores médios e Fator de Consumo;</w:t>
      </w:r>
    </w:p>
    <w:p w:rsidR="00590E7F" w:rsidRPr="002C79D8" w:rsidRDefault="00590E7F" w:rsidP="007F7172">
      <w:pPr>
        <w:pStyle w:val="PargrafodaLista"/>
        <w:numPr>
          <w:ilvl w:val="0"/>
          <w:numId w:val="26"/>
        </w:numPr>
        <w:rPr>
          <w:rFonts w:cs="Times New Roman"/>
          <w:szCs w:val="24"/>
        </w:rPr>
      </w:pPr>
      <w:r w:rsidRPr="002C79D8">
        <w:rPr>
          <w:rFonts w:cs="Times New Roman"/>
          <w:szCs w:val="24"/>
        </w:rPr>
        <w:t>Fluidos frigorigéneos utilizados;</w:t>
      </w:r>
    </w:p>
    <w:p w:rsidR="00590E7F" w:rsidRPr="002C79D8" w:rsidRDefault="00590E7F" w:rsidP="007F7172">
      <w:pPr>
        <w:pStyle w:val="PargrafodaLista"/>
        <w:numPr>
          <w:ilvl w:val="0"/>
          <w:numId w:val="26"/>
        </w:numPr>
        <w:rPr>
          <w:rFonts w:cs="Times New Roman"/>
          <w:szCs w:val="24"/>
        </w:rPr>
      </w:pPr>
      <w:r w:rsidRPr="002C79D8">
        <w:rPr>
          <w:rFonts w:cs="Times New Roman"/>
          <w:szCs w:val="24"/>
        </w:rPr>
        <w:t>Isolamentos;</w:t>
      </w:r>
    </w:p>
    <w:p w:rsidR="00590E7F" w:rsidRPr="002C79D8" w:rsidRDefault="00590E7F" w:rsidP="007F7172">
      <w:pPr>
        <w:pStyle w:val="PargrafodaLista"/>
        <w:numPr>
          <w:ilvl w:val="0"/>
          <w:numId w:val="26"/>
        </w:numPr>
        <w:rPr>
          <w:rFonts w:cs="Times New Roman"/>
          <w:szCs w:val="24"/>
        </w:rPr>
      </w:pPr>
      <w:r w:rsidRPr="002C79D8">
        <w:rPr>
          <w:rFonts w:cs="Times New Roman"/>
          <w:szCs w:val="24"/>
        </w:rPr>
        <w:t>Instalação e manutenção;</w:t>
      </w:r>
    </w:p>
    <w:p w:rsidR="00590E7F" w:rsidRPr="002C79D8" w:rsidRDefault="00590E7F" w:rsidP="007F7172">
      <w:pPr>
        <w:pStyle w:val="PargrafodaLista"/>
        <w:numPr>
          <w:ilvl w:val="0"/>
          <w:numId w:val="26"/>
        </w:numPr>
        <w:rPr>
          <w:rFonts w:cs="Times New Roman"/>
          <w:szCs w:val="24"/>
        </w:rPr>
      </w:pPr>
      <w:r w:rsidRPr="002C79D8">
        <w:rPr>
          <w:rFonts w:cs="Times New Roman"/>
          <w:szCs w:val="24"/>
        </w:rPr>
        <w:t>Hábitos de utilização;</w:t>
      </w:r>
    </w:p>
    <w:p w:rsidR="00590E7F" w:rsidRPr="002C79D8" w:rsidRDefault="00590E7F" w:rsidP="007F7172">
      <w:pPr>
        <w:pStyle w:val="PargrafodaLista"/>
        <w:numPr>
          <w:ilvl w:val="0"/>
          <w:numId w:val="26"/>
        </w:numPr>
        <w:rPr>
          <w:rFonts w:cs="Times New Roman"/>
          <w:szCs w:val="24"/>
        </w:rPr>
      </w:pPr>
      <w:r w:rsidRPr="002C79D8">
        <w:rPr>
          <w:rFonts w:cs="Times New Roman"/>
          <w:szCs w:val="24"/>
        </w:rPr>
        <w:t>Análise às respostas do segundo inquérito;</w:t>
      </w:r>
    </w:p>
    <w:p w:rsidR="00590E7F" w:rsidRPr="002C79D8" w:rsidRDefault="00590E7F" w:rsidP="007F7172">
      <w:pPr>
        <w:rPr>
          <w:rFonts w:cs="Times New Roman"/>
          <w:szCs w:val="24"/>
        </w:rPr>
      </w:pPr>
      <w:r w:rsidRPr="002C79D8">
        <w:rPr>
          <w:rFonts w:cs="Times New Roman"/>
          <w:szCs w:val="24"/>
        </w:rPr>
        <w:t>Por motivos de sigilo, os valores de capital social serão apresentados em Unidades Monetárias (UM) e os de consumo energético em Unidades de Consumo Energético (UCE).</w:t>
      </w:r>
    </w:p>
    <w:p w:rsidR="00590E7F" w:rsidRPr="002C79D8" w:rsidRDefault="00590E7F" w:rsidP="004F0FB6">
      <w:pPr>
        <w:pStyle w:val="Cabealho2"/>
      </w:pPr>
      <w:bookmarkStart w:id="9" w:name="_Toc412727866"/>
      <w:r w:rsidRPr="002C79D8">
        <w:t>Amostra e População</w:t>
      </w:r>
      <w:bookmarkEnd w:id="9"/>
    </w:p>
    <w:p w:rsidR="00590E7F" w:rsidRPr="002C79D8" w:rsidRDefault="00590E7F" w:rsidP="007F7172">
      <w:pPr>
        <w:rPr>
          <w:rFonts w:cs="Times New Roman"/>
          <w:szCs w:val="24"/>
        </w:rPr>
      </w:pPr>
      <w:r w:rsidRPr="002C79D8">
        <w:rPr>
          <w:rFonts w:cs="Times New Roman"/>
          <w:szCs w:val="24"/>
        </w:rPr>
        <w:t>Para o tratamento da informação, os SAE apresentados na tabela 1 foram agrupados de acordo com a similaridade das suas atividades. A</w:t>
      </w:r>
      <w:r w:rsidR="003878A3">
        <w:rPr>
          <w:rFonts w:cs="Times New Roman"/>
          <w:szCs w:val="24"/>
        </w:rPr>
        <w:t>ssim, apresentam-se na Figura 1</w:t>
      </w:r>
      <w:r w:rsidRPr="002C79D8">
        <w:rPr>
          <w:rFonts w:cs="Times New Roman"/>
          <w:szCs w:val="24"/>
        </w:rPr>
        <w:t xml:space="preserve"> os agrupamentos obtidos, bem como as respostas por agrupamento:</w:t>
      </w:r>
    </w:p>
    <w:p w:rsidR="007F7172" w:rsidRPr="002C79D8" w:rsidRDefault="007F7172" w:rsidP="007F7172">
      <w:pPr>
        <w:rPr>
          <w:rFonts w:cs="Times New Roman"/>
          <w:szCs w:val="24"/>
        </w:rPr>
      </w:pPr>
    </w:p>
    <w:p w:rsidR="00590E7F" w:rsidRPr="002C79D8" w:rsidRDefault="00590E7F" w:rsidP="007F7172">
      <w:pPr>
        <w:keepNext/>
        <w:jc w:val="center"/>
      </w:pPr>
      <w:r w:rsidRPr="002C79D8">
        <w:rPr>
          <w:noProof/>
          <w:lang w:eastAsia="pt-PT"/>
        </w:rPr>
        <w:drawing>
          <wp:inline distT="0" distB="0" distL="0" distR="0" wp14:anchorId="74F0AA31" wp14:editId="3A7CAA71">
            <wp:extent cx="4319588" cy="2171700"/>
            <wp:effectExtent l="0" t="0" r="508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90E7F" w:rsidRPr="001537B9" w:rsidRDefault="00590E7F" w:rsidP="007F7172">
      <w:pPr>
        <w:pStyle w:val="Legenda"/>
        <w:spacing w:after="0"/>
        <w:jc w:val="center"/>
        <w:rPr>
          <w:i w:val="0"/>
          <w:color w:val="auto"/>
          <w:sz w:val="20"/>
        </w:rPr>
      </w:pPr>
      <w:bookmarkStart w:id="10" w:name="_Ref409953040"/>
      <w:r w:rsidRPr="001537B9">
        <w:rPr>
          <w:i w:val="0"/>
          <w:color w:val="auto"/>
          <w:sz w:val="20"/>
        </w:rPr>
        <w:t xml:space="preserve">Figura </w:t>
      </w:r>
      <w:r w:rsidRPr="001537B9">
        <w:rPr>
          <w:i w:val="0"/>
          <w:color w:val="auto"/>
          <w:sz w:val="20"/>
        </w:rPr>
        <w:fldChar w:fldCharType="begin"/>
      </w:r>
      <w:r w:rsidRPr="001537B9">
        <w:rPr>
          <w:i w:val="0"/>
          <w:color w:val="auto"/>
          <w:sz w:val="20"/>
        </w:rPr>
        <w:instrText xml:space="preserve"> SEQ Figura \* ARABIC </w:instrText>
      </w:r>
      <w:r w:rsidRPr="001537B9">
        <w:rPr>
          <w:i w:val="0"/>
          <w:color w:val="auto"/>
          <w:sz w:val="20"/>
        </w:rPr>
        <w:fldChar w:fldCharType="separate"/>
      </w:r>
      <w:r w:rsidRPr="001537B9">
        <w:rPr>
          <w:i w:val="0"/>
          <w:noProof/>
          <w:color w:val="auto"/>
          <w:sz w:val="20"/>
        </w:rPr>
        <w:t>1</w:t>
      </w:r>
      <w:r w:rsidRPr="001537B9">
        <w:rPr>
          <w:i w:val="0"/>
          <w:color w:val="auto"/>
          <w:sz w:val="20"/>
        </w:rPr>
        <w:fldChar w:fldCharType="end"/>
      </w:r>
      <w:r w:rsidRPr="001537B9">
        <w:rPr>
          <w:i w:val="0"/>
          <w:color w:val="auto"/>
          <w:sz w:val="20"/>
        </w:rPr>
        <w:t xml:space="preserve"> - Representação gráfica das respostas obtidas por agrupamento</w:t>
      </w:r>
      <w:bookmarkEnd w:id="10"/>
    </w:p>
    <w:p w:rsidR="007F7172" w:rsidRPr="002C79D8" w:rsidRDefault="007F7172" w:rsidP="007F7172">
      <w:pPr>
        <w:rPr>
          <w:rFonts w:cs="Times New Roman"/>
          <w:szCs w:val="24"/>
        </w:rPr>
      </w:pPr>
    </w:p>
    <w:p w:rsidR="00590E7F" w:rsidRPr="002C79D8" w:rsidRDefault="00590E7F" w:rsidP="007F7172">
      <w:pPr>
        <w:rPr>
          <w:rFonts w:cs="Times New Roman"/>
          <w:szCs w:val="24"/>
        </w:rPr>
      </w:pPr>
      <w:r w:rsidRPr="002C79D8">
        <w:rPr>
          <w:rFonts w:cs="Times New Roman"/>
          <w:szCs w:val="24"/>
        </w:rPr>
        <w:t>Como é possível observar, existe uma boa amostra no que toca aos agrupamentos de Carnes, Pesca, Laticínios e Armazenagem Frigorífica.</w:t>
      </w:r>
    </w:p>
    <w:p w:rsidR="00590E7F" w:rsidRPr="002C79D8" w:rsidRDefault="00590E7F" w:rsidP="007F7172">
      <w:pPr>
        <w:rPr>
          <w:rFonts w:cs="Times New Roman"/>
          <w:szCs w:val="24"/>
        </w:rPr>
      </w:pPr>
      <w:r w:rsidRPr="002C79D8">
        <w:rPr>
          <w:rFonts w:cs="Times New Roman"/>
          <w:szCs w:val="24"/>
        </w:rPr>
        <w:t>Será importante mencionar que o agrupamento “Agricultura” não inclui o SAE “Preparação e conservação de batatas” pois nenhuma das empresas contactadas deste SAE possui setor de frio.</w:t>
      </w:r>
    </w:p>
    <w:p w:rsidR="00590E7F" w:rsidRPr="001537B9" w:rsidRDefault="00590E7F" w:rsidP="007F7172">
      <w:pPr>
        <w:rPr>
          <w:rFonts w:cs="Times New Roman"/>
          <w:i/>
          <w:szCs w:val="24"/>
        </w:rPr>
      </w:pPr>
      <w:r w:rsidRPr="002C79D8">
        <w:rPr>
          <w:rFonts w:cs="Times New Roman"/>
          <w:szCs w:val="24"/>
        </w:rPr>
        <w:t>A amostra analisada encontra-se representada geograficament</w:t>
      </w:r>
      <w:r w:rsidR="003878A3">
        <w:rPr>
          <w:rFonts w:cs="Times New Roman"/>
          <w:szCs w:val="24"/>
        </w:rPr>
        <w:t>e na Figura 2</w:t>
      </w:r>
      <w:r w:rsidR="00D31B73" w:rsidRPr="00D31B73">
        <w:rPr>
          <w:rFonts w:cs="Times New Roman"/>
          <w:color w:val="5B9BD5" w:themeColor="accent1"/>
          <w:szCs w:val="24"/>
        </w:rPr>
        <w:t>.</w:t>
      </w:r>
    </w:p>
    <w:p w:rsidR="007F7172" w:rsidRPr="002C79D8" w:rsidRDefault="007F7172" w:rsidP="007F7172">
      <w:pPr>
        <w:rPr>
          <w:rFonts w:cs="Times New Roman"/>
          <w:szCs w:val="24"/>
        </w:rPr>
      </w:pPr>
    </w:p>
    <w:p w:rsidR="00590E7F" w:rsidRPr="002C79D8" w:rsidRDefault="00590E7F" w:rsidP="007F7172">
      <w:pPr>
        <w:keepNext/>
        <w:jc w:val="center"/>
      </w:pPr>
      <w:r w:rsidRPr="002C79D8">
        <w:rPr>
          <w:noProof/>
          <w:lang w:eastAsia="pt-PT"/>
        </w:rPr>
        <w:drawing>
          <wp:inline distT="0" distB="0" distL="0" distR="0" wp14:anchorId="4965FC37" wp14:editId="6889ABD6">
            <wp:extent cx="1551733" cy="2860040"/>
            <wp:effectExtent l="0" t="0" r="0" b="0"/>
            <wp:docPr id="30" name="Picture 30" descr="C:\Users\Hugo\Dropbox\FEUP\Dissertação\Tese\Imagens\Portuga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go\Dropbox\FEUP\Dissertação\Tese\Imagens\Portugal 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8645" cy="2909643"/>
                    </a:xfrm>
                    <a:prstGeom prst="rect">
                      <a:avLst/>
                    </a:prstGeom>
                    <a:noFill/>
                    <a:ln>
                      <a:noFill/>
                    </a:ln>
                  </pic:spPr>
                </pic:pic>
              </a:graphicData>
            </a:graphic>
          </wp:inline>
        </w:drawing>
      </w:r>
    </w:p>
    <w:p w:rsidR="00590E7F" w:rsidRPr="001537B9" w:rsidRDefault="00590E7F" w:rsidP="007F7172">
      <w:pPr>
        <w:pStyle w:val="Legenda"/>
        <w:spacing w:after="0"/>
        <w:jc w:val="center"/>
        <w:rPr>
          <w:i w:val="0"/>
          <w:color w:val="auto"/>
          <w:sz w:val="20"/>
        </w:rPr>
      </w:pPr>
      <w:bookmarkStart w:id="11" w:name="_Ref409953041"/>
      <w:r w:rsidRPr="001537B9">
        <w:rPr>
          <w:i w:val="0"/>
          <w:color w:val="auto"/>
          <w:sz w:val="20"/>
        </w:rPr>
        <w:t xml:space="preserve">Figura </w:t>
      </w:r>
      <w:r w:rsidR="003878A3" w:rsidRPr="001537B9">
        <w:rPr>
          <w:i w:val="0"/>
          <w:color w:val="auto"/>
          <w:sz w:val="20"/>
        </w:rPr>
        <w:t>2</w:t>
      </w:r>
      <w:r w:rsidRPr="001537B9">
        <w:rPr>
          <w:i w:val="0"/>
          <w:color w:val="auto"/>
          <w:sz w:val="20"/>
        </w:rPr>
        <w:t xml:space="preserve"> - Localização das respostas em Portugal Continental</w:t>
      </w:r>
      <w:bookmarkEnd w:id="11"/>
    </w:p>
    <w:p w:rsidR="00590E7F" w:rsidRPr="002C79D8" w:rsidRDefault="00590E7F" w:rsidP="007F7172">
      <w:pPr>
        <w:rPr>
          <w:rFonts w:cs="Times New Roman"/>
          <w:szCs w:val="24"/>
        </w:rPr>
      </w:pPr>
    </w:p>
    <w:p w:rsidR="00590E7F" w:rsidRPr="004F0FB6" w:rsidRDefault="00590E7F" w:rsidP="004F0FB6">
      <w:pPr>
        <w:rPr>
          <w:rFonts w:cs="Times New Roman"/>
          <w:szCs w:val="24"/>
        </w:rPr>
      </w:pPr>
      <w:r w:rsidRPr="002C79D8">
        <w:rPr>
          <w:rFonts w:cs="Times New Roman"/>
          <w:szCs w:val="24"/>
        </w:rPr>
        <w:t xml:space="preserve">Foram ainda obtidas duas respostas não apresentadas na figura, uma na Ilha do </w:t>
      </w:r>
      <w:r w:rsidR="004F0FB6">
        <w:rPr>
          <w:rFonts w:cs="Times New Roman"/>
          <w:szCs w:val="24"/>
        </w:rPr>
        <w:t>Faial e outra em Ponta Delgada.</w:t>
      </w:r>
    </w:p>
    <w:p w:rsidR="00590E7F" w:rsidRPr="002C79D8" w:rsidRDefault="00590E7F" w:rsidP="004F0FB6">
      <w:pPr>
        <w:pStyle w:val="Cabealho2"/>
      </w:pPr>
      <w:bookmarkStart w:id="12" w:name="_Toc412727867"/>
      <w:r w:rsidRPr="002C79D8">
        <w:t>Obtenção dos consumos energéticos</w:t>
      </w:r>
      <w:bookmarkEnd w:id="12"/>
    </w:p>
    <w:p w:rsidR="00590E7F" w:rsidRPr="00300CF9" w:rsidRDefault="00590E7F" w:rsidP="007F7172">
      <w:pPr>
        <w:rPr>
          <w:rFonts w:cs="Times New Roman"/>
          <w:szCs w:val="24"/>
        </w:rPr>
      </w:pPr>
      <w:r w:rsidRPr="00300CF9">
        <w:rPr>
          <w:rFonts w:cs="Times New Roman"/>
          <w:szCs w:val="24"/>
        </w:rPr>
        <w:t>Os consumos energéticos obtidos neste estudo foram fornecidos por cada empresa, no preenchimento do primeiro inquérito. No entanto, nem todas as empresas forneceram o consumo energético em euros, pelo que os consumos fornecidos em kWh foram convertidos para euros a partir da Equação 4:</w:t>
      </w:r>
    </w:p>
    <w:p w:rsidR="00590E7F" w:rsidRPr="00300CF9" w:rsidRDefault="00590E7F" w:rsidP="007F7172">
      <w:pPr>
        <w:rPr>
          <w:rFonts w:cs="Times New Roman"/>
          <w:szCs w:val="24"/>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7200"/>
        <w:gridCol w:w="823"/>
      </w:tblGrid>
      <w:tr w:rsidR="002C79D8" w:rsidRPr="00300CF9" w:rsidTr="00240409">
        <w:tc>
          <w:tcPr>
            <w:tcW w:w="805" w:type="dxa"/>
          </w:tcPr>
          <w:p w:rsidR="00590E7F" w:rsidRPr="00300CF9" w:rsidRDefault="00590E7F" w:rsidP="007F7172">
            <w:pPr>
              <w:rPr>
                <w:rFonts w:cs="Times New Roman"/>
                <w:szCs w:val="24"/>
                <w:lang w:val="pt-PT"/>
              </w:rPr>
            </w:pPr>
          </w:p>
        </w:tc>
        <w:tc>
          <w:tcPr>
            <w:tcW w:w="7200" w:type="dxa"/>
            <w:vAlign w:val="center"/>
          </w:tcPr>
          <w:p w:rsidR="00590E7F" w:rsidRPr="00300CF9" w:rsidRDefault="00590E7F" w:rsidP="007F7172">
            <w:pPr>
              <w:jc w:val="center"/>
              <w:rPr>
                <w:rFonts w:cs="Times New Roman"/>
                <w:szCs w:val="24"/>
              </w:rPr>
            </w:pPr>
            <m:oMathPara>
              <m:oMath>
                <m:r>
                  <w:rPr>
                    <w:rFonts w:ascii="Cambria Math" w:hAnsi="Cambria Math" w:cs="Times New Roman"/>
                    <w:szCs w:val="24"/>
                  </w:rPr>
                  <m:t xml:space="preserve">Consumo </m:t>
                </m:r>
                <m:d>
                  <m:dPr>
                    <m:ctrlPr>
                      <w:rPr>
                        <w:rFonts w:ascii="Cambria Math" w:hAnsi="Cambria Math" w:cs="Times New Roman"/>
                        <w:i/>
                        <w:szCs w:val="24"/>
                      </w:rPr>
                    </m:ctrlPr>
                  </m:dPr>
                  <m:e>
                    <m:r>
                      <w:rPr>
                        <w:rFonts w:ascii="Cambria Math" w:hAnsi="Cambria Math" w:cs="Times New Roman"/>
                        <w:szCs w:val="24"/>
                      </w:rPr>
                      <m:t>€</m:t>
                    </m:r>
                  </m:e>
                </m:d>
                <m:r>
                  <w:rPr>
                    <w:rFonts w:ascii="Cambria Math" w:hAnsi="Cambria Math" w:cs="Times New Roman"/>
                    <w:szCs w:val="24"/>
                  </w:rPr>
                  <m:t xml:space="preserve">=Consumo </m:t>
                </m:r>
                <m:d>
                  <m:dPr>
                    <m:ctrlPr>
                      <w:rPr>
                        <w:rFonts w:ascii="Cambria Math" w:hAnsi="Cambria Math" w:cs="Times New Roman"/>
                        <w:i/>
                        <w:szCs w:val="24"/>
                      </w:rPr>
                    </m:ctrlPr>
                  </m:dPr>
                  <m:e>
                    <m:r>
                      <w:rPr>
                        <w:rFonts w:ascii="Cambria Math" w:hAnsi="Cambria Math" w:cs="Times New Roman"/>
                        <w:szCs w:val="24"/>
                      </w:rPr>
                      <m:t>kWh</m:t>
                    </m:r>
                  </m:e>
                </m:d>
                <m:r>
                  <w:rPr>
                    <w:rFonts w:ascii="Cambria Math" w:hAnsi="Cambria Math" w:cs="Times New Roman"/>
                    <w:szCs w:val="24"/>
                  </w:rPr>
                  <m:t>×0,103 (€/kWh)</m:t>
                </m:r>
              </m:oMath>
            </m:oMathPara>
          </w:p>
        </w:tc>
        <w:tc>
          <w:tcPr>
            <w:tcW w:w="823" w:type="dxa"/>
            <w:vAlign w:val="center"/>
          </w:tcPr>
          <w:p w:rsidR="00590E7F" w:rsidRPr="00300CF9" w:rsidRDefault="00590E7F" w:rsidP="007F7172">
            <w:pPr>
              <w:jc w:val="right"/>
              <w:rPr>
                <w:rFonts w:cs="Times New Roman"/>
                <w:szCs w:val="24"/>
              </w:rPr>
            </w:pPr>
            <w:r w:rsidRPr="00300CF9">
              <w:rPr>
                <w:rFonts w:cs="Times New Roman"/>
                <w:szCs w:val="24"/>
              </w:rPr>
              <w:t>(</w:t>
            </w:r>
            <w:r w:rsidRPr="00300CF9">
              <w:rPr>
                <w:rFonts w:cs="Times New Roman"/>
                <w:szCs w:val="24"/>
              </w:rPr>
              <w:fldChar w:fldCharType="begin"/>
            </w:r>
            <w:r w:rsidRPr="00300CF9">
              <w:rPr>
                <w:rFonts w:cs="Times New Roman"/>
                <w:szCs w:val="24"/>
              </w:rPr>
              <w:instrText xml:space="preserve"> SEQ Eq \* MERGEFORMAT </w:instrText>
            </w:r>
            <w:r w:rsidRPr="00300CF9">
              <w:rPr>
                <w:rFonts w:cs="Times New Roman"/>
                <w:szCs w:val="24"/>
              </w:rPr>
              <w:fldChar w:fldCharType="separate"/>
            </w:r>
            <w:r w:rsidRPr="00300CF9">
              <w:rPr>
                <w:rFonts w:cs="Times New Roman"/>
                <w:noProof/>
                <w:szCs w:val="24"/>
              </w:rPr>
              <w:t>4</w:t>
            </w:r>
            <w:r w:rsidRPr="00300CF9">
              <w:rPr>
                <w:rFonts w:cs="Times New Roman"/>
                <w:noProof/>
                <w:szCs w:val="24"/>
              </w:rPr>
              <w:fldChar w:fldCharType="end"/>
            </w:r>
            <w:r w:rsidRPr="00300CF9">
              <w:rPr>
                <w:rFonts w:cs="Times New Roman"/>
                <w:szCs w:val="24"/>
              </w:rPr>
              <w:t>)</w:t>
            </w:r>
          </w:p>
        </w:tc>
      </w:tr>
    </w:tbl>
    <w:p w:rsidR="00590E7F" w:rsidRPr="00300CF9" w:rsidRDefault="00590E7F" w:rsidP="007F7172">
      <w:pPr>
        <w:rPr>
          <w:rFonts w:eastAsiaTheme="minorEastAsia" w:cs="Times New Roman"/>
          <w:szCs w:val="24"/>
        </w:rPr>
      </w:pPr>
    </w:p>
    <w:p w:rsidR="00590E7F" w:rsidRPr="00300CF9" w:rsidRDefault="00D31B73" w:rsidP="007F7172">
      <w:pPr>
        <w:rPr>
          <w:rFonts w:eastAsiaTheme="minorEastAsia" w:cs="Times New Roman"/>
          <w:szCs w:val="24"/>
        </w:rPr>
      </w:pPr>
      <w:r w:rsidRPr="00300CF9">
        <w:rPr>
          <w:rFonts w:eastAsiaTheme="minorEastAsia" w:cs="Times New Roman"/>
          <w:szCs w:val="24"/>
        </w:rPr>
        <w:t>O valor de 0,</w:t>
      </w:r>
      <w:r w:rsidR="00590E7F" w:rsidRPr="00300CF9">
        <w:rPr>
          <w:rFonts w:eastAsiaTheme="minorEastAsia" w:cs="Times New Roman"/>
          <w:szCs w:val="24"/>
        </w:rPr>
        <w:t xml:space="preserve">103 €/kWh representa o custo médio do kWh, para Indústrias Médias, em Portugal, de acordo com o Eurostat </w:t>
      </w:r>
      <w:r w:rsidR="00590E7F" w:rsidRPr="00300CF9">
        <w:rPr>
          <w:rFonts w:eastAsiaTheme="minorEastAsia" w:cs="Times New Roman"/>
          <w:szCs w:val="24"/>
        </w:rPr>
        <w:fldChar w:fldCharType="begin"/>
      </w:r>
      <w:r w:rsidR="00590E7F" w:rsidRPr="00300CF9">
        <w:rPr>
          <w:rFonts w:eastAsiaTheme="minorEastAsia" w:cs="Times New Roman"/>
          <w:szCs w:val="24"/>
        </w:rPr>
        <w:instrText xml:space="preserve"> ADDIN EN.CITE &lt;EndNote&gt;&lt;Cite&gt;&lt;Author&gt;Eurostat&lt;/Author&gt;&lt;Year&gt;2014&lt;/Year&gt;&lt;RecNum&gt;22&lt;/RecNum&gt;&lt;DisplayText&gt;[15]&lt;/DisplayText&gt;&lt;record&gt;&lt;rec-number&gt;22&lt;/rec-number&gt;&lt;foreign-keys&gt;&lt;key app="EN" db-id="dw22x9dx12t0the2vdk5rr29xeew9swapafw"&gt;22&lt;/key&gt;&lt;/foreign-keys&gt;&lt;ref-type name="Web Page"&gt;12&lt;/ref-type&gt;&lt;contributors&gt;&lt;authors&gt;&lt;author&gt;Eurostat&lt;/author&gt;&lt;/authors&gt;&lt;/contributors&gt;&lt;titles&gt;&lt;title&gt;Electricity prices by type of user&lt;/title&gt;&lt;/titles&gt;&lt;volume&gt;2014&lt;/volume&gt;&lt;number&gt;4 de Novembro&lt;/number&gt;&lt;dates&gt;&lt;year&gt;2014&lt;/year&gt;&lt;/dates&gt;&lt;urls&gt;&lt;related-urls&gt;&lt;url&gt;http://epp.eurostat.ec.europa.eu/tgm/table.do?tab=table&amp;amp;init=1&amp;amp;plugin=1&amp;amp;language=en&amp;amp;pcode=ten00117&lt;/url&gt;&lt;/related-urls&gt;&lt;/urls&gt;&lt;/record&gt;&lt;/Cite&gt;&lt;/EndNote&gt;</w:instrText>
      </w:r>
      <w:r w:rsidR="00590E7F" w:rsidRPr="00300CF9">
        <w:rPr>
          <w:rFonts w:eastAsiaTheme="minorEastAsia" w:cs="Times New Roman"/>
          <w:szCs w:val="24"/>
        </w:rPr>
        <w:fldChar w:fldCharType="separate"/>
      </w:r>
      <w:r w:rsidR="00590E7F" w:rsidRPr="00300CF9">
        <w:rPr>
          <w:rFonts w:eastAsiaTheme="minorEastAsia" w:cs="Times New Roman"/>
          <w:noProof/>
          <w:szCs w:val="24"/>
        </w:rPr>
        <w:t>[</w:t>
      </w:r>
      <w:hyperlink w:anchor="_ENREF_15" w:tooltip="Eurostat, 2014 #22" w:history="1">
        <w:r w:rsidR="003F5738" w:rsidRPr="00300CF9">
          <w:rPr>
            <w:rFonts w:eastAsiaTheme="minorEastAsia" w:cs="Times New Roman"/>
            <w:noProof/>
            <w:szCs w:val="24"/>
          </w:rPr>
          <w:t>2</w:t>
        </w:r>
      </w:hyperlink>
      <w:r w:rsidR="00590E7F" w:rsidRPr="00300CF9">
        <w:rPr>
          <w:rFonts w:eastAsiaTheme="minorEastAsia" w:cs="Times New Roman"/>
          <w:noProof/>
          <w:szCs w:val="24"/>
        </w:rPr>
        <w:t>]</w:t>
      </w:r>
      <w:r w:rsidR="00590E7F" w:rsidRPr="00300CF9">
        <w:rPr>
          <w:rFonts w:eastAsiaTheme="minorEastAsia" w:cs="Times New Roman"/>
          <w:szCs w:val="24"/>
        </w:rPr>
        <w:fldChar w:fldCharType="end"/>
      </w:r>
      <w:r w:rsidR="00590E7F" w:rsidRPr="00300CF9">
        <w:rPr>
          <w:rFonts w:eastAsiaTheme="minorEastAsia" w:cs="Times New Roman"/>
          <w:szCs w:val="24"/>
        </w:rPr>
        <w:t>.</w:t>
      </w:r>
    </w:p>
    <w:p w:rsidR="00590E7F" w:rsidRPr="00300CF9" w:rsidRDefault="00590E7F" w:rsidP="004F0FB6">
      <w:pPr>
        <w:pStyle w:val="Cabealho2"/>
      </w:pPr>
      <w:bookmarkStart w:id="13" w:name="_Toc412727868"/>
      <w:r w:rsidRPr="00300CF9">
        <w:t>Relação entre SAE, Consumo Energético, Capital Social</w:t>
      </w:r>
      <w:bookmarkEnd w:id="13"/>
    </w:p>
    <w:p w:rsidR="009929E8" w:rsidRDefault="00590E7F" w:rsidP="007F7172">
      <w:pPr>
        <w:rPr>
          <w:rFonts w:cs="Times New Roman"/>
          <w:szCs w:val="24"/>
        </w:rPr>
      </w:pPr>
      <w:r w:rsidRPr="002C79D8">
        <w:rPr>
          <w:rFonts w:cs="Times New Roman"/>
          <w:szCs w:val="24"/>
        </w:rPr>
        <w:t>Após obtidos os resultados, foram estudadas possíveis relações entre o capital social das empresas e o consumo energético das instalações. Esta ideia surgiu do facto de o capital social estar relacionado com o valor de bens da</w:t>
      </w:r>
      <w:r w:rsidR="009929E8">
        <w:rPr>
          <w:rFonts w:cs="Times New Roman"/>
          <w:szCs w:val="24"/>
        </w:rPr>
        <w:t>s</w:t>
      </w:r>
      <w:r w:rsidRPr="002C79D8">
        <w:rPr>
          <w:rFonts w:cs="Times New Roman"/>
          <w:szCs w:val="24"/>
        </w:rPr>
        <w:t xml:space="preserve"> empresa</w:t>
      </w:r>
      <w:r w:rsidR="00034227">
        <w:rPr>
          <w:rFonts w:cs="Times New Roman"/>
          <w:szCs w:val="24"/>
        </w:rPr>
        <w:t>s</w:t>
      </w:r>
      <w:bookmarkStart w:id="14" w:name="_GoBack"/>
      <w:bookmarkEnd w:id="14"/>
      <w:r w:rsidR="009929E8">
        <w:rPr>
          <w:rFonts w:cs="Times New Roman"/>
          <w:szCs w:val="24"/>
        </w:rPr>
        <w:t xml:space="preserve"> e de, no presente caso de estudo, as empresas alvo de análise terem um grande foco no frio industrial, pelo que grande parte do valor de bens estará associado às instalações. Assim, prevê-se que </w:t>
      </w:r>
      <w:r w:rsidRPr="002C79D8">
        <w:rPr>
          <w:rFonts w:cs="Times New Roman"/>
          <w:szCs w:val="24"/>
        </w:rPr>
        <w:t>quanto maior o valor dos bens, maior poderão ser as instalações e, portanto, maiores poderão ser os consumos</w:t>
      </w:r>
      <w:r w:rsidR="009929E8">
        <w:rPr>
          <w:rFonts w:cs="Times New Roman"/>
          <w:szCs w:val="24"/>
        </w:rPr>
        <w:t xml:space="preserve"> </w:t>
      </w:r>
      <w:r w:rsidRPr="00D8143E">
        <w:rPr>
          <w:rFonts w:cs="Times New Roman"/>
          <w:szCs w:val="24"/>
        </w:rPr>
        <w:t>(se todas as instalações estivessem igualmente otimizadas</w:t>
      </w:r>
      <w:r w:rsidR="00D8143E">
        <w:rPr>
          <w:rFonts w:cs="Times New Roman"/>
          <w:szCs w:val="24"/>
        </w:rPr>
        <w:t>).</w:t>
      </w:r>
    </w:p>
    <w:p w:rsidR="00590E7F" w:rsidRPr="002C79D8" w:rsidRDefault="00590E7F" w:rsidP="007F7172">
      <w:pPr>
        <w:rPr>
          <w:rFonts w:cs="Times New Roman"/>
          <w:szCs w:val="24"/>
        </w:rPr>
      </w:pPr>
      <w:r w:rsidRPr="002C79D8">
        <w:rPr>
          <w:rFonts w:cs="Times New Roman"/>
          <w:szCs w:val="24"/>
        </w:rPr>
        <w:t>Assim, tornou-se importante obter linhas de tendência para a evolução dos consumos, em f</w:t>
      </w:r>
      <w:r w:rsidR="00BD520A">
        <w:rPr>
          <w:rFonts w:cs="Times New Roman"/>
          <w:szCs w:val="24"/>
        </w:rPr>
        <w:t xml:space="preserve">unção do capital social. Dada </w:t>
      </w:r>
      <w:r w:rsidR="003878A3">
        <w:rPr>
          <w:rFonts w:cs="Times New Roman"/>
          <w:szCs w:val="24"/>
        </w:rPr>
        <w:t xml:space="preserve">a </w:t>
      </w:r>
      <w:r w:rsidR="00BD520A">
        <w:rPr>
          <w:rFonts w:cs="Times New Roman"/>
          <w:szCs w:val="24"/>
        </w:rPr>
        <w:t>elevada amostra dos SAE de Carne, Laticínios, Armazenagem Frigorífica e Pesca, apresentam-se apenas essas relações, nas quais se verificam fatores de correlação relativamente elevados:</w:t>
      </w:r>
    </w:p>
    <w:p w:rsidR="00590E7F" w:rsidRPr="002C79D8" w:rsidRDefault="00590E7F" w:rsidP="007F7172">
      <w:pPr>
        <w:rPr>
          <w:rFonts w:cs="Times New Roman"/>
          <w:szCs w:val="24"/>
        </w:rPr>
      </w:pPr>
    </w:p>
    <w:p w:rsidR="00590E7F" w:rsidRPr="002C79D8" w:rsidRDefault="00590E7F" w:rsidP="007F7172">
      <w:pPr>
        <w:keepNext/>
        <w:jc w:val="center"/>
      </w:pPr>
      <w:r w:rsidRPr="002C79D8">
        <w:rPr>
          <w:noProof/>
          <w:lang w:eastAsia="pt-PT"/>
        </w:rPr>
        <w:drawing>
          <wp:inline distT="0" distB="0" distL="0" distR="0" wp14:anchorId="04921321" wp14:editId="4DC74BEC">
            <wp:extent cx="4691063" cy="2438400"/>
            <wp:effectExtent l="0" t="0" r="14605" b="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90E7F" w:rsidRPr="001537B9" w:rsidRDefault="00590E7F" w:rsidP="007F7172">
      <w:pPr>
        <w:pStyle w:val="Legenda"/>
        <w:spacing w:after="0"/>
        <w:jc w:val="center"/>
        <w:rPr>
          <w:i w:val="0"/>
          <w:color w:val="auto"/>
          <w:sz w:val="20"/>
        </w:rPr>
      </w:pPr>
      <w:bookmarkStart w:id="15" w:name="_Ref409953065"/>
      <w:r w:rsidRPr="001537B9">
        <w:rPr>
          <w:i w:val="0"/>
          <w:color w:val="auto"/>
          <w:sz w:val="20"/>
        </w:rPr>
        <w:t xml:space="preserve">Figura </w:t>
      </w:r>
      <w:r w:rsidR="003878A3" w:rsidRPr="001537B9">
        <w:rPr>
          <w:i w:val="0"/>
          <w:color w:val="auto"/>
          <w:sz w:val="20"/>
        </w:rPr>
        <w:t>3</w:t>
      </w:r>
      <w:r w:rsidRPr="001537B9">
        <w:rPr>
          <w:i w:val="0"/>
          <w:color w:val="auto"/>
          <w:sz w:val="20"/>
        </w:rPr>
        <w:fldChar w:fldCharType="begin"/>
      </w:r>
      <w:r w:rsidRPr="001537B9">
        <w:rPr>
          <w:i w:val="0"/>
          <w:color w:val="auto"/>
          <w:sz w:val="20"/>
        </w:rPr>
        <w:instrText xml:space="preserve"> SEQ Figura \* ARABIC </w:instrText>
      </w:r>
      <w:r w:rsidRPr="001537B9">
        <w:rPr>
          <w:i w:val="0"/>
          <w:color w:val="auto"/>
          <w:sz w:val="20"/>
        </w:rPr>
        <w:fldChar w:fldCharType="end"/>
      </w:r>
      <w:r w:rsidRPr="001537B9">
        <w:rPr>
          <w:i w:val="0"/>
          <w:color w:val="auto"/>
          <w:sz w:val="20"/>
        </w:rPr>
        <w:t xml:space="preserve"> - Relação entre Consumo Energético e Capital Social para o agrupamento da Carne</w:t>
      </w:r>
      <w:bookmarkEnd w:id="15"/>
    </w:p>
    <w:p w:rsidR="00590E7F" w:rsidRPr="002C79D8" w:rsidRDefault="00590E7F" w:rsidP="007F7172">
      <w:pPr>
        <w:rPr>
          <w:rFonts w:cs="Times New Roman"/>
          <w:sz w:val="24"/>
        </w:rPr>
      </w:pPr>
    </w:p>
    <w:p w:rsidR="00590E7F" w:rsidRPr="002C79D8" w:rsidRDefault="00590E7F" w:rsidP="007F7172">
      <w:pPr>
        <w:rPr>
          <w:rFonts w:cs="Times New Roman"/>
          <w:szCs w:val="24"/>
        </w:rPr>
      </w:pPr>
    </w:p>
    <w:p w:rsidR="00590E7F" w:rsidRPr="002C79D8" w:rsidRDefault="00590E7F" w:rsidP="007F7172">
      <w:pPr>
        <w:keepNext/>
        <w:jc w:val="center"/>
      </w:pPr>
      <w:r w:rsidRPr="002C79D8">
        <w:rPr>
          <w:noProof/>
          <w:lang w:eastAsia="pt-PT"/>
        </w:rPr>
        <w:drawing>
          <wp:inline distT="0" distB="0" distL="0" distR="0" wp14:anchorId="27D50466" wp14:editId="25C355B2">
            <wp:extent cx="4481513" cy="2243137"/>
            <wp:effectExtent l="0" t="0" r="14605" b="5080"/>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90E7F" w:rsidRPr="001537B9" w:rsidRDefault="00590E7F" w:rsidP="007F7172">
      <w:pPr>
        <w:pStyle w:val="Legenda"/>
        <w:spacing w:after="0"/>
        <w:jc w:val="center"/>
        <w:rPr>
          <w:i w:val="0"/>
          <w:color w:val="auto"/>
          <w:sz w:val="20"/>
        </w:rPr>
      </w:pPr>
      <w:bookmarkStart w:id="16" w:name="_Ref409953066"/>
      <w:r w:rsidRPr="001537B9">
        <w:rPr>
          <w:i w:val="0"/>
          <w:color w:val="auto"/>
          <w:sz w:val="20"/>
        </w:rPr>
        <w:t xml:space="preserve">Figura </w:t>
      </w:r>
      <w:r w:rsidR="003878A3" w:rsidRPr="001537B9">
        <w:rPr>
          <w:i w:val="0"/>
          <w:color w:val="auto"/>
          <w:sz w:val="20"/>
        </w:rPr>
        <w:t>4</w:t>
      </w:r>
      <w:r w:rsidRPr="001537B9">
        <w:rPr>
          <w:i w:val="0"/>
          <w:color w:val="auto"/>
          <w:sz w:val="20"/>
        </w:rPr>
        <w:fldChar w:fldCharType="begin"/>
      </w:r>
      <w:r w:rsidRPr="001537B9">
        <w:rPr>
          <w:i w:val="0"/>
          <w:color w:val="auto"/>
          <w:sz w:val="20"/>
        </w:rPr>
        <w:instrText xml:space="preserve"> SEQ Figura \* ARABIC </w:instrText>
      </w:r>
      <w:r w:rsidRPr="001537B9">
        <w:rPr>
          <w:i w:val="0"/>
          <w:color w:val="auto"/>
          <w:sz w:val="20"/>
        </w:rPr>
        <w:fldChar w:fldCharType="end"/>
      </w:r>
      <w:r w:rsidRPr="001537B9">
        <w:rPr>
          <w:i w:val="0"/>
          <w:color w:val="auto"/>
          <w:sz w:val="20"/>
        </w:rPr>
        <w:t xml:space="preserve"> - Relação entre Consumo Energético e Capital Social para o agrupamento dos Laticínios</w:t>
      </w:r>
      <w:bookmarkEnd w:id="16"/>
    </w:p>
    <w:p w:rsidR="00590E7F" w:rsidRPr="002C79D8" w:rsidRDefault="00590E7F" w:rsidP="007F7172">
      <w:pPr>
        <w:rPr>
          <w:rFonts w:cs="Times New Roman"/>
        </w:rPr>
      </w:pPr>
    </w:p>
    <w:p w:rsidR="00590E7F" w:rsidRPr="002C79D8" w:rsidRDefault="00BD520A" w:rsidP="007F7172">
      <w:pPr>
        <w:rPr>
          <w:rFonts w:cs="Times New Roman"/>
        </w:rPr>
      </w:pPr>
      <w:r>
        <w:rPr>
          <w:rFonts w:cs="Times New Roman"/>
        </w:rPr>
        <w:t xml:space="preserve">O SAE </w:t>
      </w:r>
      <w:r w:rsidR="00D25464">
        <w:rPr>
          <w:rFonts w:cs="Times New Roman"/>
        </w:rPr>
        <w:t>de Laticí</w:t>
      </w:r>
      <w:r>
        <w:rPr>
          <w:rFonts w:cs="Times New Roman"/>
        </w:rPr>
        <w:t>nios</w:t>
      </w:r>
      <w:r w:rsidR="00590E7F" w:rsidRPr="002C79D8">
        <w:rPr>
          <w:rFonts w:cs="Times New Roman"/>
        </w:rPr>
        <w:t xml:space="preserve"> apresenta um alto coeficiente de correlação (terceir</w:t>
      </w:r>
      <w:r>
        <w:rPr>
          <w:rFonts w:cs="Times New Roman"/>
        </w:rPr>
        <w:t xml:space="preserve">o mais elevado). Apesar disto, </w:t>
      </w:r>
      <w:r w:rsidR="00590E7F" w:rsidRPr="002C79D8">
        <w:rPr>
          <w:rFonts w:cs="Times New Roman"/>
        </w:rPr>
        <w:t>é importante notar que o declive da reta é bastante menor do que o da carne, armazenagem frigorífica e da pesca, estes dois últimos apresentados seguidamente. Isto significa que a relação entre o aumento do consumo energético com o aumento do capital não é tão acentuada, como nos restantes</w:t>
      </w:r>
      <w:r w:rsidR="007F7172" w:rsidRPr="002C79D8">
        <w:rPr>
          <w:rFonts w:cs="Times New Roman"/>
        </w:rPr>
        <w:t xml:space="preserve"> agrupamentos referidos.</w:t>
      </w:r>
    </w:p>
    <w:p w:rsidR="00BD520A" w:rsidRDefault="00BD520A" w:rsidP="007F7172">
      <w:pPr>
        <w:rPr>
          <w:rFonts w:cs="Times New Roman"/>
          <w:szCs w:val="24"/>
        </w:rPr>
      </w:pPr>
    </w:p>
    <w:p w:rsidR="00590E7F" w:rsidRPr="002C79D8" w:rsidRDefault="00590E7F" w:rsidP="007F7172">
      <w:pPr>
        <w:rPr>
          <w:rFonts w:cs="Times New Roman"/>
          <w:szCs w:val="24"/>
        </w:rPr>
      </w:pPr>
      <w:r w:rsidRPr="002C79D8">
        <w:rPr>
          <w:rFonts w:cs="Times New Roman"/>
          <w:szCs w:val="24"/>
        </w:rPr>
        <w:t>O SAE da Armazenagem Frigorífica é um setor de especial análise, pois, como seria de esperar, estão associados altos consumos energéticos aos valores de capital das empresas. Além disto, a este elevado consumo energético, está associada uma grande percentagem de consumo</w:t>
      </w:r>
      <w:r w:rsidR="003878A3">
        <w:rPr>
          <w:rFonts w:cs="Times New Roman"/>
          <w:szCs w:val="24"/>
        </w:rPr>
        <w:t xml:space="preserve"> para refrigeração e congelação. </w:t>
      </w:r>
      <w:r w:rsidRPr="002C79D8">
        <w:rPr>
          <w:rFonts w:cs="Times New Roman"/>
          <w:szCs w:val="24"/>
        </w:rPr>
        <w:t xml:space="preserve">Na Figura </w:t>
      </w:r>
      <w:r w:rsidR="003878A3">
        <w:rPr>
          <w:rFonts w:cs="Times New Roman"/>
          <w:szCs w:val="24"/>
        </w:rPr>
        <w:t>5</w:t>
      </w:r>
      <w:r w:rsidRPr="002C79D8">
        <w:rPr>
          <w:rFonts w:cs="Times New Roman"/>
          <w:szCs w:val="24"/>
        </w:rPr>
        <w:t xml:space="preserve"> apresenta-se a reta de tendência obtida para este SAE:</w:t>
      </w:r>
    </w:p>
    <w:p w:rsidR="00590E7F" w:rsidRPr="002C79D8" w:rsidRDefault="00590E7F" w:rsidP="007F7172">
      <w:pPr>
        <w:rPr>
          <w:rFonts w:cs="Times New Roman"/>
          <w:szCs w:val="24"/>
        </w:rPr>
      </w:pPr>
    </w:p>
    <w:p w:rsidR="00590E7F" w:rsidRPr="002C79D8" w:rsidRDefault="00590E7F" w:rsidP="007F7172">
      <w:pPr>
        <w:keepNext/>
        <w:jc w:val="center"/>
      </w:pPr>
      <w:r w:rsidRPr="002C79D8">
        <w:rPr>
          <w:noProof/>
          <w:lang w:eastAsia="pt-PT"/>
        </w:rPr>
        <w:drawing>
          <wp:inline distT="0" distB="0" distL="0" distR="0" wp14:anchorId="2693AD48" wp14:editId="3042B0B1">
            <wp:extent cx="4381500" cy="2514600"/>
            <wp:effectExtent l="0" t="0" r="0" b="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90E7F" w:rsidRPr="001537B9" w:rsidRDefault="00590E7F" w:rsidP="007F7172">
      <w:pPr>
        <w:pStyle w:val="Legenda"/>
        <w:spacing w:after="0"/>
        <w:jc w:val="center"/>
        <w:rPr>
          <w:i w:val="0"/>
          <w:color w:val="auto"/>
          <w:sz w:val="20"/>
        </w:rPr>
      </w:pPr>
      <w:bookmarkStart w:id="17" w:name="_Ref409953067"/>
      <w:r w:rsidRPr="001537B9">
        <w:rPr>
          <w:i w:val="0"/>
          <w:color w:val="auto"/>
          <w:sz w:val="20"/>
        </w:rPr>
        <w:t xml:space="preserve">Figura </w:t>
      </w:r>
      <w:r w:rsidR="003878A3" w:rsidRPr="001537B9">
        <w:rPr>
          <w:i w:val="0"/>
          <w:color w:val="auto"/>
          <w:sz w:val="20"/>
        </w:rPr>
        <w:t>5</w:t>
      </w:r>
      <w:r w:rsidRPr="001537B9">
        <w:rPr>
          <w:i w:val="0"/>
          <w:color w:val="auto"/>
          <w:sz w:val="20"/>
        </w:rPr>
        <w:t xml:space="preserve"> - Relação entre Consumo Energético e Capital Social para o SAE da Armazenagem Frigorífica</w:t>
      </w:r>
      <w:bookmarkEnd w:id="17"/>
    </w:p>
    <w:p w:rsidR="00590E7F" w:rsidRPr="002C79D8" w:rsidRDefault="00590E7F" w:rsidP="007F7172">
      <w:pPr>
        <w:rPr>
          <w:rFonts w:cs="Times New Roman"/>
        </w:rPr>
      </w:pPr>
    </w:p>
    <w:p w:rsidR="00590E7F" w:rsidRPr="002C79D8" w:rsidRDefault="009929E8" w:rsidP="007F7172">
      <w:pPr>
        <w:rPr>
          <w:rFonts w:cs="Times New Roman"/>
        </w:rPr>
      </w:pPr>
      <w:r>
        <w:rPr>
          <w:rFonts w:cs="Times New Roman"/>
        </w:rPr>
        <w:t xml:space="preserve">Observando o gráfico da figura </w:t>
      </w:r>
      <w:r w:rsidR="003878A3">
        <w:rPr>
          <w:rFonts w:cs="Times New Roman"/>
        </w:rPr>
        <w:t>5</w:t>
      </w:r>
      <w:r>
        <w:rPr>
          <w:rFonts w:cs="Times New Roman"/>
        </w:rPr>
        <w:t xml:space="preserve">, </w:t>
      </w:r>
      <w:r w:rsidR="00590E7F" w:rsidRPr="002C79D8">
        <w:rPr>
          <w:rFonts w:cs="Times New Roman"/>
        </w:rPr>
        <w:t>pode notar-se que, além do elevado coeficiente de correlação, o declive da reta é mais elevado do que para qualquer um dos outros setores mencionados anteriormente. Apenas o agrupamento da pesca tem um declive mais elevado.</w:t>
      </w:r>
    </w:p>
    <w:p w:rsidR="00590E7F" w:rsidRPr="002C79D8" w:rsidRDefault="00590E7F" w:rsidP="007F7172">
      <w:pPr>
        <w:rPr>
          <w:rFonts w:cs="Times New Roman"/>
        </w:rPr>
      </w:pPr>
      <w:r w:rsidRPr="002C79D8">
        <w:rPr>
          <w:rFonts w:cs="Times New Roman"/>
        </w:rPr>
        <w:t>Este declive é um valor indicativo do aumento do consumo energético com o aumento do capital, pois, a maiores capitais, à partida estarão associadas maiores e mais complexas instalações de armazenagem, pelo que os consumos deverão aumentar grandemente. Ao contrario de outros setores de atividade, em que maior capital poderá estar associado a, por exemplo, maiores terrenos para criação de gado (agrupamento da Carne), o que não acarretará um aumento tão el</w:t>
      </w:r>
      <w:r w:rsidR="007F7172" w:rsidRPr="002C79D8">
        <w:rPr>
          <w:rFonts w:cs="Times New Roman"/>
        </w:rPr>
        <w:t>evado nos consumos energéticos.</w:t>
      </w:r>
    </w:p>
    <w:p w:rsidR="00146B62" w:rsidRDefault="00146B62" w:rsidP="007F7172">
      <w:pPr>
        <w:rPr>
          <w:rFonts w:cs="Times New Roman"/>
          <w:szCs w:val="24"/>
        </w:rPr>
      </w:pPr>
    </w:p>
    <w:p w:rsidR="00590E7F" w:rsidRPr="002C79D8" w:rsidRDefault="00146B62" w:rsidP="007F7172">
      <w:pPr>
        <w:rPr>
          <w:rFonts w:cs="Times New Roman"/>
          <w:szCs w:val="24"/>
        </w:rPr>
      </w:pPr>
      <w:r>
        <w:rPr>
          <w:rFonts w:cs="Times New Roman"/>
          <w:szCs w:val="24"/>
        </w:rPr>
        <w:t xml:space="preserve">O agrupamento da pesca </w:t>
      </w:r>
      <w:r w:rsidR="00590E7F" w:rsidRPr="002C79D8">
        <w:rPr>
          <w:rFonts w:cs="Times New Roman"/>
          <w:szCs w:val="24"/>
        </w:rPr>
        <w:t>constituiu alguma surpresa, pois os valores obtidos para o fator de correlação e para o declive da reta de tendência estão entre os mais elevados do estudo</w:t>
      </w:r>
      <w:r w:rsidR="00D31B73">
        <w:rPr>
          <w:rFonts w:cs="Times New Roman"/>
          <w:szCs w:val="24"/>
        </w:rPr>
        <w:t xml:space="preserve">, como se pode ver na Figura </w:t>
      </w:r>
      <w:r w:rsidR="003878A3">
        <w:rPr>
          <w:rFonts w:cs="Times New Roman"/>
          <w:szCs w:val="24"/>
        </w:rPr>
        <w:t>6</w:t>
      </w:r>
      <w:r w:rsidR="00D31B73" w:rsidRPr="00D31B73">
        <w:rPr>
          <w:rFonts w:cs="Times New Roman"/>
          <w:color w:val="00B050"/>
          <w:szCs w:val="24"/>
        </w:rPr>
        <w:t>.</w:t>
      </w:r>
    </w:p>
    <w:p w:rsidR="00590E7F" w:rsidRPr="002C79D8" w:rsidRDefault="00590E7F" w:rsidP="007F7172">
      <w:pPr>
        <w:rPr>
          <w:rFonts w:cs="Times New Roman"/>
          <w:szCs w:val="24"/>
        </w:rPr>
      </w:pPr>
    </w:p>
    <w:p w:rsidR="00590E7F" w:rsidRPr="002C79D8" w:rsidRDefault="00590E7F" w:rsidP="007F7172">
      <w:pPr>
        <w:keepNext/>
        <w:jc w:val="center"/>
      </w:pPr>
      <w:r w:rsidRPr="002C79D8">
        <w:rPr>
          <w:noProof/>
          <w:lang w:eastAsia="pt-PT"/>
        </w:rPr>
        <w:drawing>
          <wp:inline distT="0" distB="0" distL="0" distR="0" wp14:anchorId="54A2029B" wp14:editId="04F7D91C">
            <wp:extent cx="4371975" cy="2714625"/>
            <wp:effectExtent l="0" t="0" r="9525" b="9525"/>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90E7F" w:rsidRPr="001537B9" w:rsidRDefault="00590E7F" w:rsidP="007F7172">
      <w:pPr>
        <w:pStyle w:val="Legenda"/>
        <w:spacing w:after="0"/>
        <w:jc w:val="center"/>
        <w:rPr>
          <w:i w:val="0"/>
          <w:color w:val="auto"/>
          <w:sz w:val="20"/>
        </w:rPr>
      </w:pPr>
      <w:bookmarkStart w:id="18" w:name="_Ref409953068"/>
      <w:r w:rsidRPr="001537B9">
        <w:rPr>
          <w:i w:val="0"/>
          <w:color w:val="auto"/>
          <w:sz w:val="20"/>
        </w:rPr>
        <w:t xml:space="preserve">Figura </w:t>
      </w:r>
      <w:r w:rsidR="003878A3" w:rsidRPr="001537B9">
        <w:rPr>
          <w:i w:val="0"/>
          <w:color w:val="auto"/>
          <w:sz w:val="20"/>
        </w:rPr>
        <w:t>6</w:t>
      </w:r>
      <w:r w:rsidRPr="001537B9">
        <w:rPr>
          <w:i w:val="0"/>
          <w:color w:val="auto"/>
          <w:sz w:val="20"/>
        </w:rPr>
        <w:t xml:space="preserve"> - Relação entre Consumo Energético e Capital Social para o SAE da Armazenagem Frigorífica</w:t>
      </w:r>
      <w:bookmarkEnd w:id="18"/>
    </w:p>
    <w:p w:rsidR="00590E7F" w:rsidRPr="002C79D8" w:rsidRDefault="00590E7F" w:rsidP="007F7172">
      <w:pPr>
        <w:rPr>
          <w:rFonts w:cs="Times New Roman"/>
          <w:sz w:val="24"/>
          <w:szCs w:val="24"/>
        </w:rPr>
      </w:pPr>
    </w:p>
    <w:p w:rsidR="00590E7F" w:rsidRPr="002C79D8" w:rsidRDefault="00590E7F" w:rsidP="007F7172">
      <w:pPr>
        <w:rPr>
          <w:rFonts w:cs="Times New Roman"/>
          <w:szCs w:val="24"/>
        </w:rPr>
      </w:pPr>
      <w:r w:rsidRPr="002C79D8">
        <w:rPr>
          <w:rFonts w:cs="Times New Roman"/>
          <w:szCs w:val="24"/>
        </w:rPr>
        <w:t>Consi</w:t>
      </w:r>
      <w:r w:rsidR="00146B62">
        <w:rPr>
          <w:rFonts w:cs="Times New Roman"/>
          <w:szCs w:val="24"/>
        </w:rPr>
        <w:t xml:space="preserve">derando apenas os agrupamentos demonstrados, </w:t>
      </w:r>
      <w:r w:rsidRPr="002C79D8">
        <w:rPr>
          <w:rFonts w:cs="Times New Roman"/>
          <w:szCs w:val="24"/>
        </w:rPr>
        <w:t>o agrupamento da Pesca é o que apresenta valores mais elevados de correlação e declive. Isto pode dever-se ao facto de, por um lado, estes setores de atividade precisarem muitas vezes de temperaturas negativas, mas também pelo facto de haver grande rotatividade do produto em causa, o que faz também aumentar as necessidades energéticas das instalações.</w:t>
      </w:r>
    </w:p>
    <w:p w:rsidR="00590E7F" w:rsidRPr="002C79D8" w:rsidRDefault="00590E7F" w:rsidP="007F7172">
      <w:pPr>
        <w:rPr>
          <w:rFonts w:cs="Times New Roman"/>
          <w:szCs w:val="24"/>
        </w:rPr>
      </w:pPr>
      <w:r w:rsidRPr="002C79D8">
        <w:rPr>
          <w:rFonts w:cs="Times New Roman"/>
          <w:szCs w:val="24"/>
        </w:rPr>
        <w:t xml:space="preserve">É ainda importante mencionar que, para efeitos deste estudo, apenas se considerou a produção de frio em instalações industriais, e não abordo de navios. Será importante fazer esta distinção, pois este setor de actividade, ao contrário dos outros, tem necessidade de produção de frio a bordo dos navios, pois o produto pescado tem que ser submetido de imediato </w:t>
      </w:r>
      <w:r w:rsidR="00146B62">
        <w:rPr>
          <w:rFonts w:cs="Times New Roman"/>
          <w:szCs w:val="24"/>
        </w:rPr>
        <w:t xml:space="preserve">a </w:t>
      </w:r>
      <w:r w:rsidRPr="002C79D8">
        <w:rPr>
          <w:rFonts w:cs="Times New Roman"/>
          <w:szCs w:val="24"/>
        </w:rPr>
        <w:t>condições ambientais bem definidas.</w:t>
      </w:r>
    </w:p>
    <w:p w:rsidR="00590E7F" w:rsidRPr="002C79D8" w:rsidRDefault="00590E7F" w:rsidP="004F0FB6">
      <w:pPr>
        <w:pStyle w:val="Cabealho2"/>
      </w:pPr>
      <w:bookmarkStart w:id="19" w:name="_Toc412727874"/>
      <w:r w:rsidRPr="002C79D8">
        <w:t>Utilização de Energia para Frio</w:t>
      </w:r>
      <w:bookmarkEnd w:id="19"/>
    </w:p>
    <w:p w:rsidR="00590E7F" w:rsidRPr="002C79D8" w:rsidRDefault="00590E7F" w:rsidP="007F7172">
      <w:pPr>
        <w:rPr>
          <w:rFonts w:cs="Times New Roman"/>
          <w:szCs w:val="24"/>
        </w:rPr>
      </w:pPr>
      <w:r w:rsidRPr="002C79D8">
        <w:rPr>
          <w:rFonts w:cs="Times New Roman"/>
          <w:szCs w:val="24"/>
        </w:rPr>
        <w:t xml:space="preserve">Sendo que no primeiro inquérito era pedido, especificamente, o consumo dos aparelhos de frio, foram obtidos os resultados apresentados na Figura </w:t>
      </w:r>
      <w:r w:rsidR="003878A3">
        <w:rPr>
          <w:rFonts w:cs="Times New Roman"/>
          <w:szCs w:val="24"/>
        </w:rPr>
        <w:t>7</w:t>
      </w:r>
      <w:r w:rsidRPr="002C79D8">
        <w:rPr>
          <w:rFonts w:cs="Times New Roman"/>
          <w:szCs w:val="24"/>
        </w:rPr>
        <w:t xml:space="preserve"> relativamente à percentagem do consumo energético direcionado para a refrigeração.</w:t>
      </w:r>
    </w:p>
    <w:p w:rsidR="00590E7F" w:rsidRPr="002C79D8" w:rsidRDefault="00590E7F" w:rsidP="007F7172">
      <w:pPr>
        <w:rPr>
          <w:rFonts w:cs="Times New Roman"/>
          <w:szCs w:val="24"/>
        </w:rPr>
      </w:pPr>
    </w:p>
    <w:p w:rsidR="00590E7F" w:rsidRPr="002C79D8" w:rsidRDefault="00590E7F" w:rsidP="007F7172">
      <w:pPr>
        <w:keepNext/>
        <w:jc w:val="center"/>
      </w:pPr>
      <w:r w:rsidRPr="002C79D8">
        <w:rPr>
          <w:noProof/>
          <w:lang w:eastAsia="pt-PT"/>
        </w:rPr>
        <w:drawing>
          <wp:inline distT="0" distB="0" distL="0" distR="0" wp14:anchorId="6162BBFD" wp14:editId="5707F2C3">
            <wp:extent cx="5233988" cy="2071688"/>
            <wp:effectExtent l="0" t="0" r="5080" b="508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90E7F" w:rsidRPr="001537B9" w:rsidRDefault="00590E7F" w:rsidP="007F7172">
      <w:pPr>
        <w:pStyle w:val="Legenda"/>
        <w:spacing w:after="0"/>
        <w:jc w:val="center"/>
        <w:rPr>
          <w:i w:val="0"/>
          <w:color w:val="auto"/>
          <w:sz w:val="20"/>
        </w:rPr>
      </w:pPr>
      <w:bookmarkStart w:id="20" w:name="_Ref409953069"/>
      <w:r w:rsidRPr="001537B9">
        <w:rPr>
          <w:i w:val="0"/>
          <w:color w:val="auto"/>
          <w:sz w:val="20"/>
        </w:rPr>
        <w:t xml:space="preserve">Figura </w:t>
      </w:r>
      <w:r w:rsidR="003878A3" w:rsidRPr="001537B9">
        <w:rPr>
          <w:i w:val="0"/>
          <w:color w:val="auto"/>
          <w:sz w:val="20"/>
        </w:rPr>
        <w:t>7</w:t>
      </w:r>
      <w:r w:rsidRPr="001537B9">
        <w:rPr>
          <w:i w:val="0"/>
          <w:color w:val="auto"/>
          <w:sz w:val="20"/>
        </w:rPr>
        <w:t xml:space="preserve"> - Percentagem do Consumo Energético utilizado para Frio</w:t>
      </w:r>
      <w:bookmarkEnd w:id="20"/>
    </w:p>
    <w:p w:rsidR="00590E7F" w:rsidRPr="002C79D8" w:rsidRDefault="00590E7F" w:rsidP="007F7172">
      <w:pPr>
        <w:rPr>
          <w:rFonts w:cs="Times New Roman"/>
          <w:szCs w:val="24"/>
        </w:rPr>
      </w:pPr>
    </w:p>
    <w:p w:rsidR="00590E7F" w:rsidRPr="002C79D8" w:rsidRDefault="00590E7F" w:rsidP="007F7172">
      <w:pPr>
        <w:rPr>
          <w:rFonts w:cs="Times New Roman"/>
          <w:szCs w:val="24"/>
        </w:rPr>
      </w:pPr>
      <w:r w:rsidRPr="002C79D8">
        <w:rPr>
          <w:rFonts w:cs="Times New Roman"/>
          <w:szCs w:val="24"/>
        </w:rPr>
        <w:t>Como seria de esperar, o agrupamento da Armazenagem Frigorífica é o que apresenta maior valor de consumo direcionado para frio, com o menor desvio padrão, pelo que os processos das empresas inquiridas serão idênticos e apresentarão índices de eficiência similares.</w:t>
      </w:r>
    </w:p>
    <w:p w:rsidR="00590E7F" w:rsidRPr="002C79D8" w:rsidRDefault="00590E7F" w:rsidP="007F7172">
      <w:pPr>
        <w:rPr>
          <w:rFonts w:cs="Times New Roman"/>
          <w:szCs w:val="24"/>
        </w:rPr>
      </w:pPr>
      <w:r w:rsidRPr="002C79D8">
        <w:rPr>
          <w:rFonts w:cs="Times New Roman"/>
          <w:szCs w:val="24"/>
        </w:rPr>
        <w:t xml:space="preserve">Os </w:t>
      </w:r>
      <w:r w:rsidR="00C9023A">
        <w:rPr>
          <w:rFonts w:cs="Times New Roman"/>
          <w:szCs w:val="24"/>
        </w:rPr>
        <w:t>SAE</w:t>
      </w:r>
      <w:r w:rsidRPr="002C79D8">
        <w:rPr>
          <w:rFonts w:cs="Times New Roman"/>
          <w:szCs w:val="24"/>
        </w:rPr>
        <w:t xml:space="preserve"> da Agricultura e </w:t>
      </w:r>
      <w:r w:rsidR="00C9023A">
        <w:rPr>
          <w:rFonts w:cs="Times New Roman"/>
          <w:szCs w:val="24"/>
        </w:rPr>
        <w:t>P</w:t>
      </w:r>
      <w:r w:rsidRPr="002C79D8">
        <w:rPr>
          <w:rFonts w:cs="Times New Roman"/>
          <w:szCs w:val="24"/>
        </w:rPr>
        <w:t>rodução de Gelo e Gelados possuem uma pequena população</w:t>
      </w:r>
      <w:r w:rsidR="00C9023A">
        <w:rPr>
          <w:rFonts w:cs="Times New Roman"/>
          <w:szCs w:val="24"/>
        </w:rPr>
        <w:t xml:space="preserve">, </w:t>
      </w:r>
      <w:r w:rsidRPr="002C79D8">
        <w:rPr>
          <w:rFonts w:cs="Times New Roman"/>
          <w:szCs w:val="24"/>
        </w:rPr>
        <w:t>pelo que os valores para estes setores são meramente indicativos.</w:t>
      </w:r>
    </w:p>
    <w:p w:rsidR="00590E7F" w:rsidRPr="002C79D8" w:rsidRDefault="00590E7F" w:rsidP="007F7172">
      <w:pPr>
        <w:rPr>
          <w:rFonts w:cs="Times New Roman"/>
          <w:szCs w:val="24"/>
        </w:rPr>
      </w:pPr>
      <w:r w:rsidRPr="002C79D8">
        <w:rPr>
          <w:rFonts w:cs="Times New Roman"/>
          <w:szCs w:val="24"/>
        </w:rPr>
        <w:t xml:space="preserve">O agrupamento da carne e da pesca apresentam valores semelhantes, o que sugere que os processos de preparação, armazenamento e conservação dos produtos sejam idênticos. No entanto, como referido na secção </w:t>
      </w:r>
      <w:r w:rsidR="003878A3">
        <w:rPr>
          <w:rFonts w:cs="Times New Roman"/>
          <w:szCs w:val="24"/>
        </w:rPr>
        <w:t>2</w:t>
      </w:r>
      <w:r w:rsidRPr="002C79D8">
        <w:rPr>
          <w:rFonts w:cs="Times New Roman"/>
          <w:szCs w:val="24"/>
        </w:rPr>
        <w:t>.3.5, a Pesca apresenta elevados consumos para menores capitais, comparativamente ao agrupamento da Carne. Isto é reforçado quando analisados os Fatores de Consumo de ambos os agrupamentos, assunto a ser analisado seguidamente, na secção</w:t>
      </w:r>
      <w:r w:rsidR="007F7172" w:rsidRPr="002C79D8">
        <w:rPr>
          <w:rFonts w:cs="Times New Roman"/>
          <w:szCs w:val="24"/>
        </w:rPr>
        <w:t xml:space="preserve"> </w:t>
      </w:r>
      <w:r w:rsidR="003878A3">
        <w:rPr>
          <w:rFonts w:cs="Times New Roman"/>
          <w:szCs w:val="24"/>
        </w:rPr>
        <w:t>2</w:t>
      </w:r>
      <w:r w:rsidR="007F7172" w:rsidRPr="002C79D8">
        <w:rPr>
          <w:rFonts w:cs="Times New Roman"/>
          <w:szCs w:val="24"/>
        </w:rPr>
        <w:t>.5.</w:t>
      </w:r>
    </w:p>
    <w:p w:rsidR="00590E7F" w:rsidRPr="002C79D8" w:rsidRDefault="00590E7F" w:rsidP="004F0FB6">
      <w:pPr>
        <w:pStyle w:val="Cabealho2"/>
      </w:pPr>
      <w:bookmarkStart w:id="21" w:name="_Toc412727875"/>
      <w:r w:rsidRPr="002C79D8">
        <w:t>Capitais Sociais: Valores médios e Fator de Consumo</w:t>
      </w:r>
      <w:bookmarkEnd w:id="21"/>
    </w:p>
    <w:p w:rsidR="00590E7F" w:rsidRPr="002C79D8" w:rsidRDefault="009929E8" w:rsidP="007F7172">
      <w:pPr>
        <w:rPr>
          <w:rFonts w:cs="Times New Roman"/>
          <w:szCs w:val="24"/>
        </w:rPr>
      </w:pPr>
      <w:r w:rsidRPr="009929E8">
        <w:rPr>
          <w:rFonts w:cs="Times New Roman"/>
          <w:szCs w:val="24"/>
        </w:rPr>
        <w:t xml:space="preserve">Uma vez </w:t>
      </w:r>
      <w:r w:rsidR="00590E7F" w:rsidRPr="002C79D8">
        <w:rPr>
          <w:rFonts w:cs="Times New Roman"/>
          <w:szCs w:val="24"/>
        </w:rPr>
        <w:t>estabelecida a relação entre o capital social e o consumo energético, e conhecendo também a percentagem de energia direcionada especificamente para refrigeração, foi possível desenvolver dois fatores indicativos:</w:t>
      </w:r>
    </w:p>
    <w:p w:rsidR="00590E7F" w:rsidRPr="002C79D8" w:rsidRDefault="00590E7F" w:rsidP="007F7172">
      <w:pPr>
        <w:pStyle w:val="PargrafodaLista"/>
        <w:numPr>
          <w:ilvl w:val="0"/>
          <w:numId w:val="31"/>
        </w:numPr>
        <w:rPr>
          <w:rFonts w:cs="Times New Roman"/>
          <w:szCs w:val="24"/>
        </w:rPr>
      </w:pPr>
      <w:r w:rsidRPr="002C79D8">
        <w:rPr>
          <w:rFonts w:cs="Times New Roman"/>
          <w:szCs w:val="24"/>
        </w:rPr>
        <w:t>Consumo energético da empresa em função do capital: Fator de Consumo (FC);</w:t>
      </w:r>
    </w:p>
    <w:p w:rsidR="00590E7F" w:rsidRPr="002C79D8" w:rsidRDefault="00590E7F" w:rsidP="007F7172">
      <w:pPr>
        <w:pStyle w:val="PargrafodaLista"/>
        <w:numPr>
          <w:ilvl w:val="0"/>
          <w:numId w:val="31"/>
        </w:numPr>
        <w:rPr>
          <w:rFonts w:cs="Times New Roman"/>
          <w:szCs w:val="24"/>
        </w:rPr>
      </w:pPr>
      <w:r w:rsidRPr="002C79D8">
        <w:rPr>
          <w:rFonts w:cs="Times New Roman"/>
          <w:szCs w:val="24"/>
        </w:rPr>
        <w:t>Consumo energético da instalação de frio da empresa em função do capital: Fator de Consumo de Frio (FCF).</w:t>
      </w:r>
    </w:p>
    <w:p w:rsidR="00590E7F" w:rsidRPr="002C79D8" w:rsidRDefault="00590E7F" w:rsidP="007F7172">
      <w:pPr>
        <w:rPr>
          <w:rFonts w:cs="Times New Roman"/>
          <w:szCs w:val="24"/>
        </w:rPr>
      </w:pPr>
      <w:r w:rsidRPr="002C79D8">
        <w:rPr>
          <w:rFonts w:cs="Times New Roman"/>
          <w:szCs w:val="24"/>
        </w:rPr>
        <w:t>Estes fatores foram calculados para cada empresa como apresentado nas Equações 5 e 6:</w:t>
      </w:r>
    </w:p>
    <w:p w:rsidR="00590E7F" w:rsidRPr="002C79D8" w:rsidRDefault="00590E7F" w:rsidP="007F7172">
      <w:pPr>
        <w:rPr>
          <w:sz w:val="20"/>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7200"/>
        <w:gridCol w:w="823"/>
      </w:tblGrid>
      <w:tr w:rsidR="002C79D8" w:rsidRPr="002C79D8" w:rsidTr="00240409">
        <w:tc>
          <w:tcPr>
            <w:tcW w:w="805" w:type="dxa"/>
          </w:tcPr>
          <w:p w:rsidR="00590E7F" w:rsidRPr="009929E8" w:rsidRDefault="00590E7F" w:rsidP="007F7172">
            <w:pPr>
              <w:rPr>
                <w:sz w:val="20"/>
                <w:lang w:val="pt-PT"/>
              </w:rPr>
            </w:pPr>
          </w:p>
        </w:tc>
        <w:tc>
          <w:tcPr>
            <w:tcW w:w="7200" w:type="dxa"/>
            <w:vAlign w:val="center"/>
          </w:tcPr>
          <w:p w:rsidR="00590E7F" w:rsidRPr="009929E8" w:rsidRDefault="008B75E3" w:rsidP="007F7172">
            <w:pPr>
              <w:jc w:val="center"/>
              <w:rPr>
                <w:rFonts w:eastAsiaTheme="minorEastAsia"/>
                <w:sz w:val="20"/>
                <w:lang w:val="pt-PT"/>
              </w:rPr>
            </w:pPr>
            <m:oMath>
              <m:sSub>
                <m:sSubPr>
                  <m:ctrlPr>
                    <w:rPr>
                      <w:rFonts w:ascii="Cambria Math" w:hAnsi="Cambria Math"/>
                      <w:i/>
                      <w:sz w:val="20"/>
                    </w:rPr>
                  </m:ctrlPr>
                </m:sSubPr>
                <m:e>
                  <m:r>
                    <w:rPr>
                      <w:rFonts w:ascii="Cambria Math" w:hAnsi="Cambria Math"/>
                      <w:sz w:val="20"/>
                    </w:rPr>
                    <m:t>FC</m:t>
                  </m:r>
                </m:e>
                <m:sub>
                  <m:r>
                    <w:rPr>
                      <w:rFonts w:ascii="Cambria Math" w:hAnsi="Cambria Math"/>
                      <w:sz w:val="20"/>
                    </w:rPr>
                    <m:t>empresa</m:t>
                  </m:r>
                </m:sub>
              </m:sSub>
              <m:r>
                <w:rPr>
                  <w:rFonts w:ascii="Cambria Math" w:hAnsi="Cambria Math"/>
                  <w:sz w:val="20"/>
                  <w:lang w:val="pt-PT"/>
                </w:rPr>
                <m:t>=</m:t>
              </m:r>
              <m:f>
                <m:fPr>
                  <m:ctrlPr>
                    <w:rPr>
                      <w:rFonts w:ascii="Cambria Math" w:hAnsi="Cambria Math"/>
                      <w:i/>
                      <w:sz w:val="20"/>
                    </w:rPr>
                  </m:ctrlPr>
                </m:fPr>
                <m:num>
                  <m:r>
                    <w:rPr>
                      <w:rFonts w:ascii="Cambria Math" w:hAnsi="Cambria Math"/>
                      <w:sz w:val="20"/>
                    </w:rPr>
                    <m:t>Consumo</m:t>
                  </m:r>
                  <m:r>
                    <w:rPr>
                      <w:rFonts w:ascii="Cambria Math" w:hAnsi="Cambria Math"/>
                      <w:sz w:val="20"/>
                      <w:lang w:val="pt-PT"/>
                    </w:rPr>
                    <m:t xml:space="preserve"> </m:t>
                  </m:r>
                  <m:r>
                    <w:rPr>
                      <w:rFonts w:ascii="Cambria Math" w:hAnsi="Cambria Math"/>
                      <w:sz w:val="20"/>
                    </w:rPr>
                    <m:t>Energ</m:t>
                  </m:r>
                  <m:r>
                    <w:rPr>
                      <w:rFonts w:ascii="Cambria Math" w:hAnsi="Cambria Math"/>
                      <w:sz w:val="20"/>
                      <w:lang w:val="pt-PT"/>
                    </w:rPr>
                    <m:t>é</m:t>
                  </m:r>
                  <m:r>
                    <w:rPr>
                      <w:rFonts w:ascii="Cambria Math" w:hAnsi="Cambria Math"/>
                      <w:sz w:val="20"/>
                    </w:rPr>
                    <m:t>tico</m:t>
                  </m:r>
                </m:num>
                <m:den>
                  <m:r>
                    <w:rPr>
                      <w:rFonts w:ascii="Cambria Math" w:hAnsi="Cambria Math"/>
                      <w:sz w:val="20"/>
                    </w:rPr>
                    <m:t>Capital</m:t>
                  </m:r>
                  <m:r>
                    <w:rPr>
                      <w:rFonts w:ascii="Cambria Math" w:hAnsi="Cambria Math"/>
                      <w:sz w:val="20"/>
                      <w:lang w:val="pt-PT"/>
                    </w:rPr>
                    <m:t xml:space="preserve"> </m:t>
                  </m:r>
                  <m:r>
                    <w:rPr>
                      <w:rFonts w:ascii="Cambria Math" w:hAnsi="Cambria Math"/>
                      <w:sz w:val="20"/>
                    </w:rPr>
                    <m:t>Social</m:t>
                  </m:r>
                </m:den>
              </m:f>
              <m:r>
                <w:rPr>
                  <w:rFonts w:ascii="Cambria Math" w:hAnsi="Cambria Math"/>
                  <w:sz w:val="20"/>
                  <w:lang w:val="pt-PT"/>
                </w:rPr>
                <m:t>*100</m:t>
              </m:r>
            </m:oMath>
            <w:r w:rsidR="00590E7F" w:rsidRPr="009929E8">
              <w:rPr>
                <w:rFonts w:eastAsiaTheme="minorEastAsia"/>
                <w:sz w:val="20"/>
                <w:lang w:val="pt-PT"/>
              </w:rPr>
              <w:tab/>
            </w:r>
            <w:r w:rsidR="00590E7F" w:rsidRPr="009929E8">
              <w:rPr>
                <w:rFonts w:eastAsiaTheme="minorEastAsia"/>
                <w:sz w:val="20"/>
                <w:lang w:val="pt-PT"/>
              </w:rPr>
              <w:tab/>
              <w:t>[UCE/UM] ou [€</w:t>
            </w:r>
            <w:r w:rsidR="00590E7F" w:rsidRPr="009929E8">
              <w:rPr>
                <w:rFonts w:eastAsiaTheme="minorEastAsia"/>
                <w:sz w:val="20"/>
                <w:vertAlign w:val="subscript"/>
                <w:lang w:val="pt-PT"/>
              </w:rPr>
              <w:t>consumo</w:t>
            </w:r>
            <w:r w:rsidR="00590E7F" w:rsidRPr="009929E8">
              <w:rPr>
                <w:rFonts w:eastAsiaTheme="minorEastAsia"/>
                <w:sz w:val="20"/>
                <w:lang w:val="pt-PT"/>
              </w:rPr>
              <w:t>/€</w:t>
            </w:r>
            <w:r w:rsidR="00590E7F" w:rsidRPr="009929E8">
              <w:rPr>
                <w:rFonts w:eastAsiaTheme="minorEastAsia"/>
                <w:sz w:val="20"/>
                <w:vertAlign w:val="subscript"/>
                <w:lang w:val="pt-PT"/>
              </w:rPr>
              <w:t>capital</w:t>
            </w:r>
            <w:r w:rsidR="00590E7F" w:rsidRPr="009929E8">
              <w:rPr>
                <w:rFonts w:eastAsiaTheme="minorEastAsia"/>
                <w:sz w:val="20"/>
                <w:lang w:val="pt-PT"/>
              </w:rPr>
              <w:t>]</w:t>
            </w:r>
          </w:p>
        </w:tc>
        <w:tc>
          <w:tcPr>
            <w:tcW w:w="823" w:type="dxa"/>
            <w:vAlign w:val="center"/>
          </w:tcPr>
          <w:p w:rsidR="00590E7F" w:rsidRPr="002C79D8" w:rsidRDefault="00590E7F" w:rsidP="007F7172">
            <w:pPr>
              <w:jc w:val="right"/>
              <w:rPr>
                <w:sz w:val="20"/>
              </w:rPr>
            </w:pPr>
            <w:r w:rsidRPr="002C79D8">
              <w:rPr>
                <w:sz w:val="20"/>
              </w:rPr>
              <w:t>(</w:t>
            </w:r>
            <w:r w:rsidRPr="002C79D8">
              <w:rPr>
                <w:sz w:val="20"/>
              </w:rPr>
              <w:fldChar w:fldCharType="begin"/>
            </w:r>
            <w:r w:rsidRPr="002C79D8">
              <w:rPr>
                <w:sz w:val="20"/>
              </w:rPr>
              <w:instrText xml:space="preserve"> SEQ Eq \* MERGEFORMAT </w:instrText>
            </w:r>
            <w:r w:rsidRPr="002C79D8">
              <w:rPr>
                <w:sz w:val="20"/>
              </w:rPr>
              <w:fldChar w:fldCharType="separate"/>
            </w:r>
            <w:r w:rsidRPr="002C79D8">
              <w:rPr>
                <w:noProof/>
                <w:sz w:val="20"/>
              </w:rPr>
              <w:t>5</w:t>
            </w:r>
            <w:r w:rsidRPr="002C79D8">
              <w:rPr>
                <w:noProof/>
                <w:sz w:val="20"/>
              </w:rPr>
              <w:fldChar w:fldCharType="end"/>
            </w:r>
            <w:r w:rsidRPr="002C79D8">
              <w:rPr>
                <w:sz w:val="20"/>
              </w:rPr>
              <w:t>)</w:t>
            </w:r>
          </w:p>
        </w:tc>
      </w:tr>
    </w:tbl>
    <w:p w:rsidR="00590E7F" w:rsidRPr="002C79D8" w:rsidRDefault="00590E7F" w:rsidP="007F7172">
      <w:pPr>
        <w:jc w:val="center"/>
        <w:rPr>
          <w:rFonts w:eastAsiaTheme="minorEastAsia"/>
          <w:sz w:val="20"/>
        </w:rPr>
      </w:pPr>
    </w:p>
    <w:tbl>
      <w:tblPr>
        <w:tblStyle w:val="Tabelacomgrelh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8097"/>
        <w:gridCol w:w="461"/>
      </w:tblGrid>
      <w:tr w:rsidR="002C79D8" w:rsidRPr="002C79D8" w:rsidTr="00240409">
        <w:trPr>
          <w:jc w:val="center"/>
        </w:trPr>
        <w:tc>
          <w:tcPr>
            <w:tcW w:w="270" w:type="dxa"/>
          </w:tcPr>
          <w:p w:rsidR="00590E7F" w:rsidRPr="002C79D8" w:rsidRDefault="00590E7F" w:rsidP="007F7172">
            <w:pPr>
              <w:rPr>
                <w:sz w:val="20"/>
              </w:rPr>
            </w:pPr>
          </w:p>
        </w:tc>
        <w:tc>
          <w:tcPr>
            <w:tcW w:w="8097" w:type="dxa"/>
            <w:vAlign w:val="center"/>
          </w:tcPr>
          <w:p w:rsidR="00590E7F" w:rsidRPr="009929E8" w:rsidRDefault="008B75E3" w:rsidP="007F7172">
            <w:pPr>
              <w:jc w:val="center"/>
              <w:rPr>
                <w:rFonts w:eastAsiaTheme="minorEastAsia"/>
                <w:sz w:val="20"/>
                <w:lang w:val="pt-PT"/>
              </w:rPr>
            </w:pPr>
            <m:oMath>
              <m:sSub>
                <m:sSubPr>
                  <m:ctrlPr>
                    <w:rPr>
                      <w:rFonts w:ascii="Cambria Math" w:eastAsiaTheme="minorEastAsia" w:hAnsi="Cambria Math"/>
                      <w:i/>
                      <w:sz w:val="20"/>
                    </w:rPr>
                  </m:ctrlPr>
                </m:sSubPr>
                <m:e>
                  <m:r>
                    <w:rPr>
                      <w:rFonts w:ascii="Cambria Math" w:eastAsiaTheme="minorEastAsia" w:hAnsi="Cambria Math"/>
                      <w:sz w:val="20"/>
                    </w:rPr>
                    <m:t>FCF</m:t>
                  </m:r>
                </m:e>
                <m:sub>
                  <m:r>
                    <w:rPr>
                      <w:rFonts w:ascii="Cambria Math" w:eastAsiaTheme="minorEastAsia" w:hAnsi="Cambria Math"/>
                      <w:sz w:val="20"/>
                    </w:rPr>
                    <m:t>empresa</m:t>
                  </m:r>
                </m:sub>
              </m:sSub>
              <m:r>
                <w:rPr>
                  <w:rFonts w:ascii="Cambria Math" w:eastAsiaTheme="minorEastAsia" w:hAnsi="Cambria Math"/>
                  <w:sz w:val="20"/>
                  <w:lang w:val="pt-PT"/>
                </w:rPr>
                <m:t>=</m:t>
              </m:r>
              <m:sSub>
                <m:sSubPr>
                  <m:ctrlPr>
                    <w:rPr>
                      <w:rFonts w:ascii="Cambria Math" w:eastAsiaTheme="minorEastAsia" w:hAnsi="Cambria Math"/>
                      <w:i/>
                      <w:sz w:val="20"/>
                    </w:rPr>
                  </m:ctrlPr>
                </m:sSubPr>
                <m:e>
                  <m:r>
                    <w:rPr>
                      <w:rFonts w:ascii="Cambria Math" w:eastAsiaTheme="minorEastAsia" w:hAnsi="Cambria Math"/>
                      <w:sz w:val="20"/>
                    </w:rPr>
                    <m:t>FC</m:t>
                  </m:r>
                </m:e>
                <m:sub>
                  <m:r>
                    <w:rPr>
                      <w:rFonts w:ascii="Cambria Math" w:eastAsiaTheme="minorEastAsia" w:hAnsi="Cambria Math"/>
                      <w:sz w:val="20"/>
                    </w:rPr>
                    <m:t>empresa</m:t>
                  </m:r>
                </m:sub>
              </m:sSub>
              <m:r>
                <w:rPr>
                  <w:rFonts w:ascii="Cambria Math" w:eastAsiaTheme="minorEastAsia" w:hAnsi="Cambria Math"/>
                  <w:sz w:val="20"/>
                  <w:lang w:val="pt-PT"/>
                </w:rPr>
                <m:t xml:space="preserve">*% </m:t>
              </m:r>
              <m:r>
                <w:rPr>
                  <w:rFonts w:ascii="Cambria Math" w:eastAsiaTheme="minorEastAsia" w:hAnsi="Cambria Math"/>
                  <w:sz w:val="20"/>
                </w:rPr>
                <m:t>de</m:t>
              </m:r>
              <m:r>
                <w:rPr>
                  <w:rFonts w:ascii="Cambria Math" w:eastAsiaTheme="minorEastAsia" w:hAnsi="Cambria Math"/>
                  <w:sz w:val="20"/>
                  <w:lang w:val="pt-PT"/>
                </w:rPr>
                <m:t xml:space="preserve"> </m:t>
              </m:r>
              <m:r>
                <w:rPr>
                  <w:rFonts w:ascii="Cambria Math" w:eastAsiaTheme="minorEastAsia" w:hAnsi="Cambria Math"/>
                  <w:sz w:val="20"/>
                </w:rPr>
                <m:t>Frio</m:t>
              </m:r>
              <m:r>
                <w:rPr>
                  <w:rFonts w:ascii="Cambria Math" w:eastAsiaTheme="minorEastAsia" w:hAnsi="Cambria Math"/>
                  <w:sz w:val="20"/>
                  <w:lang w:val="pt-PT"/>
                </w:rPr>
                <m:t xml:space="preserve"> </m:t>
              </m:r>
              <m:r>
                <w:rPr>
                  <w:rFonts w:ascii="Cambria Math" w:eastAsiaTheme="minorEastAsia" w:hAnsi="Cambria Math"/>
                  <w:sz w:val="20"/>
                </w:rPr>
                <m:t>do</m:t>
              </m:r>
              <m:r>
                <w:rPr>
                  <w:rFonts w:ascii="Cambria Math" w:eastAsiaTheme="minorEastAsia" w:hAnsi="Cambria Math"/>
                  <w:sz w:val="20"/>
                  <w:lang w:val="pt-PT"/>
                </w:rPr>
                <m:t xml:space="preserve"> </m:t>
              </m:r>
              <m:r>
                <w:rPr>
                  <w:rFonts w:ascii="Cambria Math" w:eastAsiaTheme="minorEastAsia" w:hAnsi="Cambria Math"/>
                  <w:sz w:val="20"/>
                </w:rPr>
                <m:t>SAE</m:t>
              </m:r>
            </m:oMath>
            <w:r w:rsidR="00590E7F" w:rsidRPr="009929E8">
              <w:rPr>
                <w:rFonts w:eastAsiaTheme="minorEastAsia"/>
                <w:sz w:val="20"/>
                <w:lang w:val="pt-PT"/>
              </w:rPr>
              <w:tab/>
              <w:t>[UCE/UM] ou [€</w:t>
            </w:r>
            <w:r w:rsidR="00590E7F" w:rsidRPr="009929E8">
              <w:rPr>
                <w:rFonts w:eastAsiaTheme="minorEastAsia"/>
                <w:sz w:val="20"/>
                <w:vertAlign w:val="subscript"/>
                <w:lang w:val="pt-PT"/>
              </w:rPr>
              <w:t>consumo de frio</w:t>
            </w:r>
            <w:r w:rsidR="00590E7F" w:rsidRPr="009929E8">
              <w:rPr>
                <w:rFonts w:eastAsiaTheme="minorEastAsia"/>
                <w:sz w:val="20"/>
                <w:lang w:val="pt-PT"/>
              </w:rPr>
              <w:t>/€</w:t>
            </w:r>
            <w:r w:rsidR="00590E7F" w:rsidRPr="009929E8">
              <w:rPr>
                <w:rFonts w:eastAsiaTheme="minorEastAsia"/>
                <w:sz w:val="20"/>
                <w:vertAlign w:val="subscript"/>
                <w:lang w:val="pt-PT"/>
              </w:rPr>
              <w:t>capital</w:t>
            </w:r>
            <w:r w:rsidR="00590E7F" w:rsidRPr="009929E8">
              <w:rPr>
                <w:rFonts w:eastAsiaTheme="minorEastAsia"/>
                <w:sz w:val="20"/>
                <w:lang w:val="pt-PT"/>
              </w:rPr>
              <w:t>]</w:t>
            </w:r>
          </w:p>
        </w:tc>
        <w:tc>
          <w:tcPr>
            <w:tcW w:w="461" w:type="dxa"/>
            <w:vAlign w:val="center"/>
          </w:tcPr>
          <w:p w:rsidR="00590E7F" w:rsidRPr="002C79D8" w:rsidRDefault="00590E7F" w:rsidP="007F7172">
            <w:pPr>
              <w:jc w:val="right"/>
              <w:rPr>
                <w:sz w:val="20"/>
              </w:rPr>
            </w:pPr>
            <w:r w:rsidRPr="002C79D8">
              <w:rPr>
                <w:sz w:val="20"/>
              </w:rPr>
              <w:t>(</w:t>
            </w:r>
            <w:r w:rsidRPr="002C79D8">
              <w:rPr>
                <w:sz w:val="20"/>
              </w:rPr>
              <w:fldChar w:fldCharType="begin"/>
            </w:r>
            <w:r w:rsidRPr="002C79D8">
              <w:rPr>
                <w:sz w:val="20"/>
              </w:rPr>
              <w:instrText xml:space="preserve"> SEQ Eq \* MERGEFORMAT </w:instrText>
            </w:r>
            <w:r w:rsidRPr="002C79D8">
              <w:rPr>
                <w:sz w:val="20"/>
              </w:rPr>
              <w:fldChar w:fldCharType="separate"/>
            </w:r>
            <w:r w:rsidRPr="002C79D8">
              <w:rPr>
                <w:noProof/>
                <w:sz w:val="20"/>
              </w:rPr>
              <w:t>6</w:t>
            </w:r>
            <w:r w:rsidRPr="002C79D8">
              <w:rPr>
                <w:noProof/>
                <w:sz w:val="20"/>
              </w:rPr>
              <w:fldChar w:fldCharType="end"/>
            </w:r>
            <w:r w:rsidRPr="002C79D8">
              <w:rPr>
                <w:sz w:val="20"/>
              </w:rPr>
              <w:t>)</w:t>
            </w:r>
          </w:p>
        </w:tc>
      </w:tr>
    </w:tbl>
    <w:p w:rsidR="00590E7F" w:rsidRPr="002C79D8" w:rsidRDefault="00590E7F" w:rsidP="007F7172">
      <w:pPr>
        <w:rPr>
          <w:rFonts w:eastAsiaTheme="minorEastAsia" w:cs="Times New Roman"/>
          <w:szCs w:val="24"/>
        </w:rPr>
      </w:pPr>
    </w:p>
    <w:p w:rsidR="00590E7F" w:rsidRPr="002C79D8" w:rsidRDefault="00590E7F" w:rsidP="007F7172">
      <w:pPr>
        <w:rPr>
          <w:rFonts w:eastAsiaTheme="minorEastAsia" w:cs="Times New Roman"/>
          <w:szCs w:val="24"/>
          <w:vertAlign w:val="subscript"/>
        </w:rPr>
      </w:pPr>
      <w:r w:rsidRPr="002C79D8">
        <w:rPr>
          <w:rFonts w:eastAsiaTheme="minorEastAsia" w:cs="Times New Roman"/>
          <w:szCs w:val="24"/>
        </w:rPr>
        <w:t>Obtidos os valores para as 96 empresas, foi possível fazer a média para cada agrupamento e, assim, foram calculados os fatores FC</w:t>
      </w:r>
      <w:r w:rsidRPr="002C79D8">
        <w:rPr>
          <w:rFonts w:eastAsiaTheme="minorEastAsia" w:cs="Times New Roman"/>
          <w:szCs w:val="24"/>
          <w:vertAlign w:val="subscript"/>
        </w:rPr>
        <w:t>agrupamento</w:t>
      </w:r>
      <w:r w:rsidRPr="002C79D8">
        <w:rPr>
          <w:rFonts w:eastAsiaTheme="minorEastAsia" w:cs="Times New Roman"/>
          <w:szCs w:val="24"/>
        </w:rPr>
        <w:t xml:space="preserve"> e FCF</w:t>
      </w:r>
      <w:r w:rsidRPr="002C79D8">
        <w:rPr>
          <w:rFonts w:eastAsiaTheme="minorEastAsia" w:cs="Times New Roman"/>
          <w:szCs w:val="24"/>
          <w:vertAlign w:val="subscript"/>
        </w:rPr>
        <w:t>agrupamento.</w:t>
      </w:r>
    </w:p>
    <w:p w:rsidR="00590E7F" w:rsidRPr="002C79D8" w:rsidRDefault="00590E7F" w:rsidP="007F7172">
      <w:pPr>
        <w:rPr>
          <w:rFonts w:eastAsiaTheme="minorEastAsia" w:cs="Times New Roman"/>
          <w:szCs w:val="24"/>
        </w:rPr>
      </w:pPr>
      <w:r w:rsidRPr="002C79D8">
        <w:rPr>
          <w:rFonts w:eastAsiaTheme="minorEastAsia" w:cs="Times New Roman"/>
          <w:szCs w:val="24"/>
        </w:rPr>
        <w:t>Com estes valores é possível enquadrar, numa fase preliminar, os consumos energéticos de uma empresa e da sua instalação de frio dentro do seu agrupamento e do seu valor do capital. Apresentam-se na Tabela 2 os valores de capital médio, consumo médio mensal, FC e FCF para os diferentes agrupamentos:</w:t>
      </w:r>
    </w:p>
    <w:p w:rsidR="00590E7F" w:rsidRPr="002C79D8" w:rsidRDefault="00590E7F" w:rsidP="007F7172">
      <w:pPr>
        <w:rPr>
          <w:rFonts w:eastAsiaTheme="minorEastAsia" w:cs="Times New Roman"/>
          <w:sz w:val="24"/>
          <w:szCs w:val="24"/>
        </w:rPr>
      </w:pPr>
    </w:p>
    <w:p w:rsidR="00590E7F" w:rsidRPr="001537B9" w:rsidRDefault="00590E7F" w:rsidP="007F7172">
      <w:pPr>
        <w:pStyle w:val="Legenda"/>
        <w:keepNext/>
        <w:spacing w:after="0"/>
        <w:jc w:val="center"/>
        <w:rPr>
          <w:i w:val="0"/>
          <w:color w:val="auto"/>
          <w:sz w:val="20"/>
        </w:rPr>
      </w:pPr>
      <w:r w:rsidRPr="001537B9">
        <w:rPr>
          <w:i w:val="0"/>
          <w:color w:val="auto"/>
          <w:sz w:val="20"/>
        </w:rPr>
        <w:t xml:space="preserve">Tabela </w:t>
      </w:r>
      <w:r w:rsidRPr="001537B9">
        <w:rPr>
          <w:i w:val="0"/>
          <w:color w:val="auto"/>
          <w:sz w:val="20"/>
        </w:rPr>
        <w:fldChar w:fldCharType="begin"/>
      </w:r>
      <w:r w:rsidRPr="001537B9">
        <w:rPr>
          <w:i w:val="0"/>
          <w:color w:val="auto"/>
          <w:sz w:val="20"/>
        </w:rPr>
        <w:instrText xml:space="preserve"> SEQ Tabela \* ARABIC </w:instrText>
      </w:r>
      <w:r w:rsidRPr="001537B9">
        <w:rPr>
          <w:i w:val="0"/>
          <w:color w:val="auto"/>
          <w:sz w:val="20"/>
        </w:rPr>
        <w:fldChar w:fldCharType="separate"/>
      </w:r>
      <w:r w:rsidRPr="001537B9">
        <w:rPr>
          <w:i w:val="0"/>
          <w:noProof/>
          <w:color w:val="auto"/>
          <w:sz w:val="20"/>
        </w:rPr>
        <w:t>2</w:t>
      </w:r>
      <w:r w:rsidRPr="001537B9">
        <w:rPr>
          <w:i w:val="0"/>
          <w:color w:val="auto"/>
          <w:sz w:val="20"/>
        </w:rPr>
        <w:fldChar w:fldCharType="end"/>
      </w:r>
      <w:r w:rsidRPr="001537B9">
        <w:rPr>
          <w:i w:val="0"/>
          <w:color w:val="auto"/>
          <w:sz w:val="20"/>
        </w:rPr>
        <w:t xml:space="preserve"> - Fatores de Consumo para os diferentes agrupamentos</w:t>
      </w:r>
    </w:p>
    <w:tbl>
      <w:tblPr>
        <w:tblStyle w:val="ListTable7Colorful-Accent51"/>
        <w:tblW w:w="9177" w:type="dxa"/>
        <w:jc w:val="center"/>
        <w:tblLook w:val="04A0" w:firstRow="1" w:lastRow="0" w:firstColumn="1" w:lastColumn="0" w:noHBand="0" w:noVBand="1"/>
      </w:tblPr>
      <w:tblGrid>
        <w:gridCol w:w="2130"/>
        <w:gridCol w:w="1373"/>
        <w:gridCol w:w="1600"/>
        <w:gridCol w:w="2261"/>
        <w:gridCol w:w="1813"/>
      </w:tblGrid>
      <w:tr w:rsidR="002C79D8" w:rsidRPr="00C9023A" w:rsidTr="00C9023A">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100" w:firstRow="0" w:lastRow="0" w:firstColumn="1" w:lastColumn="0" w:oddVBand="0" w:evenVBand="0" w:oddHBand="0" w:evenHBand="0" w:firstRowFirstColumn="1" w:firstRowLastColumn="0" w:lastRowFirstColumn="0" w:lastRowLastColumn="0"/>
            <w:tcW w:w="2130" w:type="dxa"/>
            <w:noWrap/>
            <w:vAlign w:val="center"/>
            <w:hideMark/>
          </w:tcPr>
          <w:p w:rsidR="00590E7F" w:rsidRPr="00C9023A" w:rsidRDefault="00590E7F" w:rsidP="007F7172">
            <w:pPr>
              <w:jc w:val="center"/>
              <w:rPr>
                <w:rFonts w:eastAsia="Times New Roman" w:cs="Times New Roman"/>
                <w:i w:val="0"/>
                <w:color w:val="auto"/>
                <w:sz w:val="18"/>
                <w:lang w:eastAsia="pt-PT"/>
              </w:rPr>
            </w:pPr>
            <w:r w:rsidRPr="00C9023A">
              <w:rPr>
                <w:rFonts w:eastAsia="Times New Roman" w:cs="Times New Roman"/>
                <w:i w:val="0"/>
                <w:color w:val="auto"/>
                <w:sz w:val="18"/>
                <w:lang w:eastAsia="pt-PT"/>
              </w:rPr>
              <w:t>Agrupamento</w:t>
            </w:r>
          </w:p>
        </w:tc>
        <w:tc>
          <w:tcPr>
            <w:tcW w:w="1373" w:type="dxa"/>
            <w:noWrap/>
            <w:vAlign w:val="center"/>
            <w:hideMark/>
          </w:tcPr>
          <w:p w:rsidR="00590E7F" w:rsidRPr="00C9023A" w:rsidRDefault="00590E7F" w:rsidP="007F717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 w:val="0"/>
                <w:color w:val="auto"/>
                <w:sz w:val="18"/>
                <w:lang w:eastAsia="pt-PT"/>
              </w:rPr>
            </w:pPr>
            <w:r w:rsidRPr="00C9023A">
              <w:rPr>
                <w:rFonts w:eastAsia="Times New Roman" w:cs="Times New Roman"/>
                <w:i w:val="0"/>
                <w:color w:val="auto"/>
                <w:sz w:val="18"/>
                <w:lang w:eastAsia="pt-PT"/>
              </w:rPr>
              <w:t>Capital Médio (UM)</w:t>
            </w:r>
          </w:p>
        </w:tc>
        <w:tc>
          <w:tcPr>
            <w:tcW w:w="1600" w:type="dxa"/>
            <w:noWrap/>
            <w:vAlign w:val="center"/>
            <w:hideMark/>
          </w:tcPr>
          <w:p w:rsidR="00590E7F" w:rsidRPr="00C9023A" w:rsidRDefault="00590E7F" w:rsidP="007F717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 w:val="0"/>
                <w:color w:val="auto"/>
                <w:sz w:val="18"/>
                <w:lang w:eastAsia="pt-PT"/>
              </w:rPr>
            </w:pPr>
            <w:r w:rsidRPr="00C9023A">
              <w:rPr>
                <w:rFonts w:eastAsia="Times New Roman" w:cs="Times New Roman"/>
                <w:i w:val="0"/>
                <w:color w:val="auto"/>
                <w:sz w:val="18"/>
                <w:lang w:eastAsia="pt-PT"/>
              </w:rPr>
              <w:t>Consumo Médio Mensal (UCE)</w:t>
            </w:r>
          </w:p>
        </w:tc>
        <w:tc>
          <w:tcPr>
            <w:tcW w:w="2261" w:type="dxa"/>
            <w:noWrap/>
            <w:vAlign w:val="center"/>
            <w:hideMark/>
          </w:tcPr>
          <w:p w:rsidR="00590E7F" w:rsidRPr="009929E8" w:rsidRDefault="00590E7F" w:rsidP="007F717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 w:val="0"/>
                <w:color w:val="auto"/>
                <w:sz w:val="18"/>
                <w:lang w:val="pt-PT" w:eastAsia="pt-PT"/>
              </w:rPr>
            </w:pPr>
            <w:r w:rsidRPr="009929E8">
              <w:rPr>
                <w:rFonts w:eastAsia="Times New Roman" w:cs="Times New Roman"/>
                <w:i w:val="0"/>
                <w:color w:val="auto"/>
                <w:sz w:val="18"/>
                <w:lang w:val="pt-PT" w:eastAsia="pt-PT"/>
              </w:rPr>
              <w:t>Fator de Consumo [UCE/UM]</w:t>
            </w:r>
          </w:p>
        </w:tc>
        <w:tc>
          <w:tcPr>
            <w:tcW w:w="1813" w:type="dxa"/>
            <w:vAlign w:val="center"/>
          </w:tcPr>
          <w:p w:rsidR="00590E7F" w:rsidRPr="009929E8" w:rsidRDefault="00590E7F" w:rsidP="007F717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 w:val="0"/>
                <w:color w:val="auto"/>
                <w:sz w:val="18"/>
                <w:lang w:val="pt-PT" w:eastAsia="pt-PT"/>
              </w:rPr>
            </w:pPr>
            <w:r w:rsidRPr="009929E8">
              <w:rPr>
                <w:rFonts w:eastAsia="Times New Roman" w:cs="Times New Roman"/>
                <w:i w:val="0"/>
                <w:color w:val="auto"/>
                <w:sz w:val="18"/>
                <w:lang w:val="pt-PT" w:eastAsia="pt-PT"/>
              </w:rPr>
              <w:t>Fator de Consumo de Frio [UCE/UM]</w:t>
            </w:r>
          </w:p>
        </w:tc>
      </w:tr>
      <w:tr w:rsidR="002C79D8" w:rsidRPr="00C9023A" w:rsidTr="00C9023A">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130" w:type="dxa"/>
            <w:noWrap/>
            <w:vAlign w:val="center"/>
            <w:hideMark/>
          </w:tcPr>
          <w:p w:rsidR="00590E7F" w:rsidRPr="00C9023A" w:rsidRDefault="00590E7F" w:rsidP="007F7172">
            <w:pPr>
              <w:jc w:val="center"/>
              <w:rPr>
                <w:rFonts w:eastAsia="Times New Roman" w:cs="Times New Roman"/>
                <w:i w:val="0"/>
                <w:color w:val="auto"/>
                <w:sz w:val="18"/>
                <w:lang w:eastAsia="pt-PT"/>
              </w:rPr>
            </w:pPr>
            <w:r w:rsidRPr="00C9023A">
              <w:rPr>
                <w:rFonts w:eastAsia="Times New Roman" w:cs="Times New Roman"/>
                <w:i w:val="0"/>
                <w:color w:val="auto"/>
                <w:sz w:val="18"/>
                <w:lang w:eastAsia="pt-PT"/>
              </w:rPr>
              <w:t>Agricultura</w:t>
            </w:r>
          </w:p>
        </w:tc>
        <w:tc>
          <w:tcPr>
            <w:tcW w:w="1373" w:type="dxa"/>
            <w:noWrap/>
            <w:vAlign w:val="center"/>
            <w:hideMark/>
          </w:tcPr>
          <w:p w:rsidR="00590E7F" w:rsidRPr="00C9023A" w:rsidRDefault="00590E7F" w:rsidP="007F71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lang w:eastAsia="pt-PT"/>
              </w:rPr>
            </w:pPr>
            <w:r w:rsidRPr="00C9023A">
              <w:rPr>
                <w:rFonts w:cs="Times New Roman"/>
                <w:color w:val="auto"/>
                <w:sz w:val="18"/>
              </w:rPr>
              <w:t>10154000</w:t>
            </w:r>
          </w:p>
        </w:tc>
        <w:tc>
          <w:tcPr>
            <w:tcW w:w="1600" w:type="dxa"/>
            <w:noWrap/>
            <w:vAlign w:val="center"/>
            <w:hideMark/>
          </w:tcPr>
          <w:p w:rsidR="00590E7F" w:rsidRPr="00C9023A" w:rsidRDefault="00590E7F" w:rsidP="007F71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lang w:eastAsia="pt-PT"/>
              </w:rPr>
            </w:pPr>
            <w:r w:rsidRPr="00C9023A">
              <w:rPr>
                <w:rFonts w:eastAsia="Times New Roman" w:cs="Times New Roman"/>
                <w:color w:val="auto"/>
                <w:sz w:val="18"/>
                <w:lang w:eastAsia="pt-PT"/>
              </w:rPr>
              <w:t>76671</w:t>
            </w:r>
          </w:p>
        </w:tc>
        <w:tc>
          <w:tcPr>
            <w:tcW w:w="2261" w:type="dxa"/>
            <w:noWrap/>
            <w:vAlign w:val="center"/>
            <w:hideMark/>
          </w:tcPr>
          <w:p w:rsidR="00590E7F" w:rsidRPr="00C9023A" w:rsidRDefault="00590E7F" w:rsidP="007F7172">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rPr>
            </w:pPr>
            <w:r w:rsidRPr="00C9023A">
              <w:rPr>
                <w:rFonts w:cs="Times New Roman"/>
                <w:color w:val="auto"/>
                <w:sz w:val="18"/>
              </w:rPr>
              <w:t>4,92</w:t>
            </w:r>
          </w:p>
        </w:tc>
        <w:tc>
          <w:tcPr>
            <w:tcW w:w="1813" w:type="dxa"/>
            <w:vAlign w:val="center"/>
          </w:tcPr>
          <w:p w:rsidR="00590E7F" w:rsidRPr="00C9023A" w:rsidRDefault="00590E7F" w:rsidP="007F7172">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rPr>
            </w:pPr>
            <w:r w:rsidRPr="00C9023A">
              <w:rPr>
                <w:rFonts w:cs="Times New Roman"/>
                <w:color w:val="auto"/>
                <w:sz w:val="18"/>
              </w:rPr>
              <w:t>3,55</w:t>
            </w:r>
          </w:p>
        </w:tc>
      </w:tr>
      <w:tr w:rsidR="002C79D8" w:rsidRPr="00C9023A" w:rsidTr="00C9023A">
        <w:trPr>
          <w:trHeight w:val="432"/>
          <w:jc w:val="center"/>
        </w:trPr>
        <w:tc>
          <w:tcPr>
            <w:cnfStyle w:val="001000000000" w:firstRow="0" w:lastRow="0" w:firstColumn="1" w:lastColumn="0" w:oddVBand="0" w:evenVBand="0" w:oddHBand="0" w:evenHBand="0" w:firstRowFirstColumn="0" w:firstRowLastColumn="0" w:lastRowFirstColumn="0" w:lastRowLastColumn="0"/>
            <w:tcW w:w="2130" w:type="dxa"/>
            <w:noWrap/>
            <w:vAlign w:val="center"/>
            <w:hideMark/>
          </w:tcPr>
          <w:p w:rsidR="00590E7F" w:rsidRPr="00C9023A" w:rsidRDefault="00590E7F" w:rsidP="007F7172">
            <w:pPr>
              <w:jc w:val="center"/>
              <w:rPr>
                <w:rFonts w:eastAsia="Times New Roman" w:cs="Times New Roman"/>
                <w:i w:val="0"/>
                <w:color w:val="auto"/>
                <w:sz w:val="18"/>
                <w:lang w:eastAsia="pt-PT"/>
              </w:rPr>
            </w:pPr>
            <w:r w:rsidRPr="00C9023A">
              <w:rPr>
                <w:rFonts w:eastAsia="Times New Roman" w:cs="Times New Roman"/>
                <w:i w:val="0"/>
                <w:color w:val="auto"/>
                <w:sz w:val="18"/>
                <w:lang w:eastAsia="pt-PT"/>
              </w:rPr>
              <w:t>Armazenagem frigorífica</w:t>
            </w:r>
          </w:p>
        </w:tc>
        <w:tc>
          <w:tcPr>
            <w:tcW w:w="1373" w:type="dxa"/>
            <w:noWrap/>
            <w:vAlign w:val="center"/>
            <w:hideMark/>
          </w:tcPr>
          <w:p w:rsidR="00590E7F" w:rsidRPr="00C9023A" w:rsidRDefault="00590E7F" w:rsidP="007F71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lang w:eastAsia="pt-PT"/>
              </w:rPr>
            </w:pPr>
            <w:r w:rsidRPr="00C9023A">
              <w:rPr>
                <w:rFonts w:cs="Times New Roman"/>
                <w:color w:val="auto"/>
                <w:sz w:val="18"/>
              </w:rPr>
              <w:t>3208750</w:t>
            </w:r>
          </w:p>
        </w:tc>
        <w:tc>
          <w:tcPr>
            <w:tcW w:w="1600" w:type="dxa"/>
            <w:noWrap/>
            <w:vAlign w:val="center"/>
            <w:hideMark/>
          </w:tcPr>
          <w:p w:rsidR="00590E7F" w:rsidRPr="00C9023A" w:rsidRDefault="00590E7F" w:rsidP="007F71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lang w:eastAsia="pt-PT"/>
              </w:rPr>
            </w:pPr>
            <w:r w:rsidRPr="00C9023A">
              <w:rPr>
                <w:rFonts w:eastAsia="Times New Roman" w:cs="Times New Roman"/>
                <w:color w:val="auto"/>
                <w:sz w:val="18"/>
                <w:lang w:eastAsia="pt-PT"/>
              </w:rPr>
              <w:t>72792</w:t>
            </w:r>
          </w:p>
        </w:tc>
        <w:tc>
          <w:tcPr>
            <w:tcW w:w="2261" w:type="dxa"/>
            <w:noWrap/>
            <w:vAlign w:val="center"/>
            <w:hideMark/>
          </w:tcPr>
          <w:p w:rsidR="00590E7F" w:rsidRPr="00C9023A" w:rsidRDefault="00590E7F" w:rsidP="007F7172">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rPr>
            </w:pPr>
            <w:r w:rsidRPr="00C9023A">
              <w:rPr>
                <w:rFonts w:cs="Times New Roman"/>
                <w:color w:val="auto"/>
                <w:sz w:val="18"/>
              </w:rPr>
              <w:t>17,54</w:t>
            </w:r>
          </w:p>
        </w:tc>
        <w:tc>
          <w:tcPr>
            <w:tcW w:w="1813" w:type="dxa"/>
            <w:vAlign w:val="center"/>
          </w:tcPr>
          <w:p w:rsidR="00590E7F" w:rsidRPr="00C9023A" w:rsidRDefault="00590E7F" w:rsidP="007F7172">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rPr>
            </w:pPr>
            <w:r w:rsidRPr="00C9023A">
              <w:rPr>
                <w:rFonts w:cs="Times New Roman"/>
                <w:color w:val="auto"/>
                <w:sz w:val="18"/>
              </w:rPr>
              <w:t>14,91</w:t>
            </w:r>
          </w:p>
        </w:tc>
      </w:tr>
      <w:tr w:rsidR="002C79D8" w:rsidRPr="00C9023A" w:rsidTr="00C9023A">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130" w:type="dxa"/>
            <w:noWrap/>
            <w:vAlign w:val="center"/>
            <w:hideMark/>
          </w:tcPr>
          <w:p w:rsidR="00590E7F" w:rsidRPr="00C9023A" w:rsidRDefault="00590E7F" w:rsidP="007F7172">
            <w:pPr>
              <w:jc w:val="center"/>
              <w:rPr>
                <w:rFonts w:eastAsia="Times New Roman" w:cs="Times New Roman"/>
                <w:i w:val="0"/>
                <w:color w:val="auto"/>
                <w:sz w:val="18"/>
                <w:lang w:eastAsia="pt-PT"/>
              </w:rPr>
            </w:pPr>
            <w:r w:rsidRPr="00C9023A">
              <w:rPr>
                <w:rFonts w:eastAsia="Times New Roman" w:cs="Times New Roman"/>
                <w:i w:val="0"/>
                <w:color w:val="auto"/>
                <w:sz w:val="18"/>
                <w:lang w:eastAsia="pt-PT"/>
              </w:rPr>
              <w:t>Carne</w:t>
            </w:r>
          </w:p>
        </w:tc>
        <w:tc>
          <w:tcPr>
            <w:tcW w:w="1373" w:type="dxa"/>
            <w:noWrap/>
            <w:vAlign w:val="center"/>
            <w:hideMark/>
          </w:tcPr>
          <w:p w:rsidR="00590E7F" w:rsidRPr="00C9023A" w:rsidRDefault="00590E7F" w:rsidP="007F71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lang w:eastAsia="pt-PT"/>
              </w:rPr>
            </w:pPr>
            <w:r w:rsidRPr="00C9023A">
              <w:rPr>
                <w:rFonts w:cs="Times New Roman"/>
                <w:color w:val="auto"/>
                <w:sz w:val="18"/>
              </w:rPr>
              <w:t>3925694</w:t>
            </w:r>
          </w:p>
        </w:tc>
        <w:tc>
          <w:tcPr>
            <w:tcW w:w="1600" w:type="dxa"/>
            <w:noWrap/>
            <w:vAlign w:val="center"/>
            <w:hideMark/>
          </w:tcPr>
          <w:p w:rsidR="00590E7F" w:rsidRPr="00C9023A" w:rsidRDefault="00590E7F" w:rsidP="007F71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lang w:eastAsia="pt-PT"/>
              </w:rPr>
            </w:pPr>
            <w:r w:rsidRPr="00C9023A">
              <w:rPr>
                <w:rFonts w:eastAsia="Times New Roman" w:cs="Times New Roman"/>
                <w:color w:val="auto"/>
                <w:sz w:val="18"/>
                <w:lang w:eastAsia="pt-PT"/>
              </w:rPr>
              <w:t>46661</w:t>
            </w:r>
          </w:p>
        </w:tc>
        <w:tc>
          <w:tcPr>
            <w:tcW w:w="2261" w:type="dxa"/>
            <w:noWrap/>
            <w:vAlign w:val="center"/>
            <w:hideMark/>
          </w:tcPr>
          <w:p w:rsidR="00590E7F" w:rsidRPr="00C9023A" w:rsidRDefault="00590E7F" w:rsidP="007F7172">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rPr>
            </w:pPr>
            <w:r w:rsidRPr="00C9023A">
              <w:rPr>
                <w:rFonts w:cs="Times New Roman"/>
                <w:color w:val="auto"/>
                <w:sz w:val="18"/>
              </w:rPr>
              <w:t>2,21</w:t>
            </w:r>
          </w:p>
        </w:tc>
        <w:tc>
          <w:tcPr>
            <w:tcW w:w="1813" w:type="dxa"/>
            <w:vAlign w:val="center"/>
          </w:tcPr>
          <w:p w:rsidR="00590E7F" w:rsidRPr="00C9023A" w:rsidRDefault="00590E7F" w:rsidP="007F7172">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rPr>
            </w:pPr>
            <w:r w:rsidRPr="00C9023A">
              <w:rPr>
                <w:rFonts w:cs="Times New Roman"/>
                <w:color w:val="auto"/>
                <w:sz w:val="18"/>
              </w:rPr>
              <w:t>1,35</w:t>
            </w:r>
          </w:p>
        </w:tc>
      </w:tr>
      <w:tr w:rsidR="002C79D8" w:rsidRPr="00C9023A" w:rsidTr="00C9023A">
        <w:trPr>
          <w:trHeight w:val="432"/>
          <w:jc w:val="center"/>
        </w:trPr>
        <w:tc>
          <w:tcPr>
            <w:cnfStyle w:val="001000000000" w:firstRow="0" w:lastRow="0" w:firstColumn="1" w:lastColumn="0" w:oddVBand="0" w:evenVBand="0" w:oddHBand="0" w:evenHBand="0" w:firstRowFirstColumn="0" w:firstRowLastColumn="0" w:lastRowFirstColumn="0" w:lastRowLastColumn="0"/>
            <w:tcW w:w="2130" w:type="dxa"/>
            <w:noWrap/>
            <w:vAlign w:val="center"/>
            <w:hideMark/>
          </w:tcPr>
          <w:p w:rsidR="00590E7F" w:rsidRPr="00C9023A" w:rsidRDefault="00590E7F" w:rsidP="007F7172">
            <w:pPr>
              <w:jc w:val="center"/>
              <w:rPr>
                <w:rFonts w:eastAsia="Times New Roman" w:cs="Times New Roman"/>
                <w:i w:val="0"/>
                <w:color w:val="auto"/>
                <w:sz w:val="18"/>
                <w:lang w:eastAsia="pt-PT"/>
              </w:rPr>
            </w:pPr>
            <w:r w:rsidRPr="00C9023A">
              <w:rPr>
                <w:rFonts w:eastAsia="Times New Roman" w:cs="Times New Roman"/>
                <w:i w:val="0"/>
                <w:color w:val="auto"/>
                <w:sz w:val="18"/>
                <w:lang w:eastAsia="pt-PT"/>
              </w:rPr>
              <w:t>Gelo e Gelados</w:t>
            </w:r>
          </w:p>
        </w:tc>
        <w:tc>
          <w:tcPr>
            <w:tcW w:w="1373" w:type="dxa"/>
            <w:noWrap/>
            <w:vAlign w:val="center"/>
            <w:hideMark/>
          </w:tcPr>
          <w:p w:rsidR="00590E7F" w:rsidRPr="00C9023A" w:rsidRDefault="00590E7F" w:rsidP="007F71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lang w:eastAsia="pt-PT"/>
              </w:rPr>
            </w:pPr>
            <w:r w:rsidRPr="00C9023A">
              <w:rPr>
                <w:rFonts w:cs="Times New Roman"/>
                <w:color w:val="auto"/>
                <w:sz w:val="18"/>
              </w:rPr>
              <w:t>1166258</w:t>
            </w:r>
          </w:p>
        </w:tc>
        <w:tc>
          <w:tcPr>
            <w:tcW w:w="1600" w:type="dxa"/>
            <w:noWrap/>
            <w:vAlign w:val="center"/>
            <w:hideMark/>
          </w:tcPr>
          <w:p w:rsidR="00590E7F" w:rsidRPr="00C9023A" w:rsidRDefault="00590E7F" w:rsidP="007F71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lang w:eastAsia="pt-PT"/>
              </w:rPr>
            </w:pPr>
            <w:r w:rsidRPr="00C9023A">
              <w:rPr>
                <w:rFonts w:eastAsia="Times New Roman" w:cs="Times New Roman"/>
                <w:color w:val="auto"/>
                <w:sz w:val="18"/>
                <w:lang w:eastAsia="pt-PT"/>
              </w:rPr>
              <w:t>19026</w:t>
            </w:r>
          </w:p>
        </w:tc>
        <w:tc>
          <w:tcPr>
            <w:tcW w:w="2261" w:type="dxa"/>
            <w:noWrap/>
            <w:vAlign w:val="center"/>
            <w:hideMark/>
          </w:tcPr>
          <w:p w:rsidR="00590E7F" w:rsidRPr="00C9023A" w:rsidRDefault="00590E7F" w:rsidP="007F7172">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rPr>
            </w:pPr>
            <w:r w:rsidRPr="00C9023A">
              <w:rPr>
                <w:rFonts w:cs="Times New Roman"/>
                <w:color w:val="auto"/>
                <w:sz w:val="18"/>
              </w:rPr>
              <w:t>4,27</w:t>
            </w:r>
          </w:p>
        </w:tc>
        <w:tc>
          <w:tcPr>
            <w:tcW w:w="1813" w:type="dxa"/>
            <w:vAlign w:val="center"/>
          </w:tcPr>
          <w:p w:rsidR="00590E7F" w:rsidRPr="00C9023A" w:rsidRDefault="00590E7F" w:rsidP="007F7172">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rPr>
            </w:pPr>
            <w:r w:rsidRPr="00C9023A">
              <w:rPr>
                <w:rFonts w:cs="Times New Roman"/>
                <w:color w:val="auto"/>
                <w:sz w:val="18"/>
              </w:rPr>
              <w:t>2,56</w:t>
            </w:r>
          </w:p>
        </w:tc>
      </w:tr>
      <w:tr w:rsidR="002C79D8" w:rsidRPr="00C9023A" w:rsidTr="00C9023A">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130" w:type="dxa"/>
            <w:noWrap/>
            <w:vAlign w:val="center"/>
            <w:hideMark/>
          </w:tcPr>
          <w:p w:rsidR="00590E7F" w:rsidRPr="00C9023A" w:rsidRDefault="00590E7F" w:rsidP="007F7172">
            <w:pPr>
              <w:jc w:val="center"/>
              <w:rPr>
                <w:rFonts w:eastAsia="Times New Roman" w:cs="Times New Roman"/>
                <w:i w:val="0"/>
                <w:color w:val="auto"/>
                <w:sz w:val="18"/>
                <w:lang w:eastAsia="pt-PT"/>
              </w:rPr>
            </w:pPr>
            <w:r w:rsidRPr="00C9023A">
              <w:rPr>
                <w:rFonts w:eastAsia="Times New Roman" w:cs="Times New Roman"/>
                <w:i w:val="0"/>
                <w:color w:val="auto"/>
                <w:sz w:val="18"/>
                <w:lang w:eastAsia="pt-PT"/>
              </w:rPr>
              <w:t>Laticínios</w:t>
            </w:r>
          </w:p>
        </w:tc>
        <w:tc>
          <w:tcPr>
            <w:tcW w:w="1373" w:type="dxa"/>
            <w:noWrap/>
            <w:vAlign w:val="center"/>
            <w:hideMark/>
          </w:tcPr>
          <w:p w:rsidR="00590E7F" w:rsidRPr="00C9023A" w:rsidRDefault="00590E7F" w:rsidP="007F71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lang w:eastAsia="pt-PT"/>
              </w:rPr>
            </w:pPr>
            <w:r w:rsidRPr="00C9023A">
              <w:rPr>
                <w:rFonts w:cs="Times New Roman"/>
                <w:color w:val="auto"/>
                <w:sz w:val="18"/>
              </w:rPr>
              <w:t>3184542</w:t>
            </w:r>
          </w:p>
        </w:tc>
        <w:tc>
          <w:tcPr>
            <w:tcW w:w="1600" w:type="dxa"/>
            <w:noWrap/>
            <w:vAlign w:val="center"/>
            <w:hideMark/>
          </w:tcPr>
          <w:p w:rsidR="00590E7F" w:rsidRPr="00C9023A" w:rsidRDefault="00590E7F" w:rsidP="007F71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18"/>
                <w:lang w:eastAsia="pt-PT"/>
              </w:rPr>
            </w:pPr>
            <w:r w:rsidRPr="00C9023A">
              <w:rPr>
                <w:rFonts w:eastAsia="Times New Roman" w:cs="Times New Roman"/>
                <w:color w:val="auto"/>
                <w:sz w:val="18"/>
                <w:lang w:eastAsia="pt-PT"/>
              </w:rPr>
              <w:t>44969</w:t>
            </w:r>
          </w:p>
        </w:tc>
        <w:tc>
          <w:tcPr>
            <w:tcW w:w="2261" w:type="dxa"/>
            <w:noWrap/>
            <w:vAlign w:val="center"/>
            <w:hideMark/>
          </w:tcPr>
          <w:p w:rsidR="00590E7F" w:rsidRPr="00C9023A" w:rsidRDefault="00590E7F" w:rsidP="007F7172">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rPr>
            </w:pPr>
            <w:r w:rsidRPr="00C9023A">
              <w:rPr>
                <w:rFonts w:cs="Times New Roman"/>
                <w:color w:val="auto"/>
                <w:sz w:val="18"/>
              </w:rPr>
              <w:t>6,17</w:t>
            </w:r>
          </w:p>
        </w:tc>
        <w:tc>
          <w:tcPr>
            <w:tcW w:w="1813" w:type="dxa"/>
            <w:vAlign w:val="center"/>
          </w:tcPr>
          <w:p w:rsidR="00590E7F" w:rsidRPr="00C9023A" w:rsidRDefault="00590E7F" w:rsidP="007F7172">
            <w:pPr>
              <w:jc w:val="center"/>
              <w:cnfStyle w:val="000000100000" w:firstRow="0" w:lastRow="0" w:firstColumn="0" w:lastColumn="0" w:oddVBand="0" w:evenVBand="0" w:oddHBand="1" w:evenHBand="0" w:firstRowFirstColumn="0" w:firstRowLastColumn="0" w:lastRowFirstColumn="0" w:lastRowLastColumn="0"/>
              <w:rPr>
                <w:rFonts w:cs="Times New Roman"/>
                <w:color w:val="auto"/>
                <w:sz w:val="18"/>
              </w:rPr>
            </w:pPr>
            <w:r w:rsidRPr="00C9023A">
              <w:rPr>
                <w:rFonts w:cs="Times New Roman"/>
                <w:color w:val="auto"/>
                <w:sz w:val="18"/>
              </w:rPr>
              <w:t>3,03</w:t>
            </w:r>
          </w:p>
        </w:tc>
      </w:tr>
      <w:tr w:rsidR="002C79D8" w:rsidRPr="00C9023A" w:rsidTr="00C9023A">
        <w:trPr>
          <w:trHeight w:val="432"/>
          <w:jc w:val="center"/>
        </w:trPr>
        <w:tc>
          <w:tcPr>
            <w:cnfStyle w:val="001000000000" w:firstRow="0" w:lastRow="0" w:firstColumn="1" w:lastColumn="0" w:oddVBand="0" w:evenVBand="0" w:oddHBand="0" w:evenHBand="0" w:firstRowFirstColumn="0" w:firstRowLastColumn="0" w:lastRowFirstColumn="0" w:lastRowLastColumn="0"/>
            <w:tcW w:w="2130" w:type="dxa"/>
            <w:noWrap/>
            <w:vAlign w:val="center"/>
            <w:hideMark/>
          </w:tcPr>
          <w:p w:rsidR="00590E7F" w:rsidRPr="00C9023A" w:rsidRDefault="00590E7F" w:rsidP="007F7172">
            <w:pPr>
              <w:jc w:val="center"/>
              <w:rPr>
                <w:rFonts w:eastAsia="Times New Roman" w:cs="Times New Roman"/>
                <w:i w:val="0"/>
                <w:color w:val="auto"/>
                <w:sz w:val="18"/>
                <w:lang w:eastAsia="pt-PT"/>
              </w:rPr>
            </w:pPr>
            <w:r w:rsidRPr="00C9023A">
              <w:rPr>
                <w:rFonts w:eastAsia="Times New Roman" w:cs="Times New Roman"/>
                <w:i w:val="0"/>
                <w:color w:val="auto"/>
                <w:sz w:val="18"/>
                <w:lang w:eastAsia="pt-PT"/>
              </w:rPr>
              <w:t>Pesca</w:t>
            </w:r>
          </w:p>
        </w:tc>
        <w:tc>
          <w:tcPr>
            <w:tcW w:w="1373" w:type="dxa"/>
            <w:noWrap/>
            <w:vAlign w:val="center"/>
            <w:hideMark/>
          </w:tcPr>
          <w:p w:rsidR="00590E7F" w:rsidRPr="00C9023A" w:rsidRDefault="00590E7F" w:rsidP="007F71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lang w:eastAsia="pt-PT"/>
              </w:rPr>
            </w:pPr>
            <w:r w:rsidRPr="00C9023A">
              <w:rPr>
                <w:rFonts w:cs="Times New Roman"/>
                <w:color w:val="auto"/>
                <w:sz w:val="18"/>
              </w:rPr>
              <w:t>1687185</w:t>
            </w:r>
          </w:p>
        </w:tc>
        <w:tc>
          <w:tcPr>
            <w:tcW w:w="1600" w:type="dxa"/>
            <w:noWrap/>
            <w:vAlign w:val="center"/>
            <w:hideMark/>
          </w:tcPr>
          <w:p w:rsidR="00590E7F" w:rsidRPr="00C9023A" w:rsidRDefault="00590E7F" w:rsidP="007F71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18"/>
                <w:lang w:eastAsia="pt-PT"/>
              </w:rPr>
            </w:pPr>
            <w:r w:rsidRPr="00C9023A">
              <w:rPr>
                <w:rFonts w:eastAsia="Times New Roman" w:cs="Times New Roman"/>
                <w:color w:val="auto"/>
                <w:sz w:val="18"/>
                <w:lang w:eastAsia="pt-PT"/>
              </w:rPr>
              <w:t>34633</w:t>
            </w:r>
          </w:p>
        </w:tc>
        <w:tc>
          <w:tcPr>
            <w:tcW w:w="2261" w:type="dxa"/>
            <w:noWrap/>
            <w:vAlign w:val="center"/>
            <w:hideMark/>
          </w:tcPr>
          <w:p w:rsidR="00590E7F" w:rsidRPr="00C9023A" w:rsidRDefault="00590E7F" w:rsidP="007F7172">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rPr>
            </w:pPr>
            <w:r w:rsidRPr="00C9023A">
              <w:rPr>
                <w:rFonts w:cs="Times New Roman"/>
                <w:color w:val="auto"/>
                <w:sz w:val="18"/>
              </w:rPr>
              <w:t>5,28</w:t>
            </w:r>
          </w:p>
        </w:tc>
        <w:tc>
          <w:tcPr>
            <w:tcW w:w="1813" w:type="dxa"/>
            <w:vAlign w:val="center"/>
          </w:tcPr>
          <w:p w:rsidR="00590E7F" w:rsidRPr="00C9023A" w:rsidRDefault="00590E7F" w:rsidP="007F7172">
            <w:pPr>
              <w:jc w:val="center"/>
              <w:cnfStyle w:val="000000000000" w:firstRow="0" w:lastRow="0" w:firstColumn="0" w:lastColumn="0" w:oddVBand="0" w:evenVBand="0" w:oddHBand="0" w:evenHBand="0" w:firstRowFirstColumn="0" w:firstRowLastColumn="0" w:lastRowFirstColumn="0" w:lastRowLastColumn="0"/>
              <w:rPr>
                <w:rFonts w:cs="Times New Roman"/>
                <w:color w:val="auto"/>
                <w:sz w:val="18"/>
              </w:rPr>
            </w:pPr>
            <w:r w:rsidRPr="00C9023A">
              <w:rPr>
                <w:rFonts w:cs="Times New Roman"/>
                <w:color w:val="auto"/>
                <w:sz w:val="18"/>
              </w:rPr>
              <w:t>3,22</w:t>
            </w:r>
          </w:p>
        </w:tc>
      </w:tr>
    </w:tbl>
    <w:p w:rsidR="00590E7F" w:rsidRPr="002C79D8" w:rsidRDefault="00590E7F" w:rsidP="007F7172">
      <w:pPr>
        <w:rPr>
          <w:rFonts w:eastAsiaTheme="minorEastAsia" w:cs="Times New Roman"/>
          <w:sz w:val="24"/>
        </w:rPr>
      </w:pPr>
    </w:p>
    <w:p w:rsidR="00590E7F" w:rsidRPr="002C79D8" w:rsidRDefault="00590E7F" w:rsidP="007F7172">
      <w:pPr>
        <w:rPr>
          <w:rFonts w:eastAsiaTheme="minorEastAsia" w:cs="Times New Roman"/>
        </w:rPr>
      </w:pPr>
      <w:r w:rsidRPr="002C79D8">
        <w:rPr>
          <w:rFonts w:eastAsiaTheme="minorEastAsia" w:cs="Times New Roman"/>
        </w:rPr>
        <w:t>Os agrupamentos que apresentam maiores FC são o da armazenagem frigorífica, laticínios e da pesca, pelo que, para um determinado valor de capital, apresentam um consumo energético mais elevado. É importante notar que estes valores são indicativos e que, assim sendo, poderão ser usados para tirar dois tipos de conclusão. Por um lado, dão uma ideia do consumo energético por SAE, em função do capital social, e por outro lado, permitem obter uma ideia imediata do enquadramento do consumo energético de uma determinada empresa, dentro do seu SAE.</w:t>
      </w:r>
    </w:p>
    <w:p w:rsidR="00590E7F" w:rsidRPr="002C79D8" w:rsidRDefault="00590E7F" w:rsidP="007F7172">
      <w:pPr>
        <w:rPr>
          <w:rFonts w:eastAsiaTheme="minorEastAsia" w:cs="Times New Roman"/>
        </w:rPr>
      </w:pPr>
      <w:r w:rsidRPr="002C79D8">
        <w:rPr>
          <w:rFonts w:eastAsiaTheme="minorEastAsia" w:cs="Times New Roman"/>
        </w:rPr>
        <w:t>Deste modo, uma empresa cujo valor de FC</w:t>
      </w:r>
      <w:r w:rsidRPr="002C79D8">
        <w:rPr>
          <w:rFonts w:eastAsiaTheme="minorEastAsia" w:cs="Times New Roman"/>
          <w:vertAlign w:val="subscript"/>
        </w:rPr>
        <w:t>empresa</w:t>
      </w:r>
      <w:r w:rsidRPr="002C79D8">
        <w:rPr>
          <w:rFonts w:eastAsiaTheme="minorEastAsia" w:cs="Times New Roman"/>
        </w:rPr>
        <w:t xml:space="preserve"> seja superior ao valor de FC</w:t>
      </w:r>
      <w:r w:rsidRPr="002C79D8">
        <w:rPr>
          <w:rFonts w:eastAsiaTheme="minorEastAsia" w:cs="Times New Roman"/>
          <w:vertAlign w:val="subscript"/>
        </w:rPr>
        <w:t>agrupamento</w:t>
      </w:r>
      <w:r w:rsidRPr="002C79D8">
        <w:rPr>
          <w:rFonts w:eastAsiaTheme="minorEastAsia" w:cs="Times New Roman"/>
        </w:rPr>
        <w:t>, poderá estar acima daquele que é o valor médio nacional. Tendo em conta que o valor empírico resulta de instalações reais, significa que este próprio pode não corresponder aos valores ótimos de uma instalação eficiente do ponto de vista energético. No entanto, qualquer instalação cujo FC</w:t>
      </w:r>
      <w:r w:rsidRPr="002C79D8">
        <w:rPr>
          <w:rFonts w:eastAsiaTheme="minorEastAsia" w:cs="Times New Roman"/>
          <w:vertAlign w:val="subscript"/>
        </w:rPr>
        <w:t>empresa</w:t>
      </w:r>
      <w:r w:rsidRPr="002C79D8">
        <w:rPr>
          <w:rFonts w:eastAsiaTheme="minorEastAsia" w:cs="Times New Roman"/>
        </w:rPr>
        <w:t xml:space="preserve"> seja superior ao valor empírico, poderá, à partida, representar oportunidades de investimento com fim de melhoria da eficiência energética, pois está acima de um valor que já por si não é ótimo.</w:t>
      </w:r>
    </w:p>
    <w:p w:rsidR="00590E7F" w:rsidRPr="002C79D8" w:rsidRDefault="00590E7F" w:rsidP="007F7172">
      <w:pPr>
        <w:rPr>
          <w:rFonts w:eastAsiaTheme="minorEastAsia" w:cs="Times New Roman"/>
        </w:rPr>
      </w:pPr>
      <w:r w:rsidRPr="002C79D8">
        <w:rPr>
          <w:rFonts w:eastAsiaTheme="minorEastAsia" w:cs="Times New Roman"/>
        </w:rPr>
        <w:t>Sendo que o presente estudo se foca nas instalações de refrigeração, será importante a análise do Fator de Consumo de Frio.</w:t>
      </w:r>
    </w:p>
    <w:p w:rsidR="00590E7F" w:rsidRPr="002C79D8" w:rsidRDefault="00590E7F" w:rsidP="007F7172">
      <w:pPr>
        <w:rPr>
          <w:rFonts w:eastAsiaTheme="minorEastAsia" w:cs="Times New Roman"/>
        </w:rPr>
      </w:pPr>
      <w:r w:rsidRPr="002C79D8">
        <w:rPr>
          <w:rFonts w:eastAsiaTheme="minorEastAsia" w:cs="Times New Roman"/>
        </w:rPr>
        <w:t xml:space="preserve">Dada a alta percentagem de consumo energético direcionada para a refrigeração, o agrupamento da armazenagem frigorífica continua com um elevado FCF. Por outro lado, o agrupamento dos Laticínios apresenta um FCF muito menor, pois o consumo das instalações de frio representa </w:t>
      </w:r>
      <w:r w:rsidR="002C79D8" w:rsidRPr="002C79D8">
        <w:rPr>
          <w:rFonts w:eastAsiaTheme="minorEastAsia" w:cs="Times New Roman"/>
        </w:rPr>
        <w:t>um peso menor no consumo total.</w:t>
      </w:r>
    </w:p>
    <w:p w:rsidR="00590E7F" w:rsidRPr="002C79D8" w:rsidRDefault="00590E7F" w:rsidP="007F7172">
      <w:pPr>
        <w:rPr>
          <w:rFonts w:eastAsiaTheme="minorEastAsia" w:cs="Times New Roman"/>
        </w:rPr>
      </w:pPr>
      <w:r w:rsidRPr="002C79D8">
        <w:rPr>
          <w:rFonts w:eastAsiaTheme="minorEastAsia" w:cs="Times New Roman"/>
        </w:rPr>
        <w:t>Deste modo, o raciocínio para a análise preliminar</w:t>
      </w:r>
      <w:r w:rsidRPr="009929E8">
        <w:rPr>
          <w:rFonts w:eastAsiaTheme="minorEastAsia" w:cs="Times New Roman"/>
        </w:rPr>
        <w:t xml:space="preserve"> </w:t>
      </w:r>
      <w:r w:rsidR="001C2390" w:rsidRPr="009929E8">
        <w:rPr>
          <w:rFonts w:eastAsiaTheme="minorEastAsia" w:cs="Times New Roman"/>
        </w:rPr>
        <w:t xml:space="preserve">do desempenho </w:t>
      </w:r>
      <w:r w:rsidRPr="002C79D8">
        <w:rPr>
          <w:rFonts w:eastAsiaTheme="minorEastAsia" w:cs="Times New Roman"/>
        </w:rPr>
        <w:t>de uma instalação de frio pode ser feito de forma similar ao do exemplo anterior, mas desta vez, por dois métodos distintos:</w:t>
      </w:r>
    </w:p>
    <w:p w:rsidR="00590E7F" w:rsidRPr="002C79D8" w:rsidRDefault="00590E7F" w:rsidP="009929E8">
      <w:pPr>
        <w:pStyle w:val="PargrafodaLista"/>
        <w:numPr>
          <w:ilvl w:val="0"/>
          <w:numId w:val="35"/>
        </w:numPr>
        <w:rPr>
          <w:rFonts w:eastAsiaTheme="minorEastAsia" w:cs="Times New Roman"/>
        </w:rPr>
      </w:pPr>
      <w:r w:rsidRPr="002C79D8">
        <w:rPr>
          <w:rFonts w:eastAsiaTheme="minorEastAsia" w:cs="Times New Roman"/>
        </w:rPr>
        <w:t>Conhecendo, especificamente, o consumo energético do sistema de refrigeração;</w:t>
      </w:r>
    </w:p>
    <w:p w:rsidR="00590E7F" w:rsidRPr="002C79D8" w:rsidRDefault="00590E7F" w:rsidP="009929E8">
      <w:pPr>
        <w:pStyle w:val="PargrafodaLista"/>
        <w:numPr>
          <w:ilvl w:val="0"/>
          <w:numId w:val="35"/>
        </w:numPr>
        <w:rPr>
          <w:rFonts w:eastAsiaTheme="minorEastAsia" w:cs="Times New Roman"/>
        </w:rPr>
      </w:pPr>
      <w:r w:rsidRPr="002C79D8">
        <w:rPr>
          <w:rFonts w:eastAsiaTheme="minorEastAsia" w:cs="Times New Roman"/>
        </w:rPr>
        <w:t>Não conhecendo, especificamente, o consumo energético do sistema de refrigeração.</w:t>
      </w:r>
    </w:p>
    <w:p w:rsidR="00590E7F" w:rsidRPr="002C79D8" w:rsidRDefault="00590E7F" w:rsidP="004F0FB6">
      <w:pPr>
        <w:pStyle w:val="Cabealho3"/>
        <w:rPr>
          <w:rFonts w:eastAsiaTheme="minorEastAsia"/>
        </w:rPr>
      </w:pPr>
      <w:bookmarkStart w:id="22" w:name="_Toc412727876"/>
      <w:r w:rsidRPr="002C79D8">
        <w:rPr>
          <w:rFonts w:eastAsiaTheme="minorEastAsia"/>
        </w:rPr>
        <w:t>Análise do FCF conhecendo o consumo real do equipamento de frio</w:t>
      </w:r>
      <w:bookmarkEnd w:id="22"/>
    </w:p>
    <w:p w:rsidR="00590E7F" w:rsidRPr="002C79D8" w:rsidRDefault="00590E7F" w:rsidP="007F7172">
      <w:pPr>
        <w:rPr>
          <w:rFonts w:cs="Times New Roman"/>
        </w:rPr>
      </w:pPr>
      <w:r w:rsidRPr="002C79D8">
        <w:rPr>
          <w:rFonts w:cs="Times New Roman"/>
        </w:rPr>
        <w:t>Antes de mais, será importante mencionar que este será o método mais objetivo, pois não existe a necessidade de depender dos valores médios percentuais de consumo de frio do SAE em questão.</w:t>
      </w:r>
    </w:p>
    <w:p w:rsidR="00590E7F" w:rsidRPr="002C79D8" w:rsidRDefault="00590E7F" w:rsidP="007F7172">
      <w:pPr>
        <w:rPr>
          <w:rFonts w:cs="Times New Roman"/>
        </w:rPr>
      </w:pPr>
      <w:r w:rsidRPr="002C79D8">
        <w:rPr>
          <w:rFonts w:cs="Times New Roman"/>
        </w:rPr>
        <w:t>Numa primeira fase, será importante conhecer o capital social e o consumo energético mensal dos equipamentos de frio da empresa em questão. Seguidamente, poderá ser obtido o valor de FCF</w:t>
      </w:r>
      <w:r w:rsidRPr="002C79D8">
        <w:rPr>
          <w:rFonts w:cs="Times New Roman"/>
          <w:vertAlign w:val="subscript"/>
        </w:rPr>
        <w:t>empresa</w:t>
      </w:r>
      <w:r w:rsidRPr="002C79D8">
        <w:rPr>
          <w:rFonts w:cs="Times New Roman"/>
        </w:rPr>
        <w:t xml:space="preserve"> e comparado com o FCF</w:t>
      </w:r>
      <w:r w:rsidRPr="002C79D8">
        <w:rPr>
          <w:rFonts w:cs="Times New Roman"/>
          <w:vertAlign w:val="subscript"/>
        </w:rPr>
        <w:t>agrupamento</w:t>
      </w:r>
      <w:r w:rsidRPr="002C79D8">
        <w:rPr>
          <w:rFonts w:cs="Times New Roman"/>
        </w:rPr>
        <w:t xml:space="preserve"> do agrupamento no qual a empresa se insere. Se FCF</w:t>
      </w:r>
      <w:r w:rsidRPr="002C79D8">
        <w:rPr>
          <w:rFonts w:cs="Times New Roman"/>
          <w:vertAlign w:val="subscript"/>
        </w:rPr>
        <w:t>empresa</w:t>
      </w:r>
      <w:r w:rsidRPr="002C79D8">
        <w:rPr>
          <w:rFonts w:cs="Times New Roman"/>
        </w:rPr>
        <w:t xml:space="preserve"> for maior ou igual ao FCF</w:t>
      </w:r>
      <w:r w:rsidRPr="002C79D8">
        <w:rPr>
          <w:rFonts w:cs="Times New Roman"/>
          <w:vertAlign w:val="subscript"/>
        </w:rPr>
        <w:t>agrupamento</w:t>
      </w:r>
      <w:r w:rsidRPr="002C79D8">
        <w:rPr>
          <w:rFonts w:cs="Times New Roman"/>
        </w:rPr>
        <w:t>, a empresa poderá representar oportunidades de investimento no sentido de aumentar a sua eficiência energética.</w:t>
      </w:r>
    </w:p>
    <w:p w:rsidR="00590E7F" w:rsidRPr="002C79D8" w:rsidRDefault="00590E7F" w:rsidP="004F0FB6">
      <w:pPr>
        <w:pStyle w:val="Cabealho3"/>
      </w:pPr>
      <w:bookmarkStart w:id="23" w:name="_Toc412727877"/>
      <w:r w:rsidRPr="002C79D8">
        <w:t>Cálculo do FCF desconhecendo o consumo real do equipamento de frio</w:t>
      </w:r>
      <w:bookmarkEnd w:id="23"/>
    </w:p>
    <w:p w:rsidR="00590E7F" w:rsidRPr="002C79D8" w:rsidRDefault="00590E7F" w:rsidP="007F7172">
      <w:pPr>
        <w:rPr>
          <w:rFonts w:cs="Times New Roman"/>
        </w:rPr>
      </w:pPr>
      <w:r w:rsidRPr="002C79D8">
        <w:rPr>
          <w:rFonts w:cs="Times New Roman"/>
        </w:rPr>
        <w:t>Este método, apesar de depender dos valores médios percentuais de consumo de frio do SAE da empresa a ser tratada, trata-se de um método cujo resultado será de mais fácil obtenção, pois a informação do consumo energético total da empresa é uma informação de mais simples obtenção. Assim, será necessário conhecer o consumo total energético mensal e o capital social da empresa em questão. Seguidamente calcular-se-á o Fator de Consumo e este será multiplicado pela percentagem do consumo associada ao agrupamento no qual a empresa se insere. Assim será obtido o FCF</w:t>
      </w:r>
      <w:r w:rsidRPr="002C79D8">
        <w:rPr>
          <w:rFonts w:cs="Times New Roman"/>
          <w:vertAlign w:val="subscript"/>
        </w:rPr>
        <w:t xml:space="preserve">empresa </w:t>
      </w:r>
      <w:r w:rsidRPr="002C79D8">
        <w:rPr>
          <w:rFonts w:cs="Times New Roman"/>
        </w:rPr>
        <w:t>e este poderá ser então comparado com o FCF</w:t>
      </w:r>
      <w:r w:rsidRPr="002C79D8">
        <w:rPr>
          <w:rFonts w:cs="Times New Roman"/>
          <w:vertAlign w:val="subscript"/>
        </w:rPr>
        <w:t>agrupamento</w:t>
      </w:r>
      <w:r w:rsidRPr="002C79D8">
        <w:rPr>
          <w:rFonts w:cs="Times New Roman"/>
        </w:rPr>
        <w:t>.</w:t>
      </w:r>
    </w:p>
    <w:p w:rsidR="00590E7F" w:rsidRPr="002C79D8" w:rsidRDefault="00C9023A" w:rsidP="004F0FB6">
      <w:pPr>
        <w:pStyle w:val="Cabealho2"/>
      </w:pPr>
      <w:r>
        <w:t>Outros dados recolhidos</w:t>
      </w:r>
    </w:p>
    <w:p w:rsidR="00590E7F" w:rsidRPr="00C9023A" w:rsidRDefault="00590E7F" w:rsidP="00C9023A">
      <w:pPr>
        <w:rPr>
          <w:rFonts w:cs="Times New Roman"/>
          <w:szCs w:val="24"/>
        </w:rPr>
      </w:pPr>
      <w:r w:rsidRPr="002C79D8">
        <w:rPr>
          <w:rFonts w:cs="Times New Roman"/>
          <w:szCs w:val="24"/>
        </w:rPr>
        <w:t>Ao longo do estudo, as empresas foram também questionadas relativamente ao fluido frigorigéneo utilizado nas suas instalações</w:t>
      </w:r>
      <w:r w:rsidR="00C9023A">
        <w:rPr>
          <w:rFonts w:cs="Times New Roman"/>
          <w:szCs w:val="24"/>
        </w:rPr>
        <w:t xml:space="preserve"> (96 respostas)</w:t>
      </w:r>
      <w:r w:rsidRPr="002C79D8">
        <w:rPr>
          <w:rFonts w:cs="Times New Roman"/>
          <w:szCs w:val="24"/>
        </w:rPr>
        <w:t xml:space="preserve">. </w:t>
      </w:r>
      <w:r w:rsidR="00C9023A">
        <w:rPr>
          <w:rFonts w:cs="Times New Roman"/>
          <w:szCs w:val="24"/>
        </w:rPr>
        <w:t>Sendo que os mais utilizados são o R404A (50%), Amoníaco (26%) e outros (24%):</w:t>
      </w:r>
    </w:p>
    <w:p w:rsidR="00094A3B" w:rsidRDefault="00C9023A" w:rsidP="007F7172">
      <w:pPr>
        <w:rPr>
          <w:rFonts w:cs="Times New Roman"/>
          <w:szCs w:val="24"/>
        </w:rPr>
      </w:pPr>
      <w:r>
        <w:rPr>
          <w:rFonts w:cs="Times New Roman"/>
          <w:szCs w:val="24"/>
        </w:rPr>
        <w:t>O</w:t>
      </w:r>
      <w:r w:rsidR="00590E7F" w:rsidRPr="002C79D8">
        <w:rPr>
          <w:rFonts w:cs="Times New Roman"/>
          <w:szCs w:val="24"/>
        </w:rPr>
        <w:t xml:space="preserve"> Amoníaco</w:t>
      </w:r>
      <w:r>
        <w:rPr>
          <w:rFonts w:cs="Times New Roman"/>
          <w:szCs w:val="24"/>
        </w:rPr>
        <w:t xml:space="preserve"> é um fluído</w:t>
      </w:r>
      <w:r w:rsidR="00590E7F" w:rsidRPr="002C79D8">
        <w:rPr>
          <w:rFonts w:cs="Times New Roman"/>
          <w:szCs w:val="24"/>
        </w:rPr>
        <w:t xml:space="preserve"> de interessante análise pois este pode ser utilizado em ciclos de compressão a vapor, ma</w:t>
      </w:r>
      <w:r w:rsidR="009929E8">
        <w:rPr>
          <w:rFonts w:cs="Times New Roman"/>
          <w:szCs w:val="24"/>
        </w:rPr>
        <w:t>s também em ciclos de absorção.</w:t>
      </w:r>
    </w:p>
    <w:p w:rsidR="00094A3B" w:rsidRDefault="00094A3B" w:rsidP="007F7172">
      <w:pPr>
        <w:rPr>
          <w:rFonts w:cs="Times New Roman"/>
          <w:szCs w:val="24"/>
        </w:rPr>
      </w:pPr>
    </w:p>
    <w:p w:rsidR="00590E7F" w:rsidRPr="002C79D8" w:rsidRDefault="00094A3B" w:rsidP="007F7172">
      <w:pPr>
        <w:rPr>
          <w:rFonts w:cs="Times New Roman"/>
        </w:rPr>
      </w:pPr>
      <w:r>
        <w:rPr>
          <w:rFonts w:cs="Times New Roman"/>
          <w:szCs w:val="24"/>
        </w:rPr>
        <w:t>Relativamente aos métodos de descongelação das câmaras, aproximadamente 51,8 % utilizam resistência</w:t>
      </w:r>
      <w:r w:rsidR="001C2390">
        <w:rPr>
          <w:rFonts w:cs="Times New Roman"/>
          <w:szCs w:val="24"/>
        </w:rPr>
        <w:t xml:space="preserve"> </w:t>
      </w:r>
      <w:r w:rsidR="009929E8">
        <w:rPr>
          <w:rFonts w:cs="Times New Roman"/>
          <w:szCs w:val="24"/>
        </w:rPr>
        <w:t>elétrica</w:t>
      </w:r>
      <w:r>
        <w:rPr>
          <w:rFonts w:cs="Times New Roman"/>
          <w:szCs w:val="24"/>
        </w:rPr>
        <w:t>, 34,9 % a gás quente, 4,8 % a ventilação, 2,4 % a água e os restantes 6,0 % não efetuam qualquer método ou desligam apenas o frio.</w:t>
      </w:r>
      <w:r>
        <w:rPr>
          <w:rFonts w:cs="Times New Roman"/>
        </w:rPr>
        <w:t xml:space="preserve"> </w:t>
      </w:r>
      <w:r w:rsidR="00590E7F" w:rsidRPr="002C79D8">
        <w:rPr>
          <w:rFonts w:cs="Times New Roman"/>
        </w:rPr>
        <w:t xml:space="preserve">Com esta análise é possível concluir que existe espaço para melhoria no que toca </w:t>
      </w:r>
      <w:r>
        <w:rPr>
          <w:rFonts w:cs="Times New Roman"/>
        </w:rPr>
        <w:t>à descongelação das instalações, visto que o método teoricamente mais económico (descongelação a gás quente) não é o mais utilizado.</w:t>
      </w:r>
    </w:p>
    <w:p w:rsidR="00094A3B" w:rsidRDefault="00094A3B" w:rsidP="007F7172">
      <w:pPr>
        <w:rPr>
          <w:rFonts w:cs="Times New Roman"/>
          <w:szCs w:val="24"/>
        </w:rPr>
      </w:pPr>
    </w:p>
    <w:p w:rsidR="00590E7F" w:rsidRPr="002C79D8" w:rsidRDefault="00590E7F" w:rsidP="007F7172">
      <w:pPr>
        <w:rPr>
          <w:rFonts w:cs="Times New Roman"/>
          <w:szCs w:val="24"/>
        </w:rPr>
      </w:pPr>
      <w:r w:rsidRPr="002C79D8">
        <w:rPr>
          <w:rFonts w:cs="Times New Roman"/>
          <w:szCs w:val="24"/>
        </w:rPr>
        <w:t>Ao longo deste estudo, a maioria das empresas possuía isolamentos de painel isotérmico, sendo que a amostra de painéis de isola</w:t>
      </w:r>
      <w:r w:rsidR="00094A3B">
        <w:rPr>
          <w:rFonts w:cs="Times New Roman"/>
          <w:szCs w:val="24"/>
        </w:rPr>
        <w:t>mento de cortiça foi desprezada.</w:t>
      </w:r>
    </w:p>
    <w:p w:rsidR="00590E7F" w:rsidRPr="002C79D8" w:rsidRDefault="00590E7F" w:rsidP="007F7172">
      <w:pPr>
        <w:rPr>
          <w:rFonts w:cs="Times New Roman"/>
        </w:rPr>
      </w:pPr>
      <w:r w:rsidRPr="002C79D8">
        <w:rPr>
          <w:rFonts w:cs="Times New Roman"/>
          <w:szCs w:val="24"/>
        </w:rPr>
        <w:t>Aquando dos inquéritos, tentou-se fazer a distinção entre as espessuras dos painéis isotérmicos para zonas de refrig</w:t>
      </w:r>
      <w:r w:rsidR="00094A3B">
        <w:rPr>
          <w:rFonts w:cs="Times New Roman"/>
          <w:szCs w:val="24"/>
        </w:rPr>
        <w:t xml:space="preserve">eração e de congelação, sendo que as espessuras médias são de 83 mm e de 149 mm, respetivamente. </w:t>
      </w:r>
      <w:r w:rsidR="00094A3B">
        <w:rPr>
          <w:rFonts w:cs="Times New Roman"/>
        </w:rPr>
        <w:t>É</w:t>
      </w:r>
      <w:r w:rsidRPr="002C79D8">
        <w:rPr>
          <w:rFonts w:cs="Times New Roman"/>
        </w:rPr>
        <w:t xml:space="preserve"> possível concluir que os valores médios estão de acor</w:t>
      </w:r>
      <w:r w:rsidR="00094A3B">
        <w:rPr>
          <w:rFonts w:cs="Times New Roman"/>
        </w:rPr>
        <w:t xml:space="preserve">do com os valores da literatura </w:t>
      </w:r>
      <w:r w:rsidRPr="002C79D8">
        <w:rPr>
          <w:rFonts w:cs="Times New Roman"/>
        </w:rPr>
        <w:t>no caso da congelação, em que os isolamentos deverão rondar valores entre 130 e 150 mm. Já no caso das câmaras de refrigeração, os valores obtidos demonstram um subdimensionamento do isolamento das paredes das câmaras (deveriam rondar valores entre 100 e 130 mm), pelo que as perdas de calor nestas câmaras deverão ser superiores aos valores ótimos, reduzindo assim a eficiência da instalação</w:t>
      </w:r>
      <w:r w:rsidR="003F5738">
        <w:rPr>
          <w:rFonts w:cs="Times New Roman"/>
        </w:rPr>
        <w:t xml:space="preserve"> [3].</w:t>
      </w:r>
    </w:p>
    <w:p w:rsidR="00D25464" w:rsidRDefault="00D25464" w:rsidP="007F7172">
      <w:pPr>
        <w:rPr>
          <w:rFonts w:cs="Times New Roman"/>
        </w:rPr>
      </w:pPr>
    </w:p>
    <w:p w:rsidR="00590E7F" w:rsidRPr="002C79D8" w:rsidRDefault="00590E7F" w:rsidP="007F7172">
      <w:pPr>
        <w:rPr>
          <w:rFonts w:cs="Times New Roman"/>
        </w:rPr>
      </w:pPr>
      <w:r w:rsidRPr="002C79D8">
        <w:rPr>
          <w:rFonts w:cs="Times New Roman"/>
        </w:rPr>
        <w:t>Para ter uma ideia do nível de conhecimento que as empresas detêm sobre as suas instalações, foram efetuadas questões sobre a instalação</w:t>
      </w:r>
      <w:r w:rsidR="00D25464">
        <w:rPr>
          <w:rFonts w:cs="Times New Roman"/>
        </w:rPr>
        <w:t xml:space="preserve"> e a manutenção dos equipamentos. Relativamente à instalação, 87% foi</w:t>
      </w:r>
      <w:r w:rsidRPr="002C79D8">
        <w:rPr>
          <w:rFonts w:cs="Times New Roman"/>
        </w:rPr>
        <w:t xml:space="preserve"> efetuada por terceiros, 8% pela própria empresa e 5% têm equ</w:t>
      </w:r>
      <w:r w:rsidR="00D25464">
        <w:rPr>
          <w:rFonts w:cs="Times New Roman"/>
        </w:rPr>
        <w:t xml:space="preserve">ipamentos instalados por ambos. </w:t>
      </w:r>
      <w:r w:rsidRPr="002C79D8">
        <w:rPr>
          <w:rFonts w:cs="Times New Roman"/>
        </w:rPr>
        <w:t>No caso da manutenção, a amostra é de apenas 29 empresas, visto que esta informação foi recolhida no segundo inquérito apenas, o qual obteve 35 respostas numa população de 96 empresas. No entanto, 62% da manutenção é feita por terceiros, 21% pela própria empresa e 17% por ambas, sendo que neste caso as empresas fazem manutenção de casos simples, tendo que recorrer a empresas especia</w:t>
      </w:r>
      <w:r w:rsidR="00D25464">
        <w:rPr>
          <w:rFonts w:cs="Times New Roman"/>
        </w:rPr>
        <w:t>lizadas em casos mais complexos, concluindo-se que</w:t>
      </w:r>
      <w:r w:rsidRPr="002C79D8">
        <w:rPr>
          <w:rFonts w:cs="Times New Roman"/>
        </w:rPr>
        <w:t xml:space="preserve"> existe uma enorme dependência de empresas especializadas da área para instalação e manutenção das instalações</w:t>
      </w:r>
      <w:r w:rsidR="00D25464">
        <w:rPr>
          <w:rFonts w:cs="Times New Roman"/>
        </w:rPr>
        <w:t>.</w:t>
      </w:r>
      <w:r w:rsidRPr="002C79D8">
        <w:rPr>
          <w:rFonts w:cs="Times New Roman"/>
        </w:rPr>
        <w:t xml:space="preserve"> </w:t>
      </w:r>
      <w:r w:rsidR="00D25464">
        <w:rPr>
          <w:rFonts w:cs="Times New Roman"/>
        </w:rPr>
        <w:t>É</w:t>
      </w:r>
      <w:r w:rsidRPr="002C79D8">
        <w:rPr>
          <w:rFonts w:cs="Times New Roman"/>
        </w:rPr>
        <w:t xml:space="preserve"> importante a</w:t>
      </w:r>
      <w:r w:rsidR="00D25464">
        <w:rPr>
          <w:rFonts w:cs="Times New Roman"/>
        </w:rPr>
        <w:t>s</w:t>
      </w:r>
      <w:r w:rsidRPr="002C79D8">
        <w:rPr>
          <w:rFonts w:cs="Times New Roman"/>
        </w:rPr>
        <w:t xml:space="preserve"> empresa</w:t>
      </w:r>
      <w:r w:rsidR="00D25464">
        <w:rPr>
          <w:rFonts w:cs="Times New Roman"/>
        </w:rPr>
        <w:t>s</w:t>
      </w:r>
      <w:r w:rsidRPr="002C79D8">
        <w:rPr>
          <w:rFonts w:cs="Times New Roman"/>
        </w:rPr>
        <w:t xml:space="preserve"> ter</w:t>
      </w:r>
      <w:r w:rsidR="00D25464">
        <w:rPr>
          <w:rFonts w:cs="Times New Roman"/>
        </w:rPr>
        <w:t>em</w:t>
      </w:r>
      <w:r w:rsidRPr="002C79D8">
        <w:rPr>
          <w:rFonts w:cs="Times New Roman"/>
        </w:rPr>
        <w:t xml:space="preserve"> pessoal especializado nas suas instalações, para que exista um interesse interno da empresa em melhorar e atualizar as mesmas, para que estas funcionem, sempre que possível, nas condiçõe</w:t>
      </w:r>
      <w:r w:rsidR="002C79D8">
        <w:rPr>
          <w:rFonts w:cs="Times New Roman"/>
        </w:rPr>
        <w:t>s ótimas e de maior eficiência.</w:t>
      </w:r>
    </w:p>
    <w:p w:rsidR="00D25464" w:rsidRDefault="00D25464" w:rsidP="007F7172">
      <w:pPr>
        <w:rPr>
          <w:rFonts w:cs="Times New Roman"/>
          <w:szCs w:val="24"/>
        </w:rPr>
      </w:pPr>
    </w:p>
    <w:p w:rsidR="00590E7F" w:rsidRPr="002C79D8" w:rsidRDefault="00590E7F" w:rsidP="007F7172">
      <w:pPr>
        <w:rPr>
          <w:rFonts w:cs="Times New Roman"/>
          <w:szCs w:val="24"/>
        </w:rPr>
      </w:pPr>
      <w:r w:rsidRPr="002C79D8">
        <w:rPr>
          <w:rFonts w:cs="Times New Roman"/>
          <w:szCs w:val="24"/>
        </w:rPr>
        <w:t>Antes de qualquer investimento para melhoria da eficiência energética, é importante que cada empresa analise os seus hábitos de utilização das câmaras. Dada a diversidade de processos e instalações, tentou manter-se esta secção simples e expedita. Assim, foram analisados dois fatores relativamente aos hábitos de utilização:</w:t>
      </w:r>
    </w:p>
    <w:p w:rsidR="00D25464" w:rsidRDefault="00590E7F" w:rsidP="00D25464">
      <w:pPr>
        <w:pStyle w:val="PargrafodaLista"/>
        <w:numPr>
          <w:ilvl w:val="0"/>
          <w:numId w:val="29"/>
        </w:numPr>
        <w:rPr>
          <w:rFonts w:cs="Times New Roman"/>
          <w:szCs w:val="24"/>
        </w:rPr>
      </w:pPr>
      <w:r w:rsidRPr="002C79D8">
        <w:rPr>
          <w:rFonts w:cs="Times New Roman"/>
          <w:szCs w:val="24"/>
        </w:rPr>
        <w:t>Número de acessos às câmaras;</w:t>
      </w:r>
    </w:p>
    <w:p w:rsidR="00590E7F" w:rsidRPr="00D25464" w:rsidRDefault="00590E7F" w:rsidP="00D25464">
      <w:pPr>
        <w:pStyle w:val="PargrafodaLista"/>
        <w:numPr>
          <w:ilvl w:val="0"/>
          <w:numId w:val="29"/>
        </w:numPr>
        <w:rPr>
          <w:rFonts w:cs="Times New Roman"/>
          <w:szCs w:val="24"/>
        </w:rPr>
      </w:pPr>
      <w:r w:rsidRPr="00D25464">
        <w:rPr>
          <w:rFonts w:cs="Times New Roman"/>
          <w:szCs w:val="24"/>
        </w:rPr>
        <w:t>Distinção entre utilização anual ou sazonal das câmaras.</w:t>
      </w:r>
    </w:p>
    <w:p w:rsidR="00590E7F" w:rsidRPr="002C79D8" w:rsidRDefault="00590E7F" w:rsidP="00D25464">
      <w:r w:rsidRPr="002C79D8">
        <w:rPr>
          <w:rFonts w:cs="Times New Roman"/>
          <w:szCs w:val="24"/>
        </w:rPr>
        <w:t>Assim, relativamente aos acessos às câmaras</w:t>
      </w:r>
      <w:r w:rsidR="00D25464">
        <w:rPr>
          <w:rFonts w:cs="Times New Roman"/>
          <w:szCs w:val="24"/>
        </w:rPr>
        <w:t>, 72 % acede mais de cinco vezes por dia às câmaras e 9 % três a quatro vezes por dia, sendo que o restante (19 %) acede menos de três vezes por dia.</w:t>
      </w:r>
    </w:p>
    <w:p w:rsidR="00590E7F" w:rsidRPr="00E73E6A" w:rsidRDefault="00590E7F" w:rsidP="007F7172">
      <w:pPr>
        <w:rPr>
          <w:rFonts w:cs="Times New Roman"/>
          <w:color w:val="00B0F0"/>
        </w:rPr>
      </w:pPr>
      <w:r w:rsidRPr="002C79D8">
        <w:rPr>
          <w:rFonts w:cs="Times New Roman"/>
        </w:rPr>
        <w:t>Será importante notar que algumas das empresas têm uma frequência de acesso muito superior a cinco vezes por dia, pelo que esta questão específica do inquérito poderia ser</w:t>
      </w:r>
      <w:r w:rsidR="009929E8">
        <w:rPr>
          <w:rFonts w:cs="Times New Roman"/>
        </w:rPr>
        <w:t xml:space="preserve"> refinada para estudos futuros.</w:t>
      </w:r>
    </w:p>
    <w:p w:rsidR="00590E7F" w:rsidRPr="002C79D8" w:rsidRDefault="00590E7F" w:rsidP="007F7172">
      <w:pPr>
        <w:rPr>
          <w:rFonts w:cs="Times New Roman"/>
        </w:rPr>
      </w:pPr>
      <w:r w:rsidRPr="002C79D8">
        <w:rPr>
          <w:rFonts w:cs="Times New Roman"/>
        </w:rPr>
        <w:t>Observa-se, então, que as zonas de entrada e saída das câmaras serão zonas onde, eventualmente, poderão existir grandes perdas térmicas, não só pela frequência dos acessos, mas também pela duração dos mesmos e o tempo que as portas poderão estar abertas. Existem soluções para a redução das perdas nestas zonas, como por exemplo instalando lamelas, cortinas de ar ou portas de acesso rápido.</w:t>
      </w:r>
    </w:p>
    <w:p w:rsidR="00590E7F" w:rsidRPr="002C79D8" w:rsidRDefault="00590E7F" w:rsidP="007F7172">
      <w:pPr>
        <w:rPr>
          <w:rFonts w:cs="Times New Roman"/>
        </w:rPr>
      </w:pPr>
      <w:r w:rsidRPr="002C79D8">
        <w:rPr>
          <w:rFonts w:cs="Times New Roman"/>
        </w:rPr>
        <w:t>Além dos acessos às câmaras, foi também analisada a utilização anual das câmaras, sendo que 91% das instalações funcionam o ano todo, 3% encerram sazonalmente e 6% possuem câmaras que funcionam o ano inteiro e outras que encerram em certas alturas.</w:t>
      </w:r>
    </w:p>
    <w:p w:rsidR="00590E7F" w:rsidRPr="002C79D8" w:rsidRDefault="00590E7F" w:rsidP="007F7172">
      <w:pPr>
        <w:rPr>
          <w:rFonts w:cs="Times New Roman"/>
        </w:rPr>
      </w:pPr>
      <w:r w:rsidRPr="002C79D8">
        <w:rPr>
          <w:rFonts w:cs="Times New Roman"/>
        </w:rPr>
        <w:t xml:space="preserve">Dos agrupamentos que afirmam desligar sazonalmente as câmaras, está presente principalmente o agrupamento dos Laticínios, que desliga as câmaras de acordo com a quantidade de produtos em determinadas épocas, como por exemplo, no Inverno, em que afirmam existir menos leite. </w:t>
      </w:r>
    </w:p>
    <w:p w:rsidR="00590E7F" w:rsidRPr="002C79D8" w:rsidRDefault="00E24317" w:rsidP="004F0FB6">
      <w:pPr>
        <w:pStyle w:val="Cabealho2"/>
      </w:pPr>
      <w:r>
        <w:t>Segundo inquérito</w:t>
      </w:r>
    </w:p>
    <w:p w:rsidR="00590E7F" w:rsidRPr="002C79D8" w:rsidRDefault="00590E7F" w:rsidP="007F7172">
      <w:pPr>
        <w:rPr>
          <w:rFonts w:cs="Times New Roman"/>
          <w:szCs w:val="24"/>
        </w:rPr>
      </w:pPr>
      <w:r w:rsidRPr="002C79D8">
        <w:rPr>
          <w:rFonts w:cs="Times New Roman"/>
          <w:szCs w:val="24"/>
        </w:rPr>
        <w:t>Ao longo desta secção serão apresentados alguns dos resultados recolhidos aquando da realização do segundo inquérito. Será importante notar que apenas se recolheram 35 respostas, pelo que não será feita a separação das empresas em agrupamentos.</w:t>
      </w:r>
    </w:p>
    <w:p w:rsidR="00E24317" w:rsidRDefault="00E24317" w:rsidP="007F7172">
      <w:pPr>
        <w:rPr>
          <w:rFonts w:cs="Times New Roman"/>
          <w:szCs w:val="24"/>
        </w:rPr>
      </w:pPr>
    </w:p>
    <w:p w:rsidR="00590E7F" w:rsidRPr="002C79D8" w:rsidRDefault="00590E7F" w:rsidP="007F7172">
      <w:pPr>
        <w:rPr>
          <w:rFonts w:cs="Times New Roman"/>
          <w:szCs w:val="24"/>
        </w:rPr>
      </w:pPr>
      <w:r w:rsidRPr="002C79D8">
        <w:rPr>
          <w:rFonts w:cs="Times New Roman"/>
          <w:szCs w:val="24"/>
        </w:rPr>
        <w:t>Relativamente aos compressores, foram efetuadas questões sobre a marca, tipo de construção e funcionamento e implementações feitas no sentido de melhorar a eficiência energética.</w:t>
      </w:r>
    </w:p>
    <w:p w:rsidR="00590E7F" w:rsidRPr="00E24317" w:rsidRDefault="00590E7F" w:rsidP="007F7172">
      <w:pPr>
        <w:rPr>
          <w:rFonts w:cs="Times New Roman"/>
          <w:szCs w:val="24"/>
        </w:rPr>
      </w:pPr>
      <w:r w:rsidRPr="002C79D8">
        <w:rPr>
          <w:rFonts w:cs="Times New Roman"/>
          <w:szCs w:val="24"/>
        </w:rPr>
        <w:t>Relativamente à marca dos compressores, apenas 21 empresas de</w:t>
      </w:r>
      <w:r w:rsidR="00E24317">
        <w:rPr>
          <w:rFonts w:cs="Times New Roman"/>
          <w:szCs w:val="24"/>
        </w:rPr>
        <w:t>ram essa informação, pelo que as marcas Líderes de mercado são a Bitzer (67 %), a Grasso (32 %), a Zanotti (18 %) e a Frascold (13 %).</w:t>
      </w:r>
    </w:p>
    <w:p w:rsidR="00590E7F" w:rsidRPr="002C79D8" w:rsidRDefault="00E24317" w:rsidP="00E24317">
      <w:pPr>
        <w:tabs>
          <w:tab w:val="left" w:pos="6597"/>
        </w:tabs>
        <w:rPr>
          <w:rFonts w:cs="Times New Roman"/>
          <w:szCs w:val="24"/>
        </w:rPr>
      </w:pPr>
      <w:r>
        <w:rPr>
          <w:rFonts w:cs="Times New Roman"/>
          <w:szCs w:val="24"/>
        </w:rPr>
        <w:t xml:space="preserve">Sobre o </w:t>
      </w:r>
      <w:r w:rsidR="00590E7F" w:rsidRPr="002C79D8">
        <w:rPr>
          <w:rFonts w:cs="Times New Roman"/>
          <w:szCs w:val="24"/>
        </w:rPr>
        <w:t xml:space="preserve">funcionamento dos compressores, apenas 24 empresas responderam, pelo que 12 das empresas possuem compressores alternativos, 10 possuem compressores de parafuso e apenas 2 possuem ambos os tipos de compressores. Apesar da pequena amostra, as respostas obtidas apontam para uma utilização idêntica de ambos os tipos de compressores. No que toca à construção dos compressores, </w:t>
      </w:r>
      <w:r>
        <w:rPr>
          <w:rFonts w:cs="Times New Roman"/>
          <w:szCs w:val="24"/>
        </w:rPr>
        <w:t xml:space="preserve">apenas 21 empresas responderam: abertos (5 empresas); Semi-herméticos (12 empresas); Herméticos (3 empresas); vários (1 empresa). </w:t>
      </w:r>
      <w:r w:rsidR="00590E7F" w:rsidRPr="002C79D8">
        <w:rPr>
          <w:rFonts w:cs="Times New Roman"/>
          <w:szCs w:val="24"/>
        </w:rPr>
        <w:t xml:space="preserve">Sendo que na área da refrigeração industrial é necessário ter muito cuidado com “fugas”, é importante existir hermeticidade. No entanto, também é importante poder aceder ao compressor para efetuar reparações, pelo que </w:t>
      </w:r>
      <w:r>
        <w:rPr>
          <w:rFonts w:cs="Times New Roman"/>
          <w:szCs w:val="24"/>
        </w:rPr>
        <w:t>os semi-herméticos</w:t>
      </w:r>
      <w:r w:rsidR="00590E7F" w:rsidRPr="002C79D8">
        <w:rPr>
          <w:rFonts w:cs="Times New Roman"/>
          <w:szCs w:val="24"/>
        </w:rPr>
        <w:t xml:space="preserve"> se demonstram os mais utilizados, quando comparados com os tipos de construção hermética e aberta, que não permitem efetuar reparações nem são hermeticamente fechados, respetivamente.</w:t>
      </w:r>
    </w:p>
    <w:p w:rsidR="00F43A35" w:rsidRDefault="00E24317" w:rsidP="00E24317">
      <w:r>
        <w:rPr>
          <w:rFonts w:cs="Times New Roman"/>
          <w:szCs w:val="24"/>
        </w:rPr>
        <w:t>Das 35 empresas que responderam a este inquérito, 37 % possui regulador de frequência nos compressores, 37 % não possui e 26 % não sabe ou não respondeu. Por outro lado, 26 % possui regulação de capacidade, 14 % não possui, 20 % não tem compressores com mais de 4 cilindros (sendo incompatíveis com essa tecnologia) e 37 % não sabe ou não respondeu.</w:t>
      </w:r>
    </w:p>
    <w:p w:rsidR="00F43A35" w:rsidRDefault="00F43A35" w:rsidP="00E24317"/>
    <w:p w:rsidR="00590E7F" w:rsidRPr="002C79D8" w:rsidRDefault="00F43A35" w:rsidP="007F7172">
      <w:pPr>
        <w:rPr>
          <w:rFonts w:cs="Times New Roman"/>
        </w:rPr>
      </w:pPr>
      <w:r>
        <w:t>Acerca dos equipamentos de condensação usados, é</w:t>
      </w:r>
      <w:r w:rsidR="00590E7F" w:rsidRPr="002C79D8">
        <w:rPr>
          <w:rFonts w:cs="Times New Roman"/>
        </w:rPr>
        <w:t xml:space="preserve"> possível concluir que, das 35 empresas que responderam a esta questão, 67% das empresas possui condensadores a ar, sendo que 32% das empresas possui condensadores regulados por pressostatos de alta pressão e os restantes 35% possui já tecnologias que permitem reduzir os consumos energéticos dos ventiladores dos condensadores, como é o caso dos variadores de velocidade instalados e dos motores de comutação eletrónica. As restantes empresas possuem condensadores evaporativos (5%) e torres de refrigeração e condensação (8%). Mais uma vez, uma grande percentagem de empresas (21%) não sabe que tipo de condensadores tem instalado.</w:t>
      </w:r>
    </w:p>
    <w:p w:rsidR="00F43A35" w:rsidRDefault="00F43A35" w:rsidP="007F7172">
      <w:pPr>
        <w:rPr>
          <w:rFonts w:cs="Times New Roman"/>
          <w:szCs w:val="24"/>
        </w:rPr>
      </w:pPr>
    </w:p>
    <w:p w:rsidR="00590E7F" w:rsidRDefault="00590E7F" w:rsidP="007F7172">
      <w:pPr>
        <w:rPr>
          <w:rFonts w:cs="Times New Roman"/>
          <w:szCs w:val="24"/>
        </w:rPr>
      </w:pPr>
      <w:r w:rsidRPr="002C79D8">
        <w:rPr>
          <w:rFonts w:cs="Times New Roman"/>
          <w:szCs w:val="24"/>
        </w:rPr>
        <w:t xml:space="preserve">Relativamente ao sistema de expansão, </w:t>
      </w:r>
      <w:r w:rsidR="00F43A35">
        <w:rPr>
          <w:rFonts w:cs="Times New Roman"/>
          <w:szCs w:val="24"/>
        </w:rPr>
        <w:t>54 % das empresas utilizam sistemas termostáticos, 14 % possui eletrónicos e 6 % possui ambos, sendo que o restante não sabia ou não respondeu. Dadas as possibilidades de redução de consumo com a utilização de sistemas eletrónicos, nota-se aqui uma grande possibilidade de investimento do tipo retrofitting.</w:t>
      </w:r>
    </w:p>
    <w:p w:rsidR="00F43A35" w:rsidRDefault="00F43A35" w:rsidP="007F7172">
      <w:pPr>
        <w:rPr>
          <w:rFonts w:cs="Times New Roman"/>
          <w:szCs w:val="24"/>
        </w:rPr>
      </w:pPr>
    </w:p>
    <w:p w:rsidR="00F43A35" w:rsidRPr="001C2390" w:rsidRDefault="00F43A35" w:rsidP="007F7172">
      <w:pPr>
        <w:rPr>
          <w:rFonts w:cs="Times New Roman"/>
          <w:color w:val="00B050"/>
          <w:szCs w:val="24"/>
        </w:rPr>
      </w:pPr>
      <w:r>
        <w:rPr>
          <w:rFonts w:cs="Times New Roman"/>
          <w:szCs w:val="24"/>
        </w:rPr>
        <w:t xml:space="preserve">O sistema de controlo é chave na instalação de frio, e 86 % das empresas afirma possuir um sistema de controlo. </w:t>
      </w:r>
      <w:r w:rsidRPr="009929E8">
        <w:rPr>
          <w:rFonts w:cs="Times New Roman"/>
          <w:szCs w:val="24"/>
        </w:rPr>
        <w:t>Futuramente, será interessante efetuar um estudo mais fino ao tipo e complexidade do sistema de controlo incorporado.</w:t>
      </w:r>
    </w:p>
    <w:p w:rsidR="00F43A35" w:rsidRDefault="00F43A35" w:rsidP="007F7172">
      <w:pPr>
        <w:rPr>
          <w:rFonts w:cs="Times New Roman"/>
          <w:szCs w:val="24"/>
        </w:rPr>
      </w:pPr>
    </w:p>
    <w:p w:rsidR="00590E7F" w:rsidRPr="002C79D8" w:rsidRDefault="00590E7F" w:rsidP="007F7172">
      <w:pPr>
        <w:rPr>
          <w:rFonts w:cs="Times New Roman"/>
          <w:szCs w:val="24"/>
        </w:rPr>
      </w:pPr>
      <w:r w:rsidRPr="002C79D8">
        <w:rPr>
          <w:rFonts w:cs="Times New Roman"/>
          <w:szCs w:val="24"/>
        </w:rPr>
        <w:t>No que diz respeito a aproveitamentos energ</w:t>
      </w:r>
      <w:r w:rsidR="00F43A35">
        <w:rPr>
          <w:rFonts w:cs="Times New Roman"/>
          <w:szCs w:val="24"/>
        </w:rPr>
        <w:t>éticos, poucas empresas o fazem, pois das 33 respostas obtidas a esta questão,</w:t>
      </w:r>
      <w:r w:rsidRPr="002C79D8">
        <w:rPr>
          <w:rFonts w:cs="Times New Roman"/>
          <w:szCs w:val="24"/>
        </w:rPr>
        <w:t xml:space="preserve"> 28 empresas utilizam AQS e 21 empresas possuem isolamentos nas portas de acesso (13 possuem lamelas, 4 possuem cortina de ar e 4 possuem ambas).</w:t>
      </w:r>
      <w:r w:rsidR="00F43A35">
        <w:rPr>
          <w:rFonts w:cs="Times New Roman"/>
          <w:szCs w:val="24"/>
        </w:rPr>
        <w:t xml:space="preserve"> </w:t>
      </w:r>
      <w:r w:rsidRPr="002C79D8">
        <w:rPr>
          <w:rFonts w:cs="Times New Roman"/>
          <w:szCs w:val="24"/>
        </w:rPr>
        <w:t>Apesar de haver, então, oportunidades de investimento no sentido de efetuar aproveitamento do calor dos compres</w:t>
      </w:r>
      <w:r w:rsidR="00F43A35">
        <w:rPr>
          <w:rFonts w:cs="Times New Roman"/>
          <w:szCs w:val="24"/>
        </w:rPr>
        <w:t>sores, pois a</w:t>
      </w:r>
      <w:r w:rsidRPr="002C79D8">
        <w:rPr>
          <w:rFonts w:cs="Times New Roman"/>
          <w:szCs w:val="24"/>
        </w:rPr>
        <w:t>penas seis empresas desta população fazem aproveitamento do calor dos compressores, sendo que três o fazem para AQS, duas para processo de abate e uma para aquecimento de escritórios por pavimento radiante.</w:t>
      </w:r>
    </w:p>
    <w:p w:rsidR="00590E7F" w:rsidRPr="002C79D8" w:rsidRDefault="00590E7F" w:rsidP="007F7172">
      <w:r w:rsidRPr="002C79D8">
        <w:rPr>
          <w:rFonts w:cs="Times New Roman"/>
          <w:szCs w:val="24"/>
        </w:rPr>
        <w:t>Apesar da pequena amostra, não existe, por parte das empresas, investimento no sentido de recuperação de calor dos compressores, o que indica que podem existir, em muitas das instalações nacionais, oportunidades de melhoria no que diz respeito a medidas de aproveitamento com o objetivo de aumentar a eficiência energética.</w:t>
      </w:r>
    </w:p>
    <w:p w:rsidR="00590E7F" w:rsidRPr="002C79D8" w:rsidRDefault="00331E37" w:rsidP="004F0FB6">
      <w:pPr>
        <w:pStyle w:val="Cabealho1"/>
      </w:pPr>
      <w:r w:rsidRPr="002C79D8">
        <w:t>CONCLUSÃO</w:t>
      </w:r>
    </w:p>
    <w:p w:rsidR="00590E7F" w:rsidRPr="002C79D8" w:rsidRDefault="00590E7F" w:rsidP="007F7172">
      <w:pPr>
        <w:rPr>
          <w:rFonts w:cs="Times New Roman"/>
          <w:szCs w:val="24"/>
        </w:rPr>
      </w:pPr>
      <w:r w:rsidRPr="002C79D8">
        <w:rPr>
          <w:rFonts w:cs="Times New Roman"/>
          <w:szCs w:val="24"/>
        </w:rPr>
        <w:t>Em Portugal, a indústria é responsável por cerca de um terço do consumo energético, pelo que é de extrema importância ter atenção à forma como esta energia é consumida e procurar oportunidades que levem à redução deste consumo. Uma forma de reduzir o consumo passa por reduzir o desperdício</w:t>
      </w:r>
      <w:r w:rsidR="00231C79">
        <w:rPr>
          <w:rFonts w:cs="Times New Roman"/>
          <w:szCs w:val="24"/>
        </w:rPr>
        <w:t xml:space="preserve"> </w:t>
      </w:r>
      <w:r w:rsidR="009929E8">
        <w:rPr>
          <w:rFonts w:cs="Times New Roman"/>
          <w:szCs w:val="24"/>
        </w:rPr>
        <w:t xml:space="preserve">de energia </w:t>
      </w:r>
      <w:r w:rsidRPr="002C79D8">
        <w:rPr>
          <w:rFonts w:cs="Times New Roman"/>
          <w:szCs w:val="24"/>
        </w:rPr>
        <w:t>o que por sua vez requer um conhecimento dos processos industriais consumidores de energia. Este estudo foca-se</w:t>
      </w:r>
      <w:r w:rsidR="009929E8">
        <w:rPr>
          <w:rFonts w:cs="Times New Roman"/>
          <w:szCs w:val="24"/>
        </w:rPr>
        <w:t xml:space="preserve"> </w:t>
      </w:r>
      <w:r w:rsidRPr="002C79D8">
        <w:rPr>
          <w:rFonts w:cs="Times New Roman"/>
          <w:szCs w:val="24"/>
        </w:rPr>
        <w:t>em caracterizar o parque nacional de refrigeração em diferentes setores de atividade para os quais o frio industrial é crítico.</w:t>
      </w:r>
    </w:p>
    <w:p w:rsidR="00590E7F" w:rsidRPr="002C79D8" w:rsidRDefault="00590E7F" w:rsidP="007F7172">
      <w:pPr>
        <w:rPr>
          <w:rFonts w:cs="Times New Roman"/>
          <w:szCs w:val="24"/>
        </w:rPr>
      </w:pPr>
      <w:r w:rsidRPr="002C79D8">
        <w:rPr>
          <w:rFonts w:cs="Times New Roman"/>
          <w:szCs w:val="24"/>
        </w:rPr>
        <w:t>Após a realização de inquéritos a uma população de mais de 400 empresas, foram recolhidas 106 respostas, as quais foram analisadas e tratadas no sentido de encontrar possíveis relações para os diferentes setores de atividade e de explicitar de que forma se caracteriza, então, o parque de refrigeração.</w:t>
      </w:r>
    </w:p>
    <w:p w:rsidR="00590E7F" w:rsidRPr="002C79D8" w:rsidRDefault="00590E7F" w:rsidP="007F7172">
      <w:pPr>
        <w:rPr>
          <w:rFonts w:cs="Times New Roman"/>
          <w:szCs w:val="24"/>
        </w:rPr>
      </w:pPr>
      <w:r w:rsidRPr="002C79D8">
        <w:rPr>
          <w:rFonts w:cs="Times New Roman"/>
          <w:szCs w:val="24"/>
        </w:rPr>
        <w:t>Após análise, verificou-se que para cada setor de atividade existe uma relação entre o capital social e o consumo energético das empresas, pelo que ambas variam a taxas idênticas. Assim, criaram-se Fatores de Consumo e Fatores de Consumo de Frio, que, apesar de serem apenas valores indicativos, permitem perceber preliminarmente como é que uma empresa se insere no seu SAE, tendo em conta o seu capital social e o seu consumo energético médio mensal. Os SAE que se destacaram por apresentar altos valores de Fator de Consumo foram a armazenagem frigorífica e os do agrupamento da pesca, pois apresentam altos consumos energéticos para determinados valores de capital social.</w:t>
      </w:r>
    </w:p>
    <w:p w:rsidR="00590E7F" w:rsidRPr="002C79D8" w:rsidRDefault="00590E7F" w:rsidP="007F7172">
      <w:pPr>
        <w:rPr>
          <w:rFonts w:cs="Times New Roman"/>
          <w:szCs w:val="24"/>
        </w:rPr>
      </w:pPr>
      <w:r w:rsidRPr="002C79D8">
        <w:rPr>
          <w:rFonts w:cs="Times New Roman"/>
          <w:szCs w:val="24"/>
        </w:rPr>
        <w:t>Foi ainda analisada de que forma cada SAE direciona os seus consumos para refrigeração, sendo que a armazenagem frigorífica utiliza cerca de 85% da energia para frio, os setores relacionados com pesca e carne utilizam cerca de 61%, e o setor dos lacticínios utiliza cerca de 48%.</w:t>
      </w:r>
    </w:p>
    <w:p w:rsidR="00590E7F" w:rsidRPr="002C79D8" w:rsidRDefault="00590E7F" w:rsidP="007F7172">
      <w:pPr>
        <w:rPr>
          <w:rFonts w:cs="Times New Roman"/>
          <w:szCs w:val="24"/>
        </w:rPr>
      </w:pPr>
      <w:r w:rsidRPr="002C79D8">
        <w:rPr>
          <w:rFonts w:cs="Times New Roman"/>
          <w:szCs w:val="24"/>
        </w:rPr>
        <w:t>A descongelação nas câmaras é maioritariamente efetuada a resistência e a gás quente (51,8% e 34,9% respetivamente). No que diz respeito a isolamentos, as espessuras médias utilizadas são de 83 e 149 mm no caso de temperaturas positivas e negativas, respetivamente. A espessura para congelação vai de acordo com os valores da literatura (130 a 150 mm para congelação), mas a espessura média das paredes das câmaras de temperatura positiva está abaixo desses mesmos valores (100 a 130 mm para refrigeração).</w:t>
      </w:r>
    </w:p>
    <w:p w:rsidR="00590E7F" w:rsidRPr="00231C79" w:rsidRDefault="00590E7F" w:rsidP="009929E8">
      <w:pPr>
        <w:rPr>
          <w:rFonts w:cs="Times New Roman"/>
          <w:color w:val="00B0F0"/>
          <w:szCs w:val="24"/>
        </w:rPr>
      </w:pPr>
      <w:r w:rsidRPr="002C79D8">
        <w:rPr>
          <w:rFonts w:cs="Times New Roman"/>
          <w:szCs w:val="24"/>
        </w:rPr>
        <w:t>De uma forma geral, verificou-se que existe alguma desconexão entre as pessoas que responderam ao inquérito e a instalação, pelo que, por um lado, 87% das instalações foram montadas por terceiros e cerca de 62% das instalações recebe manutenção tamb</w:t>
      </w:r>
      <w:r w:rsidR="009929E8">
        <w:rPr>
          <w:rFonts w:cs="Times New Roman"/>
          <w:szCs w:val="24"/>
        </w:rPr>
        <w:t>ém por empresas subcontratadas.</w:t>
      </w:r>
    </w:p>
    <w:p w:rsidR="00590E7F" w:rsidRPr="002C79D8" w:rsidRDefault="00590E7F" w:rsidP="007F7172">
      <w:pPr>
        <w:rPr>
          <w:rFonts w:cs="Times New Roman"/>
          <w:szCs w:val="24"/>
        </w:rPr>
      </w:pPr>
      <w:r w:rsidRPr="002C79D8">
        <w:rPr>
          <w:rFonts w:cs="Times New Roman"/>
          <w:szCs w:val="24"/>
        </w:rPr>
        <w:t xml:space="preserve">Por fim, será importante mencionar a atitude das empresas relativamente ao estudo, sendo que se mostraram disponíveis para responder aos inquéritos por chamada telefónica e que demonstraram interesse em conhecer os resultados. Apesar de se terem identificado muitas falhas no que toca a aproveitamentos energéticos (27 em 33 empresas não fazem qualquer tipo de aproveitamento do calor dos compressores), as empresas mostraram-se interessadas em conhecer que medidas poderiam existir para melhorar as suas instalações quando deparadas com essa oportunidade. Claro está que hoje em dia qualquer investimento avultado dificilmente será efetuado, mas uma análise específica a cada instalação poderá demonstrar oportunidades com tempo de </w:t>
      </w:r>
      <w:r w:rsidRPr="002C79D8">
        <w:rPr>
          <w:rFonts w:cs="Times New Roman"/>
          <w:i/>
          <w:szCs w:val="24"/>
        </w:rPr>
        <w:t>payback</w:t>
      </w:r>
      <w:r w:rsidRPr="002C79D8">
        <w:rPr>
          <w:rFonts w:cs="Times New Roman"/>
          <w:szCs w:val="24"/>
        </w:rPr>
        <w:t xml:space="preserve"> curto.</w:t>
      </w:r>
    </w:p>
    <w:p w:rsidR="003F5738" w:rsidRDefault="00590E7F" w:rsidP="003F5738">
      <w:pPr>
        <w:rPr>
          <w:rFonts w:cs="Times New Roman"/>
          <w:szCs w:val="24"/>
        </w:rPr>
      </w:pPr>
      <w:r w:rsidRPr="002C79D8">
        <w:rPr>
          <w:rFonts w:cs="Times New Roman"/>
          <w:szCs w:val="24"/>
        </w:rPr>
        <w:t>Assim, poderá ser interessante analisar empresas do mesmo SAE, com a mesma dimensão e que apresentem FCF distintos, no sentido de analisar potenciais falhas nas instalações menos otimizadas. Por outro lado, será também interessante analisar empresas do mesmo SAE e com tecnologias semelhantes (potência e idade) e perceber de que forma diferentes hábitos de utilização das instalações poderão levar a diferentes consumos energéticos. Por fim, será importante também mencionar que este trabalho poderá também servir como referência a outras caracterizações nacionais, que não sejam necessariamente nesta área de estudo.</w:t>
      </w:r>
    </w:p>
    <w:p w:rsidR="003F5738" w:rsidRPr="003F5738" w:rsidRDefault="001B1A2D" w:rsidP="003F5738">
      <w:pPr>
        <w:pStyle w:val="Cabealho1"/>
        <w:rPr>
          <w:rFonts w:eastAsiaTheme="minorHAnsi"/>
        </w:rPr>
      </w:pPr>
      <w:r>
        <w:rPr>
          <w:rFonts w:eastAsiaTheme="minorHAnsi"/>
        </w:rPr>
        <w:t>BIBLIOGRAFIA</w:t>
      </w:r>
    </w:p>
    <w:p w:rsidR="003F5738" w:rsidRPr="001537B9" w:rsidRDefault="003F5738" w:rsidP="007F7172">
      <w:pPr>
        <w:widowControl w:val="0"/>
      </w:pPr>
      <w:r w:rsidRPr="001537B9">
        <w:t xml:space="preserve">[1] Sá, E.S. and J.L. Alexandre, </w:t>
      </w:r>
      <w:r w:rsidRPr="001537B9">
        <w:rPr>
          <w:i/>
        </w:rPr>
        <w:t>Auditorias Energéticas no Sector de Frio Industrial. Medidas de Poupança e de Eficiência Energética.</w:t>
      </w:r>
      <w:r w:rsidRPr="001537B9">
        <w:t xml:space="preserve"> 2007.</w:t>
      </w:r>
    </w:p>
    <w:p w:rsidR="003F5738" w:rsidRPr="001537B9" w:rsidRDefault="003F5738" w:rsidP="007F7172">
      <w:pPr>
        <w:widowControl w:val="0"/>
      </w:pPr>
    </w:p>
    <w:p w:rsidR="003F5738" w:rsidRPr="001537B9" w:rsidRDefault="003F5738" w:rsidP="007F7172">
      <w:pPr>
        <w:widowControl w:val="0"/>
        <w:rPr>
          <w:rStyle w:val="Hiperligao"/>
          <w:color w:val="auto"/>
          <w:lang w:val="en-US"/>
        </w:rPr>
      </w:pPr>
      <w:r w:rsidRPr="001537B9">
        <w:t xml:space="preserve">[2] Eurostat. </w:t>
      </w:r>
      <w:r w:rsidRPr="001537B9">
        <w:rPr>
          <w:i/>
        </w:rPr>
        <w:t>Electricity prices by type of user</w:t>
      </w:r>
      <w:r w:rsidR="00300CF9" w:rsidRPr="001537B9">
        <w:t xml:space="preserve">. </w:t>
      </w:r>
      <w:r w:rsidR="00300CF9" w:rsidRPr="001537B9">
        <w:rPr>
          <w:lang w:val="en-US"/>
        </w:rPr>
        <w:t xml:space="preserve">2014 </w:t>
      </w:r>
      <w:r w:rsidRPr="001537B9">
        <w:rPr>
          <w:lang w:val="en-US"/>
        </w:rPr>
        <w:t xml:space="preserve">[cited 2014 4 de Novembro]; Available from: </w:t>
      </w:r>
      <w:hyperlink r:id="rId18" w:history="1">
        <w:r w:rsidRPr="001537B9">
          <w:rPr>
            <w:rStyle w:val="Hiperligao"/>
            <w:color w:val="auto"/>
            <w:lang w:val="en-US"/>
          </w:rPr>
          <w:t>http://epp.eurostat.ec.europa.eu/tgm/table.do?tab=table&amp;init=1&amp;plugin=1&amp;language=en&amp;pcode=ten00117</w:t>
        </w:r>
      </w:hyperlink>
    </w:p>
    <w:p w:rsidR="003F5738" w:rsidRPr="001537B9" w:rsidRDefault="003F5738" w:rsidP="007F7172">
      <w:pPr>
        <w:widowControl w:val="0"/>
        <w:rPr>
          <w:rStyle w:val="Hiperligao"/>
          <w:color w:val="auto"/>
          <w:lang w:val="en-US"/>
        </w:rPr>
      </w:pPr>
    </w:p>
    <w:p w:rsidR="003F5738" w:rsidRPr="001537B9" w:rsidRDefault="003F5738" w:rsidP="007F7172">
      <w:pPr>
        <w:widowControl w:val="0"/>
        <w:rPr>
          <w:lang w:val="en-US"/>
        </w:rPr>
      </w:pPr>
      <w:r w:rsidRPr="001537B9">
        <w:rPr>
          <w:rFonts w:eastAsia="Times New Roman" w:cs="Times New Roman"/>
          <w:lang w:val="en-US" w:eastAsia="pt-PT"/>
        </w:rPr>
        <w:t xml:space="preserve">[3] </w:t>
      </w:r>
      <w:r w:rsidRPr="001537B9">
        <w:rPr>
          <w:lang w:val="en-US"/>
        </w:rPr>
        <w:t xml:space="preserve">Lekov, A., </w:t>
      </w:r>
      <w:r w:rsidRPr="001537B9">
        <w:rPr>
          <w:i/>
          <w:lang w:val="en-US"/>
        </w:rPr>
        <w:t>Opportunities for Energy Efficiency and Automated Demand Response in Industrial Refrigerated Warehouses in California.</w:t>
      </w:r>
      <w:r w:rsidRPr="001537B9">
        <w:rPr>
          <w:lang w:val="en-US"/>
        </w:rPr>
        <w:t xml:space="preserve"> 2009: p. 80</w:t>
      </w:r>
    </w:p>
    <w:sectPr w:rsidR="003F5738" w:rsidRPr="001537B9" w:rsidSect="00590E7F">
      <w:headerReference w:type="default" r:id="rId19"/>
      <w:footerReference w:type="default" r:id="rId20"/>
      <w:headerReference w:type="first" r:id="rId21"/>
      <w:pgSz w:w="11906" w:h="16838" w:code="9"/>
      <w:pgMar w:top="1985" w:right="1418" w:bottom="294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5E3" w:rsidRDefault="008B75E3" w:rsidP="00AA233A">
      <w:r>
        <w:separator/>
      </w:r>
    </w:p>
  </w:endnote>
  <w:endnote w:type="continuationSeparator" w:id="0">
    <w:p w:rsidR="008B75E3" w:rsidRDefault="008B75E3" w:rsidP="00AA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Segoe UI">
    <w:altName w:val="Courier New"/>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18B" w:rsidRPr="001537B9" w:rsidRDefault="0072618B">
    <w:pPr>
      <w:pStyle w:val="Rodap"/>
      <w:jc w:val="center"/>
      <w:rPr>
        <w:caps/>
        <w:noProof/>
      </w:rPr>
    </w:pPr>
    <w:r w:rsidRPr="001537B9">
      <w:rPr>
        <w:caps/>
      </w:rPr>
      <w:fldChar w:fldCharType="begin"/>
    </w:r>
    <w:r w:rsidRPr="001537B9">
      <w:rPr>
        <w:caps/>
      </w:rPr>
      <w:instrText xml:space="preserve"> PAGE   \* MERGEFORMAT </w:instrText>
    </w:r>
    <w:r w:rsidRPr="001537B9">
      <w:rPr>
        <w:caps/>
      </w:rPr>
      <w:fldChar w:fldCharType="separate"/>
    </w:r>
    <w:r w:rsidR="00034227">
      <w:rPr>
        <w:caps/>
        <w:noProof/>
      </w:rPr>
      <w:t>5</w:t>
    </w:r>
    <w:r w:rsidRPr="001537B9">
      <w:rPr>
        <w:caps/>
        <w:noProof/>
      </w:rPr>
      <w:fldChar w:fldCharType="end"/>
    </w:r>
  </w:p>
  <w:p w:rsidR="0072618B" w:rsidRDefault="0072618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5E3" w:rsidRDefault="008B75E3" w:rsidP="00AA233A">
      <w:r>
        <w:separator/>
      </w:r>
    </w:p>
  </w:footnote>
  <w:footnote w:type="continuationSeparator" w:id="0">
    <w:p w:rsidR="008B75E3" w:rsidRDefault="008B75E3" w:rsidP="00AA23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18B" w:rsidRPr="00E9373A" w:rsidRDefault="0072618B" w:rsidP="00695146">
    <w:pPr>
      <w:pStyle w:val="Cabecera2COMNI"/>
      <w:rPr>
        <w:spacing w:val="4"/>
        <w:szCs w:val="24"/>
        <w:lang w:val="pt-PT"/>
      </w:rPr>
    </w:pPr>
    <w:r>
      <w:rPr>
        <w:spacing w:val="4"/>
        <w:szCs w:val="24"/>
        <w:lang w:val="pt-PT"/>
      </w:rPr>
      <w:t>Clito Afonso</w:t>
    </w:r>
    <w:r w:rsidRPr="00695146">
      <w:rPr>
        <w:spacing w:val="4"/>
        <w:szCs w:val="24"/>
        <w:lang w:val="pt-PT"/>
      </w:rPr>
      <w:t xml:space="preserve">, </w:t>
    </w:r>
    <w:r>
      <w:rPr>
        <w:spacing w:val="4"/>
        <w:szCs w:val="24"/>
        <w:lang w:val="pt-PT"/>
      </w:rPr>
      <w:t xml:space="preserve">Hugo Manuel Pinto </w:t>
    </w:r>
    <w:r w:rsidRPr="00695146">
      <w:rPr>
        <w:spacing w:val="4"/>
        <w:szCs w:val="24"/>
        <w:lang w:val="pt-PT"/>
      </w:rPr>
      <w:t>e João Paulo Pinto</w:t>
    </w:r>
  </w:p>
  <w:p w:rsidR="0072618B" w:rsidRPr="00C20B9B" w:rsidRDefault="0072618B" w:rsidP="00695146">
    <w:pPr>
      <w:pStyle w:val="Cabealho"/>
    </w:pPr>
  </w:p>
  <w:p w:rsidR="0072618B" w:rsidRPr="001537B9" w:rsidRDefault="0072618B">
    <w:pPr>
      <w:pStyle w:val="Cabealho"/>
      <w:rPr>
        <w:color w:val="FF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18B" w:rsidRPr="00AA233A" w:rsidRDefault="0072618B" w:rsidP="00695146">
    <w:pPr>
      <w:widowControl w:val="0"/>
      <w:tabs>
        <w:tab w:val="center" w:pos="4252"/>
        <w:tab w:val="right" w:pos="8504"/>
      </w:tabs>
      <w:jc w:val="right"/>
      <w:rPr>
        <w:rFonts w:eastAsia="Times New Roman" w:cs="Times New Roman"/>
        <w:noProof/>
        <w:sz w:val="20"/>
        <w:szCs w:val="20"/>
      </w:rPr>
    </w:pPr>
    <w:r w:rsidRPr="00AA233A">
      <w:rPr>
        <w:rFonts w:eastAsia="Times New Roman" w:cs="Times New Roman"/>
        <w:noProof/>
        <w:sz w:val="20"/>
        <w:szCs w:val="20"/>
      </w:rPr>
      <w:t>CYTEF 2016 − VIII Congresso Ibérico | VI Congresso Ibero-Americano de Ciências e Técnicas do Frio</w:t>
    </w:r>
  </w:p>
  <w:p w:rsidR="0072618B" w:rsidRPr="00AA233A" w:rsidRDefault="0072618B" w:rsidP="00695146">
    <w:pPr>
      <w:widowControl w:val="0"/>
      <w:tabs>
        <w:tab w:val="center" w:pos="4252"/>
        <w:tab w:val="right" w:pos="8504"/>
      </w:tabs>
      <w:jc w:val="right"/>
      <w:rPr>
        <w:rFonts w:eastAsia="Times New Roman" w:cs="Times New Roman"/>
        <w:sz w:val="20"/>
        <w:szCs w:val="20"/>
        <w:lang w:val="es-ES_tradnl"/>
      </w:rPr>
    </w:pPr>
    <w:r w:rsidRPr="00AA233A">
      <w:rPr>
        <w:rFonts w:eastAsia="Times New Roman" w:cs="Times New Roman"/>
        <w:noProof/>
        <w:sz w:val="20"/>
        <w:szCs w:val="20"/>
        <w:lang w:val="es-ES_tradnl"/>
      </w:rPr>
      <w:t>Coimbra-Portugal, 3-6 maio, 2016</w:t>
    </w:r>
  </w:p>
  <w:p w:rsidR="0072618B" w:rsidRDefault="0072618B">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2C44"/>
    <w:multiLevelType w:val="hybridMultilevel"/>
    <w:tmpl w:val="C358A69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ADD6FB4"/>
    <w:multiLevelType w:val="hybridMultilevel"/>
    <w:tmpl w:val="405C9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30A8C"/>
    <w:multiLevelType w:val="hybridMultilevel"/>
    <w:tmpl w:val="A9DE17A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03C0B7A"/>
    <w:multiLevelType w:val="hybridMultilevel"/>
    <w:tmpl w:val="EA90312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21B3B60"/>
    <w:multiLevelType w:val="hybridMultilevel"/>
    <w:tmpl w:val="01684CD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12D17F94"/>
    <w:multiLevelType w:val="hybridMultilevel"/>
    <w:tmpl w:val="95AEE2B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14A249B0"/>
    <w:multiLevelType w:val="hybridMultilevel"/>
    <w:tmpl w:val="A0B616FA"/>
    <w:lvl w:ilvl="0" w:tplc="0816000F">
      <w:start w:val="1"/>
      <w:numFmt w:val="decimal"/>
      <w:lvlText w:val="%1."/>
      <w:lvlJc w:val="left"/>
      <w:pPr>
        <w:ind w:left="720" w:hanging="360"/>
      </w:pPr>
      <w:rPr>
        <w:rFont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15EE7BA2"/>
    <w:multiLevelType w:val="hybridMultilevel"/>
    <w:tmpl w:val="A04AAB2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C162C28"/>
    <w:multiLevelType w:val="hybridMultilevel"/>
    <w:tmpl w:val="71007C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264672DC"/>
    <w:multiLevelType w:val="hybridMultilevel"/>
    <w:tmpl w:val="610475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76593E"/>
    <w:multiLevelType w:val="hybridMultilevel"/>
    <w:tmpl w:val="EEC83218"/>
    <w:lvl w:ilvl="0" w:tplc="0816000F">
      <w:start w:val="1"/>
      <w:numFmt w:val="decimal"/>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1" w15:restartNumberingAfterBreak="0">
    <w:nsid w:val="2AB93CB2"/>
    <w:multiLevelType w:val="hybridMultilevel"/>
    <w:tmpl w:val="71B221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6D1844"/>
    <w:multiLevelType w:val="hybridMultilevel"/>
    <w:tmpl w:val="1B4A652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30520735"/>
    <w:multiLevelType w:val="hybridMultilevel"/>
    <w:tmpl w:val="38D21B7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31166339"/>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31F121DB"/>
    <w:multiLevelType w:val="hybridMultilevel"/>
    <w:tmpl w:val="11E61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B42D3D"/>
    <w:multiLevelType w:val="multilevel"/>
    <w:tmpl w:val="2DB043E8"/>
    <w:lvl w:ilvl="0">
      <w:start w:val="1"/>
      <w:numFmt w:val="decimal"/>
      <w:pStyle w:val="Cabealho1"/>
      <w:lvlText w:val="%1"/>
      <w:lvlJc w:val="left"/>
      <w:pPr>
        <w:ind w:left="432" w:hanging="432"/>
      </w:pPr>
    </w:lvl>
    <w:lvl w:ilvl="1">
      <w:start w:val="1"/>
      <w:numFmt w:val="decimal"/>
      <w:pStyle w:val="Cabealho2"/>
      <w:lvlText w:val="%1.%2"/>
      <w:lvlJc w:val="left"/>
      <w:pPr>
        <w:ind w:left="576" w:hanging="576"/>
      </w:pPr>
    </w:lvl>
    <w:lvl w:ilvl="2">
      <w:start w:val="1"/>
      <w:numFmt w:val="decimal"/>
      <w:pStyle w:val="Cabealho3"/>
      <w:lvlText w:val="%1.%2.%3"/>
      <w:lvlJc w:val="left"/>
      <w:pPr>
        <w:ind w:left="720" w:hanging="720"/>
      </w:pPr>
    </w:lvl>
    <w:lvl w:ilvl="3">
      <w:start w:val="1"/>
      <w:numFmt w:val="decimal"/>
      <w:pStyle w:val="Cabealho4"/>
      <w:lvlText w:val="%1.%2.%3.%4"/>
      <w:lvlJc w:val="left"/>
      <w:pPr>
        <w:ind w:left="864" w:hanging="864"/>
      </w:pPr>
    </w:lvl>
    <w:lvl w:ilvl="4">
      <w:start w:val="1"/>
      <w:numFmt w:val="decimal"/>
      <w:pStyle w:val="Cabealho5"/>
      <w:lvlText w:val="%1.%2.%3.%4.%5"/>
      <w:lvlJc w:val="left"/>
      <w:pPr>
        <w:ind w:left="1008" w:hanging="1008"/>
      </w:pPr>
    </w:lvl>
    <w:lvl w:ilvl="5">
      <w:start w:val="1"/>
      <w:numFmt w:val="decimal"/>
      <w:pStyle w:val="Cabealho6"/>
      <w:lvlText w:val="%1.%2.%3.%4.%5.%6"/>
      <w:lvlJc w:val="left"/>
      <w:pPr>
        <w:ind w:left="1152" w:hanging="1152"/>
      </w:pPr>
    </w:lvl>
    <w:lvl w:ilvl="6">
      <w:start w:val="1"/>
      <w:numFmt w:val="decimal"/>
      <w:pStyle w:val="Cabealho7"/>
      <w:lvlText w:val="%1.%2.%3.%4.%5.%6.%7"/>
      <w:lvlJc w:val="left"/>
      <w:pPr>
        <w:ind w:left="1296" w:hanging="1296"/>
      </w:pPr>
    </w:lvl>
    <w:lvl w:ilvl="7">
      <w:start w:val="1"/>
      <w:numFmt w:val="decimal"/>
      <w:pStyle w:val="Cabealho8"/>
      <w:lvlText w:val="%1.%2.%3.%4.%5.%6.%7.%8"/>
      <w:lvlJc w:val="left"/>
      <w:pPr>
        <w:ind w:left="1440" w:hanging="1440"/>
      </w:pPr>
    </w:lvl>
    <w:lvl w:ilvl="8">
      <w:start w:val="1"/>
      <w:numFmt w:val="decimal"/>
      <w:pStyle w:val="Cabealho9"/>
      <w:lvlText w:val="%1.%2.%3.%4.%5.%6.%7.%8.%9"/>
      <w:lvlJc w:val="left"/>
      <w:pPr>
        <w:ind w:left="1584" w:hanging="1584"/>
      </w:pPr>
    </w:lvl>
  </w:abstractNum>
  <w:abstractNum w:abstractNumId="17" w15:restartNumberingAfterBreak="0">
    <w:nsid w:val="449E22E8"/>
    <w:multiLevelType w:val="hybridMultilevel"/>
    <w:tmpl w:val="B7F6F8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337A77"/>
    <w:multiLevelType w:val="hybridMultilevel"/>
    <w:tmpl w:val="E2FA576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4C133F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924914"/>
    <w:multiLevelType w:val="hybridMultilevel"/>
    <w:tmpl w:val="B65A43B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15:restartNumberingAfterBreak="0">
    <w:nsid w:val="51183B56"/>
    <w:multiLevelType w:val="hybridMultilevel"/>
    <w:tmpl w:val="43F6C41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15:restartNumberingAfterBreak="0">
    <w:nsid w:val="51185980"/>
    <w:multiLevelType w:val="hybridMultilevel"/>
    <w:tmpl w:val="993038D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561070A6"/>
    <w:multiLevelType w:val="hybridMultilevel"/>
    <w:tmpl w:val="C7DE262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56AF4ABE"/>
    <w:multiLevelType w:val="hybridMultilevel"/>
    <w:tmpl w:val="285A732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589514FC"/>
    <w:multiLevelType w:val="hybridMultilevel"/>
    <w:tmpl w:val="892A97E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5C917BD2"/>
    <w:multiLevelType w:val="hybridMultilevel"/>
    <w:tmpl w:val="07CA1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EC16254"/>
    <w:multiLevelType w:val="hybridMultilevel"/>
    <w:tmpl w:val="1184697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5F243F58"/>
    <w:multiLevelType w:val="hybridMultilevel"/>
    <w:tmpl w:val="B47EF14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15:restartNumberingAfterBreak="0">
    <w:nsid w:val="64235D8C"/>
    <w:multiLevelType w:val="hybridMultilevel"/>
    <w:tmpl w:val="006214F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15:restartNumberingAfterBreak="0">
    <w:nsid w:val="6F642AB7"/>
    <w:multiLevelType w:val="hybridMultilevel"/>
    <w:tmpl w:val="DE1450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15:restartNumberingAfterBreak="0">
    <w:nsid w:val="749D765A"/>
    <w:multiLevelType w:val="hybridMultilevel"/>
    <w:tmpl w:val="68E2041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75CA123F"/>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3" w15:restartNumberingAfterBreak="0">
    <w:nsid w:val="7A956B93"/>
    <w:multiLevelType w:val="hybridMultilevel"/>
    <w:tmpl w:val="76484AD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6"/>
  </w:num>
  <w:num w:numId="2">
    <w:abstractNumId w:val="32"/>
  </w:num>
  <w:num w:numId="3">
    <w:abstractNumId w:val="26"/>
  </w:num>
  <w:num w:numId="4">
    <w:abstractNumId w:val="11"/>
  </w:num>
  <w:num w:numId="5">
    <w:abstractNumId w:val="17"/>
  </w:num>
  <w:num w:numId="6">
    <w:abstractNumId w:val="2"/>
  </w:num>
  <w:num w:numId="7">
    <w:abstractNumId w:val="7"/>
  </w:num>
  <w:num w:numId="8">
    <w:abstractNumId w:val="1"/>
  </w:num>
  <w:num w:numId="9">
    <w:abstractNumId w:val="9"/>
  </w:num>
  <w:num w:numId="10">
    <w:abstractNumId w:val="18"/>
  </w:num>
  <w:num w:numId="11">
    <w:abstractNumId w:val="0"/>
  </w:num>
  <w:num w:numId="12">
    <w:abstractNumId w:val="22"/>
  </w:num>
  <w:num w:numId="13">
    <w:abstractNumId w:val="5"/>
  </w:num>
  <w:num w:numId="14">
    <w:abstractNumId w:val="33"/>
  </w:num>
  <w:num w:numId="15">
    <w:abstractNumId w:val="27"/>
  </w:num>
  <w:num w:numId="16">
    <w:abstractNumId w:val="8"/>
  </w:num>
  <w:num w:numId="17">
    <w:abstractNumId w:val="14"/>
  </w:num>
  <w:num w:numId="18">
    <w:abstractNumId w:val="3"/>
  </w:num>
  <w:num w:numId="19">
    <w:abstractNumId w:val="10"/>
  </w:num>
  <w:num w:numId="20">
    <w:abstractNumId w:val="19"/>
  </w:num>
  <w:num w:numId="21">
    <w:abstractNumId w:val="25"/>
  </w:num>
  <w:num w:numId="22">
    <w:abstractNumId w:val="20"/>
  </w:num>
  <w:num w:numId="23">
    <w:abstractNumId w:val="29"/>
  </w:num>
  <w:num w:numId="24">
    <w:abstractNumId w:val="23"/>
  </w:num>
  <w:num w:numId="25">
    <w:abstractNumId w:val="21"/>
  </w:num>
  <w:num w:numId="26">
    <w:abstractNumId w:val="4"/>
  </w:num>
  <w:num w:numId="27">
    <w:abstractNumId w:val="6"/>
  </w:num>
  <w:num w:numId="28">
    <w:abstractNumId w:val="28"/>
  </w:num>
  <w:num w:numId="29">
    <w:abstractNumId w:val="13"/>
  </w:num>
  <w:num w:numId="30">
    <w:abstractNumId w:val="31"/>
  </w:num>
  <w:num w:numId="31">
    <w:abstractNumId w:val="24"/>
  </w:num>
  <w:num w:numId="32">
    <w:abstractNumId w:val="30"/>
  </w:num>
  <w:num w:numId="33">
    <w:abstractNumId w:val="16"/>
  </w:num>
  <w:num w:numId="34">
    <w:abstractNumId w:val="12"/>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s-ES_tradnl" w:vendorID="64" w:dllVersion="131078" w:nlCheck="1" w:checkStyle="0"/>
  <w:activeWritingStyle w:appName="MSWord" w:lang="pt-PT" w:vendorID="64" w:dllVersion="131078" w:nlCheck="1" w:checkStyle="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33A"/>
    <w:rsid w:val="00022B11"/>
    <w:rsid w:val="00034227"/>
    <w:rsid w:val="00094A3B"/>
    <w:rsid w:val="000E27B1"/>
    <w:rsid w:val="001113D3"/>
    <w:rsid w:val="00146B62"/>
    <w:rsid w:val="001537B9"/>
    <w:rsid w:val="001B1A2D"/>
    <w:rsid w:val="001C2390"/>
    <w:rsid w:val="001C7CBA"/>
    <w:rsid w:val="00231C79"/>
    <w:rsid w:val="00240409"/>
    <w:rsid w:val="002C79D8"/>
    <w:rsid w:val="00300CF9"/>
    <w:rsid w:val="00331E37"/>
    <w:rsid w:val="003878A3"/>
    <w:rsid w:val="003C1DF9"/>
    <w:rsid w:val="003F5738"/>
    <w:rsid w:val="0040472C"/>
    <w:rsid w:val="00451C9A"/>
    <w:rsid w:val="004705BF"/>
    <w:rsid w:val="00471F04"/>
    <w:rsid w:val="004F0FB6"/>
    <w:rsid w:val="00590E7F"/>
    <w:rsid w:val="00593AF8"/>
    <w:rsid w:val="005D6629"/>
    <w:rsid w:val="0063015B"/>
    <w:rsid w:val="00695146"/>
    <w:rsid w:val="00701592"/>
    <w:rsid w:val="0072618B"/>
    <w:rsid w:val="0078265E"/>
    <w:rsid w:val="007A1B5E"/>
    <w:rsid w:val="007D6D72"/>
    <w:rsid w:val="007F7172"/>
    <w:rsid w:val="00873300"/>
    <w:rsid w:val="008B75E3"/>
    <w:rsid w:val="00931352"/>
    <w:rsid w:val="009331F0"/>
    <w:rsid w:val="00956267"/>
    <w:rsid w:val="009929E8"/>
    <w:rsid w:val="009C7B46"/>
    <w:rsid w:val="009E432E"/>
    <w:rsid w:val="00A45D85"/>
    <w:rsid w:val="00AA233A"/>
    <w:rsid w:val="00B91395"/>
    <w:rsid w:val="00BD38F1"/>
    <w:rsid w:val="00BD520A"/>
    <w:rsid w:val="00C9023A"/>
    <w:rsid w:val="00CC003C"/>
    <w:rsid w:val="00CC2F5F"/>
    <w:rsid w:val="00CD29F4"/>
    <w:rsid w:val="00D25464"/>
    <w:rsid w:val="00D31B73"/>
    <w:rsid w:val="00D8143E"/>
    <w:rsid w:val="00E24317"/>
    <w:rsid w:val="00E73E6A"/>
    <w:rsid w:val="00F43A35"/>
    <w:rsid w:val="00FD0D60"/>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6A0D48"/>
  <w15:docId w15:val="{CFBCECDD-4B89-4E15-AB98-3A95A3B02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172"/>
    <w:pPr>
      <w:spacing w:after="0" w:line="240" w:lineRule="auto"/>
      <w:jc w:val="both"/>
    </w:pPr>
    <w:rPr>
      <w:rFonts w:ascii="Times New Roman" w:hAnsi="Times New Roman"/>
    </w:rPr>
  </w:style>
  <w:style w:type="paragraph" w:styleId="Cabealho1">
    <w:name w:val="heading 1"/>
    <w:basedOn w:val="Normal"/>
    <w:next w:val="Normal"/>
    <w:link w:val="Cabealho1Carter"/>
    <w:autoRedefine/>
    <w:uiPriority w:val="9"/>
    <w:qFormat/>
    <w:rsid w:val="004F0FB6"/>
    <w:pPr>
      <w:keepNext/>
      <w:keepLines/>
      <w:numPr>
        <w:numId w:val="1"/>
      </w:numPr>
      <w:tabs>
        <w:tab w:val="left" w:pos="90"/>
      </w:tabs>
      <w:spacing w:before="240" w:after="120"/>
      <w:outlineLvl w:val="0"/>
    </w:pPr>
    <w:rPr>
      <w:rFonts w:eastAsiaTheme="majorEastAsia" w:cstheme="majorBidi"/>
      <w:b/>
      <w:szCs w:val="32"/>
    </w:rPr>
  </w:style>
  <w:style w:type="paragraph" w:styleId="Cabealho2">
    <w:name w:val="heading 2"/>
    <w:basedOn w:val="Normal"/>
    <w:next w:val="Normal"/>
    <w:link w:val="Cabealho2Carter"/>
    <w:autoRedefine/>
    <w:uiPriority w:val="9"/>
    <w:unhideWhenUsed/>
    <w:qFormat/>
    <w:rsid w:val="004F0FB6"/>
    <w:pPr>
      <w:keepNext/>
      <w:keepLines/>
      <w:numPr>
        <w:ilvl w:val="1"/>
        <w:numId w:val="1"/>
      </w:numPr>
      <w:spacing w:before="240" w:after="120"/>
      <w:outlineLvl w:val="1"/>
    </w:pPr>
    <w:rPr>
      <w:rFonts w:eastAsiaTheme="majorEastAsia" w:cstheme="majorBidi"/>
      <w:b/>
      <w:szCs w:val="26"/>
    </w:rPr>
  </w:style>
  <w:style w:type="paragraph" w:styleId="Cabealho3">
    <w:name w:val="heading 3"/>
    <w:basedOn w:val="Normal"/>
    <w:next w:val="Normal"/>
    <w:link w:val="Cabealho3Carter"/>
    <w:autoRedefine/>
    <w:uiPriority w:val="9"/>
    <w:unhideWhenUsed/>
    <w:qFormat/>
    <w:rsid w:val="004F0FB6"/>
    <w:pPr>
      <w:keepNext/>
      <w:keepLines/>
      <w:numPr>
        <w:ilvl w:val="2"/>
        <w:numId w:val="1"/>
      </w:numPr>
      <w:spacing w:before="240" w:after="120"/>
      <w:outlineLvl w:val="2"/>
    </w:pPr>
    <w:rPr>
      <w:rFonts w:eastAsiaTheme="majorEastAsia" w:cstheme="majorBidi"/>
      <w:b/>
      <w:szCs w:val="24"/>
    </w:rPr>
  </w:style>
  <w:style w:type="paragraph" w:styleId="Cabealho4">
    <w:name w:val="heading 4"/>
    <w:basedOn w:val="Normal"/>
    <w:next w:val="Normal"/>
    <w:link w:val="Cabealho4Carter"/>
    <w:autoRedefine/>
    <w:uiPriority w:val="9"/>
    <w:unhideWhenUsed/>
    <w:qFormat/>
    <w:rsid w:val="00331E37"/>
    <w:pPr>
      <w:keepNext/>
      <w:keepLines/>
      <w:numPr>
        <w:ilvl w:val="3"/>
        <w:numId w:val="1"/>
      </w:numPr>
      <w:spacing w:before="120" w:after="120"/>
      <w:outlineLvl w:val="3"/>
    </w:pPr>
    <w:rPr>
      <w:rFonts w:eastAsiaTheme="majorEastAsia" w:cstheme="majorBidi"/>
      <w:b/>
      <w:iCs/>
    </w:rPr>
  </w:style>
  <w:style w:type="paragraph" w:styleId="Cabealho5">
    <w:name w:val="heading 5"/>
    <w:basedOn w:val="Normal"/>
    <w:next w:val="Normal"/>
    <w:link w:val="Cabealho5Carter"/>
    <w:autoRedefine/>
    <w:uiPriority w:val="9"/>
    <w:semiHidden/>
    <w:unhideWhenUsed/>
    <w:qFormat/>
    <w:rsid w:val="007F7172"/>
    <w:pPr>
      <w:keepNext/>
      <w:keepLines/>
      <w:numPr>
        <w:ilvl w:val="4"/>
        <w:numId w:val="1"/>
      </w:numPr>
      <w:spacing w:before="120" w:after="120"/>
      <w:outlineLvl w:val="4"/>
    </w:pPr>
    <w:rPr>
      <w:rFonts w:eastAsiaTheme="majorEastAsia" w:cstheme="majorBidi"/>
      <w:b/>
    </w:rPr>
  </w:style>
  <w:style w:type="paragraph" w:styleId="Cabealho6">
    <w:name w:val="heading 6"/>
    <w:basedOn w:val="Normal"/>
    <w:next w:val="Normal"/>
    <w:link w:val="Cabealho6Carter"/>
    <w:uiPriority w:val="9"/>
    <w:semiHidden/>
    <w:unhideWhenUsed/>
    <w:qFormat/>
    <w:rsid w:val="00590E7F"/>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Cabealho7">
    <w:name w:val="heading 7"/>
    <w:basedOn w:val="Normal"/>
    <w:next w:val="Normal"/>
    <w:link w:val="Cabealho7Carter"/>
    <w:uiPriority w:val="9"/>
    <w:semiHidden/>
    <w:unhideWhenUsed/>
    <w:qFormat/>
    <w:rsid w:val="00590E7F"/>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Cabealho8">
    <w:name w:val="heading 8"/>
    <w:basedOn w:val="Normal"/>
    <w:next w:val="Normal"/>
    <w:link w:val="Cabealho8Carter"/>
    <w:uiPriority w:val="9"/>
    <w:semiHidden/>
    <w:unhideWhenUsed/>
    <w:qFormat/>
    <w:rsid w:val="00590E7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Cabealho9">
    <w:name w:val="heading 9"/>
    <w:basedOn w:val="Normal"/>
    <w:next w:val="Normal"/>
    <w:link w:val="Cabealho9Carter"/>
    <w:uiPriority w:val="9"/>
    <w:semiHidden/>
    <w:unhideWhenUsed/>
    <w:qFormat/>
    <w:rsid w:val="00590E7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AA233A"/>
    <w:pPr>
      <w:tabs>
        <w:tab w:val="center" w:pos="4252"/>
        <w:tab w:val="right" w:pos="8504"/>
      </w:tabs>
    </w:pPr>
  </w:style>
  <w:style w:type="character" w:customStyle="1" w:styleId="CabealhoCarter">
    <w:name w:val="Cabeçalho Caráter"/>
    <w:basedOn w:val="Tipodeletrapredefinidodopargrafo"/>
    <w:link w:val="Cabealho"/>
    <w:uiPriority w:val="99"/>
    <w:rsid w:val="00AA233A"/>
  </w:style>
  <w:style w:type="paragraph" w:styleId="Rodap">
    <w:name w:val="footer"/>
    <w:basedOn w:val="Normal"/>
    <w:link w:val="RodapCarter"/>
    <w:uiPriority w:val="99"/>
    <w:unhideWhenUsed/>
    <w:rsid w:val="00AA233A"/>
    <w:pPr>
      <w:tabs>
        <w:tab w:val="center" w:pos="4252"/>
        <w:tab w:val="right" w:pos="8504"/>
      </w:tabs>
    </w:pPr>
  </w:style>
  <w:style w:type="character" w:customStyle="1" w:styleId="RodapCarter">
    <w:name w:val="Rodapé Caráter"/>
    <w:basedOn w:val="Tipodeletrapredefinidodopargrafo"/>
    <w:link w:val="Rodap"/>
    <w:uiPriority w:val="99"/>
    <w:rsid w:val="00AA233A"/>
  </w:style>
  <w:style w:type="character" w:styleId="Hiperligao">
    <w:name w:val="Hyperlink"/>
    <w:basedOn w:val="Tipodeletrapredefinidodopargrafo"/>
    <w:uiPriority w:val="99"/>
    <w:unhideWhenUsed/>
    <w:rsid w:val="00AA233A"/>
    <w:rPr>
      <w:color w:val="0563C1" w:themeColor="hyperlink"/>
      <w:u w:val="single"/>
    </w:rPr>
  </w:style>
  <w:style w:type="paragraph" w:customStyle="1" w:styleId="Cabecera2COMNI">
    <w:name w:val="Cabecera 2. COMNI"/>
    <w:basedOn w:val="Normal"/>
    <w:uiPriority w:val="99"/>
    <w:rsid w:val="00695146"/>
    <w:pPr>
      <w:widowControl w:val="0"/>
      <w:pBdr>
        <w:bottom w:val="single" w:sz="6" w:space="1" w:color="auto"/>
      </w:pBdr>
      <w:ind w:right="-1"/>
      <w:jc w:val="center"/>
    </w:pPr>
    <w:rPr>
      <w:rFonts w:eastAsia="Times New Roman" w:cs="Times New Roman"/>
      <w:sz w:val="20"/>
      <w:szCs w:val="20"/>
      <w:lang w:val="es-ES_tradnl" w:eastAsia="pt-PT"/>
    </w:rPr>
  </w:style>
  <w:style w:type="character" w:customStyle="1" w:styleId="Cabealho1Carter">
    <w:name w:val="Cabeçalho 1 Caráter"/>
    <w:basedOn w:val="Tipodeletrapredefinidodopargrafo"/>
    <w:link w:val="Cabealho1"/>
    <w:uiPriority w:val="9"/>
    <w:rsid w:val="004F0FB6"/>
    <w:rPr>
      <w:rFonts w:ascii="Times New Roman" w:eastAsiaTheme="majorEastAsia" w:hAnsi="Times New Roman" w:cstheme="majorBidi"/>
      <w:b/>
      <w:szCs w:val="32"/>
    </w:rPr>
  </w:style>
  <w:style w:type="character" w:customStyle="1" w:styleId="Cabealho2Carter">
    <w:name w:val="Cabeçalho 2 Caráter"/>
    <w:basedOn w:val="Tipodeletrapredefinidodopargrafo"/>
    <w:link w:val="Cabealho2"/>
    <w:uiPriority w:val="9"/>
    <w:rsid w:val="004F0FB6"/>
    <w:rPr>
      <w:rFonts w:ascii="Times New Roman" w:eastAsiaTheme="majorEastAsia" w:hAnsi="Times New Roman" w:cstheme="majorBidi"/>
      <w:b/>
      <w:szCs w:val="26"/>
    </w:rPr>
  </w:style>
  <w:style w:type="character" w:customStyle="1" w:styleId="Cabealho3Carter">
    <w:name w:val="Cabeçalho 3 Caráter"/>
    <w:basedOn w:val="Tipodeletrapredefinidodopargrafo"/>
    <w:link w:val="Cabealho3"/>
    <w:uiPriority w:val="9"/>
    <w:rsid w:val="004F0FB6"/>
    <w:rPr>
      <w:rFonts w:ascii="Times New Roman" w:eastAsiaTheme="majorEastAsia" w:hAnsi="Times New Roman" w:cstheme="majorBidi"/>
      <w:b/>
      <w:szCs w:val="24"/>
    </w:rPr>
  </w:style>
  <w:style w:type="character" w:customStyle="1" w:styleId="Cabealho4Carter">
    <w:name w:val="Cabeçalho 4 Caráter"/>
    <w:basedOn w:val="Tipodeletrapredefinidodopargrafo"/>
    <w:link w:val="Cabealho4"/>
    <w:uiPriority w:val="9"/>
    <w:rsid w:val="00331E37"/>
    <w:rPr>
      <w:rFonts w:ascii="Times New Roman" w:eastAsiaTheme="majorEastAsia" w:hAnsi="Times New Roman" w:cstheme="majorBidi"/>
      <w:b/>
      <w:iCs/>
    </w:rPr>
  </w:style>
  <w:style w:type="character" w:customStyle="1" w:styleId="Cabealho5Carter">
    <w:name w:val="Cabeçalho 5 Caráter"/>
    <w:basedOn w:val="Tipodeletrapredefinidodopargrafo"/>
    <w:link w:val="Cabealho5"/>
    <w:uiPriority w:val="9"/>
    <w:semiHidden/>
    <w:rsid w:val="007F7172"/>
    <w:rPr>
      <w:rFonts w:ascii="Times New Roman" w:eastAsiaTheme="majorEastAsia" w:hAnsi="Times New Roman" w:cstheme="majorBidi"/>
      <w:b/>
    </w:rPr>
  </w:style>
  <w:style w:type="character" w:customStyle="1" w:styleId="Cabealho6Carter">
    <w:name w:val="Cabeçalho 6 Caráter"/>
    <w:basedOn w:val="Tipodeletrapredefinidodopargrafo"/>
    <w:link w:val="Cabealho6"/>
    <w:uiPriority w:val="9"/>
    <w:semiHidden/>
    <w:rsid w:val="00590E7F"/>
    <w:rPr>
      <w:rFonts w:asciiTheme="majorHAnsi" w:eastAsiaTheme="majorEastAsia" w:hAnsiTheme="majorHAnsi" w:cstheme="majorBidi"/>
      <w:color w:val="1F4D78" w:themeColor="accent1" w:themeShade="7F"/>
    </w:rPr>
  </w:style>
  <w:style w:type="character" w:customStyle="1" w:styleId="Cabealho7Carter">
    <w:name w:val="Cabeçalho 7 Caráter"/>
    <w:basedOn w:val="Tipodeletrapredefinidodopargrafo"/>
    <w:link w:val="Cabealho7"/>
    <w:uiPriority w:val="9"/>
    <w:semiHidden/>
    <w:rsid w:val="00590E7F"/>
    <w:rPr>
      <w:rFonts w:asciiTheme="majorHAnsi" w:eastAsiaTheme="majorEastAsia" w:hAnsiTheme="majorHAnsi" w:cstheme="majorBidi"/>
      <w:i/>
      <w:iCs/>
      <w:color w:val="1F4D78" w:themeColor="accent1" w:themeShade="7F"/>
    </w:rPr>
  </w:style>
  <w:style w:type="character" w:customStyle="1" w:styleId="Cabealho8Carter">
    <w:name w:val="Cabeçalho 8 Caráter"/>
    <w:basedOn w:val="Tipodeletrapredefinidodopargrafo"/>
    <w:link w:val="Cabealho8"/>
    <w:uiPriority w:val="9"/>
    <w:semiHidden/>
    <w:rsid w:val="00590E7F"/>
    <w:rPr>
      <w:rFonts w:asciiTheme="majorHAnsi" w:eastAsiaTheme="majorEastAsia" w:hAnsiTheme="majorHAnsi" w:cstheme="majorBidi"/>
      <w:color w:val="272727" w:themeColor="text1" w:themeTint="D8"/>
      <w:sz w:val="21"/>
      <w:szCs w:val="21"/>
    </w:rPr>
  </w:style>
  <w:style w:type="character" w:customStyle="1" w:styleId="Cabealho9Carter">
    <w:name w:val="Cabeçalho 9 Caráter"/>
    <w:basedOn w:val="Tipodeletrapredefinidodopargrafo"/>
    <w:link w:val="Cabealho9"/>
    <w:uiPriority w:val="9"/>
    <w:semiHidden/>
    <w:rsid w:val="00590E7F"/>
    <w:rPr>
      <w:rFonts w:asciiTheme="majorHAnsi" w:eastAsiaTheme="majorEastAsia" w:hAnsiTheme="majorHAnsi" w:cstheme="majorBidi"/>
      <w:i/>
      <w:iCs/>
      <w:color w:val="272727" w:themeColor="text1" w:themeTint="D8"/>
      <w:sz w:val="21"/>
      <w:szCs w:val="21"/>
    </w:rPr>
  </w:style>
  <w:style w:type="paragraph" w:styleId="Cabealhodondice">
    <w:name w:val="TOC Heading"/>
    <w:basedOn w:val="Cabealho1"/>
    <w:next w:val="Normal"/>
    <w:uiPriority w:val="39"/>
    <w:unhideWhenUsed/>
    <w:qFormat/>
    <w:rsid w:val="00590E7F"/>
    <w:pPr>
      <w:numPr>
        <w:numId w:val="0"/>
      </w:numPr>
      <w:outlineLvl w:val="9"/>
    </w:pPr>
  </w:style>
  <w:style w:type="paragraph" w:styleId="ndice1">
    <w:name w:val="toc 1"/>
    <w:basedOn w:val="Normal"/>
    <w:next w:val="Normal"/>
    <w:autoRedefine/>
    <w:uiPriority w:val="39"/>
    <w:unhideWhenUsed/>
    <w:rsid w:val="00590E7F"/>
    <w:pPr>
      <w:tabs>
        <w:tab w:val="right" w:leader="dot" w:pos="8828"/>
      </w:tabs>
      <w:spacing w:after="100"/>
    </w:pPr>
  </w:style>
  <w:style w:type="paragraph" w:styleId="Textodebalo">
    <w:name w:val="Balloon Text"/>
    <w:basedOn w:val="Normal"/>
    <w:link w:val="TextodebaloCarter"/>
    <w:uiPriority w:val="99"/>
    <w:semiHidden/>
    <w:unhideWhenUsed/>
    <w:rsid w:val="00590E7F"/>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590E7F"/>
    <w:rPr>
      <w:rFonts w:ascii="Segoe UI" w:hAnsi="Segoe UI" w:cs="Segoe UI"/>
      <w:sz w:val="18"/>
      <w:szCs w:val="18"/>
    </w:rPr>
  </w:style>
  <w:style w:type="paragraph" w:styleId="PargrafodaLista">
    <w:name w:val="List Paragraph"/>
    <w:basedOn w:val="Normal"/>
    <w:uiPriority w:val="34"/>
    <w:qFormat/>
    <w:rsid w:val="00590E7F"/>
    <w:pPr>
      <w:ind w:left="720"/>
      <w:contextualSpacing/>
    </w:pPr>
  </w:style>
  <w:style w:type="paragraph" w:styleId="ndice2">
    <w:name w:val="toc 2"/>
    <w:basedOn w:val="Normal"/>
    <w:next w:val="Normal"/>
    <w:autoRedefine/>
    <w:uiPriority w:val="39"/>
    <w:unhideWhenUsed/>
    <w:rsid w:val="00590E7F"/>
    <w:pPr>
      <w:spacing w:after="100"/>
      <w:ind w:left="220"/>
    </w:pPr>
  </w:style>
  <w:style w:type="paragraph" w:customStyle="1" w:styleId="EndNoteBibliographyTitle">
    <w:name w:val="EndNote Bibliography Title"/>
    <w:basedOn w:val="Normal"/>
    <w:link w:val="EndNoteBibliographyTitleChar"/>
    <w:rsid w:val="00590E7F"/>
    <w:pPr>
      <w:jc w:val="center"/>
    </w:pPr>
    <w:rPr>
      <w:rFonts w:ascii="Calibri" w:hAnsi="Calibri"/>
      <w:noProof/>
    </w:rPr>
  </w:style>
  <w:style w:type="character" w:customStyle="1" w:styleId="EndNoteBibliographyTitleChar">
    <w:name w:val="EndNote Bibliography Title Char"/>
    <w:basedOn w:val="Tipodeletrapredefinidodopargrafo"/>
    <w:link w:val="EndNoteBibliographyTitle"/>
    <w:rsid w:val="00590E7F"/>
    <w:rPr>
      <w:rFonts w:ascii="Calibri" w:hAnsi="Calibri"/>
      <w:noProof/>
    </w:rPr>
  </w:style>
  <w:style w:type="paragraph" w:customStyle="1" w:styleId="EndNoteBibliography">
    <w:name w:val="EndNote Bibliography"/>
    <w:basedOn w:val="Normal"/>
    <w:link w:val="EndNoteBibliographyChar"/>
    <w:rsid w:val="00590E7F"/>
    <w:rPr>
      <w:rFonts w:ascii="Calibri" w:hAnsi="Calibri"/>
      <w:noProof/>
    </w:rPr>
  </w:style>
  <w:style w:type="character" w:customStyle="1" w:styleId="EndNoteBibliographyChar">
    <w:name w:val="EndNote Bibliography Char"/>
    <w:basedOn w:val="Tipodeletrapredefinidodopargrafo"/>
    <w:link w:val="EndNoteBibliography"/>
    <w:rsid w:val="00590E7F"/>
    <w:rPr>
      <w:rFonts w:ascii="Calibri" w:hAnsi="Calibri"/>
      <w:noProof/>
    </w:rPr>
  </w:style>
  <w:style w:type="character" w:styleId="Refdecomentrio">
    <w:name w:val="annotation reference"/>
    <w:basedOn w:val="Tipodeletrapredefinidodopargrafo"/>
    <w:uiPriority w:val="99"/>
    <w:semiHidden/>
    <w:unhideWhenUsed/>
    <w:rsid w:val="00590E7F"/>
    <w:rPr>
      <w:sz w:val="16"/>
      <w:szCs w:val="16"/>
    </w:rPr>
  </w:style>
  <w:style w:type="paragraph" w:styleId="Textodecomentrio">
    <w:name w:val="annotation text"/>
    <w:basedOn w:val="Normal"/>
    <w:link w:val="TextodecomentrioCarter"/>
    <w:uiPriority w:val="99"/>
    <w:semiHidden/>
    <w:unhideWhenUsed/>
    <w:rsid w:val="00590E7F"/>
    <w:rPr>
      <w:sz w:val="20"/>
      <w:szCs w:val="20"/>
    </w:rPr>
  </w:style>
  <w:style w:type="character" w:customStyle="1" w:styleId="TextodecomentrioCarter">
    <w:name w:val="Texto de comentário Caráter"/>
    <w:basedOn w:val="Tipodeletrapredefinidodopargrafo"/>
    <w:link w:val="Textodecomentrio"/>
    <w:uiPriority w:val="99"/>
    <w:semiHidden/>
    <w:rsid w:val="00590E7F"/>
    <w:rPr>
      <w:sz w:val="20"/>
      <w:szCs w:val="20"/>
    </w:rPr>
  </w:style>
  <w:style w:type="paragraph" w:styleId="Assuntodecomentrio">
    <w:name w:val="annotation subject"/>
    <w:basedOn w:val="Textodecomentrio"/>
    <w:next w:val="Textodecomentrio"/>
    <w:link w:val="AssuntodecomentrioCarter"/>
    <w:uiPriority w:val="99"/>
    <w:semiHidden/>
    <w:unhideWhenUsed/>
    <w:rsid w:val="00590E7F"/>
    <w:rPr>
      <w:b/>
      <w:bCs/>
    </w:rPr>
  </w:style>
  <w:style w:type="character" w:customStyle="1" w:styleId="AssuntodecomentrioCarter">
    <w:name w:val="Assunto de comentário Caráter"/>
    <w:basedOn w:val="TextodecomentrioCarter"/>
    <w:link w:val="Assuntodecomentrio"/>
    <w:uiPriority w:val="99"/>
    <w:semiHidden/>
    <w:rsid w:val="00590E7F"/>
    <w:rPr>
      <w:b/>
      <w:bCs/>
      <w:sz w:val="20"/>
      <w:szCs w:val="20"/>
    </w:rPr>
  </w:style>
  <w:style w:type="paragraph" w:styleId="ndice3">
    <w:name w:val="toc 3"/>
    <w:basedOn w:val="Normal"/>
    <w:next w:val="Normal"/>
    <w:autoRedefine/>
    <w:uiPriority w:val="39"/>
    <w:unhideWhenUsed/>
    <w:rsid w:val="00590E7F"/>
    <w:pPr>
      <w:spacing w:after="100"/>
      <w:ind w:left="440"/>
    </w:pPr>
  </w:style>
  <w:style w:type="paragraph" w:styleId="Legenda">
    <w:name w:val="caption"/>
    <w:basedOn w:val="Normal"/>
    <w:next w:val="Normal"/>
    <w:uiPriority w:val="35"/>
    <w:unhideWhenUsed/>
    <w:qFormat/>
    <w:rsid w:val="00590E7F"/>
    <w:pPr>
      <w:spacing w:after="200"/>
    </w:pPr>
    <w:rPr>
      <w:i/>
      <w:iCs/>
      <w:color w:val="44546A" w:themeColor="text2"/>
      <w:sz w:val="18"/>
      <w:szCs w:val="18"/>
    </w:rPr>
  </w:style>
  <w:style w:type="paragraph" w:styleId="Reviso">
    <w:name w:val="Revision"/>
    <w:hidden/>
    <w:uiPriority w:val="99"/>
    <w:semiHidden/>
    <w:rsid w:val="00590E7F"/>
    <w:pPr>
      <w:spacing w:after="0" w:line="240" w:lineRule="auto"/>
    </w:pPr>
    <w:rPr>
      <w:lang w:val="en-US"/>
    </w:rPr>
  </w:style>
  <w:style w:type="character" w:styleId="TextodoMarcadordePosio">
    <w:name w:val="Placeholder Text"/>
    <w:basedOn w:val="Tipodeletrapredefinidodopargrafo"/>
    <w:uiPriority w:val="99"/>
    <w:semiHidden/>
    <w:rsid w:val="00590E7F"/>
    <w:rPr>
      <w:color w:val="808080"/>
    </w:rPr>
  </w:style>
  <w:style w:type="character" w:customStyle="1" w:styleId="fn">
    <w:name w:val="fn"/>
    <w:basedOn w:val="Tipodeletrapredefinidodopargrafo"/>
    <w:rsid w:val="00590E7F"/>
  </w:style>
  <w:style w:type="table" w:customStyle="1" w:styleId="ListTable2-Accent51">
    <w:name w:val="List Table 2 - Accent 51"/>
    <w:basedOn w:val="Tabelanormal"/>
    <w:uiPriority w:val="47"/>
    <w:rsid w:val="00590E7F"/>
    <w:pPr>
      <w:spacing w:after="0" w:line="240" w:lineRule="auto"/>
    </w:pPr>
    <w:rPr>
      <w:lang w:val="en-US"/>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7Colorful-Accent51">
    <w:name w:val="Grid Table 7 Colorful - Accent 51"/>
    <w:basedOn w:val="Tabelanormal"/>
    <w:uiPriority w:val="52"/>
    <w:rsid w:val="00590E7F"/>
    <w:pPr>
      <w:spacing w:after="0" w:line="240" w:lineRule="auto"/>
    </w:pPr>
    <w:rPr>
      <w:color w:val="2F5496" w:themeColor="accent5" w:themeShade="BF"/>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ListTable1Light-Accent51">
    <w:name w:val="List Table 1 Light - Accent 51"/>
    <w:basedOn w:val="Tabelanormal"/>
    <w:uiPriority w:val="46"/>
    <w:rsid w:val="00590E7F"/>
    <w:pPr>
      <w:spacing w:after="0" w:line="240" w:lineRule="auto"/>
    </w:pPr>
    <w:rPr>
      <w:lang w:val="en-US"/>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3-Accent11">
    <w:name w:val="Grid Table 3 - Accent 11"/>
    <w:basedOn w:val="Tabelanormal"/>
    <w:uiPriority w:val="48"/>
    <w:rsid w:val="00590E7F"/>
    <w:pPr>
      <w:spacing w:after="0" w:line="240" w:lineRule="auto"/>
    </w:pPr>
    <w:rPr>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3-Accent51">
    <w:name w:val="Grid Table 3 - Accent 51"/>
    <w:basedOn w:val="Tabelanormal"/>
    <w:uiPriority w:val="48"/>
    <w:rsid w:val="00590E7F"/>
    <w:pPr>
      <w:spacing w:after="0" w:line="240" w:lineRule="auto"/>
    </w:pPr>
    <w:rPr>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ListTable7Colorful-Accent51">
    <w:name w:val="List Table 7 Colorful - Accent 51"/>
    <w:basedOn w:val="Tabelanormal"/>
    <w:uiPriority w:val="52"/>
    <w:rsid w:val="00590E7F"/>
    <w:pPr>
      <w:spacing w:after="0" w:line="240" w:lineRule="auto"/>
    </w:pPr>
    <w:rPr>
      <w:color w:val="2F5496"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comgrelha">
    <w:name w:val="Table Grid"/>
    <w:basedOn w:val="Tabelanormal"/>
    <w:uiPriority w:val="39"/>
    <w:rsid w:val="00590E7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7F7172"/>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to@fe.up.pt" TargetMode="External"/><Relationship Id="rId13" Type="http://schemas.openxmlformats.org/officeDocument/2006/relationships/chart" Target="charts/chart2.xml"/><Relationship Id="rId18" Type="http://schemas.openxmlformats.org/officeDocument/2006/relationships/hyperlink" Target="http://epp.eurostat.ec.europa.eu/tgm/table.do?tab=table&amp;init=1&amp;plugin=1&amp;language=en&amp;pcode=ten00117"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hyperlink" Target="http://www.skk.p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e.up.pt" TargetMode="Externa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ugo\Dropbox\FEUP\Disserta&#231;&#227;o\Tese\Excel\Cap&#237;tulo%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ugo\Dropbox\FEUP\Disserta&#231;&#227;o\Tese\Excel\Cap&#237;tulo%20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ugo\Dropbox\FEUP\Disserta&#231;&#227;o\Tese\Excel\Cap&#237;tulo%20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ugo\Dropbox\FEUP\Disserta&#231;&#227;o\Tese\Excel\Cap&#237;tulo%20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ugo\Dropbox\FEUP\Disserta&#231;&#227;o\Tese\Excel\Cap&#237;tulo%20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ugo\Dropbox\FEUP\Disserta&#231;&#227;o\Disserta&#231;&#227;o\Base%20de%20dados%20das%20Empresas\Survey%20Report%20-%201&#186;%20Mail\Survey%20Report%2011-04%20v3.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a:t>Agrupamentos</a:t>
            </a:r>
            <a:r>
              <a:rPr lang="pt-PT" baseline="0"/>
              <a:t> e Número de Respostas</a:t>
            </a:r>
            <a:endParaRPr lang="pt-PT"/>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B80-4500-A335-5772E87A362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B80-4500-A335-5772E87A362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B80-4500-A335-5772E87A362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B80-4500-A335-5772E87A362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B80-4500-A335-5772E87A362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B80-4500-A335-5772E87A362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P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'Capítulo 4.1'!$A$1:$A$6</c:f>
              <c:strCache>
                <c:ptCount val="6"/>
                <c:pt idx="0">
                  <c:v>Agricultura</c:v>
                </c:pt>
                <c:pt idx="1">
                  <c:v>Armazenagem frigorífica</c:v>
                </c:pt>
                <c:pt idx="2">
                  <c:v>Carne</c:v>
                </c:pt>
                <c:pt idx="3">
                  <c:v>Gelo e Gelados</c:v>
                </c:pt>
                <c:pt idx="4">
                  <c:v>Laticínios</c:v>
                </c:pt>
                <c:pt idx="5">
                  <c:v>Pesca</c:v>
                </c:pt>
              </c:strCache>
            </c:strRef>
          </c:cat>
          <c:val>
            <c:numRef>
              <c:f>'Capítulo 4.1'!$B$1:$B$6</c:f>
              <c:numCache>
                <c:formatCode>General</c:formatCode>
                <c:ptCount val="6"/>
                <c:pt idx="0">
                  <c:v>3</c:v>
                </c:pt>
                <c:pt idx="1">
                  <c:v>12</c:v>
                </c:pt>
                <c:pt idx="2">
                  <c:v>44</c:v>
                </c:pt>
                <c:pt idx="3">
                  <c:v>4</c:v>
                </c:pt>
                <c:pt idx="4">
                  <c:v>19</c:v>
                </c:pt>
                <c:pt idx="5">
                  <c:v>14</c:v>
                </c:pt>
              </c:numCache>
            </c:numRef>
          </c:val>
          <c:extLst>
            <c:ext xmlns:c16="http://schemas.microsoft.com/office/drawing/2014/chart" uri="{C3380CC4-5D6E-409C-BE32-E72D297353CC}">
              <c16:uniqueId val="{0000000C-8B80-4500-A335-5772E87A362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a:t>Carne</a:t>
            </a:r>
          </a:p>
        </c:rich>
      </c:tx>
      <c:overlay val="0"/>
      <c:spPr>
        <a:noFill/>
        <a:ln>
          <a:noFill/>
        </a:ln>
        <a:effectLst/>
      </c:spPr>
    </c:title>
    <c:autoTitleDeleted val="0"/>
    <c:plotArea>
      <c:layout/>
      <c:scatterChart>
        <c:scatterStyle val="lineMarker"/>
        <c:varyColors val="0"/>
        <c:ser>
          <c:idx val="0"/>
          <c:order val="0"/>
          <c:tx>
            <c:strRef>
              <c:f>'Trendlines de SAE'!$X$1</c:f>
              <c:strCache>
                <c:ptCount val="1"/>
                <c:pt idx="0">
                  <c:v>Consumo Energético (UCE)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trendlineLbl>
          </c:trendline>
          <c:xVal>
            <c:numRef>
              <c:f>'Trendlines de SAE'!$T$2:$T$45</c:f>
              <c:numCache>
                <c:formatCode>General</c:formatCode>
                <c:ptCount val="44"/>
                <c:pt idx="0">
                  <c:v>150000</c:v>
                </c:pt>
                <c:pt idx="1">
                  <c:v>299278.74</c:v>
                </c:pt>
                <c:pt idx="2">
                  <c:v>299278.74</c:v>
                </c:pt>
                <c:pt idx="3">
                  <c:v>300000</c:v>
                </c:pt>
                <c:pt idx="4">
                  <c:v>374100</c:v>
                </c:pt>
                <c:pt idx="5">
                  <c:v>375000</c:v>
                </c:pt>
                <c:pt idx="6">
                  <c:v>420000</c:v>
                </c:pt>
                <c:pt idx="7">
                  <c:v>448918.11</c:v>
                </c:pt>
                <c:pt idx="8">
                  <c:v>450000</c:v>
                </c:pt>
                <c:pt idx="9">
                  <c:v>450000</c:v>
                </c:pt>
                <c:pt idx="10">
                  <c:v>450000</c:v>
                </c:pt>
                <c:pt idx="11">
                  <c:v>525000</c:v>
                </c:pt>
                <c:pt idx="12">
                  <c:v>540000</c:v>
                </c:pt>
                <c:pt idx="13">
                  <c:v>568629.60000000009</c:v>
                </c:pt>
                <c:pt idx="14">
                  <c:v>598557.48</c:v>
                </c:pt>
                <c:pt idx="15">
                  <c:v>600000</c:v>
                </c:pt>
                <c:pt idx="16">
                  <c:v>630000</c:v>
                </c:pt>
                <c:pt idx="17">
                  <c:v>765000</c:v>
                </c:pt>
                <c:pt idx="18">
                  <c:v>900000</c:v>
                </c:pt>
                <c:pt idx="19">
                  <c:v>975000</c:v>
                </c:pt>
                <c:pt idx="20">
                  <c:v>1200000</c:v>
                </c:pt>
                <c:pt idx="21">
                  <c:v>1200000</c:v>
                </c:pt>
                <c:pt idx="22">
                  <c:v>1200000</c:v>
                </c:pt>
                <c:pt idx="23">
                  <c:v>1342500</c:v>
                </c:pt>
                <c:pt idx="24">
                  <c:v>1496400</c:v>
                </c:pt>
                <c:pt idx="25">
                  <c:v>1500000</c:v>
                </c:pt>
                <c:pt idx="26">
                  <c:v>1635000</c:v>
                </c:pt>
                <c:pt idx="27">
                  <c:v>2035095.42</c:v>
                </c:pt>
                <c:pt idx="28">
                  <c:v>2250000</c:v>
                </c:pt>
                <c:pt idx="29">
                  <c:v>2400000</c:v>
                </c:pt>
                <c:pt idx="30">
                  <c:v>2550000</c:v>
                </c:pt>
                <c:pt idx="31">
                  <c:v>2647113</c:v>
                </c:pt>
                <c:pt idx="32">
                  <c:v>3000000</c:v>
                </c:pt>
                <c:pt idx="33">
                  <c:v>3000000</c:v>
                </c:pt>
                <c:pt idx="34">
                  <c:v>3600000</c:v>
                </c:pt>
                <c:pt idx="35">
                  <c:v>4579260.66</c:v>
                </c:pt>
                <c:pt idx="36">
                  <c:v>6000000</c:v>
                </c:pt>
                <c:pt idx="37">
                  <c:v>6600000</c:v>
                </c:pt>
                <c:pt idx="38">
                  <c:v>9000000</c:v>
                </c:pt>
                <c:pt idx="39">
                  <c:v>11896320</c:v>
                </c:pt>
                <c:pt idx="40">
                  <c:v>12000000</c:v>
                </c:pt>
                <c:pt idx="42">
                  <c:v>30000000</c:v>
                </c:pt>
                <c:pt idx="43">
                  <c:v>34470000</c:v>
                </c:pt>
              </c:numCache>
            </c:numRef>
          </c:xVal>
          <c:yVal>
            <c:numRef>
              <c:f>'Trendlines de SAE'!$X$2:$X$45</c:f>
              <c:numCache>
                <c:formatCode>General</c:formatCode>
                <c:ptCount val="44"/>
                <c:pt idx="0">
                  <c:v>4000</c:v>
                </c:pt>
                <c:pt idx="1">
                  <c:v>4000</c:v>
                </c:pt>
                <c:pt idx="2">
                  <c:v>18000</c:v>
                </c:pt>
                <c:pt idx="3">
                  <c:v>20000</c:v>
                </c:pt>
                <c:pt idx="4">
                  <c:v>5994.6</c:v>
                </c:pt>
                <c:pt idx="5">
                  <c:v>8696.9079999999922</c:v>
                </c:pt>
                <c:pt idx="6">
                  <c:v>10000</c:v>
                </c:pt>
                <c:pt idx="7">
                  <c:v>6000</c:v>
                </c:pt>
                <c:pt idx="8">
                  <c:v>6000</c:v>
                </c:pt>
                <c:pt idx="9">
                  <c:v>36000</c:v>
                </c:pt>
                <c:pt idx="10">
                  <c:v>10000</c:v>
                </c:pt>
                <c:pt idx="11">
                  <c:v>12000</c:v>
                </c:pt>
                <c:pt idx="12">
                  <c:v>18952</c:v>
                </c:pt>
                <c:pt idx="13">
                  <c:v>11200</c:v>
                </c:pt>
                <c:pt idx="14">
                  <c:v>28000</c:v>
                </c:pt>
                <c:pt idx="15">
                  <c:v>54084.476000000002</c:v>
                </c:pt>
                <c:pt idx="16">
                  <c:v>5200</c:v>
                </c:pt>
                <c:pt idx="17">
                  <c:v>8000</c:v>
                </c:pt>
                <c:pt idx="18">
                  <c:v>5200</c:v>
                </c:pt>
                <c:pt idx="19">
                  <c:v>20000</c:v>
                </c:pt>
                <c:pt idx="20">
                  <c:v>34196</c:v>
                </c:pt>
                <c:pt idx="21">
                  <c:v>28000</c:v>
                </c:pt>
                <c:pt idx="22">
                  <c:v>58685.279999999999</c:v>
                </c:pt>
                <c:pt idx="23">
                  <c:v>8000</c:v>
                </c:pt>
                <c:pt idx="24">
                  <c:v>15573.6</c:v>
                </c:pt>
                <c:pt idx="25">
                  <c:v>24720</c:v>
                </c:pt>
                <c:pt idx="26">
                  <c:v>40000</c:v>
                </c:pt>
                <c:pt idx="27">
                  <c:v>18000</c:v>
                </c:pt>
                <c:pt idx="28">
                  <c:v>20000</c:v>
                </c:pt>
                <c:pt idx="29">
                  <c:v>44000</c:v>
                </c:pt>
                <c:pt idx="30">
                  <c:v>20600</c:v>
                </c:pt>
                <c:pt idx="31">
                  <c:v>64501.72</c:v>
                </c:pt>
                <c:pt idx="32">
                  <c:v>120000</c:v>
                </c:pt>
                <c:pt idx="33">
                  <c:v>40000</c:v>
                </c:pt>
                <c:pt idx="34">
                  <c:v>52000</c:v>
                </c:pt>
                <c:pt idx="35">
                  <c:v>33200</c:v>
                </c:pt>
                <c:pt idx="36">
                  <c:v>6180</c:v>
                </c:pt>
                <c:pt idx="37">
                  <c:v>22248</c:v>
                </c:pt>
                <c:pt idx="38">
                  <c:v>90640</c:v>
                </c:pt>
                <c:pt idx="39">
                  <c:v>40000</c:v>
                </c:pt>
                <c:pt idx="40">
                  <c:v>80000</c:v>
                </c:pt>
                <c:pt idx="42">
                  <c:v>453200</c:v>
                </c:pt>
                <c:pt idx="43">
                  <c:v>400000</c:v>
                </c:pt>
              </c:numCache>
            </c:numRef>
          </c:yVal>
          <c:smooth val="0"/>
          <c:extLst>
            <c:ext xmlns:c16="http://schemas.microsoft.com/office/drawing/2014/chart" uri="{C3380CC4-5D6E-409C-BE32-E72D297353CC}">
              <c16:uniqueId val="{00000000-CDEE-4CFF-8229-CEB7ACD7C8AF}"/>
            </c:ext>
          </c:extLst>
        </c:ser>
        <c:dLbls>
          <c:showLegendKey val="0"/>
          <c:showVal val="0"/>
          <c:showCatName val="0"/>
          <c:showSerName val="0"/>
          <c:showPercent val="0"/>
          <c:showBubbleSize val="0"/>
        </c:dLbls>
        <c:axId val="-2135763736"/>
        <c:axId val="-2135772616"/>
      </c:scatterChart>
      <c:valAx>
        <c:axId val="-21357637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PT"/>
                  <a:t>Capital Social (em milhões</a:t>
                </a:r>
                <a:r>
                  <a:rPr lang="pt-PT" baseline="0"/>
                  <a:t> de </a:t>
                </a:r>
                <a:r>
                  <a:rPr lang="pt-PT"/>
                  <a:t>UM)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2135772616"/>
        <c:crosses val="autoZero"/>
        <c:crossBetween val="midCat"/>
        <c:dispUnits>
          <c:builtInUnit val="millions"/>
        </c:dispUnits>
      </c:valAx>
      <c:valAx>
        <c:axId val="-2135772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PT"/>
                  <a:t>Consumo Energético (UCE)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213576373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a:t>Laticínios</a:t>
            </a:r>
          </a:p>
        </c:rich>
      </c:tx>
      <c:overlay val="0"/>
      <c:spPr>
        <a:noFill/>
        <a:ln>
          <a:noFill/>
        </a:ln>
        <a:effectLst/>
      </c:spPr>
    </c:title>
    <c:autoTitleDeleted val="0"/>
    <c:plotArea>
      <c:layout/>
      <c:scatterChart>
        <c:scatterStyle val="lineMarker"/>
        <c:varyColors val="0"/>
        <c:ser>
          <c:idx val="0"/>
          <c:order val="0"/>
          <c:tx>
            <c:strRef>
              <c:f>'Trendlines de SAE'!$AN$1</c:f>
              <c:strCache>
                <c:ptCount val="1"/>
                <c:pt idx="0">
                  <c:v>Consumo Energético (UCE)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trendlineLbl>
          </c:trendline>
          <c:xVal>
            <c:numRef>
              <c:f>'Trendlines de SAE'!$AJ$2:$AJ$18</c:f>
              <c:numCache>
                <c:formatCode>General</c:formatCode>
                <c:ptCount val="17"/>
                <c:pt idx="0">
                  <c:v>75000</c:v>
                </c:pt>
                <c:pt idx="1">
                  <c:v>135000</c:v>
                </c:pt>
                <c:pt idx="2">
                  <c:v>150000</c:v>
                </c:pt>
                <c:pt idx="3">
                  <c:v>237000</c:v>
                </c:pt>
                <c:pt idx="4">
                  <c:v>494880</c:v>
                </c:pt>
                <c:pt idx="5">
                  <c:v>600000</c:v>
                </c:pt>
                <c:pt idx="6">
                  <c:v>791285.70000000007</c:v>
                </c:pt>
                <c:pt idx="7">
                  <c:v>900000</c:v>
                </c:pt>
                <c:pt idx="8">
                  <c:v>1200000</c:v>
                </c:pt>
                <c:pt idx="9">
                  <c:v>1436537.88</c:v>
                </c:pt>
                <c:pt idx="10">
                  <c:v>1665000</c:v>
                </c:pt>
                <c:pt idx="11">
                  <c:v>1741802.28</c:v>
                </c:pt>
                <c:pt idx="12">
                  <c:v>1765572</c:v>
                </c:pt>
                <c:pt idx="13">
                  <c:v>2543869.2599999998</c:v>
                </c:pt>
                <c:pt idx="14">
                  <c:v>7271700</c:v>
                </c:pt>
                <c:pt idx="15">
                  <c:v>10814100</c:v>
                </c:pt>
                <c:pt idx="16">
                  <c:v>18000000</c:v>
                </c:pt>
              </c:numCache>
            </c:numRef>
          </c:xVal>
          <c:yVal>
            <c:numRef>
              <c:f>'Trendlines de SAE'!$AN$2:$AN$18</c:f>
              <c:numCache>
                <c:formatCode>General</c:formatCode>
                <c:ptCount val="17"/>
                <c:pt idx="0">
                  <c:v>2800</c:v>
                </c:pt>
                <c:pt idx="1">
                  <c:v>3400</c:v>
                </c:pt>
                <c:pt idx="2">
                  <c:v>12360</c:v>
                </c:pt>
                <c:pt idx="3">
                  <c:v>13600</c:v>
                </c:pt>
                <c:pt idx="4">
                  <c:v>15846.343999999999</c:v>
                </c:pt>
                <c:pt idx="5">
                  <c:v>12000</c:v>
                </c:pt>
                <c:pt idx="6">
                  <c:v>53560</c:v>
                </c:pt>
                <c:pt idx="7">
                  <c:v>12000</c:v>
                </c:pt>
                <c:pt idx="8">
                  <c:v>5600</c:v>
                </c:pt>
                <c:pt idx="9">
                  <c:v>16000</c:v>
                </c:pt>
                <c:pt idx="10">
                  <c:v>40000</c:v>
                </c:pt>
                <c:pt idx="11">
                  <c:v>8844.4039999999932</c:v>
                </c:pt>
                <c:pt idx="12">
                  <c:v>6000</c:v>
                </c:pt>
                <c:pt idx="13">
                  <c:v>16000</c:v>
                </c:pt>
                <c:pt idx="14">
                  <c:v>44000</c:v>
                </c:pt>
                <c:pt idx="15">
                  <c:v>100000</c:v>
                </c:pt>
                <c:pt idx="16">
                  <c:v>156560</c:v>
                </c:pt>
              </c:numCache>
            </c:numRef>
          </c:yVal>
          <c:smooth val="0"/>
          <c:extLst>
            <c:ext xmlns:c16="http://schemas.microsoft.com/office/drawing/2014/chart" uri="{C3380CC4-5D6E-409C-BE32-E72D297353CC}">
              <c16:uniqueId val="{00000000-D432-4288-AA54-0D337F9D6887}"/>
            </c:ext>
          </c:extLst>
        </c:ser>
        <c:dLbls>
          <c:showLegendKey val="0"/>
          <c:showVal val="0"/>
          <c:showCatName val="0"/>
          <c:showSerName val="0"/>
          <c:showPercent val="0"/>
          <c:showBubbleSize val="0"/>
        </c:dLbls>
        <c:axId val="-2135814536"/>
        <c:axId val="-2135823496"/>
      </c:scatterChart>
      <c:valAx>
        <c:axId val="-21358145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PT"/>
                  <a:t>Capital Social (</a:t>
                </a:r>
                <a:r>
                  <a:rPr lang="pt-PT" sz="1000" b="0" i="0" u="none" strike="noStrike" baseline="0">
                    <a:effectLst/>
                  </a:rPr>
                  <a:t>em milhões de </a:t>
                </a:r>
                <a:r>
                  <a:rPr lang="pt-PT"/>
                  <a:t>UM)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2135823496"/>
        <c:crosses val="autoZero"/>
        <c:crossBetween val="midCat"/>
        <c:dispUnits>
          <c:builtInUnit val="millions"/>
        </c:dispUnits>
      </c:valAx>
      <c:valAx>
        <c:axId val="-2135823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PT"/>
                  <a:t>Consumo Energético (UCE)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213581453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Armazenagem Frigorífica</a:t>
            </a:r>
          </a:p>
        </c:rich>
      </c:tx>
      <c:overlay val="0"/>
      <c:spPr>
        <a:noFill/>
        <a:ln>
          <a:noFill/>
        </a:ln>
        <a:effectLst/>
      </c:spPr>
    </c:title>
    <c:autoTitleDeleted val="0"/>
    <c:plotArea>
      <c:layout/>
      <c:scatterChart>
        <c:scatterStyle val="lineMarker"/>
        <c:varyColors val="0"/>
        <c:ser>
          <c:idx val="0"/>
          <c:order val="0"/>
          <c:tx>
            <c:strRef>
              <c:f>'Trendlines de SAE'!$P$1</c:f>
              <c:strCache>
                <c:ptCount val="1"/>
                <c:pt idx="0">
                  <c:v>Consumo Energético (UCE)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trendlineLbl>
          </c:trendline>
          <c:xVal>
            <c:numRef>
              <c:f>'Trendlines de SAE'!$L$2:$L$13</c:f>
              <c:numCache>
                <c:formatCode>General</c:formatCode>
                <c:ptCount val="12"/>
                <c:pt idx="0">
                  <c:v>45000</c:v>
                </c:pt>
                <c:pt idx="1">
                  <c:v>60000</c:v>
                </c:pt>
                <c:pt idx="2">
                  <c:v>300000</c:v>
                </c:pt>
                <c:pt idx="3">
                  <c:v>300000</c:v>
                </c:pt>
                <c:pt idx="4">
                  <c:v>600000</c:v>
                </c:pt>
                <c:pt idx="5">
                  <c:v>600000</c:v>
                </c:pt>
                <c:pt idx="6">
                  <c:v>600000.03</c:v>
                </c:pt>
                <c:pt idx="7">
                  <c:v>1500000</c:v>
                </c:pt>
                <c:pt idx="8">
                  <c:v>5250000</c:v>
                </c:pt>
                <c:pt idx="9">
                  <c:v>5250000</c:v>
                </c:pt>
                <c:pt idx="10">
                  <c:v>9000000</c:v>
                </c:pt>
                <c:pt idx="11">
                  <c:v>15000000</c:v>
                </c:pt>
              </c:numCache>
            </c:numRef>
          </c:xVal>
          <c:yVal>
            <c:numRef>
              <c:f>'Trendlines de SAE'!$P$2:$P$13</c:f>
              <c:numCache>
                <c:formatCode>General</c:formatCode>
                <c:ptCount val="12"/>
                <c:pt idx="0">
                  <c:v>72000</c:v>
                </c:pt>
                <c:pt idx="1">
                  <c:v>800</c:v>
                </c:pt>
                <c:pt idx="2">
                  <c:v>20600</c:v>
                </c:pt>
                <c:pt idx="3">
                  <c:v>60000</c:v>
                </c:pt>
                <c:pt idx="4">
                  <c:v>3600</c:v>
                </c:pt>
                <c:pt idx="5">
                  <c:v>40376</c:v>
                </c:pt>
                <c:pt idx="6">
                  <c:v>43260</c:v>
                </c:pt>
                <c:pt idx="7">
                  <c:v>16480</c:v>
                </c:pt>
                <c:pt idx="8">
                  <c:v>40000</c:v>
                </c:pt>
                <c:pt idx="9">
                  <c:v>80000</c:v>
                </c:pt>
                <c:pt idx="10">
                  <c:v>247200</c:v>
                </c:pt>
                <c:pt idx="11">
                  <c:v>249191.33333333331</c:v>
                </c:pt>
              </c:numCache>
            </c:numRef>
          </c:yVal>
          <c:smooth val="0"/>
          <c:extLst>
            <c:ext xmlns:c16="http://schemas.microsoft.com/office/drawing/2014/chart" uri="{C3380CC4-5D6E-409C-BE32-E72D297353CC}">
              <c16:uniqueId val="{00000000-B43A-424C-9977-8F6CDF353070}"/>
            </c:ext>
          </c:extLst>
        </c:ser>
        <c:dLbls>
          <c:showLegendKey val="0"/>
          <c:showVal val="0"/>
          <c:showCatName val="0"/>
          <c:showSerName val="0"/>
          <c:showPercent val="0"/>
          <c:showBubbleSize val="0"/>
        </c:dLbls>
        <c:axId val="-2135862664"/>
        <c:axId val="-2135871624"/>
      </c:scatterChart>
      <c:valAx>
        <c:axId val="-21358626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PT"/>
                  <a:t>Capital Social (</a:t>
                </a:r>
                <a:r>
                  <a:rPr lang="pt-PT" sz="1000" b="0" i="0" u="none" strike="noStrike" baseline="0">
                    <a:effectLst/>
                  </a:rPr>
                  <a:t>em milhões de </a:t>
                </a:r>
                <a:r>
                  <a:rPr lang="pt-PT"/>
                  <a:t>UM)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2135871624"/>
        <c:crosses val="autoZero"/>
        <c:crossBetween val="midCat"/>
        <c:dispUnits>
          <c:builtInUnit val="millions"/>
        </c:dispUnits>
      </c:valAx>
      <c:valAx>
        <c:axId val="-2135871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PT"/>
                  <a:t>Consumo Energético (UCE)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213586266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a:t>Pesca</a:t>
            </a:r>
          </a:p>
        </c:rich>
      </c:tx>
      <c:overlay val="0"/>
      <c:spPr>
        <a:noFill/>
        <a:ln>
          <a:noFill/>
        </a:ln>
        <a:effectLst/>
      </c:spPr>
    </c:title>
    <c:autoTitleDeleted val="0"/>
    <c:plotArea>
      <c:layout/>
      <c:scatterChart>
        <c:scatterStyle val="lineMarker"/>
        <c:varyColors val="0"/>
        <c:ser>
          <c:idx val="0"/>
          <c:order val="0"/>
          <c:tx>
            <c:strRef>
              <c:f>'Trendlines de SAE'!$AV$1</c:f>
              <c:strCache>
                <c:ptCount val="1"/>
                <c:pt idx="0">
                  <c:v>Consumo Energético (UCE)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trendlineLbl>
          </c:trendline>
          <c:xVal>
            <c:numRef>
              <c:f>'Trendlines de SAE'!$AR$2:$AR$15</c:f>
              <c:numCache>
                <c:formatCode>General</c:formatCode>
                <c:ptCount val="14"/>
                <c:pt idx="0">
                  <c:v>15000</c:v>
                </c:pt>
                <c:pt idx="1">
                  <c:v>21000</c:v>
                </c:pt>
                <c:pt idx="2">
                  <c:v>89783.64</c:v>
                </c:pt>
                <c:pt idx="3">
                  <c:v>150000</c:v>
                </c:pt>
                <c:pt idx="4">
                  <c:v>153000</c:v>
                </c:pt>
                <c:pt idx="5">
                  <c:v>519000</c:v>
                </c:pt>
                <c:pt idx="6">
                  <c:v>1500000</c:v>
                </c:pt>
                <c:pt idx="7">
                  <c:v>1500000</c:v>
                </c:pt>
                <c:pt idx="8">
                  <c:v>1680000</c:v>
                </c:pt>
                <c:pt idx="9">
                  <c:v>2400000</c:v>
                </c:pt>
                <c:pt idx="10">
                  <c:v>3000000</c:v>
                </c:pt>
                <c:pt idx="11">
                  <c:v>3000000</c:v>
                </c:pt>
                <c:pt idx="12">
                  <c:v>3592800</c:v>
                </c:pt>
                <c:pt idx="13">
                  <c:v>6000000</c:v>
                </c:pt>
              </c:numCache>
            </c:numRef>
          </c:xVal>
          <c:yVal>
            <c:numRef>
              <c:f>'Trendlines de SAE'!$AV$2:$AV$15</c:f>
              <c:numCache>
                <c:formatCode>General</c:formatCode>
                <c:ptCount val="14"/>
                <c:pt idx="0">
                  <c:v>4000</c:v>
                </c:pt>
                <c:pt idx="1">
                  <c:v>4800</c:v>
                </c:pt>
                <c:pt idx="2">
                  <c:v>529.0079999999997</c:v>
                </c:pt>
                <c:pt idx="3">
                  <c:v>2266</c:v>
                </c:pt>
                <c:pt idx="4">
                  <c:v>8000</c:v>
                </c:pt>
                <c:pt idx="5">
                  <c:v>535.6</c:v>
                </c:pt>
                <c:pt idx="6">
                  <c:v>20000</c:v>
                </c:pt>
                <c:pt idx="7">
                  <c:v>48000</c:v>
                </c:pt>
                <c:pt idx="8">
                  <c:v>40000</c:v>
                </c:pt>
                <c:pt idx="9">
                  <c:v>40000</c:v>
                </c:pt>
                <c:pt idx="10">
                  <c:v>76941</c:v>
                </c:pt>
                <c:pt idx="11">
                  <c:v>57680</c:v>
                </c:pt>
                <c:pt idx="12">
                  <c:v>74115.504000000001</c:v>
                </c:pt>
                <c:pt idx="13">
                  <c:v>108000</c:v>
                </c:pt>
              </c:numCache>
            </c:numRef>
          </c:yVal>
          <c:smooth val="0"/>
          <c:extLst>
            <c:ext xmlns:c16="http://schemas.microsoft.com/office/drawing/2014/chart" uri="{C3380CC4-5D6E-409C-BE32-E72D297353CC}">
              <c16:uniqueId val="{00000000-DC90-450D-84E8-70C8D7978378}"/>
            </c:ext>
          </c:extLst>
        </c:ser>
        <c:dLbls>
          <c:showLegendKey val="0"/>
          <c:showVal val="0"/>
          <c:showCatName val="0"/>
          <c:showSerName val="0"/>
          <c:showPercent val="0"/>
          <c:showBubbleSize val="0"/>
        </c:dLbls>
        <c:axId val="-2137679432"/>
        <c:axId val="2137001816"/>
      </c:scatterChart>
      <c:valAx>
        <c:axId val="-21376794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PT"/>
                  <a:t>Capital Social (</a:t>
                </a:r>
                <a:r>
                  <a:rPr lang="pt-PT" sz="1000" b="0" i="0" u="none" strike="noStrike" baseline="0">
                    <a:effectLst/>
                  </a:rPr>
                  <a:t>em milhões de </a:t>
                </a:r>
                <a:r>
                  <a:rPr lang="pt-PT"/>
                  <a:t>UM)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2137001816"/>
        <c:crosses val="autoZero"/>
        <c:crossBetween val="midCat"/>
        <c:dispUnits>
          <c:builtInUnit val="millions"/>
        </c:dispUnits>
      </c:valAx>
      <c:valAx>
        <c:axId val="2137001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PT"/>
                  <a:t>Consumo Energético (UCE)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213767943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PT"/>
              <a:t>Percentagem</a:t>
            </a:r>
            <a:r>
              <a:rPr lang="pt-PT" baseline="0"/>
              <a:t> do Consumo direcionado para </a:t>
            </a:r>
            <a:r>
              <a:rPr lang="pt-PT"/>
              <a:t>Frio</a:t>
            </a:r>
          </a:p>
        </c:rich>
      </c:tx>
      <c:overlay val="0"/>
      <c:spPr>
        <a:noFill/>
        <a:ln>
          <a:noFill/>
        </a:ln>
        <a:effectLst/>
      </c:spPr>
    </c:title>
    <c:autoTitleDeleted val="0"/>
    <c:plotArea>
      <c:layout/>
      <c:barChart>
        <c:barDir val="col"/>
        <c:grouping val="clustered"/>
        <c:varyColors val="0"/>
        <c:ser>
          <c:idx val="0"/>
          <c:order val="0"/>
          <c:tx>
            <c:strRef>
              <c:f>'Valores Médios (Capitais)'!$I$102</c:f>
              <c:strCache>
                <c:ptCount val="1"/>
                <c:pt idx="0">
                  <c:v>% de Frio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P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'Valores Médios (Capitais)'!$J$103:$J$108</c:f>
                <c:numCache>
                  <c:formatCode>General</c:formatCode>
                  <c:ptCount val="6"/>
                  <c:pt idx="0">
                    <c:v>0</c:v>
                  </c:pt>
                  <c:pt idx="1">
                    <c:v>5.6610732400816373</c:v>
                  </c:pt>
                  <c:pt idx="2">
                    <c:v>21.375854057751731</c:v>
                  </c:pt>
                  <c:pt idx="3">
                    <c:v>29.367080536012409</c:v>
                  </c:pt>
                  <c:pt idx="4">
                    <c:v>24.078069318223921</c:v>
                  </c:pt>
                  <c:pt idx="5">
                    <c:v>18.218689875098089</c:v>
                  </c:pt>
                </c:numCache>
              </c:numRef>
            </c:plus>
            <c:minus>
              <c:numRef>
                <c:f>'Valores Médios (Capitais)'!$J$103:$J$108</c:f>
                <c:numCache>
                  <c:formatCode>General</c:formatCode>
                  <c:ptCount val="6"/>
                  <c:pt idx="0">
                    <c:v>0</c:v>
                  </c:pt>
                  <c:pt idx="1">
                    <c:v>5.6610732400816373</c:v>
                  </c:pt>
                  <c:pt idx="2">
                    <c:v>21.375854057751731</c:v>
                  </c:pt>
                  <c:pt idx="3">
                    <c:v>29.367080536012409</c:v>
                  </c:pt>
                  <c:pt idx="4">
                    <c:v>24.078069318223921</c:v>
                  </c:pt>
                  <c:pt idx="5">
                    <c:v>18.218689875098089</c:v>
                  </c:pt>
                </c:numCache>
              </c:numRef>
            </c:minus>
            <c:spPr>
              <a:noFill/>
              <a:ln w="9525" cap="flat" cmpd="sng" algn="ctr">
                <a:solidFill>
                  <a:schemeClr val="tx1">
                    <a:lumMod val="65000"/>
                    <a:lumOff val="35000"/>
                  </a:schemeClr>
                </a:solidFill>
                <a:round/>
              </a:ln>
              <a:effectLst/>
            </c:spPr>
          </c:errBars>
          <c:cat>
            <c:strRef>
              <c:f>'Valores Médios (Capitais)'!$H$103:$H$108</c:f>
              <c:strCache>
                <c:ptCount val="6"/>
                <c:pt idx="0">
                  <c:v>Agricultura</c:v>
                </c:pt>
                <c:pt idx="1">
                  <c:v>Armazenagem frigorífica</c:v>
                </c:pt>
                <c:pt idx="2">
                  <c:v>Carne</c:v>
                </c:pt>
                <c:pt idx="3">
                  <c:v>Gelo e Gelados</c:v>
                </c:pt>
                <c:pt idx="4">
                  <c:v>Laticínios</c:v>
                </c:pt>
                <c:pt idx="5">
                  <c:v>Pesca</c:v>
                </c:pt>
              </c:strCache>
            </c:strRef>
          </c:cat>
          <c:val>
            <c:numRef>
              <c:f>'Valores Médios (Capitais)'!$I$103:$I$108</c:f>
              <c:numCache>
                <c:formatCode>0</c:formatCode>
                <c:ptCount val="6"/>
                <c:pt idx="0">
                  <c:v>71.6535551737649</c:v>
                </c:pt>
                <c:pt idx="1">
                  <c:v>84.848484848484816</c:v>
                </c:pt>
                <c:pt idx="2">
                  <c:v>61.320105820105837</c:v>
                </c:pt>
                <c:pt idx="3">
                  <c:v>60.053086046433492</c:v>
                </c:pt>
                <c:pt idx="4">
                  <c:v>48.478989612842291</c:v>
                </c:pt>
                <c:pt idx="5">
                  <c:v>61.088909185950151</c:v>
                </c:pt>
              </c:numCache>
            </c:numRef>
          </c:val>
          <c:extLst>
            <c:ext xmlns:c16="http://schemas.microsoft.com/office/drawing/2014/chart" uri="{C3380CC4-5D6E-409C-BE32-E72D297353CC}">
              <c16:uniqueId val="{00000000-CC23-4E5A-88E2-B6BCB971EF13}"/>
            </c:ext>
          </c:extLst>
        </c:ser>
        <c:dLbls>
          <c:dLblPos val="outEnd"/>
          <c:showLegendKey val="0"/>
          <c:showVal val="1"/>
          <c:showCatName val="0"/>
          <c:showSerName val="0"/>
          <c:showPercent val="0"/>
          <c:showBubbleSize val="0"/>
        </c:dLbls>
        <c:gapWidth val="219"/>
        <c:overlap val="-27"/>
        <c:axId val="-2135911272"/>
        <c:axId val="-2135914984"/>
      </c:barChart>
      <c:catAx>
        <c:axId val="-213591127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2135914984"/>
        <c:crosses val="autoZero"/>
        <c:auto val="1"/>
        <c:lblAlgn val="ctr"/>
        <c:lblOffset val="100"/>
        <c:noMultiLvlLbl val="0"/>
      </c:catAx>
      <c:valAx>
        <c:axId val="-21359149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2135911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73FE3-4D42-4F54-9AC9-D05C0212D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14</Pages>
  <Words>5137</Words>
  <Characters>27742</Characters>
  <Application>Microsoft Office Word</Application>
  <DocSecurity>0</DocSecurity>
  <Lines>231</Lines>
  <Paragraphs>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dc:description/>
  <cp:lastModifiedBy>UP</cp:lastModifiedBy>
  <cp:revision>18</cp:revision>
  <dcterms:created xsi:type="dcterms:W3CDTF">2016-01-04T12:56:00Z</dcterms:created>
  <dcterms:modified xsi:type="dcterms:W3CDTF">2016-01-10T11:51:00Z</dcterms:modified>
</cp:coreProperties>
</file>