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392" w:rsidRPr="0011294E" w:rsidRDefault="007D4392">
      <w:pPr>
        <w:pStyle w:val="Estilopadro"/>
        <w:rPr>
          <w:rFonts w:ascii="Times New Roman" w:hAnsi="Times New Roman" w:cs="Times New Roman"/>
          <w:sz w:val="24"/>
        </w:rPr>
      </w:pPr>
    </w:p>
    <w:p w:rsidR="007D4392" w:rsidRPr="00D9018C" w:rsidRDefault="00023B48">
      <w:pPr>
        <w:pStyle w:val="Estilopadro"/>
        <w:ind w:firstLine="0"/>
        <w:jc w:val="center"/>
        <w:rPr>
          <w:rFonts w:ascii="Times New Roman" w:hAnsi="Times New Roman" w:cs="Times New Roman"/>
          <w:b/>
          <w:sz w:val="36"/>
          <w:szCs w:val="36"/>
        </w:rPr>
      </w:pPr>
      <w:r w:rsidRPr="00D9018C">
        <w:rPr>
          <w:rFonts w:ascii="Times New Roman" w:hAnsi="Times New Roman" w:cs="Times New Roman"/>
          <w:b/>
          <w:sz w:val="36"/>
          <w:szCs w:val="36"/>
        </w:rPr>
        <w:t>Ricardo Jorge Pinheiro Teixeira</w:t>
      </w:r>
    </w:p>
    <w:p w:rsidR="007D4392" w:rsidRPr="0011294E" w:rsidRDefault="007D4392">
      <w:pPr>
        <w:pStyle w:val="Estilopadro"/>
        <w:ind w:firstLine="0"/>
        <w:jc w:val="center"/>
        <w:rPr>
          <w:rFonts w:ascii="Times New Roman" w:hAnsi="Times New Roman" w:cs="Times New Roman"/>
          <w:sz w:val="24"/>
        </w:rPr>
      </w:pPr>
    </w:p>
    <w:p w:rsidR="007D4392" w:rsidRPr="0011294E" w:rsidRDefault="007D4392">
      <w:pPr>
        <w:pStyle w:val="Estilopadro"/>
        <w:ind w:firstLine="0"/>
        <w:jc w:val="center"/>
        <w:rPr>
          <w:rFonts w:ascii="Times New Roman" w:hAnsi="Times New Roman" w:cs="Times New Roman"/>
          <w:sz w:val="24"/>
        </w:rPr>
      </w:pPr>
    </w:p>
    <w:p w:rsidR="00D312BC" w:rsidRPr="0011294E" w:rsidRDefault="00D312BC">
      <w:pPr>
        <w:pStyle w:val="Estilopadro"/>
        <w:ind w:firstLine="0"/>
        <w:jc w:val="center"/>
        <w:rPr>
          <w:rFonts w:ascii="Times New Roman" w:hAnsi="Times New Roman" w:cs="Times New Roman"/>
          <w:sz w:val="24"/>
        </w:rPr>
      </w:pPr>
    </w:p>
    <w:p w:rsidR="00D312BC" w:rsidRPr="0011294E" w:rsidRDefault="00D312BC">
      <w:pPr>
        <w:pStyle w:val="Estilopadro"/>
        <w:ind w:firstLine="0"/>
        <w:jc w:val="center"/>
        <w:rPr>
          <w:rFonts w:ascii="Times New Roman" w:hAnsi="Times New Roman" w:cs="Times New Roman"/>
          <w:sz w:val="24"/>
        </w:rPr>
      </w:pPr>
    </w:p>
    <w:p w:rsidR="00D312BC" w:rsidRPr="0011294E" w:rsidRDefault="00D312BC">
      <w:pPr>
        <w:pStyle w:val="Estilopadro"/>
        <w:ind w:firstLine="0"/>
        <w:jc w:val="center"/>
        <w:rPr>
          <w:rFonts w:ascii="Times New Roman" w:hAnsi="Times New Roman" w:cs="Times New Roman"/>
          <w:sz w:val="24"/>
        </w:rPr>
      </w:pPr>
    </w:p>
    <w:p w:rsidR="00D312BC" w:rsidRPr="0011294E" w:rsidRDefault="00D312BC">
      <w:pPr>
        <w:pStyle w:val="Estilopadro"/>
        <w:ind w:firstLine="0"/>
        <w:jc w:val="center"/>
        <w:rPr>
          <w:rFonts w:ascii="Times New Roman" w:hAnsi="Times New Roman" w:cs="Times New Roman"/>
          <w:sz w:val="24"/>
        </w:rPr>
      </w:pPr>
    </w:p>
    <w:p w:rsidR="00D312BC" w:rsidRPr="0011294E" w:rsidRDefault="00D312BC">
      <w:pPr>
        <w:pStyle w:val="Estilopadro"/>
        <w:ind w:firstLine="0"/>
        <w:jc w:val="center"/>
        <w:rPr>
          <w:rFonts w:ascii="Times New Roman" w:hAnsi="Times New Roman" w:cs="Times New Roman"/>
          <w:sz w:val="24"/>
        </w:rPr>
      </w:pPr>
    </w:p>
    <w:p w:rsidR="007D4392" w:rsidRPr="0011294E" w:rsidRDefault="007D4392">
      <w:pPr>
        <w:pStyle w:val="Estilopadro"/>
        <w:ind w:firstLine="0"/>
        <w:jc w:val="center"/>
        <w:rPr>
          <w:rFonts w:ascii="Times New Roman" w:hAnsi="Times New Roman" w:cs="Times New Roman"/>
          <w:sz w:val="24"/>
        </w:rPr>
      </w:pPr>
    </w:p>
    <w:p w:rsidR="007D4392" w:rsidRPr="0011294E" w:rsidRDefault="007D4392">
      <w:pPr>
        <w:pStyle w:val="Estilopadro"/>
        <w:ind w:firstLine="0"/>
        <w:jc w:val="center"/>
        <w:rPr>
          <w:rFonts w:ascii="Times New Roman" w:hAnsi="Times New Roman" w:cs="Times New Roman"/>
          <w:sz w:val="24"/>
        </w:rPr>
      </w:pPr>
    </w:p>
    <w:p w:rsidR="007D4392" w:rsidRPr="0011294E" w:rsidRDefault="007D4392">
      <w:pPr>
        <w:pStyle w:val="Estilopadro"/>
        <w:ind w:firstLine="0"/>
        <w:jc w:val="center"/>
        <w:rPr>
          <w:rFonts w:ascii="Times New Roman" w:hAnsi="Times New Roman" w:cs="Times New Roman"/>
          <w:sz w:val="24"/>
        </w:rPr>
      </w:pPr>
    </w:p>
    <w:p w:rsidR="007D4392" w:rsidRPr="0011294E" w:rsidRDefault="007D4392">
      <w:pPr>
        <w:pStyle w:val="Estilopadro"/>
        <w:ind w:firstLine="0"/>
        <w:jc w:val="center"/>
        <w:rPr>
          <w:rFonts w:ascii="Times New Roman" w:hAnsi="Times New Roman" w:cs="Times New Roman"/>
          <w:sz w:val="24"/>
        </w:rPr>
      </w:pPr>
    </w:p>
    <w:p w:rsidR="00023B48" w:rsidRPr="00055F90" w:rsidRDefault="00023B48" w:rsidP="00023B48">
      <w:pPr>
        <w:pStyle w:val="Estilopadro"/>
        <w:jc w:val="center"/>
        <w:rPr>
          <w:rFonts w:ascii="Times New Roman" w:hAnsi="Times New Roman"/>
          <w:b/>
          <w:sz w:val="32"/>
          <w:szCs w:val="32"/>
        </w:rPr>
      </w:pPr>
      <w:r w:rsidRPr="00055F90">
        <w:rPr>
          <w:rFonts w:ascii="Times New Roman" w:hAnsi="Times New Roman"/>
          <w:b/>
          <w:sz w:val="32"/>
          <w:szCs w:val="32"/>
        </w:rPr>
        <w:t>A Evolução do Povoado e Castelo de Monforte de Rio Livre na Idade Média</w:t>
      </w:r>
    </w:p>
    <w:p w:rsidR="007D4392" w:rsidRPr="0011294E" w:rsidRDefault="007D4392">
      <w:pPr>
        <w:pStyle w:val="Estilopadro"/>
        <w:ind w:firstLine="0"/>
        <w:rPr>
          <w:rFonts w:ascii="Times New Roman" w:hAnsi="Times New Roman" w:cs="Times New Roman"/>
          <w:sz w:val="24"/>
        </w:rPr>
      </w:pPr>
    </w:p>
    <w:p w:rsidR="007D4392" w:rsidRPr="0011294E" w:rsidRDefault="007D4392">
      <w:pPr>
        <w:pStyle w:val="Estilopadro"/>
        <w:ind w:firstLine="0"/>
        <w:rPr>
          <w:rFonts w:ascii="Times New Roman" w:hAnsi="Times New Roman" w:cs="Times New Roman"/>
          <w:sz w:val="24"/>
        </w:rPr>
      </w:pPr>
    </w:p>
    <w:p w:rsidR="007D4392" w:rsidRPr="0011294E" w:rsidRDefault="007D4392">
      <w:pPr>
        <w:pStyle w:val="Estilopadro"/>
        <w:ind w:firstLine="0"/>
        <w:jc w:val="center"/>
        <w:rPr>
          <w:rFonts w:ascii="Times New Roman" w:hAnsi="Times New Roman" w:cs="Times New Roman"/>
          <w:sz w:val="24"/>
        </w:rPr>
      </w:pPr>
      <w:r w:rsidRPr="0011294E">
        <w:rPr>
          <w:rFonts w:ascii="Times New Roman" w:hAnsi="Times New Roman" w:cs="Times New Roman"/>
          <w:sz w:val="24"/>
        </w:rPr>
        <w:t>Dissertação realizada no âmbito do M</w:t>
      </w:r>
      <w:r w:rsidR="00023B48" w:rsidRPr="0011294E">
        <w:rPr>
          <w:rFonts w:ascii="Times New Roman" w:hAnsi="Times New Roman" w:cs="Times New Roman"/>
          <w:sz w:val="24"/>
        </w:rPr>
        <w:t>estrado em Arqueologia, orientada pelo Professor</w:t>
      </w:r>
      <w:r w:rsidRPr="0011294E">
        <w:rPr>
          <w:rFonts w:ascii="Times New Roman" w:hAnsi="Times New Roman" w:cs="Times New Roman"/>
          <w:sz w:val="24"/>
        </w:rPr>
        <w:t xml:space="preserve"> Doutor</w:t>
      </w:r>
      <w:r w:rsidR="00DF1D60">
        <w:rPr>
          <w:rFonts w:ascii="Times New Roman" w:hAnsi="Times New Roman" w:cs="Times New Roman"/>
          <w:sz w:val="24"/>
        </w:rPr>
        <w:t xml:space="preserve"> Mário Jorge</w:t>
      </w:r>
      <w:r w:rsidR="00023B48" w:rsidRPr="0011294E">
        <w:rPr>
          <w:rFonts w:ascii="Times New Roman" w:hAnsi="Times New Roman" w:cs="Times New Roman"/>
          <w:sz w:val="24"/>
        </w:rPr>
        <w:t xml:space="preserve"> Barroca</w:t>
      </w:r>
    </w:p>
    <w:p w:rsidR="007D4392" w:rsidRPr="0011294E" w:rsidRDefault="007D4392">
      <w:pPr>
        <w:pStyle w:val="Estilopadro"/>
        <w:ind w:firstLine="0"/>
        <w:jc w:val="center"/>
        <w:rPr>
          <w:rFonts w:ascii="Times New Roman" w:hAnsi="Times New Roman" w:cs="Times New Roman"/>
          <w:sz w:val="24"/>
        </w:rPr>
      </w:pPr>
    </w:p>
    <w:p w:rsidR="007D4392" w:rsidRPr="0011294E" w:rsidRDefault="007D4392">
      <w:pPr>
        <w:pStyle w:val="Estilopadro"/>
        <w:ind w:firstLine="0"/>
        <w:jc w:val="center"/>
        <w:rPr>
          <w:rFonts w:ascii="Times New Roman" w:hAnsi="Times New Roman" w:cs="Times New Roman"/>
          <w:sz w:val="24"/>
        </w:rPr>
      </w:pPr>
    </w:p>
    <w:p w:rsidR="007D4392" w:rsidRPr="0011294E" w:rsidRDefault="003710AC">
      <w:pPr>
        <w:pStyle w:val="Estilopadro"/>
        <w:ind w:firstLine="0"/>
        <w:jc w:val="center"/>
        <w:rPr>
          <w:rFonts w:ascii="Times New Roman" w:hAnsi="Times New Roman" w:cs="Times New Roman"/>
          <w:sz w:val="24"/>
        </w:rPr>
      </w:pPr>
      <w:r>
        <w:rPr>
          <w:rFonts w:ascii="Times New Roman" w:hAnsi="Times New Roman" w:cs="Times New Roman"/>
          <w:sz w:val="24"/>
        </w:rPr>
        <w:t>Volume I</w:t>
      </w:r>
    </w:p>
    <w:p w:rsidR="007D4392" w:rsidRPr="0011294E" w:rsidRDefault="007D4392">
      <w:pPr>
        <w:pStyle w:val="Estilopadro"/>
        <w:ind w:firstLine="0"/>
        <w:jc w:val="center"/>
        <w:rPr>
          <w:rFonts w:ascii="Times New Roman" w:hAnsi="Times New Roman" w:cs="Times New Roman"/>
          <w:sz w:val="24"/>
        </w:rPr>
      </w:pPr>
    </w:p>
    <w:p w:rsidR="007D4392" w:rsidRPr="0011294E" w:rsidRDefault="007D4392">
      <w:pPr>
        <w:pStyle w:val="Estilopadro"/>
        <w:ind w:firstLine="0"/>
        <w:jc w:val="center"/>
        <w:rPr>
          <w:rFonts w:ascii="Times New Roman" w:hAnsi="Times New Roman" w:cs="Times New Roman"/>
          <w:sz w:val="24"/>
        </w:rPr>
      </w:pPr>
    </w:p>
    <w:p w:rsidR="007D4392" w:rsidRPr="0011294E" w:rsidRDefault="007D4392">
      <w:pPr>
        <w:pStyle w:val="Estilopadro"/>
        <w:ind w:firstLine="0"/>
        <w:jc w:val="center"/>
        <w:rPr>
          <w:rFonts w:ascii="Times New Roman" w:hAnsi="Times New Roman" w:cs="Times New Roman"/>
          <w:sz w:val="24"/>
        </w:rPr>
      </w:pPr>
    </w:p>
    <w:p w:rsidR="00D312BC" w:rsidRDefault="00D312BC" w:rsidP="00D9018C">
      <w:pPr>
        <w:pStyle w:val="Estilopadro"/>
        <w:ind w:firstLine="0"/>
        <w:rPr>
          <w:rFonts w:ascii="Times New Roman" w:hAnsi="Times New Roman" w:cs="Times New Roman"/>
          <w:sz w:val="24"/>
        </w:rPr>
      </w:pPr>
    </w:p>
    <w:p w:rsidR="00D9018C" w:rsidRPr="0011294E" w:rsidRDefault="00D9018C" w:rsidP="00D9018C">
      <w:pPr>
        <w:pStyle w:val="Estilopadro"/>
        <w:ind w:firstLine="0"/>
        <w:rPr>
          <w:rFonts w:ascii="Times New Roman" w:hAnsi="Times New Roman" w:cs="Times New Roman"/>
          <w:sz w:val="24"/>
        </w:rPr>
      </w:pPr>
    </w:p>
    <w:p w:rsidR="007D4392" w:rsidRPr="0011294E" w:rsidRDefault="007D4392">
      <w:pPr>
        <w:pStyle w:val="Estilopadro"/>
        <w:ind w:firstLine="0"/>
        <w:jc w:val="center"/>
        <w:rPr>
          <w:rFonts w:ascii="Times New Roman" w:hAnsi="Times New Roman" w:cs="Times New Roman"/>
          <w:sz w:val="24"/>
        </w:rPr>
      </w:pPr>
    </w:p>
    <w:p w:rsidR="007D4392" w:rsidRPr="0011294E" w:rsidRDefault="007D4392" w:rsidP="00DC466C">
      <w:pPr>
        <w:pStyle w:val="Estilopadro"/>
        <w:ind w:firstLine="0"/>
        <w:jc w:val="center"/>
        <w:rPr>
          <w:rFonts w:ascii="Times New Roman" w:hAnsi="Times New Roman" w:cs="Times New Roman"/>
          <w:sz w:val="24"/>
        </w:rPr>
      </w:pPr>
      <w:r w:rsidRPr="0011294E">
        <w:rPr>
          <w:rFonts w:ascii="Times New Roman" w:hAnsi="Times New Roman" w:cs="Times New Roman"/>
          <w:sz w:val="24"/>
        </w:rPr>
        <w:t>Faculdade de Letras</w:t>
      </w:r>
      <w:r w:rsidR="00DC466C" w:rsidRPr="0011294E">
        <w:rPr>
          <w:rFonts w:ascii="Times New Roman" w:hAnsi="Times New Roman" w:cs="Times New Roman"/>
          <w:sz w:val="24"/>
        </w:rPr>
        <w:t xml:space="preserve"> da </w:t>
      </w:r>
      <w:r w:rsidRPr="0011294E">
        <w:rPr>
          <w:rFonts w:ascii="Times New Roman" w:hAnsi="Times New Roman" w:cs="Times New Roman"/>
          <w:sz w:val="24"/>
        </w:rPr>
        <w:t>Universidade do Porto</w:t>
      </w:r>
    </w:p>
    <w:p w:rsidR="007D4392" w:rsidRPr="0011294E" w:rsidRDefault="007D4392" w:rsidP="00D312BC">
      <w:pPr>
        <w:pStyle w:val="Estilopadro"/>
        <w:ind w:firstLine="0"/>
        <w:rPr>
          <w:rFonts w:ascii="Times New Roman" w:hAnsi="Times New Roman" w:cs="Times New Roman"/>
          <w:sz w:val="24"/>
        </w:rPr>
      </w:pPr>
    </w:p>
    <w:p w:rsidR="007D4392" w:rsidRPr="0011294E" w:rsidRDefault="00DC466C" w:rsidP="002814A3">
      <w:pPr>
        <w:pStyle w:val="Estilopadro"/>
        <w:ind w:firstLine="0"/>
        <w:jc w:val="center"/>
        <w:rPr>
          <w:rFonts w:ascii="Times New Roman" w:hAnsi="Times New Roman" w:cs="Times New Roman"/>
          <w:sz w:val="24"/>
        </w:rPr>
        <w:sectPr w:rsidR="007D4392" w:rsidRPr="0011294E" w:rsidSect="00D312BC">
          <w:footerReference w:type="first" r:id="rId8"/>
          <w:pgSz w:w="11906" w:h="16838"/>
          <w:pgMar w:top="1701" w:right="1417" w:bottom="1701" w:left="1417" w:header="0" w:footer="0" w:gutter="0"/>
          <w:cols w:space="720"/>
          <w:formProt w:val="0"/>
          <w:titlePg/>
        </w:sectPr>
      </w:pPr>
      <w:r w:rsidRPr="0011294E">
        <w:rPr>
          <w:rFonts w:ascii="Times New Roman" w:hAnsi="Times New Roman" w:cs="Times New Roman"/>
          <w:sz w:val="24"/>
        </w:rPr>
        <w:t>Setembro de 2015</w:t>
      </w: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4F4205" w:rsidRDefault="004F4205" w:rsidP="002814A3">
      <w:pPr>
        <w:pStyle w:val="Estilopadro"/>
        <w:ind w:firstLine="0"/>
        <w:jc w:val="center"/>
        <w:rPr>
          <w:rFonts w:ascii="Times New Roman" w:hAnsi="Times New Roman"/>
          <w:b/>
          <w:sz w:val="36"/>
          <w:szCs w:val="36"/>
        </w:rPr>
      </w:pPr>
    </w:p>
    <w:p w:rsidR="00852EB3" w:rsidRPr="00891D04" w:rsidRDefault="00852EB3" w:rsidP="002814A3">
      <w:pPr>
        <w:pStyle w:val="Estilopadro"/>
        <w:ind w:firstLine="0"/>
        <w:jc w:val="center"/>
        <w:rPr>
          <w:rFonts w:ascii="Times New Roman" w:hAnsi="Times New Roman"/>
          <w:b/>
          <w:sz w:val="36"/>
          <w:szCs w:val="36"/>
        </w:rPr>
      </w:pPr>
      <w:r w:rsidRPr="00891D04">
        <w:rPr>
          <w:rFonts w:ascii="Times New Roman" w:hAnsi="Times New Roman"/>
          <w:b/>
          <w:sz w:val="36"/>
          <w:szCs w:val="36"/>
        </w:rPr>
        <w:lastRenderedPageBreak/>
        <w:t>A Evolução do Povoado e Castelo de Monforte de Rio Livre na Idade Média</w:t>
      </w:r>
    </w:p>
    <w:p w:rsidR="00694D5E" w:rsidRPr="00397D3A" w:rsidRDefault="00694D5E" w:rsidP="00694D5E">
      <w:pPr>
        <w:pStyle w:val="Estilopadro"/>
        <w:ind w:firstLine="0"/>
        <w:jc w:val="center"/>
        <w:rPr>
          <w:rFonts w:ascii="Times New Roman" w:hAnsi="Times New Roman" w:cs="Times New Roman"/>
          <w:szCs w:val="22"/>
        </w:rPr>
      </w:pPr>
    </w:p>
    <w:p w:rsidR="00694D5E" w:rsidRPr="00397D3A" w:rsidRDefault="00694D5E" w:rsidP="00694D5E">
      <w:pPr>
        <w:pStyle w:val="Estilopadro"/>
        <w:ind w:firstLine="0"/>
        <w:jc w:val="center"/>
        <w:rPr>
          <w:rFonts w:ascii="Times New Roman" w:hAnsi="Times New Roman" w:cs="Times New Roman"/>
          <w:szCs w:val="22"/>
        </w:rPr>
      </w:pPr>
    </w:p>
    <w:p w:rsidR="00694D5E" w:rsidRPr="00891D04" w:rsidRDefault="00852EB3" w:rsidP="00694D5E">
      <w:pPr>
        <w:pStyle w:val="Estilopadro"/>
        <w:ind w:firstLine="0"/>
        <w:jc w:val="center"/>
        <w:rPr>
          <w:rFonts w:ascii="Times New Roman" w:hAnsi="Times New Roman" w:cs="Times New Roman"/>
          <w:sz w:val="32"/>
          <w:szCs w:val="32"/>
        </w:rPr>
      </w:pPr>
      <w:r w:rsidRPr="00891D04">
        <w:rPr>
          <w:rFonts w:ascii="Times New Roman" w:hAnsi="Times New Roman" w:cs="Times New Roman"/>
          <w:sz w:val="32"/>
          <w:szCs w:val="32"/>
        </w:rPr>
        <w:t xml:space="preserve">Ricardo Jorge Pinheiro Teixeira </w:t>
      </w:r>
    </w:p>
    <w:p w:rsidR="00694D5E" w:rsidRPr="00397D3A" w:rsidRDefault="00694D5E" w:rsidP="00694D5E">
      <w:pPr>
        <w:pStyle w:val="Estilopadro"/>
        <w:ind w:firstLine="0"/>
        <w:rPr>
          <w:rFonts w:ascii="Times New Roman" w:hAnsi="Times New Roman" w:cs="Times New Roman"/>
          <w:szCs w:val="22"/>
        </w:rPr>
      </w:pPr>
    </w:p>
    <w:p w:rsidR="00694D5E" w:rsidRPr="00397D3A" w:rsidRDefault="00694D5E" w:rsidP="00694D5E">
      <w:pPr>
        <w:pStyle w:val="Estilopadro"/>
        <w:ind w:firstLine="0"/>
        <w:rPr>
          <w:rFonts w:ascii="Times New Roman" w:hAnsi="Times New Roman" w:cs="Times New Roman"/>
          <w:szCs w:val="22"/>
        </w:rPr>
      </w:pPr>
    </w:p>
    <w:p w:rsidR="00852EB3" w:rsidRPr="0011294E" w:rsidRDefault="00852EB3" w:rsidP="00852EB3">
      <w:pPr>
        <w:pStyle w:val="Estilopadro"/>
        <w:ind w:firstLine="0"/>
        <w:jc w:val="center"/>
        <w:rPr>
          <w:rFonts w:ascii="Times New Roman" w:hAnsi="Times New Roman" w:cs="Times New Roman"/>
          <w:sz w:val="24"/>
        </w:rPr>
      </w:pPr>
      <w:r w:rsidRPr="0011294E">
        <w:rPr>
          <w:rFonts w:ascii="Times New Roman" w:hAnsi="Times New Roman" w:cs="Times New Roman"/>
          <w:sz w:val="24"/>
        </w:rPr>
        <w:t>Dissertação realizada no âmbito do Mestrado em Arqueologia, orientada pelo Professor Doutor</w:t>
      </w:r>
      <w:r>
        <w:rPr>
          <w:rFonts w:ascii="Times New Roman" w:hAnsi="Times New Roman" w:cs="Times New Roman"/>
          <w:sz w:val="24"/>
        </w:rPr>
        <w:t xml:space="preserve"> Mário Jorge</w:t>
      </w:r>
      <w:r w:rsidRPr="0011294E">
        <w:rPr>
          <w:rFonts w:ascii="Times New Roman" w:hAnsi="Times New Roman" w:cs="Times New Roman"/>
          <w:sz w:val="24"/>
        </w:rPr>
        <w:t xml:space="preserve"> Barroca</w:t>
      </w:r>
    </w:p>
    <w:p w:rsidR="00694D5E" w:rsidRPr="00397D3A" w:rsidRDefault="00694D5E" w:rsidP="00852EB3">
      <w:pPr>
        <w:pStyle w:val="Estilopadro"/>
        <w:ind w:firstLine="0"/>
        <w:rPr>
          <w:rFonts w:ascii="Times New Roman" w:hAnsi="Times New Roman" w:cs="Times New Roman"/>
          <w:szCs w:val="22"/>
        </w:rPr>
      </w:pPr>
    </w:p>
    <w:p w:rsidR="00694D5E" w:rsidRPr="00397D3A" w:rsidRDefault="00694D5E" w:rsidP="00694D5E">
      <w:pPr>
        <w:pStyle w:val="Estilopadro"/>
        <w:ind w:firstLine="0"/>
        <w:jc w:val="center"/>
        <w:rPr>
          <w:rFonts w:ascii="Times New Roman" w:hAnsi="Times New Roman" w:cs="Times New Roman"/>
          <w:szCs w:val="22"/>
        </w:rPr>
      </w:pPr>
    </w:p>
    <w:p w:rsidR="00694D5E" w:rsidRPr="00397D3A" w:rsidRDefault="00694D5E" w:rsidP="00694D5E">
      <w:pPr>
        <w:pStyle w:val="Estilopadro"/>
        <w:ind w:firstLine="0"/>
        <w:jc w:val="center"/>
        <w:rPr>
          <w:rFonts w:ascii="Times New Roman" w:hAnsi="Times New Roman" w:cs="Times New Roman"/>
          <w:szCs w:val="22"/>
        </w:rPr>
      </w:pPr>
    </w:p>
    <w:p w:rsidR="00694D5E" w:rsidRPr="00397D3A" w:rsidRDefault="00694D5E" w:rsidP="00891D04">
      <w:pPr>
        <w:pStyle w:val="Estilopadro"/>
        <w:ind w:firstLine="0"/>
        <w:rPr>
          <w:rFonts w:ascii="Times New Roman" w:hAnsi="Times New Roman" w:cs="Times New Roman"/>
          <w:szCs w:val="22"/>
        </w:rPr>
      </w:pPr>
    </w:p>
    <w:p w:rsidR="00694D5E" w:rsidRPr="00397D3A" w:rsidRDefault="00694D5E" w:rsidP="00852EB3">
      <w:pPr>
        <w:pStyle w:val="Estilopadro"/>
        <w:ind w:firstLine="0"/>
        <w:rPr>
          <w:rFonts w:ascii="Times New Roman" w:hAnsi="Times New Roman" w:cs="Times New Roman"/>
          <w:szCs w:val="22"/>
        </w:rPr>
      </w:pPr>
    </w:p>
    <w:p w:rsidR="00694D5E" w:rsidRPr="00397D3A" w:rsidRDefault="00694D5E" w:rsidP="00694D5E">
      <w:pPr>
        <w:pStyle w:val="Estilopadro"/>
        <w:ind w:firstLine="0"/>
        <w:jc w:val="center"/>
        <w:rPr>
          <w:rFonts w:ascii="Times New Roman" w:hAnsi="Times New Roman" w:cs="Times New Roman"/>
          <w:szCs w:val="22"/>
        </w:rPr>
      </w:pPr>
      <w:r w:rsidRPr="00397D3A">
        <w:rPr>
          <w:rFonts w:ascii="Times New Roman" w:hAnsi="Times New Roman" w:cs="Times New Roman"/>
          <w:szCs w:val="22"/>
        </w:rPr>
        <w:t>Membros do Júri</w:t>
      </w:r>
    </w:p>
    <w:p w:rsidR="00694D5E" w:rsidRPr="00397D3A" w:rsidRDefault="00694D5E" w:rsidP="00694D5E">
      <w:pPr>
        <w:pStyle w:val="Estilopadro"/>
        <w:ind w:firstLine="0"/>
        <w:jc w:val="center"/>
        <w:rPr>
          <w:rFonts w:ascii="Times New Roman" w:hAnsi="Times New Roman" w:cs="Times New Roman"/>
          <w:szCs w:val="22"/>
        </w:rPr>
      </w:pPr>
    </w:p>
    <w:p w:rsidR="00694D5E" w:rsidRPr="00397D3A" w:rsidRDefault="002814A3" w:rsidP="00694D5E">
      <w:pPr>
        <w:pStyle w:val="Estilopadro"/>
        <w:ind w:firstLine="0"/>
        <w:jc w:val="center"/>
        <w:rPr>
          <w:rFonts w:ascii="Times New Roman" w:hAnsi="Times New Roman" w:cs="Times New Roman"/>
          <w:szCs w:val="22"/>
        </w:rPr>
      </w:pPr>
      <w:r>
        <w:rPr>
          <w:rFonts w:ascii="Times New Roman" w:hAnsi="Times New Roman" w:cs="Times New Roman"/>
          <w:szCs w:val="22"/>
        </w:rPr>
        <w:t>Professora Doutora Maria Teresa Soeiro</w:t>
      </w:r>
    </w:p>
    <w:p w:rsidR="00694D5E" w:rsidRPr="00397D3A" w:rsidRDefault="002814A3" w:rsidP="00694D5E">
      <w:pPr>
        <w:pStyle w:val="Estilopadro"/>
        <w:ind w:firstLine="0"/>
        <w:jc w:val="center"/>
        <w:rPr>
          <w:rFonts w:ascii="Times New Roman" w:hAnsi="Times New Roman" w:cs="Times New Roman"/>
          <w:szCs w:val="22"/>
        </w:rPr>
      </w:pPr>
      <w:r>
        <w:rPr>
          <w:rFonts w:ascii="Times New Roman" w:hAnsi="Times New Roman" w:cs="Times New Roman"/>
          <w:szCs w:val="22"/>
        </w:rPr>
        <w:t>Faculdade de Letras - Universidade do Porto</w:t>
      </w:r>
    </w:p>
    <w:p w:rsidR="00694D5E" w:rsidRPr="00397D3A" w:rsidRDefault="00694D5E" w:rsidP="00694D5E">
      <w:pPr>
        <w:pStyle w:val="Estilopadro"/>
        <w:ind w:firstLine="0"/>
        <w:rPr>
          <w:rFonts w:ascii="Times New Roman" w:hAnsi="Times New Roman" w:cs="Times New Roman"/>
          <w:szCs w:val="22"/>
        </w:rPr>
      </w:pPr>
    </w:p>
    <w:p w:rsidR="00694D5E" w:rsidRPr="00397D3A" w:rsidRDefault="00694D5E" w:rsidP="00694D5E">
      <w:pPr>
        <w:pStyle w:val="Estilopadro"/>
        <w:ind w:firstLine="0"/>
        <w:jc w:val="center"/>
        <w:rPr>
          <w:rFonts w:ascii="Times New Roman" w:hAnsi="Times New Roman" w:cs="Times New Roman"/>
          <w:szCs w:val="22"/>
        </w:rPr>
      </w:pPr>
      <w:r w:rsidRPr="00397D3A">
        <w:rPr>
          <w:rFonts w:ascii="Times New Roman" w:hAnsi="Times New Roman" w:cs="Times New Roman"/>
          <w:szCs w:val="22"/>
        </w:rPr>
        <w:t>Professor</w:t>
      </w:r>
      <w:r w:rsidR="002814A3">
        <w:rPr>
          <w:rFonts w:ascii="Times New Roman" w:hAnsi="Times New Roman" w:cs="Times New Roman"/>
          <w:szCs w:val="22"/>
        </w:rPr>
        <w:t>a</w:t>
      </w:r>
      <w:r w:rsidRPr="00397D3A">
        <w:rPr>
          <w:rFonts w:ascii="Times New Roman" w:hAnsi="Times New Roman" w:cs="Times New Roman"/>
          <w:szCs w:val="22"/>
        </w:rPr>
        <w:t xml:space="preserve"> Doutor</w:t>
      </w:r>
      <w:r w:rsidR="002814A3">
        <w:rPr>
          <w:rFonts w:ascii="Times New Roman" w:hAnsi="Times New Roman" w:cs="Times New Roman"/>
          <w:szCs w:val="22"/>
        </w:rPr>
        <w:t>a Andreia Arezes</w:t>
      </w:r>
    </w:p>
    <w:p w:rsidR="00694D5E" w:rsidRPr="00397D3A" w:rsidRDefault="002814A3" w:rsidP="00694D5E">
      <w:pPr>
        <w:pStyle w:val="Estilopadro"/>
        <w:ind w:firstLine="0"/>
        <w:jc w:val="center"/>
        <w:rPr>
          <w:rFonts w:ascii="Times New Roman" w:hAnsi="Times New Roman" w:cs="Times New Roman"/>
          <w:szCs w:val="22"/>
        </w:rPr>
      </w:pPr>
      <w:r>
        <w:rPr>
          <w:rFonts w:ascii="Times New Roman" w:hAnsi="Times New Roman" w:cs="Times New Roman"/>
          <w:szCs w:val="22"/>
        </w:rPr>
        <w:t>Faculdade de Letras – Universidade Porto</w:t>
      </w:r>
    </w:p>
    <w:p w:rsidR="00694D5E" w:rsidRPr="00397D3A" w:rsidRDefault="00694D5E" w:rsidP="00694D5E">
      <w:pPr>
        <w:pStyle w:val="Estilopadro"/>
        <w:ind w:firstLine="0"/>
        <w:jc w:val="center"/>
        <w:rPr>
          <w:rFonts w:ascii="Times New Roman" w:hAnsi="Times New Roman" w:cs="Times New Roman"/>
          <w:szCs w:val="22"/>
        </w:rPr>
      </w:pPr>
    </w:p>
    <w:p w:rsidR="00694D5E" w:rsidRPr="00397D3A" w:rsidRDefault="002814A3" w:rsidP="00694D5E">
      <w:pPr>
        <w:pStyle w:val="Estilopadro"/>
        <w:ind w:firstLine="0"/>
        <w:jc w:val="center"/>
        <w:rPr>
          <w:rFonts w:ascii="Times New Roman" w:hAnsi="Times New Roman" w:cs="Times New Roman"/>
          <w:szCs w:val="22"/>
        </w:rPr>
      </w:pPr>
      <w:r>
        <w:rPr>
          <w:rFonts w:ascii="Times New Roman" w:hAnsi="Times New Roman" w:cs="Times New Roman"/>
          <w:szCs w:val="22"/>
        </w:rPr>
        <w:t xml:space="preserve">Professor Doutor Mário Barroca </w:t>
      </w:r>
    </w:p>
    <w:p w:rsidR="00694D5E" w:rsidRPr="00397D3A" w:rsidRDefault="002814A3" w:rsidP="00694D5E">
      <w:pPr>
        <w:pStyle w:val="Estilopadro"/>
        <w:ind w:firstLine="0"/>
        <w:jc w:val="center"/>
        <w:rPr>
          <w:rFonts w:ascii="Times New Roman" w:hAnsi="Times New Roman" w:cs="Times New Roman"/>
          <w:szCs w:val="22"/>
        </w:rPr>
      </w:pPr>
      <w:r>
        <w:rPr>
          <w:rFonts w:ascii="Times New Roman" w:hAnsi="Times New Roman" w:cs="Times New Roman"/>
          <w:szCs w:val="22"/>
        </w:rPr>
        <w:t>Faculdade de Letras – Universidade Porto</w:t>
      </w:r>
    </w:p>
    <w:p w:rsidR="00694D5E" w:rsidRPr="00397D3A" w:rsidRDefault="00694D5E" w:rsidP="00891D04">
      <w:pPr>
        <w:pStyle w:val="Estilopadro"/>
        <w:ind w:firstLine="0"/>
        <w:rPr>
          <w:rFonts w:ascii="Times New Roman" w:hAnsi="Times New Roman" w:cs="Times New Roman"/>
          <w:szCs w:val="22"/>
        </w:rPr>
      </w:pPr>
    </w:p>
    <w:p w:rsidR="00694D5E" w:rsidRPr="00397D3A" w:rsidRDefault="00694D5E" w:rsidP="00694D5E">
      <w:pPr>
        <w:pStyle w:val="Estilopadro"/>
        <w:ind w:firstLine="0"/>
        <w:jc w:val="center"/>
        <w:rPr>
          <w:rFonts w:ascii="Times New Roman" w:hAnsi="Times New Roman" w:cs="Times New Roman"/>
          <w:szCs w:val="22"/>
        </w:rPr>
      </w:pPr>
    </w:p>
    <w:p w:rsidR="002814A3" w:rsidRDefault="002814A3" w:rsidP="00694D5E">
      <w:pPr>
        <w:pStyle w:val="Estilopadro"/>
        <w:rPr>
          <w:rFonts w:ascii="Times New Roman" w:hAnsi="Times New Roman" w:cs="Times New Roman"/>
          <w:szCs w:val="22"/>
        </w:rPr>
      </w:pPr>
    </w:p>
    <w:p w:rsidR="009F6BE7" w:rsidRDefault="002814A3" w:rsidP="002814A3">
      <w:pPr>
        <w:pStyle w:val="Estilopadro"/>
        <w:ind w:firstLine="0"/>
        <w:jc w:val="center"/>
        <w:rPr>
          <w:rFonts w:ascii="Times New Roman" w:hAnsi="Times New Roman" w:cs="Times New Roman"/>
          <w:szCs w:val="22"/>
        </w:rPr>
      </w:pPr>
      <w:r>
        <w:rPr>
          <w:rFonts w:ascii="Times New Roman" w:hAnsi="Times New Roman" w:cs="Times New Roman"/>
          <w:szCs w:val="22"/>
        </w:rPr>
        <w:t>Classificação obtida: 15</w:t>
      </w:r>
      <w:r w:rsidR="00694D5E" w:rsidRPr="00397D3A">
        <w:rPr>
          <w:rFonts w:ascii="Times New Roman" w:hAnsi="Times New Roman" w:cs="Times New Roman"/>
          <w:szCs w:val="22"/>
        </w:rPr>
        <w:t xml:space="preserve"> valores</w:t>
      </w: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Cs w:val="22"/>
        </w:rPr>
      </w:pPr>
    </w:p>
    <w:p w:rsidR="004F4205" w:rsidRDefault="004F4205" w:rsidP="002814A3">
      <w:pPr>
        <w:pStyle w:val="Estilopadro"/>
        <w:ind w:firstLine="0"/>
        <w:jc w:val="center"/>
        <w:rPr>
          <w:rFonts w:ascii="Times New Roman" w:hAnsi="Times New Roman" w:cs="Times New Roman"/>
          <w:sz w:val="24"/>
        </w:rPr>
      </w:pPr>
    </w:p>
    <w:p w:rsidR="009F6BE7" w:rsidRDefault="009F6BE7" w:rsidP="00694D5E">
      <w:pPr>
        <w:pStyle w:val="Estilopadro"/>
        <w:ind w:firstLine="0"/>
        <w:rPr>
          <w:rFonts w:ascii="Times New Roman" w:hAnsi="Times New Roman" w:cs="Times New Roman"/>
          <w:sz w:val="24"/>
        </w:rPr>
      </w:pPr>
    </w:p>
    <w:p w:rsidR="002814A3" w:rsidRDefault="002814A3" w:rsidP="00694D5E">
      <w:pPr>
        <w:pStyle w:val="Estilopadro"/>
        <w:ind w:firstLine="0"/>
        <w:rPr>
          <w:rFonts w:ascii="Times New Roman" w:hAnsi="Times New Roman" w:cs="Times New Roman"/>
          <w:sz w:val="24"/>
        </w:rPr>
      </w:pPr>
    </w:p>
    <w:p w:rsidR="002814A3" w:rsidRPr="0011294E" w:rsidRDefault="002814A3" w:rsidP="00694D5E">
      <w:pPr>
        <w:pStyle w:val="Estilopadro"/>
        <w:ind w:firstLine="0"/>
        <w:rPr>
          <w:rFonts w:ascii="Times New Roman" w:hAnsi="Times New Roman" w:cs="Times New Roman"/>
          <w:sz w:val="24"/>
        </w:rPr>
      </w:pPr>
    </w:p>
    <w:sdt>
      <w:sdtPr>
        <w:rPr>
          <w:rFonts w:ascii="Calibri" w:eastAsia="Times New Roman" w:hAnsi="Calibri" w:cs="Times New Roman"/>
          <w:b w:val="0"/>
          <w:bCs w:val="0"/>
          <w:color w:val="auto"/>
          <w:sz w:val="22"/>
          <w:szCs w:val="22"/>
          <w:lang w:eastAsia="pt-PT" w:bidi="hi-IN"/>
        </w:rPr>
        <w:id w:val="8514837"/>
        <w:docPartObj>
          <w:docPartGallery w:val="Table of Contents"/>
          <w:docPartUnique/>
        </w:docPartObj>
      </w:sdtPr>
      <w:sdtEndPr>
        <w:rPr>
          <w:rFonts w:ascii="Georgia" w:eastAsia="Arial Unicode MS" w:hAnsi="Georgia" w:cs="Arial Unicode MS"/>
          <w:szCs w:val="24"/>
          <w:lang w:eastAsia="zh-CN"/>
        </w:rPr>
      </w:sdtEndPr>
      <w:sdtContent>
        <w:p w:rsidR="00FA52A1" w:rsidRDefault="00FA52A1" w:rsidP="00FA52A1">
          <w:pPr>
            <w:pStyle w:val="Ttulodondice"/>
            <w:jc w:val="both"/>
          </w:pPr>
          <w:r w:rsidRPr="00FA52A1">
            <w:rPr>
              <w:rFonts w:ascii="Times New Roman" w:hAnsi="Times New Roman" w:cs="Times New Roman"/>
              <w:color w:val="auto"/>
            </w:rPr>
            <w:t>Sumário</w:t>
          </w:r>
          <w:r w:rsidRPr="00FA52A1">
            <w:rPr>
              <w:rFonts w:ascii="Times New Roman" w:hAnsi="Times New Roman" w:cs="Times New Roman"/>
            </w:rPr>
            <w:t xml:space="preserve"> </w:t>
          </w:r>
        </w:p>
        <w:p w:rsidR="00DF1D60" w:rsidRDefault="00DF1D60" w:rsidP="00FA52A1">
          <w:pPr>
            <w:pStyle w:val="Contedo1"/>
            <w:rPr>
              <w:rFonts w:ascii="Times New Roman" w:hAnsi="Times New Roman" w:cs="Times New Roman"/>
              <w:b/>
              <w:sz w:val="28"/>
              <w:szCs w:val="28"/>
            </w:rPr>
          </w:pPr>
        </w:p>
        <w:p w:rsidR="00DF1D60" w:rsidRPr="00DF1D60" w:rsidRDefault="00DF1D60" w:rsidP="00FA52A1">
          <w:pPr>
            <w:pStyle w:val="Contedo1"/>
            <w:rPr>
              <w:rFonts w:ascii="Times New Roman" w:hAnsi="Times New Roman" w:cs="Times New Roman"/>
              <w:b/>
              <w:sz w:val="28"/>
              <w:szCs w:val="28"/>
            </w:rPr>
          </w:pPr>
          <w:r>
            <w:rPr>
              <w:rFonts w:ascii="Times New Roman" w:hAnsi="Times New Roman" w:cs="Times New Roman"/>
              <w:b/>
              <w:sz w:val="28"/>
              <w:szCs w:val="28"/>
            </w:rPr>
            <w:t>VOLUME</w:t>
          </w:r>
          <w:r w:rsidRPr="00DF1D60">
            <w:rPr>
              <w:rFonts w:ascii="Times New Roman" w:hAnsi="Times New Roman" w:cs="Times New Roman"/>
              <w:b/>
              <w:sz w:val="28"/>
              <w:szCs w:val="28"/>
            </w:rPr>
            <w:t xml:space="preserve"> </w:t>
          </w:r>
          <w:r>
            <w:rPr>
              <w:rFonts w:ascii="Times New Roman" w:hAnsi="Times New Roman" w:cs="Times New Roman"/>
              <w:b/>
              <w:sz w:val="28"/>
              <w:szCs w:val="28"/>
            </w:rPr>
            <w:t>I</w:t>
          </w:r>
        </w:p>
        <w:p w:rsidR="00FA52A1" w:rsidRPr="00D312BC" w:rsidRDefault="00FA52A1" w:rsidP="00FA52A1">
          <w:pPr>
            <w:pStyle w:val="Contedo1"/>
            <w:rPr>
              <w:rFonts w:ascii="Times New Roman" w:hAnsi="Times New Roman" w:cs="Times New Roman"/>
              <w:sz w:val="24"/>
            </w:rPr>
          </w:pPr>
          <w:r w:rsidRPr="00D312BC">
            <w:rPr>
              <w:rFonts w:ascii="Times New Roman" w:hAnsi="Times New Roman" w:cs="Times New Roman"/>
              <w:sz w:val="24"/>
            </w:rPr>
            <w:t>Agradecimentos……………………………………………………………………....</w:t>
          </w:r>
          <w:r w:rsidR="009E24E9">
            <w:rPr>
              <w:rFonts w:ascii="Times New Roman" w:hAnsi="Times New Roman" w:cs="Times New Roman"/>
              <w:sz w:val="24"/>
            </w:rPr>
            <w:t>… 6</w:t>
          </w:r>
        </w:p>
        <w:p w:rsidR="00FA52A1" w:rsidRPr="00D312BC" w:rsidRDefault="00FA52A1" w:rsidP="00FA52A1">
          <w:pPr>
            <w:pStyle w:val="Contedo1"/>
            <w:rPr>
              <w:rFonts w:ascii="Times New Roman" w:hAnsi="Times New Roman" w:cs="Times New Roman"/>
              <w:sz w:val="24"/>
            </w:rPr>
          </w:pPr>
          <w:r w:rsidRPr="00D312BC">
            <w:rPr>
              <w:rFonts w:ascii="Times New Roman" w:hAnsi="Times New Roman" w:cs="Times New Roman"/>
              <w:sz w:val="24"/>
            </w:rPr>
            <w:t>Resumo……</w:t>
          </w:r>
          <w:r w:rsidR="009E24E9">
            <w:rPr>
              <w:rFonts w:ascii="Times New Roman" w:hAnsi="Times New Roman" w:cs="Times New Roman"/>
              <w:sz w:val="24"/>
            </w:rPr>
            <w:t>……………………………………………………………………………. 7</w:t>
          </w:r>
        </w:p>
        <w:p w:rsidR="004F4205" w:rsidRDefault="00FA52A1" w:rsidP="00FA52A1">
          <w:pPr>
            <w:pStyle w:val="Contedo1"/>
            <w:rPr>
              <w:noProof/>
            </w:rPr>
          </w:pPr>
          <w:r w:rsidRPr="00D312BC">
            <w:rPr>
              <w:rFonts w:ascii="Times New Roman" w:hAnsi="Times New Roman" w:cs="Times New Roman"/>
              <w:sz w:val="24"/>
            </w:rPr>
            <w:t>Abstract…………………………………………………</w:t>
          </w:r>
          <w:r>
            <w:rPr>
              <w:rFonts w:ascii="Times New Roman" w:hAnsi="Times New Roman" w:cs="Times New Roman"/>
              <w:sz w:val="24"/>
            </w:rPr>
            <w:t>.</w:t>
          </w:r>
          <w:r w:rsidRPr="00D312BC">
            <w:rPr>
              <w:rFonts w:ascii="Times New Roman" w:hAnsi="Times New Roman" w:cs="Times New Roman"/>
              <w:sz w:val="24"/>
            </w:rPr>
            <w:t>……………</w:t>
          </w:r>
          <w:r>
            <w:rPr>
              <w:rFonts w:ascii="Times New Roman" w:hAnsi="Times New Roman" w:cs="Times New Roman"/>
              <w:sz w:val="24"/>
            </w:rPr>
            <w:t>…</w:t>
          </w:r>
          <w:r w:rsidRPr="00D312BC">
            <w:rPr>
              <w:rFonts w:ascii="Times New Roman" w:hAnsi="Times New Roman" w:cs="Times New Roman"/>
              <w:sz w:val="24"/>
            </w:rPr>
            <w:t xml:space="preserve">……………… </w:t>
          </w:r>
          <w:r w:rsidR="009E24E9">
            <w:rPr>
              <w:rFonts w:ascii="Times New Roman" w:hAnsi="Times New Roman" w:cs="Times New Roman"/>
              <w:sz w:val="24"/>
            </w:rPr>
            <w:t>8</w:t>
          </w:r>
          <w:r w:rsidR="00A31534">
            <w:fldChar w:fldCharType="begin"/>
          </w:r>
          <w:r>
            <w:instrText xml:space="preserve"> TOC \o "1-3" \h \z \u </w:instrText>
          </w:r>
          <w:r w:rsidR="00A31534">
            <w:fldChar w:fldCharType="separate"/>
          </w:r>
        </w:p>
        <w:p w:rsidR="004F4205" w:rsidRDefault="004F4205">
          <w:pPr>
            <w:pStyle w:val="ndice1"/>
            <w:tabs>
              <w:tab w:val="right" w:leader="dot" w:pos="8494"/>
            </w:tabs>
            <w:rPr>
              <w:rFonts w:asciiTheme="minorHAnsi" w:eastAsiaTheme="minorEastAsia" w:hAnsiTheme="minorHAnsi" w:cstheme="minorBidi"/>
              <w:noProof/>
            </w:rPr>
          </w:pPr>
          <w:hyperlink w:anchor="_Toc441612265" w:history="1">
            <w:r w:rsidRPr="00203AC8">
              <w:rPr>
                <w:rStyle w:val="Hiperligao"/>
                <w:rFonts w:ascii="Times New Roman" w:hAnsi="Times New Roman"/>
                <w:noProof/>
                <w:lang w:bidi="hi-IN"/>
              </w:rPr>
              <w:t>Agradecimentos</w:t>
            </w:r>
            <w:r>
              <w:rPr>
                <w:noProof/>
                <w:webHidden/>
              </w:rPr>
              <w:tab/>
            </w:r>
            <w:r>
              <w:rPr>
                <w:noProof/>
                <w:webHidden/>
              </w:rPr>
              <w:fldChar w:fldCharType="begin"/>
            </w:r>
            <w:r>
              <w:rPr>
                <w:noProof/>
                <w:webHidden/>
              </w:rPr>
              <w:instrText xml:space="preserve"> PAGEREF _Toc441612265 \h </w:instrText>
            </w:r>
            <w:r>
              <w:rPr>
                <w:noProof/>
                <w:webHidden/>
              </w:rPr>
            </w:r>
            <w:r>
              <w:rPr>
                <w:noProof/>
                <w:webHidden/>
              </w:rPr>
              <w:fldChar w:fldCharType="separate"/>
            </w:r>
            <w:r>
              <w:rPr>
                <w:noProof/>
                <w:webHidden/>
              </w:rPr>
              <w:t>7</w:t>
            </w:r>
            <w:r>
              <w:rPr>
                <w:noProof/>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66" w:history="1">
            <w:r w:rsidRPr="00203AC8">
              <w:rPr>
                <w:rStyle w:val="Hiperligao"/>
                <w:lang w:bidi="hi-IN"/>
              </w:rPr>
              <w:t>Introdução</w:t>
            </w:r>
            <w:r>
              <w:rPr>
                <w:webHidden/>
              </w:rPr>
              <w:tab/>
            </w:r>
            <w:r>
              <w:rPr>
                <w:webHidden/>
              </w:rPr>
              <w:fldChar w:fldCharType="begin"/>
            </w:r>
            <w:r>
              <w:rPr>
                <w:webHidden/>
              </w:rPr>
              <w:instrText xml:space="preserve"> PAGEREF _Toc441612266 \h </w:instrText>
            </w:r>
            <w:r>
              <w:rPr>
                <w:webHidden/>
              </w:rPr>
            </w:r>
            <w:r>
              <w:rPr>
                <w:webHidden/>
              </w:rPr>
              <w:fldChar w:fldCharType="separate"/>
            </w:r>
            <w:r>
              <w:rPr>
                <w:webHidden/>
              </w:rPr>
              <w:t>10</w:t>
            </w:r>
            <w:r>
              <w:rPr>
                <w:webHidden/>
              </w:rPr>
              <w:fldChar w:fldCharType="end"/>
            </w:r>
          </w:hyperlink>
        </w:p>
        <w:p w:rsidR="004F4205" w:rsidRDefault="004F4205">
          <w:pPr>
            <w:pStyle w:val="ndice2"/>
            <w:tabs>
              <w:tab w:val="left" w:pos="660"/>
            </w:tabs>
            <w:rPr>
              <w:rFonts w:asciiTheme="minorHAnsi" w:eastAsiaTheme="minorEastAsia" w:hAnsiTheme="minorHAnsi" w:cstheme="minorBidi"/>
              <w:sz w:val="22"/>
              <w:szCs w:val="22"/>
              <w:lang w:eastAsia="pt-PT"/>
            </w:rPr>
          </w:pPr>
          <w:hyperlink w:anchor="_Toc441612267" w:history="1">
            <w:r w:rsidRPr="00203AC8">
              <w:rPr>
                <w:rStyle w:val="Hiperligao"/>
                <w:lang w:bidi="hi-IN"/>
              </w:rPr>
              <w:t>1.</w:t>
            </w:r>
            <w:r>
              <w:rPr>
                <w:rFonts w:asciiTheme="minorHAnsi" w:eastAsiaTheme="minorEastAsia" w:hAnsiTheme="minorHAnsi" w:cstheme="minorBidi"/>
                <w:sz w:val="22"/>
                <w:szCs w:val="22"/>
                <w:lang w:eastAsia="pt-PT"/>
              </w:rPr>
              <w:tab/>
            </w:r>
            <w:r w:rsidRPr="00203AC8">
              <w:rPr>
                <w:rStyle w:val="Hiperligao"/>
                <w:lang w:bidi="hi-IN"/>
              </w:rPr>
              <w:t>Enquadramento de Monforte de Rio Livre – Administração, Geográfica, Fauna e Flora</w:t>
            </w:r>
            <w:r>
              <w:rPr>
                <w:webHidden/>
              </w:rPr>
              <w:tab/>
            </w:r>
            <w:r>
              <w:rPr>
                <w:webHidden/>
              </w:rPr>
              <w:fldChar w:fldCharType="begin"/>
            </w:r>
            <w:r>
              <w:rPr>
                <w:webHidden/>
              </w:rPr>
              <w:instrText xml:space="preserve"> PAGEREF _Toc441612267 \h </w:instrText>
            </w:r>
            <w:r>
              <w:rPr>
                <w:webHidden/>
              </w:rPr>
            </w:r>
            <w:r>
              <w:rPr>
                <w:webHidden/>
              </w:rPr>
              <w:fldChar w:fldCharType="separate"/>
            </w:r>
            <w:r>
              <w:rPr>
                <w:webHidden/>
              </w:rPr>
              <w:t>19</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68" w:history="1">
            <w:r w:rsidRPr="00203AC8">
              <w:rPr>
                <w:rStyle w:val="Hiperligao"/>
                <w:lang w:bidi="hi-IN"/>
              </w:rPr>
              <w:t>2. Antecedentes de Ocupação Medieval</w:t>
            </w:r>
            <w:r>
              <w:rPr>
                <w:webHidden/>
              </w:rPr>
              <w:tab/>
            </w:r>
            <w:r>
              <w:rPr>
                <w:webHidden/>
              </w:rPr>
              <w:fldChar w:fldCharType="begin"/>
            </w:r>
            <w:r>
              <w:rPr>
                <w:webHidden/>
              </w:rPr>
              <w:instrText xml:space="preserve"> PAGEREF _Toc441612268 \h </w:instrText>
            </w:r>
            <w:r>
              <w:rPr>
                <w:webHidden/>
              </w:rPr>
            </w:r>
            <w:r>
              <w:rPr>
                <w:webHidden/>
              </w:rPr>
              <w:fldChar w:fldCharType="separate"/>
            </w:r>
            <w:r>
              <w:rPr>
                <w:webHidden/>
              </w:rPr>
              <w:t>24</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69" w:history="1">
            <w:r w:rsidRPr="00203AC8">
              <w:rPr>
                <w:rStyle w:val="Hiperligao"/>
                <w:lang w:bidi="hi-IN"/>
              </w:rPr>
              <w:t>2.1 Dos primórdios da ocupação Humana ao Império Romano</w:t>
            </w:r>
            <w:r>
              <w:rPr>
                <w:webHidden/>
              </w:rPr>
              <w:tab/>
            </w:r>
            <w:r>
              <w:rPr>
                <w:webHidden/>
              </w:rPr>
              <w:fldChar w:fldCharType="begin"/>
            </w:r>
            <w:r>
              <w:rPr>
                <w:webHidden/>
              </w:rPr>
              <w:instrText xml:space="preserve"> PAGEREF _Toc441612269 \h </w:instrText>
            </w:r>
            <w:r>
              <w:rPr>
                <w:webHidden/>
              </w:rPr>
            </w:r>
            <w:r>
              <w:rPr>
                <w:webHidden/>
              </w:rPr>
              <w:fldChar w:fldCharType="separate"/>
            </w:r>
            <w:r>
              <w:rPr>
                <w:webHidden/>
              </w:rPr>
              <w:t>24</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70" w:history="1">
            <w:r w:rsidRPr="00203AC8">
              <w:rPr>
                <w:rStyle w:val="Hiperligao"/>
                <w:lang w:bidi="hi-IN"/>
              </w:rPr>
              <w:t>2.2 Testemunhos AltiMedievais: Das invasões Bárbaras à Reconquista Cristã</w:t>
            </w:r>
            <w:r>
              <w:rPr>
                <w:webHidden/>
              </w:rPr>
              <w:tab/>
            </w:r>
            <w:r>
              <w:rPr>
                <w:webHidden/>
              </w:rPr>
              <w:fldChar w:fldCharType="begin"/>
            </w:r>
            <w:r>
              <w:rPr>
                <w:webHidden/>
              </w:rPr>
              <w:instrText xml:space="preserve"> PAGEREF _Toc441612270 \h </w:instrText>
            </w:r>
            <w:r>
              <w:rPr>
                <w:webHidden/>
              </w:rPr>
            </w:r>
            <w:r>
              <w:rPr>
                <w:webHidden/>
              </w:rPr>
              <w:fldChar w:fldCharType="separate"/>
            </w:r>
            <w:r>
              <w:rPr>
                <w:webHidden/>
              </w:rPr>
              <w:t>40</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71" w:history="1">
            <w:r w:rsidRPr="00203AC8">
              <w:rPr>
                <w:rStyle w:val="Hiperligao"/>
                <w:lang w:bidi="hi-IN"/>
              </w:rPr>
              <w:t>3. Monforte de Rio Livre na Idade Média</w:t>
            </w:r>
            <w:r>
              <w:rPr>
                <w:webHidden/>
              </w:rPr>
              <w:tab/>
            </w:r>
            <w:r>
              <w:rPr>
                <w:webHidden/>
              </w:rPr>
              <w:fldChar w:fldCharType="begin"/>
            </w:r>
            <w:r>
              <w:rPr>
                <w:webHidden/>
              </w:rPr>
              <w:instrText xml:space="preserve"> PAGEREF _Toc441612271 \h </w:instrText>
            </w:r>
            <w:r>
              <w:rPr>
                <w:webHidden/>
              </w:rPr>
            </w:r>
            <w:r>
              <w:rPr>
                <w:webHidden/>
              </w:rPr>
              <w:fldChar w:fldCharType="separate"/>
            </w:r>
            <w:r>
              <w:rPr>
                <w:webHidden/>
              </w:rPr>
              <w:t>51</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72" w:history="1">
            <w:r w:rsidRPr="00203AC8">
              <w:rPr>
                <w:rStyle w:val="Hiperligao"/>
                <w:lang w:bidi="hi-IN"/>
              </w:rPr>
              <w:t>3.1. Primeira Referências documentais</w:t>
            </w:r>
            <w:r>
              <w:rPr>
                <w:webHidden/>
              </w:rPr>
              <w:tab/>
            </w:r>
            <w:r>
              <w:rPr>
                <w:webHidden/>
              </w:rPr>
              <w:fldChar w:fldCharType="begin"/>
            </w:r>
            <w:r>
              <w:rPr>
                <w:webHidden/>
              </w:rPr>
              <w:instrText xml:space="preserve"> PAGEREF _Toc441612272 \h </w:instrText>
            </w:r>
            <w:r>
              <w:rPr>
                <w:webHidden/>
              </w:rPr>
            </w:r>
            <w:r>
              <w:rPr>
                <w:webHidden/>
              </w:rPr>
              <w:fldChar w:fldCharType="separate"/>
            </w:r>
            <w:r>
              <w:rPr>
                <w:webHidden/>
              </w:rPr>
              <w:t>51</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73" w:history="1">
            <w:r w:rsidRPr="00203AC8">
              <w:rPr>
                <w:rStyle w:val="Hiperligao"/>
                <w:lang w:bidi="hi-IN"/>
              </w:rPr>
              <w:t>3.2 Monforte de Rio Livre nas Inquirições de 1258.</w:t>
            </w:r>
            <w:r>
              <w:rPr>
                <w:webHidden/>
              </w:rPr>
              <w:tab/>
            </w:r>
            <w:r>
              <w:rPr>
                <w:webHidden/>
              </w:rPr>
              <w:fldChar w:fldCharType="begin"/>
            </w:r>
            <w:r>
              <w:rPr>
                <w:webHidden/>
              </w:rPr>
              <w:instrText xml:space="preserve"> PAGEREF _Toc441612273 \h </w:instrText>
            </w:r>
            <w:r>
              <w:rPr>
                <w:webHidden/>
              </w:rPr>
            </w:r>
            <w:r>
              <w:rPr>
                <w:webHidden/>
              </w:rPr>
              <w:fldChar w:fldCharType="separate"/>
            </w:r>
            <w:r>
              <w:rPr>
                <w:webHidden/>
              </w:rPr>
              <w:t>57</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74" w:history="1">
            <w:r w:rsidRPr="00203AC8">
              <w:rPr>
                <w:rStyle w:val="Hiperligao"/>
                <w:lang w:bidi="hi-IN"/>
              </w:rPr>
              <w:t>3.3.Conflitos com Castela</w:t>
            </w:r>
            <w:r>
              <w:rPr>
                <w:webHidden/>
              </w:rPr>
              <w:tab/>
            </w:r>
            <w:r>
              <w:rPr>
                <w:webHidden/>
              </w:rPr>
              <w:fldChar w:fldCharType="begin"/>
            </w:r>
            <w:r>
              <w:rPr>
                <w:webHidden/>
              </w:rPr>
              <w:instrText xml:space="preserve"> PAGEREF _Toc441612274 \h </w:instrText>
            </w:r>
            <w:r>
              <w:rPr>
                <w:webHidden/>
              </w:rPr>
            </w:r>
            <w:r>
              <w:rPr>
                <w:webHidden/>
              </w:rPr>
              <w:fldChar w:fldCharType="separate"/>
            </w:r>
            <w:r>
              <w:rPr>
                <w:webHidden/>
              </w:rPr>
              <w:t>70</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75" w:history="1">
            <w:r w:rsidRPr="00203AC8">
              <w:rPr>
                <w:rStyle w:val="Hiperligao"/>
                <w:lang w:bidi="hi-IN"/>
              </w:rPr>
              <w:t>3.4. O Concelho de Monforte de Rio Livre: Uma perspetiva do Século XIII ao Século XVI.</w:t>
            </w:r>
            <w:r>
              <w:rPr>
                <w:webHidden/>
              </w:rPr>
              <w:tab/>
            </w:r>
            <w:r>
              <w:rPr>
                <w:webHidden/>
              </w:rPr>
              <w:fldChar w:fldCharType="begin"/>
            </w:r>
            <w:r>
              <w:rPr>
                <w:webHidden/>
              </w:rPr>
              <w:instrText xml:space="preserve"> PAGEREF _Toc441612275 \h </w:instrText>
            </w:r>
            <w:r>
              <w:rPr>
                <w:webHidden/>
              </w:rPr>
            </w:r>
            <w:r>
              <w:rPr>
                <w:webHidden/>
              </w:rPr>
              <w:fldChar w:fldCharType="separate"/>
            </w:r>
            <w:r>
              <w:rPr>
                <w:webHidden/>
              </w:rPr>
              <w:t>78</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76" w:history="1">
            <w:r w:rsidRPr="00203AC8">
              <w:rPr>
                <w:rStyle w:val="Hiperligao"/>
                <w:lang w:bidi="hi-IN"/>
              </w:rPr>
              <w:t>3.5. Um ocaso do Poder Concelhio: Do século XVI à extinção do Concelho</w:t>
            </w:r>
            <w:r>
              <w:rPr>
                <w:webHidden/>
              </w:rPr>
              <w:tab/>
            </w:r>
            <w:r>
              <w:rPr>
                <w:webHidden/>
              </w:rPr>
              <w:fldChar w:fldCharType="begin"/>
            </w:r>
            <w:r>
              <w:rPr>
                <w:webHidden/>
              </w:rPr>
              <w:instrText xml:space="preserve"> PAGEREF _Toc441612276 \h </w:instrText>
            </w:r>
            <w:r>
              <w:rPr>
                <w:webHidden/>
              </w:rPr>
            </w:r>
            <w:r>
              <w:rPr>
                <w:webHidden/>
              </w:rPr>
              <w:fldChar w:fldCharType="separate"/>
            </w:r>
            <w:r>
              <w:rPr>
                <w:webHidden/>
              </w:rPr>
              <w:t>95</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77" w:history="1">
            <w:r w:rsidRPr="00203AC8">
              <w:rPr>
                <w:rStyle w:val="Hiperligao"/>
                <w:lang w:bidi="hi-IN"/>
              </w:rPr>
              <w:t>4. O castelo</w:t>
            </w:r>
            <w:r>
              <w:rPr>
                <w:webHidden/>
              </w:rPr>
              <w:tab/>
            </w:r>
            <w:r>
              <w:rPr>
                <w:webHidden/>
              </w:rPr>
              <w:fldChar w:fldCharType="begin"/>
            </w:r>
            <w:r>
              <w:rPr>
                <w:webHidden/>
              </w:rPr>
              <w:instrText xml:space="preserve"> PAGEREF _Toc441612277 \h </w:instrText>
            </w:r>
            <w:r>
              <w:rPr>
                <w:webHidden/>
              </w:rPr>
            </w:r>
            <w:r>
              <w:rPr>
                <w:webHidden/>
              </w:rPr>
              <w:fldChar w:fldCharType="separate"/>
            </w:r>
            <w:r>
              <w:rPr>
                <w:webHidden/>
              </w:rPr>
              <w:t>101</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78" w:history="1">
            <w:r w:rsidRPr="00203AC8">
              <w:rPr>
                <w:rStyle w:val="Hiperligao"/>
                <w:lang w:bidi="hi-IN"/>
              </w:rPr>
              <w:t>4.1. Evolução Arquitetónica do castelo</w:t>
            </w:r>
            <w:r>
              <w:rPr>
                <w:webHidden/>
              </w:rPr>
              <w:tab/>
            </w:r>
            <w:r>
              <w:rPr>
                <w:webHidden/>
              </w:rPr>
              <w:fldChar w:fldCharType="begin"/>
            </w:r>
            <w:r>
              <w:rPr>
                <w:webHidden/>
              </w:rPr>
              <w:instrText xml:space="preserve"> PAGEREF _Toc441612278 \h </w:instrText>
            </w:r>
            <w:r>
              <w:rPr>
                <w:webHidden/>
              </w:rPr>
            </w:r>
            <w:r>
              <w:rPr>
                <w:webHidden/>
              </w:rPr>
              <w:fldChar w:fldCharType="separate"/>
            </w:r>
            <w:r>
              <w:rPr>
                <w:webHidden/>
              </w:rPr>
              <w:t>101</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79" w:history="1">
            <w:r w:rsidRPr="00203AC8">
              <w:rPr>
                <w:rStyle w:val="Hiperligao"/>
                <w:lang w:bidi="hi-IN"/>
              </w:rPr>
              <w:t>4.2 Castelo de Monforte de Rio Livre</w:t>
            </w:r>
            <w:r>
              <w:rPr>
                <w:webHidden/>
              </w:rPr>
              <w:tab/>
            </w:r>
            <w:r>
              <w:rPr>
                <w:webHidden/>
              </w:rPr>
              <w:fldChar w:fldCharType="begin"/>
            </w:r>
            <w:r>
              <w:rPr>
                <w:webHidden/>
              </w:rPr>
              <w:instrText xml:space="preserve"> PAGEREF _Toc441612279 \h </w:instrText>
            </w:r>
            <w:r>
              <w:rPr>
                <w:webHidden/>
              </w:rPr>
            </w:r>
            <w:r>
              <w:rPr>
                <w:webHidden/>
              </w:rPr>
              <w:fldChar w:fldCharType="separate"/>
            </w:r>
            <w:r>
              <w:rPr>
                <w:webHidden/>
              </w:rPr>
              <w:t>107</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80" w:history="1">
            <w:r w:rsidRPr="00203AC8">
              <w:rPr>
                <w:rStyle w:val="Hiperligao"/>
                <w:lang w:bidi="hi-IN"/>
              </w:rPr>
              <w:t>4.3. O Castelo nos finais da Idade Média</w:t>
            </w:r>
            <w:r>
              <w:rPr>
                <w:webHidden/>
              </w:rPr>
              <w:tab/>
            </w:r>
            <w:r>
              <w:rPr>
                <w:webHidden/>
              </w:rPr>
              <w:fldChar w:fldCharType="begin"/>
            </w:r>
            <w:r>
              <w:rPr>
                <w:webHidden/>
              </w:rPr>
              <w:instrText xml:space="preserve"> PAGEREF _Toc441612280 \h </w:instrText>
            </w:r>
            <w:r>
              <w:rPr>
                <w:webHidden/>
              </w:rPr>
            </w:r>
            <w:r>
              <w:rPr>
                <w:webHidden/>
              </w:rPr>
              <w:fldChar w:fldCharType="separate"/>
            </w:r>
            <w:r>
              <w:rPr>
                <w:webHidden/>
              </w:rPr>
              <w:t>111</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81" w:history="1">
            <w:r w:rsidRPr="00203AC8">
              <w:rPr>
                <w:rStyle w:val="Hiperligao"/>
                <w:lang w:bidi="hi-IN"/>
              </w:rPr>
              <w:t xml:space="preserve">4.4. O testemunho de Duarte de Armas (1509-10): Análise dos desenhos do </w:t>
            </w:r>
            <w:r w:rsidRPr="00203AC8">
              <w:rPr>
                <w:rStyle w:val="Hiperligao"/>
                <w:i/>
                <w:lang w:bidi="hi-IN"/>
              </w:rPr>
              <w:t>Fiel Escudeiro</w:t>
            </w:r>
            <w:r>
              <w:rPr>
                <w:webHidden/>
              </w:rPr>
              <w:tab/>
            </w:r>
            <w:r>
              <w:rPr>
                <w:webHidden/>
              </w:rPr>
              <w:fldChar w:fldCharType="begin"/>
            </w:r>
            <w:r>
              <w:rPr>
                <w:webHidden/>
              </w:rPr>
              <w:instrText xml:space="preserve"> PAGEREF _Toc441612281 \h </w:instrText>
            </w:r>
            <w:r>
              <w:rPr>
                <w:webHidden/>
              </w:rPr>
            </w:r>
            <w:r>
              <w:rPr>
                <w:webHidden/>
              </w:rPr>
              <w:fldChar w:fldCharType="separate"/>
            </w:r>
            <w:r>
              <w:rPr>
                <w:webHidden/>
              </w:rPr>
              <w:t>113</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82" w:history="1">
            <w:r w:rsidRPr="00203AC8">
              <w:rPr>
                <w:rStyle w:val="Hiperligao"/>
                <w:lang w:bidi="hi-IN"/>
              </w:rPr>
              <w:t>4.5 Restauro da DGEMN</w:t>
            </w:r>
            <w:r>
              <w:rPr>
                <w:webHidden/>
              </w:rPr>
              <w:tab/>
            </w:r>
            <w:r>
              <w:rPr>
                <w:webHidden/>
              </w:rPr>
              <w:fldChar w:fldCharType="begin"/>
            </w:r>
            <w:r>
              <w:rPr>
                <w:webHidden/>
              </w:rPr>
              <w:instrText xml:space="preserve"> PAGEREF _Toc441612282 \h </w:instrText>
            </w:r>
            <w:r>
              <w:rPr>
                <w:webHidden/>
              </w:rPr>
            </w:r>
            <w:r>
              <w:rPr>
                <w:webHidden/>
              </w:rPr>
              <w:fldChar w:fldCharType="separate"/>
            </w:r>
            <w:r>
              <w:rPr>
                <w:webHidden/>
              </w:rPr>
              <w:t>118</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83" w:history="1">
            <w:r w:rsidRPr="00203AC8">
              <w:rPr>
                <w:rStyle w:val="Hiperligao"/>
                <w:lang w:bidi="hi-IN"/>
              </w:rPr>
              <w:t>5. Povoado</w:t>
            </w:r>
            <w:r>
              <w:rPr>
                <w:webHidden/>
              </w:rPr>
              <w:tab/>
            </w:r>
            <w:r>
              <w:rPr>
                <w:webHidden/>
              </w:rPr>
              <w:fldChar w:fldCharType="begin"/>
            </w:r>
            <w:r>
              <w:rPr>
                <w:webHidden/>
              </w:rPr>
              <w:instrText xml:space="preserve"> PAGEREF _Toc441612283 \h </w:instrText>
            </w:r>
            <w:r>
              <w:rPr>
                <w:webHidden/>
              </w:rPr>
            </w:r>
            <w:r>
              <w:rPr>
                <w:webHidden/>
              </w:rPr>
              <w:fldChar w:fldCharType="separate"/>
            </w:r>
            <w:r>
              <w:rPr>
                <w:webHidden/>
              </w:rPr>
              <w:t>122</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84" w:history="1">
            <w:r w:rsidRPr="00203AC8">
              <w:rPr>
                <w:rStyle w:val="Hiperligao"/>
                <w:lang w:bidi="hi-IN"/>
              </w:rPr>
              <w:t>5.1. Urbanismo</w:t>
            </w:r>
            <w:r>
              <w:rPr>
                <w:webHidden/>
              </w:rPr>
              <w:tab/>
            </w:r>
            <w:r>
              <w:rPr>
                <w:webHidden/>
              </w:rPr>
              <w:fldChar w:fldCharType="begin"/>
            </w:r>
            <w:r>
              <w:rPr>
                <w:webHidden/>
              </w:rPr>
              <w:instrText xml:space="preserve"> PAGEREF _Toc441612284 \h </w:instrText>
            </w:r>
            <w:r>
              <w:rPr>
                <w:webHidden/>
              </w:rPr>
            </w:r>
            <w:r>
              <w:rPr>
                <w:webHidden/>
              </w:rPr>
              <w:fldChar w:fldCharType="separate"/>
            </w:r>
            <w:r>
              <w:rPr>
                <w:webHidden/>
              </w:rPr>
              <w:t>122</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85" w:history="1">
            <w:r w:rsidRPr="00203AC8">
              <w:rPr>
                <w:rStyle w:val="Hiperligao"/>
                <w:lang w:bidi="hi-IN"/>
              </w:rPr>
              <w:t>5.2 Acessibilidades (Vias, Calçadas e Pontes)</w:t>
            </w:r>
            <w:r>
              <w:rPr>
                <w:webHidden/>
              </w:rPr>
              <w:tab/>
            </w:r>
            <w:r>
              <w:rPr>
                <w:webHidden/>
              </w:rPr>
              <w:fldChar w:fldCharType="begin"/>
            </w:r>
            <w:r>
              <w:rPr>
                <w:webHidden/>
              </w:rPr>
              <w:instrText xml:space="preserve"> PAGEREF _Toc441612285 \h </w:instrText>
            </w:r>
            <w:r>
              <w:rPr>
                <w:webHidden/>
              </w:rPr>
            </w:r>
            <w:r>
              <w:rPr>
                <w:webHidden/>
              </w:rPr>
              <w:fldChar w:fldCharType="separate"/>
            </w:r>
            <w:r>
              <w:rPr>
                <w:webHidden/>
              </w:rPr>
              <w:t>126</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86" w:history="1">
            <w:r w:rsidRPr="00203AC8">
              <w:rPr>
                <w:rStyle w:val="Hiperligao"/>
                <w:lang w:bidi="hi-IN"/>
              </w:rPr>
              <w:t>5.3. A Muralha</w:t>
            </w:r>
            <w:r>
              <w:rPr>
                <w:webHidden/>
              </w:rPr>
              <w:tab/>
            </w:r>
            <w:r>
              <w:rPr>
                <w:webHidden/>
              </w:rPr>
              <w:fldChar w:fldCharType="begin"/>
            </w:r>
            <w:r>
              <w:rPr>
                <w:webHidden/>
              </w:rPr>
              <w:instrText xml:space="preserve"> PAGEREF _Toc441612286 \h </w:instrText>
            </w:r>
            <w:r>
              <w:rPr>
                <w:webHidden/>
              </w:rPr>
            </w:r>
            <w:r>
              <w:rPr>
                <w:webHidden/>
              </w:rPr>
              <w:fldChar w:fldCharType="separate"/>
            </w:r>
            <w:r>
              <w:rPr>
                <w:webHidden/>
              </w:rPr>
              <w:t>131</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87" w:history="1">
            <w:r w:rsidRPr="00203AC8">
              <w:rPr>
                <w:rStyle w:val="Hiperligao"/>
                <w:lang w:bidi="hi-IN"/>
              </w:rPr>
              <w:t>5.4. O testemunho do Livro de Duarte d´Armas</w:t>
            </w:r>
            <w:r>
              <w:rPr>
                <w:webHidden/>
              </w:rPr>
              <w:tab/>
            </w:r>
            <w:r>
              <w:rPr>
                <w:webHidden/>
              </w:rPr>
              <w:fldChar w:fldCharType="begin"/>
            </w:r>
            <w:r>
              <w:rPr>
                <w:webHidden/>
              </w:rPr>
              <w:instrText xml:space="preserve"> PAGEREF _Toc441612287 \h </w:instrText>
            </w:r>
            <w:r>
              <w:rPr>
                <w:webHidden/>
              </w:rPr>
            </w:r>
            <w:r>
              <w:rPr>
                <w:webHidden/>
              </w:rPr>
              <w:fldChar w:fldCharType="separate"/>
            </w:r>
            <w:r>
              <w:rPr>
                <w:webHidden/>
              </w:rPr>
              <w:t>132</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88" w:history="1">
            <w:r w:rsidRPr="00203AC8">
              <w:rPr>
                <w:rStyle w:val="Hiperligao"/>
                <w:lang w:bidi="hi-IN"/>
              </w:rPr>
              <w:t>5.5. Templos e cemitérios (materiais e espaços funerários)</w:t>
            </w:r>
            <w:r>
              <w:rPr>
                <w:webHidden/>
              </w:rPr>
              <w:tab/>
            </w:r>
            <w:r>
              <w:rPr>
                <w:webHidden/>
              </w:rPr>
              <w:fldChar w:fldCharType="begin"/>
            </w:r>
            <w:r>
              <w:rPr>
                <w:webHidden/>
              </w:rPr>
              <w:instrText xml:space="preserve"> PAGEREF _Toc441612288 \h </w:instrText>
            </w:r>
            <w:r>
              <w:rPr>
                <w:webHidden/>
              </w:rPr>
            </w:r>
            <w:r>
              <w:rPr>
                <w:webHidden/>
              </w:rPr>
              <w:fldChar w:fldCharType="separate"/>
            </w:r>
            <w:r>
              <w:rPr>
                <w:webHidden/>
              </w:rPr>
              <w:t>137</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89" w:history="1">
            <w:r w:rsidRPr="00203AC8">
              <w:rPr>
                <w:rStyle w:val="Hiperligao"/>
                <w:lang w:bidi="hi-IN"/>
              </w:rPr>
              <w:t>Conclusão</w:t>
            </w:r>
            <w:r>
              <w:rPr>
                <w:webHidden/>
              </w:rPr>
              <w:tab/>
            </w:r>
            <w:r>
              <w:rPr>
                <w:webHidden/>
              </w:rPr>
              <w:fldChar w:fldCharType="begin"/>
            </w:r>
            <w:r>
              <w:rPr>
                <w:webHidden/>
              </w:rPr>
              <w:instrText xml:space="preserve"> PAGEREF _Toc441612289 \h </w:instrText>
            </w:r>
            <w:r>
              <w:rPr>
                <w:webHidden/>
              </w:rPr>
            </w:r>
            <w:r>
              <w:rPr>
                <w:webHidden/>
              </w:rPr>
              <w:fldChar w:fldCharType="separate"/>
            </w:r>
            <w:r>
              <w:rPr>
                <w:webHidden/>
              </w:rPr>
              <w:t>143</w:t>
            </w:r>
            <w:r>
              <w:rPr>
                <w:webHidden/>
              </w:rPr>
              <w:fldChar w:fldCharType="end"/>
            </w:r>
          </w:hyperlink>
        </w:p>
        <w:p w:rsidR="004F4205" w:rsidRDefault="004F4205">
          <w:pPr>
            <w:pStyle w:val="ndice2"/>
            <w:rPr>
              <w:rFonts w:asciiTheme="minorHAnsi" w:eastAsiaTheme="minorEastAsia" w:hAnsiTheme="minorHAnsi" w:cstheme="minorBidi"/>
              <w:sz w:val="22"/>
              <w:szCs w:val="22"/>
              <w:lang w:eastAsia="pt-PT"/>
            </w:rPr>
          </w:pPr>
          <w:hyperlink w:anchor="_Toc441612290" w:history="1">
            <w:r w:rsidRPr="00203AC8">
              <w:rPr>
                <w:rStyle w:val="Hiperligao"/>
                <w:lang w:bidi="hi-IN"/>
              </w:rPr>
              <w:t>Bibliografia</w:t>
            </w:r>
            <w:r>
              <w:rPr>
                <w:webHidden/>
              </w:rPr>
              <w:tab/>
            </w:r>
            <w:r>
              <w:rPr>
                <w:webHidden/>
              </w:rPr>
              <w:fldChar w:fldCharType="begin"/>
            </w:r>
            <w:r>
              <w:rPr>
                <w:webHidden/>
              </w:rPr>
              <w:instrText xml:space="preserve"> PAGEREF _Toc441612290 \h </w:instrText>
            </w:r>
            <w:r>
              <w:rPr>
                <w:webHidden/>
              </w:rPr>
            </w:r>
            <w:r>
              <w:rPr>
                <w:webHidden/>
              </w:rPr>
              <w:fldChar w:fldCharType="separate"/>
            </w:r>
            <w:r>
              <w:rPr>
                <w:webHidden/>
              </w:rPr>
              <w:t>149</w:t>
            </w:r>
            <w:r>
              <w:rPr>
                <w:webHidden/>
              </w:rPr>
              <w:fldChar w:fldCharType="end"/>
            </w:r>
          </w:hyperlink>
        </w:p>
        <w:p w:rsidR="00FA52A1" w:rsidRPr="002D1D01" w:rsidRDefault="00A31534" w:rsidP="002D1D01">
          <w:pPr>
            <w:pStyle w:val="Contedo1"/>
            <w:rPr>
              <w:rFonts w:ascii="Times New Roman" w:hAnsi="Times New Roman" w:cs="Times New Roman"/>
              <w:b/>
              <w:sz w:val="28"/>
              <w:szCs w:val="28"/>
            </w:rPr>
          </w:pPr>
          <w:r>
            <w:fldChar w:fldCharType="end"/>
          </w:r>
        </w:p>
      </w:sdtContent>
    </w:sdt>
    <w:p w:rsidR="002D1D01" w:rsidRPr="00DF1D60" w:rsidRDefault="0011294E" w:rsidP="002D1D01">
      <w:pPr>
        <w:pStyle w:val="Contedo1"/>
        <w:rPr>
          <w:rFonts w:ascii="Times New Roman" w:hAnsi="Times New Roman" w:cs="Times New Roman"/>
          <w:b/>
          <w:sz w:val="28"/>
          <w:szCs w:val="28"/>
        </w:rPr>
      </w:pPr>
      <w:r w:rsidRPr="0011294E">
        <w:rPr>
          <w:rFonts w:ascii="Times New Roman" w:hAnsi="Times New Roman" w:cs="Times New Roman"/>
          <w:sz w:val="24"/>
        </w:rPr>
        <w:t xml:space="preserve"> </w:t>
      </w:r>
      <w:r w:rsidR="002D1D01">
        <w:rPr>
          <w:rFonts w:ascii="Times New Roman" w:hAnsi="Times New Roman" w:cs="Times New Roman"/>
          <w:b/>
          <w:sz w:val="28"/>
          <w:szCs w:val="28"/>
        </w:rPr>
        <w:t>VOLUME II</w:t>
      </w:r>
    </w:p>
    <w:p w:rsidR="002D1D01" w:rsidRPr="00AB4D8F" w:rsidRDefault="002D1D01" w:rsidP="002D1D01">
      <w:pPr>
        <w:pStyle w:val="ndice2"/>
        <w:ind w:left="0"/>
        <w:rPr>
          <w:rFonts w:eastAsiaTheme="minorEastAsia"/>
          <w:lang w:eastAsia="pt-PT"/>
        </w:rPr>
      </w:pPr>
      <w:r>
        <w:t xml:space="preserve">    </w:t>
      </w:r>
      <w:r w:rsidRPr="00213CA7">
        <w:rPr>
          <w:b/>
          <w:sz w:val="28"/>
          <w:szCs w:val="28"/>
          <w:lang w:bidi="hi-IN"/>
        </w:rPr>
        <w:t>Anexos</w:t>
      </w:r>
      <w:r w:rsidRPr="00AB4D8F">
        <w:rPr>
          <w:webHidden/>
        </w:rPr>
        <w:tab/>
      </w:r>
      <w:r>
        <w:rPr>
          <w:webHidden/>
        </w:rPr>
        <w:t>II</w:t>
      </w:r>
    </w:p>
    <w:p w:rsidR="002D1D01" w:rsidRPr="00AB4D8F" w:rsidRDefault="002D1D01" w:rsidP="002D1D01">
      <w:pPr>
        <w:pStyle w:val="ndice2"/>
        <w:rPr>
          <w:rFonts w:eastAsiaTheme="minorEastAsia"/>
          <w:lang w:eastAsia="pt-PT"/>
        </w:rPr>
      </w:pPr>
      <w:r w:rsidRPr="00213CA7">
        <w:rPr>
          <w:lang w:bidi="hi-IN"/>
        </w:rPr>
        <w:t>1.1 Apêndice Documental</w:t>
      </w:r>
      <w:r w:rsidRPr="00AB4D8F">
        <w:rPr>
          <w:webHidden/>
        </w:rPr>
        <w:tab/>
      </w:r>
      <w:r>
        <w:rPr>
          <w:webHidden/>
        </w:rPr>
        <w:t>II</w:t>
      </w:r>
    </w:p>
    <w:p w:rsidR="002D1D01" w:rsidRPr="00AB4D8F" w:rsidRDefault="002D1D01" w:rsidP="002D1D01">
      <w:pPr>
        <w:pStyle w:val="ndice2"/>
        <w:rPr>
          <w:rFonts w:eastAsiaTheme="minorEastAsia"/>
          <w:lang w:eastAsia="pt-PT"/>
        </w:rPr>
      </w:pPr>
      <w:r w:rsidRPr="00213CA7">
        <w:rPr>
          <w:lang w:bidi="hi-IN"/>
        </w:rPr>
        <w:t>2. Mapas</w:t>
      </w:r>
      <w:r w:rsidRPr="00AB4D8F">
        <w:rPr>
          <w:webHidden/>
        </w:rPr>
        <w:tab/>
      </w:r>
      <w:r>
        <w:rPr>
          <w:webHidden/>
        </w:rPr>
        <w:t>XXXVIII</w:t>
      </w:r>
    </w:p>
    <w:p w:rsidR="002D1D01" w:rsidRPr="00AB4D8F" w:rsidRDefault="002D1D01" w:rsidP="002D1D01">
      <w:pPr>
        <w:pStyle w:val="ndice2"/>
        <w:rPr>
          <w:rFonts w:eastAsiaTheme="minorEastAsia"/>
          <w:lang w:eastAsia="pt-PT"/>
        </w:rPr>
      </w:pPr>
      <w:r w:rsidRPr="00213CA7">
        <w:rPr>
          <w:lang w:bidi="hi-IN"/>
        </w:rPr>
        <w:t>2.1 Cartografia Antiga e Depoimento do Duarte Armas</w:t>
      </w:r>
      <w:r w:rsidRPr="00AB4D8F">
        <w:rPr>
          <w:webHidden/>
        </w:rPr>
        <w:tab/>
      </w:r>
      <w:r>
        <w:rPr>
          <w:webHidden/>
        </w:rPr>
        <w:t>XXXVIII</w:t>
      </w:r>
    </w:p>
    <w:p w:rsidR="002D1D01" w:rsidRPr="00AB4D8F" w:rsidRDefault="002D1D01" w:rsidP="002D1D01">
      <w:pPr>
        <w:pStyle w:val="ndice2"/>
        <w:rPr>
          <w:rFonts w:eastAsiaTheme="minorEastAsia"/>
          <w:lang w:eastAsia="pt-PT"/>
        </w:rPr>
      </w:pPr>
      <w:r w:rsidRPr="00213CA7">
        <w:rPr>
          <w:lang w:bidi="hi-IN"/>
        </w:rPr>
        <w:t>2.2 Cartografia Recente</w:t>
      </w:r>
      <w:r w:rsidRPr="00AB4D8F">
        <w:rPr>
          <w:webHidden/>
        </w:rPr>
        <w:tab/>
      </w:r>
      <w:r>
        <w:rPr>
          <w:webHidden/>
        </w:rPr>
        <w:t>XLVIII</w:t>
      </w:r>
    </w:p>
    <w:p w:rsidR="002D1D01" w:rsidRPr="00AB4D8F" w:rsidRDefault="002D1D01" w:rsidP="002D1D01">
      <w:pPr>
        <w:pStyle w:val="ndice2"/>
        <w:rPr>
          <w:rFonts w:eastAsiaTheme="minorEastAsia"/>
          <w:lang w:eastAsia="pt-PT"/>
        </w:rPr>
      </w:pPr>
      <w:r w:rsidRPr="00213CA7">
        <w:rPr>
          <w:lang w:bidi="hi-IN"/>
        </w:rPr>
        <w:t>3. Documentação Gráfica</w:t>
      </w:r>
      <w:r w:rsidRPr="00AB4D8F">
        <w:rPr>
          <w:webHidden/>
        </w:rPr>
        <w:tab/>
      </w:r>
      <w:r>
        <w:rPr>
          <w:webHidden/>
        </w:rPr>
        <w:t>LII</w:t>
      </w:r>
    </w:p>
    <w:p w:rsidR="002D1D01" w:rsidRPr="00AB4D8F" w:rsidRDefault="002D1D01" w:rsidP="002D1D01">
      <w:pPr>
        <w:pStyle w:val="ndice2"/>
        <w:rPr>
          <w:rFonts w:eastAsiaTheme="minorEastAsia"/>
          <w:lang w:eastAsia="pt-PT"/>
        </w:rPr>
      </w:pPr>
      <w:r w:rsidRPr="00213CA7">
        <w:rPr>
          <w:lang w:bidi="hi-IN"/>
        </w:rPr>
        <w:t>3.1 Plantas e Desenhos</w:t>
      </w:r>
      <w:r w:rsidRPr="00AB4D8F">
        <w:rPr>
          <w:webHidden/>
        </w:rPr>
        <w:tab/>
      </w:r>
      <w:r>
        <w:rPr>
          <w:webHidden/>
        </w:rPr>
        <w:t>LII</w:t>
      </w:r>
    </w:p>
    <w:p w:rsidR="002D1D01" w:rsidRPr="00AB4D8F" w:rsidRDefault="002D1D01" w:rsidP="002D1D01">
      <w:pPr>
        <w:pStyle w:val="ndice2"/>
        <w:rPr>
          <w:rFonts w:eastAsiaTheme="minorEastAsia"/>
          <w:lang w:eastAsia="pt-PT"/>
        </w:rPr>
      </w:pPr>
      <w:r w:rsidRPr="00213CA7">
        <w:rPr>
          <w:lang w:bidi="hi-IN"/>
        </w:rPr>
        <w:t>4. Fotografias</w:t>
      </w:r>
      <w:r w:rsidRPr="00AB4D8F">
        <w:rPr>
          <w:webHidden/>
        </w:rPr>
        <w:tab/>
      </w:r>
      <w:r>
        <w:rPr>
          <w:webHidden/>
        </w:rPr>
        <w:t>LXIV</w:t>
      </w:r>
    </w:p>
    <w:p w:rsidR="002D1D01" w:rsidRPr="00AB4D8F" w:rsidRDefault="002D1D01" w:rsidP="002D1D01">
      <w:pPr>
        <w:pStyle w:val="ndice2"/>
        <w:rPr>
          <w:rFonts w:eastAsiaTheme="minorEastAsia"/>
          <w:lang w:eastAsia="pt-PT"/>
        </w:rPr>
      </w:pPr>
      <w:r w:rsidRPr="00213CA7">
        <w:rPr>
          <w:lang w:bidi="hi-IN"/>
        </w:rPr>
        <w:t>4.1 Castelo</w:t>
      </w:r>
      <w:r w:rsidRPr="00AB4D8F">
        <w:rPr>
          <w:webHidden/>
        </w:rPr>
        <w:tab/>
      </w:r>
      <w:r>
        <w:rPr>
          <w:webHidden/>
        </w:rPr>
        <w:t>LXIV</w:t>
      </w:r>
    </w:p>
    <w:p w:rsidR="002D1D01" w:rsidRPr="00AB4D8F" w:rsidRDefault="002D1D01" w:rsidP="002D1D01">
      <w:pPr>
        <w:pStyle w:val="ndice2"/>
        <w:rPr>
          <w:rFonts w:eastAsiaTheme="minorEastAsia"/>
          <w:lang w:eastAsia="pt-PT"/>
        </w:rPr>
      </w:pPr>
      <w:r w:rsidRPr="00213CA7">
        <w:rPr>
          <w:rStyle w:val="Hiperligao"/>
          <w:color w:val="auto"/>
          <w:u w:val="none"/>
          <w:lang w:bidi="hi-IN"/>
        </w:rPr>
        <w:t>4.</w:t>
      </w:r>
      <w:r w:rsidRPr="002D1D01">
        <w:rPr>
          <w:rStyle w:val="Hiperligao"/>
          <w:color w:val="auto"/>
          <w:u w:val="none"/>
          <w:lang w:bidi="hi-IN"/>
        </w:rPr>
        <w:t xml:space="preserve">2. </w:t>
      </w:r>
      <w:r w:rsidRPr="002D1D01">
        <w:rPr>
          <w:lang w:bidi="hi-IN"/>
        </w:rPr>
        <w:t>Povoado</w:t>
      </w:r>
      <w:r w:rsidRPr="00AB4D8F">
        <w:rPr>
          <w:webHidden/>
        </w:rPr>
        <w:tab/>
      </w:r>
      <w:r>
        <w:rPr>
          <w:webHidden/>
        </w:rPr>
        <w:t>LXXIII</w:t>
      </w:r>
    </w:p>
    <w:p w:rsidR="009F6BE7" w:rsidRPr="004F4205" w:rsidRDefault="0011294E" w:rsidP="004F4205">
      <w:pPr>
        <w:pStyle w:val="Ttulodondice"/>
        <w:rPr>
          <w:rFonts w:ascii="Times New Roman" w:hAnsi="Times New Roman" w:cs="Times New Roman"/>
          <w:color w:val="auto"/>
          <w:sz w:val="24"/>
          <w:szCs w:val="24"/>
        </w:rPr>
      </w:pPr>
      <w:r w:rsidRPr="0011294E">
        <w:rPr>
          <w:rFonts w:ascii="Times New Roman" w:hAnsi="Times New Roman" w:cs="Times New Roman"/>
          <w:color w:val="auto"/>
          <w:sz w:val="24"/>
          <w:szCs w:val="24"/>
        </w:rPr>
        <w:br w:type="page"/>
      </w:r>
      <w:bookmarkStart w:id="0" w:name="_Toc430358523"/>
    </w:p>
    <w:p w:rsidR="009F6BE7" w:rsidRPr="009F6BE7" w:rsidRDefault="009F6BE7" w:rsidP="009F6BE7">
      <w:pPr>
        <w:pStyle w:val="Ttulo1"/>
        <w:jc w:val="center"/>
        <w:rPr>
          <w:rFonts w:ascii="Times New Roman" w:hAnsi="Times New Roman" w:cs="Times New Roman"/>
          <w:b w:val="0"/>
          <w:sz w:val="36"/>
          <w:szCs w:val="36"/>
        </w:rPr>
      </w:pPr>
      <w:bookmarkStart w:id="1" w:name="_Toc430364420"/>
      <w:bookmarkStart w:id="2" w:name="_Toc441612265"/>
      <w:r w:rsidRPr="009F6BE7">
        <w:rPr>
          <w:rFonts w:ascii="Times New Roman" w:hAnsi="Times New Roman" w:cs="Times New Roman"/>
          <w:b w:val="0"/>
          <w:sz w:val="36"/>
          <w:szCs w:val="36"/>
        </w:rPr>
        <w:lastRenderedPageBreak/>
        <w:t>Agradecimentos</w:t>
      </w:r>
      <w:bookmarkEnd w:id="1"/>
      <w:bookmarkEnd w:id="2"/>
    </w:p>
    <w:p w:rsidR="00D977D0" w:rsidRDefault="00D977D0" w:rsidP="00D977D0">
      <w:pPr>
        <w:spacing w:line="360" w:lineRule="auto"/>
        <w:ind w:firstLine="624"/>
        <w:jc w:val="both"/>
        <w:rPr>
          <w:rFonts w:ascii="Times New Roman" w:hAnsi="Times New Roman"/>
          <w:sz w:val="24"/>
          <w:szCs w:val="24"/>
        </w:rPr>
      </w:pPr>
    </w:p>
    <w:p w:rsidR="00D977D0" w:rsidRDefault="00D977D0" w:rsidP="00D977D0">
      <w:pPr>
        <w:spacing w:line="360" w:lineRule="auto"/>
        <w:ind w:firstLine="624"/>
        <w:jc w:val="both"/>
        <w:rPr>
          <w:rFonts w:ascii="Times New Roman" w:hAnsi="Times New Roman"/>
          <w:sz w:val="24"/>
          <w:szCs w:val="24"/>
        </w:rPr>
      </w:pPr>
      <w:r w:rsidRPr="00EA5EE8">
        <w:rPr>
          <w:rFonts w:ascii="Times New Roman" w:hAnsi="Times New Roman"/>
          <w:sz w:val="24"/>
          <w:szCs w:val="24"/>
        </w:rPr>
        <w:t>Deixo aqui algumas palavras de agradecimento.</w:t>
      </w:r>
    </w:p>
    <w:p w:rsidR="00D977D0" w:rsidRDefault="00D977D0" w:rsidP="00D977D0">
      <w:pPr>
        <w:spacing w:line="360" w:lineRule="auto"/>
        <w:ind w:firstLine="624"/>
        <w:jc w:val="both"/>
        <w:rPr>
          <w:rFonts w:ascii="Times New Roman" w:hAnsi="Times New Roman"/>
          <w:sz w:val="24"/>
          <w:szCs w:val="24"/>
        </w:rPr>
      </w:pPr>
    </w:p>
    <w:p w:rsidR="00D977D0" w:rsidRDefault="00D977D0" w:rsidP="00D977D0">
      <w:pPr>
        <w:spacing w:line="360" w:lineRule="auto"/>
        <w:ind w:firstLine="624"/>
        <w:jc w:val="both"/>
        <w:rPr>
          <w:rFonts w:ascii="Times New Roman" w:hAnsi="Times New Roman"/>
          <w:sz w:val="24"/>
          <w:szCs w:val="24"/>
        </w:rPr>
      </w:pPr>
      <w:r>
        <w:rPr>
          <w:rFonts w:ascii="Times New Roman" w:hAnsi="Times New Roman"/>
          <w:sz w:val="24"/>
          <w:szCs w:val="24"/>
        </w:rPr>
        <w:t xml:space="preserve">Este trabalho é dedicado à minha mãe, à Ana e ao meu Avó, que tristemente faleceu durante a elaboração deste trabalho. </w:t>
      </w:r>
      <w:r w:rsidR="00891D04">
        <w:rPr>
          <w:rFonts w:ascii="Times New Roman" w:hAnsi="Times New Roman"/>
          <w:sz w:val="24"/>
          <w:szCs w:val="24"/>
        </w:rPr>
        <w:t>Por todas</w:t>
      </w:r>
      <w:r>
        <w:rPr>
          <w:rFonts w:ascii="Times New Roman" w:hAnsi="Times New Roman"/>
          <w:sz w:val="24"/>
          <w:szCs w:val="24"/>
        </w:rPr>
        <w:t xml:space="preserve"> as palavras de apoio e paciência que tiveram comigo durante a realização desta tese. </w:t>
      </w:r>
    </w:p>
    <w:p w:rsidR="00D977D0" w:rsidRDefault="00D977D0" w:rsidP="00D977D0">
      <w:pPr>
        <w:spacing w:line="360" w:lineRule="auto"/>
        <w:ind w:firstLine="624"/>
        <w:jc w:val="both"/>
        <w:rPr>
          <w:rFonts w:ascii="Times New Roman" w:hAnsi="Times New Roman"/>
          <w:sz w:val="24"/>
          <w:szCs w:val="24"/>
        </w:rPr>
      </w:pPr>
      <w:r w:rsidRPr="00150371">
        <w:rPr>
          <w:rFonts w:ascii="Times New Roman" w:hAnsi="Times New Roman"/>
          <w:sz w:val="24"/>
          <w:szCs w:val="24"/>
        </w:rPr>
        <w:t>Uma palavra também para os meus colegas desta edição de Mestrado,</w:t>
      </w:r>
      <w:r>
        <w:rPr>
          <w:rFonts w:ascii="Times New Roman" w:hAnsi="Times New Roman"/>
          <w:sz w:val="24"/>
          <w:szCs w:val="24"/>
        </w:rPr>
        <w:t xml:space="preserve"> Leandro Ferreira, João Carreira e Nuno Rodrigues, </w:t>
      </w:r>
      <w:r w:rsidRPr="00150371">
        <w:rPr>
          <w:rFonts w:ascii="Times New Roman" w:hAnsi="Times New Roman"/>
          <w:sz w:val="24"/>
          <w:szCs w:val="24"/>
        </w:rPr>
        <w:t>pelo companheirismo demonstrado e auxílio mútuo que nos uniu,</w:t>
      </w:r>
      <w:r>
        <w:rPr>
          <w:rFonts w:ascii="Times New Roman" w:hAnsi="Times New Roman"/>
          <w:sz w:val="24"/>
          <w:szCs w:val="24"/>
        </w:rPr>
        <w:t xml:space="preserve"> e ainda para o Doutor Pedro Pereira, com que iniciei a jornada no mundo da Arqueologia. </w:t>
      </w:r>
    </w:p>
    <w:p w:rsidR="00D977D0" w:rsidRDefault="00D977D0" w:rsidP="00D977D0">
      <w:pPr>
        <w:spacing w:line="360" w:lineRule="auto"/>
        <w:ind w:firstLine="624"/>
        <w:jc w:val="both"/>
        <w:rPr>
          <w:rFonts w:ascii="Times New Roman" w:hAnsi="Times New Roman"/>
          <w:sz w:val="24"/>
          <w:szCs w:val="24"/>
        </w:rPr>
      </w:pPr>
      <w:r>
        <w:rPr>
          <w:rFonts w:ascii="Times New Roman" w:hAnsi="Times New Roman"/>
          <w:sz w:val="24"/>
          <w:szCs w:val="24"/>
        </w:rPr>
        <w:t xml:space="preserve">Por fim, resta-me </w:t>
      </w:r>
      <w:r w:rsidRPr="0077726B">
        <w:rPr>
          <w:rFonts w:ascii="Times New Roman" w:hAnsi="Times New Roman"/>
          <w:sz w:val="24"/>
          <w:szCs w:val="24"/>
        </w:rPr>
        <w:t>agradecer</w:t>
      </w:r>
      <w:r>
        <w:rPr>
          <w:rFonts w:ascii="Times New Roman" w:hAnsi="Times New Roman"/>
          <w:sz w:val="24"/>
          <w:szCs w:val="24"/>
        </w:rPr>
        <w:t xml:space="preserve"> ao</w:t>
      </w:r>
      <w:r w:rsidRPr="00150371">
        <w:rPr>
          <w:rFonts w:ascii="Times New Roman" w:hAnsi="Times New Roman"/>
          <w:sz w:val="24"/>
          <w:szCs w:val="24"/>
        </w:rPr>
        <w:t xml:space="preserve"> Professor Doutor Mário Jorge Barroca pela orientação prestada, pelas informações e conhecimentos que me transmitiu.</w:t>
      </w:r>
    </w:p>
    <w:p w:rsidR="009F6BE7" w:rsidRDefault="009F6BE7" w:rsidP="0011294E">
      <w:pPr>
        <w:pStyle w:val="Ttulo2"/>
        <w:rPr>
          <w:rFonts w:ascii="Times New Roman" w:hAnsi="Times New Roman" w:cs="Times New Roman"/>
          <w:sz w:val="24"/>
          <w:szCs w:val="24"/>
        </w:rPr>
      </w:pPr>
    </w:p>
    <w:p w:rsidR="009F6BE7" w:rsidRDefault="009F6BE7" w:rsidP="0011294E">
      <w:pPr>
        <w:pStyle w:val="Ttulo2"/>
        <w:rPr>
          <w:rFonts w:ascii="Times New Roman" w:hAnsi="Times New Roman" w:cs="Times New Roman"/>
          <w:sz w:val="24"/>
          <w:szCs w:val="24"/>
        </w:rPr>
      </w:pPr>
    </w:p>
    <w:p w:rsidR="009F6BE7" w:rsidRDefault="009F6BE7" w:rsidP="0011294E">
      <w:pPr>
        <w:pStyle w:val="Ttulo2"/>
        <w:rPr>
          <w:rFonts w:ascii="Times New Roman" w:hAnsi="Times New Roman" w:cs="Times New Roman"/>
          <w:sz w:val="24"/>
          <w:szCs w:val="24"/>
        </w:rPr>
      </w:pPr>
    </w:p>
    <w:p w:rsidR="009F6BE7" w:rsidRDefault="009F6BE7" w:rsidP="0011294E">
      <w:pPr>
        <w:pStyle w:val="Ttulo2"/>
        <w:rPr>
          <w:rFonts w:ascii="Times New Roman" w:hAnsi="Times New Roman" w:cs="Times New Roman"/>
          <w:sz w:val="24"/>
          <w:szCs w:val="24"/>
        </w:rPr>
      </w:pPr>
    </w:p>
    <w:p w:rsidR="009F6BE7" w:rsidRDefault="009F6BE7" w:rsidP="0011294E">
      <w:pPr>
        <w:pStyle w:val="Ttulo2"/>
        <w:rPr>
          <w:rFonts w:ascii="Times New Roman" w:hAnsi="Times New Roman" w:cs="Times New Roman"/>
          <w:sz w:val="24"/>
          <w:szCs w:val="24"/>
        </w:rPr>
      </w:pPr>
    </w:p>
    <w:p w:rsidR="009F6BE7" w:rsidRDefault="009F6BE7" w:rsidP="00D977D0">
      <w:pPr>
        <w:pStyle w:val="Ttulo2"/>
        <w:numPr>
          <w:ilvl w:val="0"/>
          <w:numId w:val="0"/>
        </w:numPr>
        <w:rPr>
          <w:rFonts w:ascii="Times New Roman" w:hAnsi="Times New Roman" w:cs="Times New Roman"/>
          <w:sz w:val="24"/>
          <w:szCs w:val="24"/>
        </w:rPr>
      </w:pPr>
    </w:p>
    <w:p w:rsidR="00D977D0" w:rsidRDefault="00D977D0" w:rsidP="00D977D0">
      <w:pPr>
        <w:pStyle w:val="Corpodotexto"/>
      </w:pPr>
    </w:p>
    <w:p w:rsidR="00D977D0" w:rsidRPr="00D977D0" w:rsidRDefault="00D977D0" w:rsidP="00D977D0">
      <w:pPr>
        <w:pStyle w:val="Corpodotexto"/>
      </w:pPr>
    </w:p>
    <w:p w:rsidR="009F6BE7" w:rsidRDefault="009F6BE7" w:rsidP="00D977D0">
      <w:pPr>
        <w:pStyle w:val="Ttulo2"/>
        <w:rPr>
          <w:rFonts w:ascii="Times New Roman" w:hAnsi="Times New Roman" w:cs="Times New Roman"/>
          <w:sz w:val="24"/>
          <w:szCs w:val="24"/>
        </w:rPr>
      </w:pPr>
    </w:p>
    <w:p w:rsidR="004F4205" w:rsidRPr="004F4205" w:rsidRDefault="004F4205" w:rsidP="004F4205">
      <w:pPr>
        <w:pStyle w:val="Corpodotexto"/>
      </w:pPr>
    </w:p>
    <w:p w:rsidR="00D977D0" w:rsidRPr="00D977D0" w:rsidRDefault="00D977D0" w:rsidP="00D977D0">
      <w:pPr>
        <w:pStyle w:val="Corpodotexto"/>
      </w:pPr>
    </w:p>
    <w:p w:rsidR="009F6BE7" w:rsidRPr="00D312BC" w:rsidRDefault="009F6BE7" w:rsidP="00D977D0">
      <w:pPr>
        <w:pStyle w:val="Estilopadro"/>
        <w:ind w:firstLine="0"/>
        <w:jc w:val="center"/>
        <w:rPr>
          <w:rFonts w:ascii="Times New Roman" w:hAnsi="Times New Roman" w:cs="Times New Roman"/>
        </w:rPr>
      </w:pPr>
      <w:r w:rsidRPr="00D312BC">
        <w:rPr>
          <w:rFonts w:ascii="Times New Roman" w:hAnsi="Times New Roman" w:cs="Times New Roman"/>
          <w:b/>
          <w:bCs/>
          <w:sz w:val="32"/>
          <w:szCs w:val="32"/>
        </w:rPr>
        <w:lastRenderedPageBreak/>
        <w:t>Resumo</w:t>
      </w:r>
    </w:p>
    <w:p w:rsidR="009F6BE7" w:rsidRPr="00D312BC" w:rsidRDefault="009F6BE7" w:rsidP="009F6BE7">
      <w:pPr>
        <w:pStyle w:val="Estilopadro"/>
        <w:ind w:firstLine="0"/>
        <w:rPr>
          <w:rFonts w:ascii="Times New Roman" w:hAnsi="Times New Roman" w:cs="Times New Roman"/>
        </w:rPr>
      </w:pPr>
    </w:p>
    <w:p w:rsidR="00D977D0" w:rsidRPr="00DF1D60" w:rsidRDefault="00D977D0" w:rsidP="00DF1D60">
      <w:pPr>
        <w:pStyle w:val="Default"/>
        <w:spacing w:line="360" w:lineRule="auto"/>
        <w:ind w:firstLine="709"/>
        <w:jc w:val="both"/>
        <w:rPr>
          <w:rFonts w:ascii="Times New Roman" w:hAnsi="Times New Roman" w:cs="Times New Roman"/>
          <w:color w:val="auto"/>
        </w:rPr>
      </w:pPr>
      <w:r w:rsidRPr="00DF1D60">
        <w:rPr>
          <w:rFonts w:ascii="Times New Roman" w:hAnsi="Times New Roman" w:cs="Times New Roman"/>
          <w:color w:val="auto"/>
        </w:rPr>
        <w:t xml:space="preserve">Este presente trabalho ambiciona apresentar uma vila transmontana de raia, Monforte de Rio Livre, e focar os aspetos relacionados com a Arqueologia Medieval: a evolução da arquitetura militar e o desenvolvimento urbano do povoado desde o século XI ao século XVI. </w:t>
      </w:r>
    </w:p>
    <w:p w:rsidR="00D977D0" w:rsidRPr="00FB7DC1" w:rsidRDefault="00D977D0" w:rsidP="00D977D0">
      <w:pPr>
        <w:spacing w:line="360" w:lineRule="auto"/>
        <w:ind w:firstLine="624"/>
        <w:jc w:val="both"/>
        <w:rPr>
          <w:rFonts w:ascii="Times New Roman" w:hAnsi="Times New Roman"/>
          <w:sz w:val="24"/>
          <w:szCs w:val="24"/>
        </w:rPr>
      </w:pPr>
      <w:r w:rsidRPr="00FB7DC1">
        <w:rPr>
          <w:rFonts w:ascii="Times New Roman" w:hAnsi="Times New Roman"/>
          <w:sz w:val="24"/>
          <w:szCs w:val="24"/>
        </w:rPr>
        <w:t>Balizando o tema e a cronologia em que nos movimentamos</w:t>
      </w:r>
      <w:r>
        <w:rPr>
          <w:rFonts w:ascii="Times New Roman" w:hAnsi="Times New Roman"/>
          <w:sz w:val="24"/>
          <w:szCs w:val="24"/>
        </w:rPr>
        <w:t>,</w:t>
      </w:r>
      <w:r w:rsidRPr="00FB7DC1">
        <w:rPr>
          <w:rFonts w:ascii="Times New Roman" w:hAnsi="Times New Roman"/>
          <w:sz w:val="24"/>
          <w:szCs w:val="24"/>
        </w:rPr>
        <w:t xml:space="preserve"> expusemos diversos temas relacionados com a história de Portugal em tempos de Reconquista. Neste estudo</w:t>
      </w:r>
      <w:r>
        <w:rPr>
          <w:rFonts w:ascii="Times New Roman" w:hAnsi="Times New Roman"/>
          <w:sz w:val="24"/>
          <w:szCs w:val="24"/>
        </w:rPr>
        <w:t>,</w:t>
      </w:r>
      <w:r w:rsidRPr="00FB7DC1">
        <w:rPr>
          <w:rFonts w:ascii="Times New Roman" w:hAnsi="Times New Roman"/>
          <w:sz w:val="24"/>
          <w:szCs w:val="24"/>
        </w:rPr>
        <w:t xml:space="preserve"> podemos observar como a vila fortificada de Monforte de Rio Livre ajudou a estrut</w:t>
      </w:r>
      <w:r>
        <w:rPr>
          <w:rFonts w:ascii="Times New Roman" w:hAnsi="Times New Roman"/>
          <w:sz w:val="24"/>
          <w:szCs w:val="24"/>
        </w:rPr>
        <w:t>urar a fronteira norte do reino</w:t>
      </w:r>
      <w:r w:rsidRPr="00FB7DC1">
        <w:rPr>
          <w:rFonts w:ascii="Times New Roman" w:hAnsi="Times New Roman"/>
          <w:sz w:val="24"/>
          <w:szCs w:val="24"/>
        </w:rPr>
        <w:t xml:space="preserve"> juntamente com a vila de Chaves.  </w:t>
      </w:r>
    </w:p>
    <w:p w:rsidR="00D977D0" w:rsidRDefault="00D977D0" w:rsidP="00D977D0">
      <w:pPr>
        <w:spacing w:line="360" w:lineRule="auto"/>
        <w:ind w:firstLine="708"/>
        <w:jc w:val="both"/>
        <w:rPr>
          <w:rFonts w:ascii="Times New Roman" w:hAnsi="Times New Roman"/>
          <w:sz w:val="24"/>
          <w:szCs w:val="24"/>
        </w:rPr>
      </w:pPr>
      <w:r w:rsidRPr="00FB7DC1">
        <w:rPr>
          <w:rFonts w:ascii="Times New Roman" w:hAnsi="Times New Roman"/>
          <w:sz w:val="24"/>
          <w:szCs w:val="24"/>
        </w:rPr>
        <w:t xml:space="preserve">Ao longo dos cinco capítulos estruturamos um discurso que </w:t>
      </w:r>
      <w:r>
        <w:rPr>
          <w:rFonts w:ascii="Times New Roman" w:hAnsi="Times New Roman"/>
          <w:sz w:val="24"/>
          <w:szCs w:val="24"/>
        </w:rPr>
        <w:t>representa</w:t>
      </w:r>
      <w:r w:rsidRPr="00FB7DC1">
        <w:rPr>
          <w:rFonts w:ascii="Times New Roman" w:hAnsi="Times New Roman"/>
          <w:sz w:val="24"/>
          <w:szCs w:val="24"/>
        </w:rPr>
        <w:t xml:space="preserve"> um estudo arqueológico sobre a evolução do território português em tempos que se patentearam por uma marcada atividade belicista e uma lacuna de poderes efetivos que controlassem esta zona marginal.</w:t>
      </w:r>
      <w:r>
        <w:rPr>
          <w:rFonts w:ascii="Times New Roman" w:hAnsi="Times New Roman"/>
          <w:sz w:val="24"/>
          <w:szCs w:val="24"/>
        </w:rPr>
        <w:t xml:space="preserve"> </w:t>
      </w:r>
      <w:r w:rsidRPr="0053286F">
        <w:rPr>
          <w:rFonts w:ascii="Times New Roman" w:hAnsi="Times New Roman"/>
          <w:sz w:val="24"/>
          <w:szCs w:val="24"/>
        </w:rPr>
        <w:t>Os três primeiros capítulos constituem um enquadramento</w:t>
      </w:r>
      <w:r>
        <w:rPr>
          <w:rFonts w:ascii="Times New Roman" w:hAnsi="Times New Roman"/>
          <w:sz w:val="24"/>
          <w:szCs w:val="24"/>
        </w:rPr>
        <w:t xml:space="preserve"> da história e evolução de Monforte de Rio Livre ao longo da Idade Média. Foram evidenciados os aspetos que pautaram a criação da vila, a sua estruturação no território marginalizado, os aspetos demográfico, económicos e bélicos. Nos restantes capítulos esclarecemos os aspetos relacionados com a Arqueologia militar, designadamente a evolução da estrutura castelar desde a sua edificação no século XIII, passando pelo advento da pirobalística nos finais do século XIV até às reformas do século XX realizadas pela</w:t>
      </w:r>
      <w:r w:rsidRPr="00834ECC">
        <w:rPr>
          <w:rFonts w:ascii="Times New Roman" w:hAnsi="Times New Roman"/>
          <w:sz w:val="24"/>
          <w:szCs w:val="24"/>
        </w:rPr>
        <w:t xml:space="preserve"> D.G.E.M.N</w:t>
      </w:r>
      <w:r>
        <w:rPr>
          <w:rFonts w:ascii="Times New Roman" w:hAnsi="Times New Roman"/>
          <w:sz w:val="24"/>
          <w:szCs w:val="24"/>
        </w:rPr>
        <w:t xml:space="preserve">. Foram igualmente abordadas </w:t>
      </w:r>
      <w:r w:rsidRPr="00834ECC">
        <w:rPr>
          <w:rFonts w:ascii="Times New Roman" w:hAnsi="Times New Roman"/>
          <w:sz w:val="24"/>
          <w:szCs w:val="24"/>
        </w:rPr>
        <w:t>questões relacionadas com o urbanismo do povoado, como as acessibilidades, o abastecimento de</w:t>
      </w:r>
      <w:r>
        <w:rPr>
          <w:rFonts w:ascii="Times New Roman" w:hAnsi="Times New Roman"/>
          <w:sz w:val="24"/>
          <w:szCs w:val="24"/>
        </w:rPr>
        <w:t xml:space="preserve"> água</w:t>
      </w:r>
      <w:r w:rsidRPr="00834ECC">
        <w:rPr>
          <w:rFonts w:ascii="Times New Roman" w:hAnsi="Times New Roman"/>
          <w:sz w:val="24"/>
          <w:szCs w:val="24"/>
        </w:rPr>
        <w:t>, os templos religiosos e todos os restantes equipamentos urbanos</w:t>
      </w:r>
      <w:r>
        <w:rPr>
          <w:rFonts w:ascii="Times New Roman" w:hAnsi="Times New Roman"/>
          <w:sz w:val="24"/>
          <w:szCs w:val="24"/>
        </w:rPr>
        <w:t xml:space="preserve">. </w:t>
      </w:r>
    </w:p>
    <w:p w:rsidR="00D977D0" w:rsidRPr="00B407CD" w:rsidRDefault="00D977D0" w:rsidP="00D977D0">
      <w:pPr>
        <w:spacing w:line="360" w:lineRule="auto"/>
        <w:jc w:val="both"/>
        <w:rPr>
          <w:rFonts w:ascii="Times New Roman" w:hAnsi="Times New Roman"/>
          <w:sz w:val="24"/>
          <w:szCs w:val="24"/>
        </w:rPr>
      </w:pPr>
    </w:p>
    <w:p w:rsidR="00D977D0" w:rsidRPr="00FB7DC1" w:rsidRDefault="00D977D0" w:rsidP="00D977D0">
      <w:pPr>
        <w:spacing w:line="360" w:lineRule="auto"/>
        <w:ind w:firstLine="708"/>
        <w:jc w:val="both"/>
        <w:rPr>
          <w:rFonts w:ascii="Times New Roman" w:hAnsi="Times New Roman"/>
          <w:sz w:val="24"/>
          <w:szCs w:val="24"/>
        </w:rPr>
      </w:pPr>
      <w:r w:rsidRPr="005E56E7">
        <w:rPr>
          <w:rFonts w:ascii="Times New Roman" w:hAnsi="Times New Roman"/>
          <w:b/>
          <w:sz w:val="24"/>
          <w:szCs w:val="24"/>
        </w:rPr>
        <w:t>Palavras-chaves:</w:t>
      </w:r>
      <w:r>
        <w:rPr>
          <w:rFonts w:ascii="Times New Roman" w:hAnsi="Times New Roman"/>
          <w:sz w:val="24"/>
          <w:szCs w:val="24"/>
        </w:rPr>
        <w:t xml:space="preserve"> Monforte Rio Livre; Trás-os-Montes; Arquitetura Militar; Castelologia; Povoamento Militar. </w:t>
      </w:r>
    </w:p>
    <w:p w:rsidR="009F6BE7" w:rsidRDefault="009F6BE7" w:rsidP="009F6BE7">
      <w:pPr>
        <w:pStyle w:val="Corpodotexto"/>
      </w:pPr>
    </w:p>
    <w:p w:rsidR="009F6BE7" w:rsidRDefault="009F6BE7" w:rsidP="009F6BE7">
      <w:pPr>
        <w:pStyle w:val="Corpodotexto"/>
      </w:pPr>
    </w:p>
    <w:p w:rsidR="00DF1D60" w:rsidRDefault="00DF1D60" w:rsidP="009F6BE7">
      <w:pPr>
        <w:pStyle w:val="Corpodotexto"/>
      </w:pPr>
    </w:p>
    <w:p w:rsidR="009F6BE7" w:rsidRPr="00FB5448" w:rsidRDefault="009F6BE7" w:rsidP="00694D5E">
      <w:pPr>
        <w:pStyle w:val="Estilopadro"/>
        <w:ind w:firstLine="0"/>
        <w:jc w:val="center"/>
        <w:rPr>
          <w:rFonts w:ascii="Times New Roman" w:hAnsi="Times New Roman" w:cs="Times New Roman"/>
          <w:lang w:val="en-US"/>
        </w:rPr>
      </w:pPr>
      <w:r w:rsidRPr="00FB5448">
        <w:rPr>
          <w:rFonts w:ascii="Times New Roman" w:hAnsi="Times New Roman" w:cs="Times New Roman"/>
          <w:b/>
          <w:bCs/>
          <w:sz w:val="32"/>
          <w:szCs w:val="32"/>
          <w:lang w:val="en-US"/>
        </w:rPr>
        <w:lastRenderedPageBreak/>
        <w:t>Abstract</w:t>
      </w:r>
    </w:p>
    <w:p w:rsidR="00D977D0" w:rsidRDefault="00D977D0" w:rsidP="00D977D0">
      <w:pPr>
        <w:spacing w:line="360" w:lineRule="auto"/>
        <w:ind w:firstLine="680"/>
        <w:jc w:val="both"/>
        <w:rPr>
          <w:rFonts w:ascii="Times New Roman" w:hAnsi="Times New Roman"/>
          <w:sz w:val="24"/>
          <w:szCs w:val="24"/>
          <w:lang w:val="en-US"/>
        </w:rPr>
      </w:pPr>
    </w:p>
    <w:p w:rsidR="00D977D0" w:rsidRPr="00D86423" w:rsidRDefault="00D977D0" w:rsidP="00D977D0">
      <w:pPr>
        <w:spacing w:line="360" w:lineRule="auto"/>
        <w:ind w:firstLine="680"/>
        <w:jc w:val="both"/>
        <w:rPr>
          <w:rFonts w:ascii="Times New Roman" w:hAnsi="Times New Roman"/>
          <w:sz w:val="24"/>
          <w:szCs w:val="24"/>
          <w:lang w:val="en-US"/>
        </w:rPr>
      </w:pPr>
      <w:r w:rsidRPr="00D86423">
        <w:rPr>
          <w:rFonts w:ascii="Times New Roman" w:hAnsi="Times New Roman"/>
          <w:sz w:val="24"/>
          <w:szCs w:val="24"/>
          <w:lang w:val="en-US"/>
        </w:rPr>
        <w:t>This present stud</w:t>
      </w:r>
      <w:r>
        <w:rPr>
          <w:rFonts w:ascii="Times New Roman" w:hAnsi="Times New Roman"/>
          <w:sz w:val="24"/>
          <w:szCs w:val="24"/>
          <w:lang w:val="en-US"/>
        </w:rPr>
        <w:t>y aims to present a</w:t>
      </w:r>
      <w:r w:rsidRPr="00D86423">
        <w:rPr>
          <w:rFonts w:ascii="Times New Roman" w:hAnsi="Times New Roman"/>
          <w:sz w:val="24"/>
          <w:szCs w:val="24"/>
          <w:lang w:val="en-US"/>
        </w:rPr>
        <w:t xml:space="preserve"> village </w:t>
      </w:r>
      <w:r>
        <w:rPr>
          <w:rFonts w:ascii="Times New Roman" w:hAnsi="Times New Roman"/>
          <w:sz w:val="24"/>
          <w:szCs w:val="24"/>
          <w:lang w:val="en-US"/>
        </w:rPr>
        <w:t>situated in Trás-dos-Montes</w:t>
      </w:r>
      <w:r w:rsidRPr="00D86423">
        <w:rPr>
          <w:rFonts w:ascii="Times New Roman" w:hAnsi="Times New Roman"/>
          <w:sz w:val="24"/>
          <w:szCs w:val="24"/>
          <w:lang w:val="en-US"/>
        </w:rPr>
        <w:t xml:space="preserve">, </w:t>
      </w:r>
      <w:r>
        <w:rPr>
          <w:rFonts w:ascii="Times New Roman" w:hAnsi="Times New Roman"/>
          <w:sz w:val="24"/>
          <w:szCs w:val="24"/>
          <w:lang w:val="en-US"/>
        </w:rPr>
        <w:t xml:space="preserve">Monforte Rio Livre, and focus </w:t>
      </w:r>
      <w:r w:rsidRPr="00D86423">
        <w:rPr>
          <w:rFonts w:ascii="Times New Roman" w:hAnsi="Times New Roman"/>
          <w:sz w:val="24"/>
          <w:szCs w:val="24"/>
          <w:lang w:val="en-US"/>
        </w:rPr>
        <w:t>the aspects related to</w:t>
      </w:r>
      <w:r>
        <w:rPr>
          <w:rFonts w:ascii="Times New Roman" w:hAnsi="Times New Roman"/>
          <w:sz w:val="24"/>
          <w:szCs w:val="24"/>
          <w:lang w:val="en-US"/>
        </w:rPr>
        <w:t xml:space="preserve"> the</w:t>
      </w:r>
      <w:r w:rsidRPr="00D86423">
        <w:rPr>
          <w:rFonts w:ascii="Times New Roman" w:hAnsi="Times New Roman"/>
          <w:sz w:val="24"/>
          <w:szCs w:val="24"/>
          <w:lang w:val="en-US"/>
        </w:rPr>
        <w:t xml:space="preserve"> Medieval Archaeology: the evolution of military architecture and urban developmen</w:t>
      </w:r>
      <w:r>
        <w:rPr>
          <w:rFonts w:ascii="Times New Roman" w:hAnsi="Times New Roman"/>
          <w:sz w:val="24"/>
          <w:szCs w:val="24"/>
          <w:lang w:val="en-US"/>
        </w:rPr>
        <w:t>t of the town since the XI</w:t>
      </w:r>
      <w:r w:rsidRPr="00D86423">
        <w:rPr>
          <w:rFonts w:ascii="Times New Roman" w:hAnsi="Times New Roman"/>
          <w:sz w:val="24"/>
          <w:szCs w:val="24"/>
          <w:lang w:val="en-US"/>
        </w:rPr>
        <w:t xml:space="preserve"> century to the </w:t>
      </w:r>
      <w:r>
        <w:rPr>
          <w:rFonts w:ascii="Times New Roman" w:hAnsi="Times New Roman"/>
          <w:sz w:val="24"/>
          <w:szCs w:val="24"/>
          <w:lang w:val="en-US"/>
        </w:rPr>
        <w:t xml:space="preserve">XVI </w:t>
      </w:r>
      <w:r w:rsidRPr="00D86423">
        <w:rPr>
          <w:rFonts w:ascii="Times New Roman" w:hAnsi="Times New Roman"/>
          <w:sz w:val="24"/>
          <w:szCs w:val="24"/>
          <w:lang w:val="en-US"/>
        </w:rPr>
        <w:t>century.</w:t>
      </w:r>
    </w:p>
    <w:p w:rsidR="00D977D0" w:rsidRPr="00D86423" w:rsidRDefault="00D977D0" w:rsidP="00D977D0">
      <w:pPr>
        <w:spacing w:line="360" w:lineRule="auto"/>
        <w:ind w:firstLine="680"/>
        <w:jc w:val="both"/>
        <w:rPr>
          <w:rFonts w:ascii="Times New Roman" w:hAnsi="Times New Roman"/>
          <w:sz w:val="24"/>
          <w:szCs w:val="24"/>
          <w:lang w:val="en-US"/>
        </w:rPr>
      </w:pPr>
      <w:r w:rsidRPr="00D86423">
        <w:rPr>
          <w:rFonts w:ascii="Times New Roman" w:hAnsi="Times New Roman"/>
          <w:sz w:val="24"/>
          <w:szCs w:val="24"/>
          <w:lang w:val="en-US"/>
        </w:rPr>
        <w:t>Marking out the theme and chronology in which we move, we exposed several topics relate</w:t>
      </w:r>
      <w:r>
        <w:rPr>
          <w:rFonts w:ascii="Times New Roman" w:hAnsi="Times New Roman"/>
          <w:sz w:val="24"/>
          <w:szCs w:val="24"/>
          <w:lang w:val="en-US"/>
        </w:rPr>
        <w:t>d to the history of Portugal in Reconquest´s</w:t>
      </w:r>
      <w:r w:rsidRPr="00D86423">
        <w:rPr>
          <w:rFonts w:ascii="Times New Roman" w:hAnsi="Times New Roman"/>
          <w:sz w:val="24"/>
          <w:szCs w:val="24"/>
          <w:lang w:val="en-US"/>
        </w:rPr>
        <w:t xml:space="preserve"> times. In this study, </w:t>
      </w:r>
      <w:r>
        <w:rPr>
          <w:rFonts w:ascii="Times New Roman" w:hAnsi="Times New Roman"/>
          <w:sz w:val="24"/>
          <w:szCs w:val="24"/>
          <w:lang w:val="en-US"/>
        </w:rPr>
        <w:t>we can observe how the</w:t>
      </w:r>
      <w:r w:rsidRPr="00D86423">
        <w:rPr>
          <w:rFonts w:ascii="Times New Roman" w:hAnsi="Times New Roman"/>
          <w:sz w:val="24"/>
          <w:szCs w:val="24"/>
          <w:lang w:val="en-US"/>
        </w:rPr>
        <w:t xml:space="preserve"> village of </w:t>
      </w:r>
      <w:r>
        <w:rPr>
          <w:rFonts w:ascii="Times New Roman" w:hAnsi="Times New Roman"/>
          <w:sz w:val="24"/>
          <w:szCs w:val="24"/>
          <w:lang w:val="en-US"/>
        </w:rPr>
        <w:t>Monforte Rio Livre</w:t>
      </w:r>
      <w:r w:rsidRPr="00D86423">
        <w:rPr>
          <w:rFonts w:ascii="Times New Roman" w:hAnsi="Times New Roman"/>
          <w:sz w:val="24"/>
          <w:szCs w:val="24"/>
          <w:lang w:val="en-US"/>
        </w:rPr>
        <w:t xml:space="preserve"> helped </w:t>
      </w:r>
      <w:r>
        <w:rPr>
          <w:rFonts w:ascii="Times New Roman" w:hAnsi="Times New Roman"/>
          <w:sz w:val="24"/>
          <w:szCs w:val="24"/>
          <w:lang w:val="en-US"/>
        </w:rPr>
        <w:t xml:space="preserve">to </w:t>
      </w:r>
      <w:r w:rsidRPr="00D86423">
        <w:rPr>
          <w:rFonts w:ascii="Times New Roman" w:hAnsi="Times New Roman"/>
          <w:sz w:val="24"/>
          <w:szCs w:val="24"/>
          <w:lang w:val="en-US"/>
        </w:rPr>
        <w:t>structure the northern border of</w:t>
      </w:r>
      <w:r>
        <w:rPr>
          <w:rFonts w:ascii="Times New Roman" w:hAnsi="Times New Roman"/>
          <w:sz w:val="24"/>
          <w:szCs w:val="24"/>
          <w:lang w:val="en-US"/>
        </w:rPr>
        <w:t xml:space="preserve"> the kingdom along with the</w:t>
      </w:r>
      <w:r w:rsidRPr="00D86423">
        <w:rPr>
          <w:rFonts w:ascii="Times New Roman" w:hAnsi="Times New Roman"/>
          <w:sz w:val="24"/>
          <w:szCs w:val="24"/>
          <w:lang w:val="en-US"/>
        </w:rPr>
        <w:t xml:space="preserve"> village</w:t>
      </w:r>
      <w:r>
        <w:rPr>
          <w:rFonts w:ascii="Times New Roman" w:hAnsi="Times New Roman"/>
          <w:sz w:val="24"/>
          <w:szCs w:val="24"/>
          <w:lang w:val="en-US"/>
        </w:rPr>
        <w:t xml:space="preserve"> of Chaves</w:t>
      </w:r>
      <w:r w:rsidRPr="00D86423">
        <w:rPr>
          <w:rFonts w:ascii="Times New Roman" w:hAnsi="Times New Roman"/>
          <w:sz w:val="24"/>
          <w:szCs w:val="24"/>
          <w:lang w:val="en-US"/>
        </w:rPr>
        <w:t>.</w:t>
      </w:r>
    </w:p>
    <w:p w:rsidR="00D977D0" w:rsidRPr="00D86423" w:rsidRDefault="00D977D0" w:rsidP="00D977D0">
      <w:pPr>
        <w:spacing w:line="360" w:lineRule="auto"/>
        <w:ind w:firstLine="680"/>
        <w:jc w:val="both"/>
        <w:rPr>
          <w:rFonts w:ascii="Times New Roman" w:hAnsi="Times New Roman"/>
          <w:sz w:val="24"/>
          <w:szCs w:val="24"/>
          <w:lang w:val="en-US"/>
        </w:rPr>
      </w:pPr>
      <w:r>
        <w:rPr>
          <w:rFonts w:ascii="Times New Roman" w:hAnsi="Times New Roman"/>
          <w:sz w:val="24"/>
          <w:szCs w:val="24"/>
          <w:lang w:val="en-US"/>
        </w:rPr>
        <w:t>Over the five chapters we structured a speech that represents an</w:t>
      </w:r>
      <w:r w:rsidRPr="00D86423">
        <w:rPr>
          <w:rFonts w:ascii="Times New Roman" w:hAnsi="Times New Roman"/>
          <w:sz w:val="24"/>
          <w:szCs w:val="24"/>
          <w:lang w:val="en-US"/>
        </w:rPr>
        <w:t xml:space="preserve"> archaeological study of the evolution of the Portuguese</w:t>
      </w:r>
      <w:r>
        <w:rPr>
          <w:rFonts w:ascii="Times New Roman" w:hAnsi="Times New Roman"/>
          <w:sz w:val="24"/>
          <w:szCs w:val="24"/>
          <w:lang w:val="en-US"/>
        </w:rPr>
        <w:t xml:space="preserve"> territory in times </w:t>
      </w:r>
      <w:r w:rsidRPr="00D86423">
        <w:rPr>
          <w:rFonts w:ascii="Times New Roman" w:hAnsi="Times New Roman"/>
          <w:sz w:val="24"/>
          <w:szCs w:val="24"/>
          <w:lang w:val="en-US"/>
        </w:rPr>
        <w:t xml:space="preserve">marked </w:t>
      </w:r>
      <w:r>
        <w:rPr>
          <w:rFonts w:ascii="Times New Roman" w:hAnsi="Times New Roman"/>
          <w:sz w:val="24"/>
          <w:szCs w:val="24"/>
          <w:lang w:val="en-US"/>
        </w:rPr>
        <w:t xml:space="preserve">by an </w:t>
      </w:r>
      <w:r w:rsidRPr="00D86423">
        <w:rPr>
          <w:rFonts w:ascii="Times New Roman" w:hAnsi="Times New Roman"/>
          <w:sz w:val="24"/>
          <w:szCs w:val="24"/>
          <w:lang w:val="en-US"/>
        </w:rPr>
        <w:t>warlike activity and a lack of effective po</w:t>
      </w:r>
      <w:r>
        <w:rPr>
          <w:rFonts w:ascii="Times New Roman" w:hAnsi="Times New Roman"/>
          <w:sz w:val="24"/>
          <w:szCs w:val="24"/>
          <w:lang w:val="en-US"/>
        </w:rPr>
        <w:t>wers</w:t>
      </w:r>
      <w:r w:rsidRPr="00D86423">
        <w:rPr>
          <w:rFonts w:ascii="Times New Roman" w:hAnsi="Times New Roman"/>
          <w:sz w:val="24"/>
          <w:szCs w:val="24"/>
          <w:lang w:val="en-US"/>
        </w:rPr>
        <w:t xml:space="preserve"> to control this marginal zone.</w:t>
      </w:r>
    </w:p>
    <w:p w:rsidR="00D977D0" w:rsidRPr="00D86423" w:rsidRDefault="00D977D0" w:rsidP="00D977D0">
      <w:pPr>
        <w:spacing w:line="360" w:lineRule="auto"/>
        <w:ind w:firstLine="680"/>
        <w:jc w:val="both"/>
        <w:rPr>
          <w:rFonts w:ascii="Times New Roman" w:hAnsi="Times New Roman"/>
          <w:sz w:val="24"/>
          <w:szCs w:val="24"/>
          <w:lang w:val="en-US"/>
        </w:rPr>
      </w:pPr>
      <w:r w:rsidRPr="00D86423">
        <w:rPr>
          <w:rFonts w:ascii="Times New Roman" w:hAnsi="Times New Roman"/>
          <w:sz w:val="24"/>
          <w:szCs w:val="24"/>
          <w:lang w:val="en-US"/>
        </w:rPr>
        <w:t xml:space="preserve">The first three chapters provide a framework of the history and evolution of </w:t>
      </w:r>
      <w:r>
        <w:rPr>
          <w:rFonts w:ascii="Times New Roman" w:hAnsi="Times New Roman"/>
          <w:sz w:val="24"/>
          <w:szCs w:val="24"/>
          <w:lang w:val="en-US"/>
        </w:rPr>
        <w:t xml:space="preserve">Monforte Rio Livre </w:t>
      </w:r>
      <w:r w:rsidRPr="00D86423">
        <w:rPr>
          <w:rFonts w:ascii="Times New Roman" w:hAnsi="Times New Roman"/>
          <w:sz w:val="24"/>
          <w:szCs w:val="24"/>
          <w:lang w:val="en-US"/>
        </w:rPr>
        <w:t>throughout the Middle Ages. Aspects were highlighted that guided the creation of the village, its structure in marginaliz</w:t>
      </w:r>
      <w:r>
        <w:rPr>
          <w:rFonts w:ascii="Times New Roman" w:hAnsi="Times New Roman"/>
          <w:sz w:val="24"/>
          <w:szCs w:val="24"/>
          <w:lang w:val="en-US"/>
        </w:rPr>
        <w:t>ed area, the demographic</w:t>
      </w:r>
      <w:r w:rsidRPr="00D86423">
        <w:rPr>
          <w:rFonts w:ascii="Times New Roman" w:hAnsi="Times New Roman"/>
          <w:sz w:val="24"/>
          <w:szCs w:val="24"/>
          <w:lang w:val="en-US"/>
        </w:rPr>
        <w:t>, economic and war</w:t>
      </w:r>
      <w:r>
        <w:rPr>
          <w:rFonts w:ascii="Times New Roman" w:hAnsi="Times New Roman"/>
          <w:sz w:val="24"/>
          <w:szCs w:val="24"/>
          <w:lang w:val="en-US"/>
        </w:rPr>
        <w:t>’s aspects</w:t>
      </w:r>
      <w:r w:rsidRPr="00D86423">
        <w:rPr>
          <w:rFonts w:ascii="Times New Roman" w:hAnsi="Times New Roman"/>
          <w:sz w:val="24"/>
          <w:szCs w:val="24"/>
          <w:lang w:val="en-US"/>
        </w:rPr>
        <w:t>. The re</w:t>
      </w:r>
      <w:r>
        <w:rPr>
          <w:rFonts w:ascii="Times New Roman" w:hAnsi="Times New Roman"/>
          <w:sz w:val="24"/>
          <w:szCs w:val="24"/>
          <w:lang w:val="en-US"/>
        </w:rPr>
        <w:t>maining chapters clarify topics</w:t>
      </w:r>
      <w:r w:rsidRPr="00D86423">
        <w:rPr>
          <w:rFonts w:ascii="Times New Roman" w:hAnsi="Times New Roman"/>
          <w:sz w:val="24"/>
          <w:szCs w:val="24"/>
          <w:lang w:val="en-US"/>
        </w:rPr>
        <w:t xml:space="preserve"> related to the Military archeology, namely the evolution of castelar structure since it</w:t>
      </w:r>
      <w:r>
        <w:rPr>
          <w:rFonts w:ascii="Times New Roman" w:hAnsi="Times New Roman"/>
          <w:sz w:val="24"/>
          <w:szCs w:val="24"/>
          <w:lang w:val="en-US"/>
        </w:rPr>
        <w:t>s construction in the XIII century until XX century. Some issues related to</w:t>
      </w:r>
      <w:r w:rsidRPr="00D86423">
        <w:rPr>
          <w:rFonts w:ascii="Times New Roman" w:hAnsi="Times New Roman"/>
          <w:sz w:val="24"/>
          <w:szCs w:val="24"/>
          <w:lang w:val="en-US"/>
        </w:rPr>
        <w:t xml:space="preserve"> the urban planning of the town</w:t>
      </w:r>
      <w:r>
        <w:rPr>
          <w:rFonts w:ascii="Times New Roman" w:hAnsi="Times New Roman"/>
          <w:sz w:val="24"/>
          <w:szCs w:val="24"/>
          <w:lang w:val="en-US"/>
        </w:rPr>
        <w:t xml:space="preserve"> were also addressed</w:t>
      </w:r>
      <w:r w:rsidRPr="00D86423">
        <w:rPr>
          <w:rFonts w:ascii="Times New Roman" w:hAnsi="Times New Roman"/>
          <w:sz w:val="24"/>
          <w:szCs w:val="24"/>
          <w:lang w:val="en-US"/>
        </w:rPr>
        <w:t>, such as accessibility, water supply, religious temple</w:t>
      </w:r>
      <w:r>
        <w:rPr>
          <w:rFonts w:ascii="Times New Roman" w:hAnsi="Times New Roman"/>
          <w:sz w:val="24"/>
          <w:szCs w:val="24"/>
          <w:lang w:val="en-US"/>
        </w:rPr>
        <w:t>s and all other urban equipments.</w:t>
      </w:r>
    </w:p>
    <w:p w:rsidR="00D977D0" w:rsidRPr="00393B63" w:rsidRDefault="00D977D0" w:rsidP="00D977D0">
      <w:pPr>
        <w:spacing w:line="360" w:lineRule="auto"/>
        <w:ind w:firstLine="624"/>
        <w:jc w:val="both"/>
        <w:rPr>
          <w:rFonts w:ascii="Times New Roman" w:hAnsi="Times New Roman"/>
          <w:b/>
          <w:sz w:val="24"/>
          <w:szCs w:val="24"/>
          <w:lang w:val="en-US"/>
        </w:rPr>
      </w:pPr>
      <w:r>
        <w:rPr>
          <w:rFonts w:ascii="Times New Roman" w:hAnsi="Times New Roman"/>
          <w:b/>
          <w:sz w:val="24"/>
          <w:szCs w:val="24"/>
          <w:lang w:val="en-US"/>
        </w:rPr>
        <w:t xml:space="preserve"> </w:t>
      </w:r>
    </w:p>
    <w:p w:rsidR="00D977D0" w:rsidRDefault="00D977D0" w:rsidP="00D977D0">
      <w:pPr>
        <w:spacing w:line="360" w:lineRule="auto"/>
        <w:ind w:firstLine="624"/>
        <w:jc w:val="both"/>
        <w:rPr>
          <w:rFonts w:ascii="Times New Roman" w:hAnsi="Times New Roman"/>
          <w:sz w:val="24"/>
          <w:szCs w:val="24"/>
          <w:lang w:val="en-US"/>
        </w:rPr>
      </w:pPr>
      <w:r w:rsidRPr="00F76693">
        <w:rPr>
          <w:rFonts w:ascii="Times New Roman" w:hAnsi="Times New Roman"/>
          <w:b/>
          <w:sz w:val="24"/>
          <w:szCs w:val="24"/>
          <w:lang w:val="en-US"/>
        </w:rPr>
        <w:t>Key-words:</w:t>
      </w:r>
      <w:r w:rsidRPr="00F76693">
        <w:rPr>
          <w:rFonts w:ascii="Times New Roman" w:hAnsi="Times New Roman"/>
          <w:sz w:val="24"/>
          <w:szCs w:val="24"/>
          <w:lang w:val="en-US"/>
        </w:rPr>
        <w:t xml:space="preserve"> Monforte Rio Livre; Trás-os-Montes; </w:t>
      </w:r>
      <w:r>
        <w:rPr>
          <w:rFonts w:ascii="Times New Roman" w:hAnsi="Times New Roman"/>
          <w:sz w:val="24"/>
          <w:szCs w:val="24"/>
          <w:lang w:val="en-US"/>
        </w:rPr>
        <w:t>Military A</w:t>
      </w:r>
      <w:r w:rsidRPr="008A0B59">
        <w:rPr>
          <w:rFonts w:ascii="Times New Roman" w:hAnsi="Times New Roman"/>
          <w:sz w:val="24"/>
          <w:szCs w:val="24"/>
          <w:lang w:val="en-US"/>
        </w:rPr>
        <w:t>rchitecture</w:t>
      </w:r>
      <w:r>
        <w:rPr>
          <w:rFonts w:ascii="Times New Roman" w:hAnsi="Times New Roman"/>
          <w:sz w:val="24"/>
          <w:szCs w:val="24"/>
          <w:lang w:val="en-US"/>
        </w:rPr>
        <w:t xml:space="preserve">; </w:t>
      </w:r>
      <w:r w:rsidRPr="00F76693">
        <w:rPr>
          <w:rFonts w:ascii="Times New Roman" w:hAnsi="Times New Roman"/>
          <w:sz w:val="24"/>
          <w:szCs w:val="24"/>
          <w:lang w:val="en-US"/>
        </w:rPr>
        <w:t>Castle Architecture</w:t>
      </w:r>
      <w:r>
        <w:rPr>
          <w:rFonts w:ascii="Times New Roman" w:hAnsi="Times New Roman"/>
          <w:sz w:val="24"/>
          <w:szCs w:val="24"/>
          <w:lang w:val="en-US"/>
        </w:rPr>
        <w:t>; Military S</w:t>
      </w:r>
      <w:r w:rsidRPr="008A0B59">
        <w:rPr>
          <w:rFonts w:ascii="Times New Roman" w:hAnsi="Times New Roman"/>
          <w:sz w:val="24"/>
          <w:szCs w:val="24"/>
          <w:lang w:val="en-US"/>
        </w:rPr>
        <w:t>ettlement</w:t>
      </w:r>
      <w:r>
        <w:rPr>
          <w:rFonts w:ascii="Times New Roman" w:hAnsi="Times New Roman"/>
          <w:sz w:val="24"/>
          <w:szCs w:val="24"/>
          <w:lang w:val="en-US"/>
        </w:rPr>
        <w:t xml:space="preserve">. </w:t>
      </w:r>
    </w:p>
    <w:p w:rsidR="00694D5E" w:rsidRPr="00FB5448" w:rsidRDefault="00694D5E" w:rsidP="00694D5E">
      <w:pPr>
        <w:spacing w:line="360" w:lineRule="auto"/>
        <w:ind w:firstLine="624"/>
        <w:jc w:val="both"/>
        <w:rPr>
          <w:rFonts w:ascii="Times New Roman" w:hAnsi="Times New Roman"/>
          <w:lang w:val="en-US"/>
        </w:rPr>
      </w:pPr>
    </w:p>
    <w:p w:rsidR="009F6BE7" w:rsidRPr="00D977D0" w:rsidRDefault="009F6BE7" w:rsidP="009F6BE7">
      <w:pPr>
        <w:pStyle w:val="Ttulo2"/>
        <w:numPr>
          <w:ilvl w:val="0"/>
          <w:numId w:val="0"/>
        </w:numPr>
        <w:rPr>
          <w:rFonts w:ascii="Times New Roman" w:hAnsi="Times New Roman" w:cs="Times New Roman"/>
          <w:sz w:val="24"/>
          <w:szCs w:val="24"/>
          <w:lang w:val="en-US"/>
        </w:rPr>
      </w:pPr>
    </w:p>
    <w:p w:rsidR="00D977D0" w:rsidRPr="00D977D0" w:rsidRDefault="00D977D0" w:rsidP="00694D5E">
      <w:pPr>
        <w:pStyle w:val="Corpodotexto"/>
        <w:rPr>
          <w:lang w:val="en-US"/>
        </w:rPr>
      </w:pPr>
    </w:p>
    <w:p w:rsidR="0011294E" w:rsidRPr="00FB5448" w:rsidRDefault="0011294E" w:rsidP="009F6BE7">
      <w:pPr>
        <w:pStyle w:val="Ttulo2"/>
        <w:numPr>
          <w:ilvl w:val="0"/>
          <w:numId w:val="0"/>
        </w:numPr>
        <w:rPr>
          <w:rFonts w:ascii="Times New Roman" w:hAnsi="Times New Roman" w:cs="Times New Roman"/>
          <w:sz w:val="32"/>
          <w:szCs w:val="32"/>
        </w:rPr>
      </w:pPr>
      <w:bookmarkStart w:id="3" w:name="_Toc441612266"/>
      <w:r w:rsidRPr="00FB5448">
        <w:rPr>
          <w:rFonts w:ascii="Times New Roman" w:hAnsi="Times New Roman" w:cs="Times New Roman"/>
          <w:sz w:val="32"/>
          <w:szCs w:val="32"/>
        </w:rPr>
        <w:lastRenderedPageBreak/>
        <w:t>Introdução</w:t>
      </w:r>
      <w:bookmarkEnd w:id="0"/>
      <w:bookmarkEnd w:id="3"/>
      <w:r w:rsidRPr="00FB5448">
        <w:rPr>
          <w:rFonts w:ascii="Times New Roman" w:hAnsi="Times New Roman" w:cs="Times New Roman"/>
          <w:sz w:val="32"/>
          <w:szCs w:val="32"/>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 xml:space="preserve">O presente estudo constitui o nosso trabalho de dissertação do Mestrado em Arqueologia, cujo tema assentou no estudo do Povoado Medieval e da Arquitectura Militar de Monforte de Rio Livre. Com efeito, exploramos diversos temas relacionados com a Alta e Baixa Idade Média, neste território fronteiriço de Trás-os-Montes. É-nos aqui proposto apresentar uma perspetiva arqueológica sobre a evolução do povoado, incidindo, particularmente, em aspetos relacionados com a Castelologia Portuguesa e focando em áreas que se inserem no domínio da Arqueologia Militar e nos domínios da Arquitectura.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Em termos cronológicos, balizamos o trabalho entre os séculos XI e XVI em plena Idade Média na Península Ibérica. Abordamos, portanto, uma fase de construção dos territórios que se subjugavam às novas autoridades régias após a ocupação sueva e visigótica, e à posterior reorganização dos territórios em </w:t>
      </w:r>
      <w:r w:rsidRPr="0011294E">
        <w:rPr>
          <w:rFonts w:ascii="Times New Roman" w:hAnsi="Times New Roman"/>
          <w:i/>
          <w:sz w:val="24"/>
          <w:szCs w:val="24"/>
        </w:rPr>
        <w:t>civitates</w:t>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Desta forma, foi igualmente uma mais-valia realizar uma abordagem à contextualização histórica da região dos atuais concelhos de Chaves e Valpaços, uma vez que estas integraram as antigas paróquias e freguesias do Concelho de Monforte de Rio Livre, extinto no século XIX, e que, nos permitem perspetivar o património do antigo concelho. Paralelamente, através da Arqueologia Medieval, propomos a análise das alterações arquitetónicas que se sentiram nestas fortificações, as transformações resultantes de novas reformas, as novas formas de fazer a guerra, as novidades a nível do armamento, entre outras causas.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Com efeito, partindo da análise destas estruturas e da inicial contextualização histórica, foram levantadas questões e dúvidas que procuramos esclarecer com os dados recolhidos através da análise das fontes primárias e secundárias, e de outros testemunhos materiais. A abordagem comparativa entre as diferentes estruturas de sistemas defensivos que se implantavam na Veiga de Chaves foi, igualmente, uma importante linha condutora do nosso trabalho, pelo que, procuramos numa primeira fase contextualizar a localização destas estruturas.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Não só o tema da Castelologia foi alvo da nossa investigação, mas igualmente o estudo do Povoado, isto é, a evolução deste núcleo urbano acompanhando as diferentes </w:t>
      </w:r>
      <w:r w:rsidRPr="0011294E">
        <w:rPr>
          <w:rFonts w:ascii="Times New Roman" w:hAnsi="Times New Roman"/>
          <w:sz w:val="24"/>
          <w:szCs w:val="24"/>
        </w:rPr>
        <w:lastRenderedPageBreak/>
        <w:t xml:space="preserve">fases delineadas pelo estudo da Arquitetura Militar Medieval. Contudo, devemos alertar que devido à escassez de fontes documentais e cartográficas, assim como, o estado atual de degradação e da abundante vegetação que cobre o povoado, não permite, de facto a visualização do urbanismo medieval da vila.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Em termos de metodologia de trabalho iniciámos a nossa pesquisa com a elaboração de uma investigação de análise bibliográfica sobre a zona de Monforte de Rio Livre, assim como a sua zona envolvente. Procedendo-se a pesquisa documental para referenciar a antiga povoação de Monforte e o seu Castelo Assim, tentamos interpretar as diversas modificações e transformações nas estruturas de Monforte de Rio Livre, possibilitando a análise o seu percurso histórico.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Na realidade, a bibliografia sobre o povoado e o castelo de Monforte de Rio Livre é escassa e alguma dela encontra-se em capítulos e subcapítulos de monografias sobre a região de Trás-os-Montes. Uma das primeiras sínteses realizadas sobre o castelo de Monforte de Rio Livre pertence ao padre João Vaz de Amorim</w:t>
      </w:r>
      <w:r w:rsidRPr="0011294E">
        <w:rPr>
          <w:rFonts w:ascii="Times New Roman" w:hAnsi="Times New Roman"/>
          <w:sz w:val="24"/>
          <w:szCs w:val="24"/>
          <w:vertAlign w:val="superscript"/>
        </w:rPr>
        <w:footnoteReference w:id="1"/>
      </w:r>
      <w:r w:rsidRPr="0011294E">
        <w:rPr>
          <w:rFonts w:ascii="Times New Roman" w:hAnsi="Times New Roman"/>
          <w:sz w:val="24"/>
          <w:szCs w:val="24"/>
        </w:rPr>
        <w:t xml:space="preserve">, que num pequeno artigo fez uma evolução do Castelo de Monforte, passando pelas suas origens e fundação do povoado, por Afonso III, e pela construção do Castelo por D. Dinis. Posteriormente, o autor apresentou um quadro muito interessante relativo à demografia deste lugar no século XVIII, para comprovar que o dito lugar sempre teve uma fraca densidade populacional. O mesmo autor, anos mais tarde, publica na Revista </w:t>
      </w:r>
      <w:r w:rsidRPr="0011294E">
        <w:rPr>
          <w:rFonts w:ascii="Times New Roman" w:hAnsi="Times New Roman"/>
          <w:i/>
          <w:sz w:val="24"/>
          <w:szCs w:val="24"/>
        </w:rPr>
        <w:t>Aquae Flaviae</w:t>
      </w:r>
      <w:r w:rsidRPr="0011294E">
        <w:rPr>
          <w:rFonts w:ascii="Times New Roman" w:hAnsi="Times New Roman"/>
          <w:sz w:val="24"/>
          <w:szCs w:val="24"/>
          <w:vertAlign w:val="superscript"/>
        </w:rPr>
        <w:footnoteReference w:id="2"/>
      </w:r>
      <w:r w:rsidRPr="0011294E">
        <w:rPr>
          <w:rFonts w:ascii="Times New Roman" w:hAnsi="Times New Roman"/>
          <w:sz w:val="24"/>
          <w:szCs w:val="24"/>
        </w:rPr>
        <w:t xml:space="preserve"> um artigo sobre a mesma problemática, no entanto, trata-se de uma síntese do seu primeiro trabalho.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Na década de 90, foi realizado um estudo mais aprofundado sobre o Castelo de Monforte por João Martins da Fonte e Ismael Basto Cardoso, publicado na revista </w:t>
      </w:r>
      <w:r w:rsidRPr="0011294E">
        <w:rPr>
          <w:rFonts w:ascii="Times New Roman" w:hAnsi="Times New Roman"/>
          <w:i/>
          <w:sz w:val="24"/>
          <w:szCs w:val="24"/>
        </w:rPr>
        <w:t>Al-madan</w:t>
      </w:r>
      <w:r w:rsidRPr="0011294E">
        <w:rPr>
          <w:rFonts w:ascii="Times New Roman" w:hAnsi="Times New Roman"/>
          <w:i/>
          <w:sz w:val="24"/>
          <w:szCs w:val="24"/>
          <w:vertAlign w:val="superscript"/>
        </w:rPr>
        <w:footnoteReference w:id="3"/>
      </w:r>
      <w:r w:rsidRPr="0011294E">
        <w:rPr>
          <w:rFonts w:ascii="Times New Roman" w:hAnsi="Times New Roman"/>
          <w:i/>
          <w:sz w:val="24"/>
          <w:szCs w:val="24"/>
        </w:rPr>
        <w:t>.</w:t>
      </w:r>
      <w:r w:rsidRPr="0011294E">
        <w:rPr>
          <w:rFonts w:ascii="Times New Roman" w:hAnsi="Times New Roman"/>
          <w:sz w:val="24"/>
          <w:szCs w:val="24"/>
        </w:rPr>
        <w:t xml:space="preserve"> Os autores apresentam uma contextualização histórica, geográfica e arquitetónica do castelo e uma evolução do povoado desde as suas origens até à extinção do concelho. Num último capítulo é abordado a questão da arquitetura do castelo, onde os autores descrevem o fortificado, relacionando os elementos que se </w:t>
      </w:r>
      <w:r w:rsidRPr="0011294E">
        <w:rPr>
          <w:rFonts w:ascii="Times New Roman" w:hAnsi="Times New Roman"/>
          <w:sz w:val="24"/>
          <w:szCs w:val="24"/>
        </w:rPr>
        <w:lastRenderedPageBreak/>
        <w:t xml:space="preserve">caracterizam entre eles. Trata-se, efetivamente, de um estudo bem estruturado, organizado e conciso, em comparação com os trabalhos citados no parágrafo anterior.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O artigo de Nuno José Pizarro Pinto Dias</w:t>
      </w:r>
      <w:r w:rsidRPr="0011294E">
        <w:rPr>
          <w:rFonts w:ascii="Times New Roman" w:hAnsi="Times New Roman"/>
          <w:sz w:val="24"/>
          <w:szCs w:val="24"/>
          <w:vertAlign w:val="superscript"/>
        </w:rPr>
        <w:footnoteReference w:id="4"/>
      </w:r>
      <w:r w:rsidRPr="0011294E">
        <w:rPr>
          <w:rFonts w:ascii="Times New Roman" w:hAnsi="Times New Roman"/>
          <w:sz w:val="24"/>
          <w:szCs w:val="24"/>
        </w:rPr>
        <w:t xml:space="preserve"> sobre a cidade de Chaves nos séculos XII e XIV é uma importante obra que nos permite conhecer o contexto da região periférica de Monforte de Rio Livre. Assim, é realizada uma evolução administrativa e económica, assim como, o património laico e eclesiástico, ao longo destes dois séculos.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Da autoria do mesmo autor, o artigo </w:t>
      </w:r>
      <w:r w:rsidRPr="0011294E">
        <w:rPr>
          <w:rFonts w:ascii="Times New Roman" w:hAnsi="Times New Roman"/>
          <w:i/>
          <w:sz w:val="24"/>
          <w:szCs w:val="24"/>
        </w:rPr>
        <w:t>As cidades de Fronteira de Portugal com a Galiza</w:t>
      </w:r>
      <w:r w:rsidRPr="0011294E">
        <w:rPr>
          <w:rFonts w:ascii="Times New Roman" w:hAnsi="Times New Roman"/>
          <w:i/>
          <w:sz w:val="24"/>
          <w:szCs w:val="24"/>
          <w:vertAlign w:val="superscript"/>
        </w:rPr>
        <w:footnoteReference w:id="5"/>
      </w:r>
      <w:r w:rsidRPr="0011294E">
        <w:rPr>
          <w:rFonts w:ascii="Times New Roman" w:hAnsi="Times New Roman"/>
          <w:i/>
          <w:sz w:val="24"/>
          <w:szCs w:val="24"/>
        </w:rPr>
        <w:t xml:space="preserve">, </w:t>
      </w:r>
      <w:r w:rsidRPr="0011294E">
        <w:rPr>
          <w:rFonts w:ascii="Times New Roman" w:hAnsi="Times New Roman"/>
          <w:sz w:val="24"/>
          <w:szCs w:val="24"/>
        </w:rPr>
        <w:t>fornece-nos elementos para analisar os fortificados e povoados como pontos estratégicos da fronteira entre Portugal e a Galiza. O autor analisa, numa primeira fase um conjunto de características dos núcleos urbanos, para numa fase posterior individualizar e tratar de vários povoados. Entre os povoados encontrados podemos referir Chaves, Caminha, Valença do Minho, Vila Nova de Cerveira, Monção, Melgaço, Montalegre, Monterrey, Monforte de Rio Livre, Vinhais e Bragança</w:t>
      </w:r>
      <w:r w:rsidRPr="0011294E">
        <w:rPr>
          <w:rFonts w:ascii="Times New Roman" w:hAnsi="Times New Roman"/>
          <w:sz w:val="24"/>
          <w:szCs w:val="24"/>
          <w:vertAlign w:val="superscript"/>
        </w:rPr>
        <w:footnoteReference w:id="6"/>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Paulo Dórdio Gomes</w:t>
      </w:r>
      <w:r w:rsidRPr="0011294E">
        <w:rPr>
          <w:rFonts w:ascii="Times New Roman" w:hAnsi="Times New Roman"/>
          <w:sz w:val="24"/>
          <w:szCs w:val="24"/>
          <w:vertAlign w:val="superscript"/>
        </w:rPr>
        <w:footnoteReference w:id="7"/>
      </w:r>
      <w:r w:rsidRPr="0011294E">
        <w:rPr>
          <w:rFonts w:ascii="Times New Roman" w:hAnsi="Times New Roman"/>
          <w:sz w:val="24"/>
          <w:szCs w:val="24"/>
        </w:rPr>
        <w:t xml:space="preserve"> na sua tese de mestrado aborda o tema da reorganização do povoamento e dos territórios em Trás-os-Montes e Alto Douro, nos séculos XII-XV. Nesta investigação podemos analisar a evolução do povoamento desde as estruturas de habitat medievais a partir do movimento da Reconquista, passando pelo próprio conceito de “urbano” na Idade Média e a forma mais usual de organização medieval, nomeadamente, as Vilas e Concelhos. O autor discursa sobre a vila de Monforte de Rio Livre, onde refere a evolução do povoamento da Vila e a demografia da população.</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 tese de mestrado de Ricardo Teixeira</w:t>
      </w:r>
      <w:r w:rsidRPr="0011294E">
        <w:rPr>
          <w:rFonts w:ascii="Times New Roman" w:hAnsi="Times New Roman"/>
          <w:sz w:val="24"/>
          <w:szCs w:val="24"/>
          <w:vertAlign w:val="superscript"/>
        </w:rPr>
        <w:footnoteReference w:id="8"/>
      </w:r>
      <w:r w:rsidRPr="0011294E">
        <w:rPr>
          <w:rFonts w:ascii="Times New Roman" w:hAnsi="Times New Roman"/>
          <w:sz w:val="24"/>
          <w:szCs w:val="24"/>
        </w:rPr>
        <w:t xml:space="preserve"> apresenta-se como uma importante obra para o conhecimento das formas de organização do território durante a Idade Média, desde a </w:t>
      </w:r>
      <w:r w:rsidRPr="0011294E">
        <w:rPr>
          <w:rFonts w:ascii="Times New Roman" w:hAnsi="Times New Roman"/>
          <w:i/>
          <w:sz w:val="24"/>
          <w:szCs w:val="24"/>
        </w:rPr>
        <w:t>civitas Flavias</w:t>
      </w:r>
      <w:r w:rsidRPr="0011294E">
        <w:rPr>
          <w:rFonts w:ascii="Times New Roman" w:hAnsi="Times New Roman"/>
          <w:sz w:val="24"/>
          <w:szCs w:val="24"/>
        </w:rPr>
        <w:t xml:space="preserve"> da Reconquista até à nova ordem das vilas e termos baixo-medievais. O autor dividiu a tese em duas partes, uma relativa à Alta Idade Média, onde, traça a arquitetura da rede viária e das estruturas de povoamento, assim como, as diferentes formas de povoamento e o património religioso. Na segunda parte do trabalho </w:t>
      </w:r>
      <w:r w:rsidRPr="0011294E">
        <w:rPr>
          <w:rFonts w:ascii="Times New Roman" w:hAnsi="Times New Roman"/>
          <w:sz w:val="24"/>
          <w:szCs w:val="24"/>
        </w:rPr>
        <w:lastRenderedPageBreak/>
        <w:t xml:space="preserve">é enfatizada a evolução da organização dos territórios na Baixa Idade Média. Monforte de Rio Livre é aqui analisado pelo autor, onde este faz uma evolução do povoado desde o século XI até ao século XIII.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Para o estudo de concelhos e municipalismo na Idade Média, temos sempre de considerar a análise dos forais. Monforte de Rio Livre teve dois forais ao longo da sua história, designadamente, em 1273, pelo Rei D. Afonso III, e em 1510, pelo monarca D. Manuel I. Maria Olinda Rodrigues Santana</w:t>
      </w:r>
      <w:r w:rsidRPr="0011294E">
        <w:rPr>
          <w:rFonts w:ascii="Times New Roman" w:hAnsi="Times New Roman"/>
          <w:sz w:val="24"/>
          <w:szCs w:val="24"/>
          <w:vertAlign w:val="superscript"/>
        </w:rPr>
        <w:footnoteReference w:id="9"/>
      </w:r>
      <w:r w:rsidRPr="0011294E">
        <w:rPr>
          <w:rFonts w:ascii="Times New Roman" w:hAnsi="Times New Roman"/>
          <w:sz w:val="24"/>
          <w:szCs w:val="24"/>
        </w:rPr>
        <w:t xml:space="preserve"> realizou um estudo sobre os forais de Monforte, fazendo uma análise aos documentos régios, numa perspetiva linguística e histórica dos forais.</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 obra de Rita Costa Gomes</w:t>
      </w:r>
      <w:r w:rsidRPr="0011294E">
        <w:rPr>
          <w:rFonts w:ascii="Times New Roman" w:hAnsi="Times New Roman"/>
          <w:sz w:val="24"/>
          <w:szCs w:val="24"/>
          <w:vertAlign w:val="superscript"/>
        </w:rPr>
        <w:footnoteReference w:id="10"/>
      </w:r>
      <w:r w:rsidRPr="0011294E">
        <w:rPr>
          <w:rFonts w:ascii="Times New Roman" w:hAnsi="Times New Roman"/>
          <w:sz w:val="24"/>
          <w:szCs w:val="24"/>
        </w:rPr>
        <w:t xml:space="preserve"> consiste no estudo mais atualizado para investigar os Castelos de Raia no território nacional. Na obra</w:t>
      </w:r>
      <w:r w:rsidRPr="0011294E">
        <w:rPr>
          <w:rFonts w:ascii="Times New Roman" w:hAnsi="Times New Roman"/>
          <w:i/>
          <w:sz w:val="24"/>
          <w:szCs w:val="24"/>
        </w:rPr>
        <w:t xml:space="preserve"> Castelos de Raia</w:t>
      </w:r>
      <w:r w:rsidRPr="0011294E">
        <w:rPr>
          <w:rFonts w:ascii="Times New Roman" w:hAnsi="Times New Roman"/>
          <w:sz w:val="24"/>
          <w:szCs w:val="24"/>
        </w:rPr>
        <w:t>, dividido em dois volumes, a autora faz um levantamento de todos os Castelos e de todos os monumentos relacionados com a linha de defesa da fronteira portuguesa com Castela. O castelo de Monforte de Rio Livre insere-se no segundo volume da coleção, nomeadamente, no volume sobre a região de Trás-os-Montes. O tratamento do Castelo de Monforte teve uma maior incidência no plano arquitetónico do castelo e da demografia do povoado.</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Para colmatar a escassez de informação, foi necessário recorrer a fontes primárias como os livros de chancelarias, que nos permitem conhecer alguns atos relativos às relações dos monarcas com o concelho de Monforte de Rio Livre.</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Assim, nos documentos provenientes dos livros de Chancelaria podemos mencionar, que detivemos alguns documentos sobre Monforte de Rio Livre, designadamente, nas chancelarias de D. Afonso III, D. Afonso IV, D. Pedro I, D. João I e ainda de D. Duarte V.</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No Cartulário da Sé de Braga, o </w:t>
      </w:r>
      <w:r w:rsidRPr="0011294E">
        <w:rPr>
          <w:rFonts w:ascii="Times New Roman" w:hAnsi="Times New Roman"/>
          <w:i/>
          <w:sz w:val="24"/>
          <w:szCs w:val="24"/>
        </w:rPr>
        <w:t>Liber Fidei Sanctae Ecclesiae Bracarensis</w:t>
      </w:r>
      <w:r w:rsidRPr="0011294E">
        <w:rPr>
          <w:rFonts w:ascii="Times New Roman" w:hAnsi="Times New Roman"/>
          <w:sz w:val="24"/>
          <w:szCs w:val="24"/>
          <w:vertAlign w:val="superscript"/>
        </w:rPr>
        <w:footnoteReference w:id="11"/>
      </w:r>
      <w:r w:rsidRPr="0011294E">
        <w:rPr>
          <w:rFonts w:ascii="Times New Roman" w:hAnsi="Times New Roman"/>
          <w:sz w:val="24"/>
          <w:szCs w:val="24"/>
        </w:rPr>
        <w:t xml:space="preserve">, apresenta-se como uma fonte bastante importante na medida em que nasceu da necessidade da diocese de Braga fazer valer os seus direitos eclesiásticos e dominiais no quadro do Noroeste peninsular. Assim, detivemos sete documentos de doação, que </w:t>
      </w:r>
      <w:r w:rsidRPr="0011294E">
        <w:rPr>
          <w:rFonts w:ascii="Times New Roman" w:hAnsi="Times New Roman"/>
          <w:sz w:val="24"/>
          <w:szCs w:val="24"/>
        </w:rPr>
        <w:lastRenderedPageBreak/>
        <w:t xml:space="preserve">constituem as primeiras referências ao povoado de Monforte de Rio Livre, que nos finais do século XI designava-se por S. Pedro de Batocas.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 Cortes Portuguesas são muito importantes para o estudo, na medida em que, nos permite visualizar as aspirações, queixas e anseios dos Concelhos aos monarcas. Estas assembleias estabeleciam um importante espaço de diálogo entre o poder real e os povos. As Cortes tinham um carácter mais consultivo do que deliberativo. No entanto, aos nossos dias apenas chegaram os “capítulos” ou “artigos” apresentados pelo povo ao Rei, acompanhados das respostas, ou por vezes, leis e regulamentos aprovados na assembleia.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obra </w:t>
      </w:r>
      <w:r w:rsidRPr="0011294E">
        <w:rPr>
          <w:rFonts w:ascii="Times New Roman" w:hAnsi="Times New Roman"/>
          <w:i/>
          <w:sz w:val="24"/>
          <w:szCs w:val="24"/>
        </w:rPr>
        <w:t xml:space="preserve">Demarcações de </w:t>
      </w:r>
      <w:r w:rsidR="009D2BEB" w:rsidRPr="0011294E">
        <w:rPr>
          <w:rFonts w:ascii="Times New Roman" w:hAnsi="Times New Roman"/>
          <w:i/>
          <w:sz w:val="24"/>
          <w:szCs w:val="24"/>
        </w:rPr>
        <w:t>Fronteira</w:t>
      </w:r>
      <w:r w:rsidRPr="0011294E">
        <w:rPr>
          <w:rFonts w:ascii="Times New Roman" w:hAnsi="Times New Roman"/>
          <w:sz w:val="24"/>
          <w:szCs w:val="24"/>
          <w:vertAlign w:val="superscript"/>
        </w:rPr>
        <w:footnoteReference w:id="12"/>
      </w:r>
      <w:r w:rsidRPr="0011294E">
        <w:rPr>
          <w:rFonts w:ascii="Times New Roman" w:hAnsi="Times New Roman"/>
          <w:sz w:val="24"/>
          <w:szCs w:val="24"/>
        </w:rPr>
        <w:t xml:space="preserve"> permitiu-nos estudar os limites de fronteira da zona raiana com Espanha. Através da leitura desta obra podemos observar com exatidão as terras raianas, os seus modos de vida, os seus conflitos, a atividade económica, a localização dos marcos, o estado do património, fauna e a flora, os itinerários que fazem a ligação entre os povoados e outros aspetos mais específicos. O concelho de Monforte de Rio livre aparece referenciado no terceiro volume da obra, nomeadamente, nos lugares de Trás-os-Montes e Entre-Douro-e-Minho.</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 Livro de Fortalezas do escudeiro Duarte D´Armas é uma das fontes iconográficas mais importantes para o estudo das fortificações medievais em Portugal. O livro é composto por uma representação de cinquenta e cinco fortalezas construídas junto à fronteira Luso-Castelhana. Monforte de Rio Livre é representada sob duas perspetivas, sendo acompanhada pela planta do Povoado e o seu Castelo. Foi, igualmente, importante o estudo dos desenhos de Duarte de Armas com os exemplares que se conserva em Madrid. Comparando os desenhos e plantas das duas obras são identificadas algumas diferenças.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O Numeramento de 1527-1532</w:t>
      </w:r>
      <w:r w:rsidRPr="0011294E">
        <w:rPr>
          <w:rFonts w:ascii="Times New Roman" w:hAnsi="Times New Roman"/>
          <w:sz w:val="24"/>
          <w:szCs w:val="24"/>
          <w:vertAlign w:val="superscript"/>
        </w:rPr>
        <w:footnoteReference w:id="13"/>
      </w:r>
      <w:r w:rsidRPr="0011294E">
        <w:rPr>
          <w:rFonts w:ascii="Times New Roman" w:hAnsi="Times New Roman"/>
          <w:sz w:val="24"/>
          <w:szCs w:val="24"/>
        </w:rPr>
        <w:t xml:space="preserve"> é uma importante obra para o conhecimento demográfico da população portuguesa do século XVI. Ordenado por D. João III em 1527, o numeramento numa primeira fase, tinha como finalidade fornecer ao poder central o conhecimento completo e pormenorizado do povoamento das divisões administrativas agrupadas em Comarcas. Contudo, numa fase posterior, foi essencial </w:t>
      </w:r>
      <w:r w:rsidRPr="0011294E">
        <w:rPr>
          <w:rFonts w:ascii="Times New Roman" w:hAnsi="Times New Roman"/>
          <w:sz w:val="24"/>
          <w:szCs w:val="24"/>
        </w:rPr>
        <w:lastRenderedPageBreak/>
        <w:t xml:space="preserve">para um conhecimento espacial do reino Português, pela consideração tanto das distâncias entre as sedes dos vários termos administrativos, como da descrição da periferia das Comarcas. Assim, no numeramento de 1527-1532, Monforte de Rio Livre aparece referenciado como tendo apenas 30 moradores dentro da cerca da vila.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António Carvalho da Costa na obra </w:t>
      </w:r>
      <w:r w:rsidRPr="0011294E">
        <w:rPr>
          <w:rFonts w:ascii="Times New Roman" w:hAnsi="Times New Roman"/>
          <w:i/>
          <w:sz w:val="24"/>
          <w:szCs w:val="24"/>
        </w:rPr>
        <w:t xml:space="preserve">Corografia Portuguesa e descrição topográfica do famoso reino de Portugal com as noticias das fundações de cidades, vilas e lugares que contém Varões ilustres, genealogia das famílias nobres, fundações de conventos, catálogos dos Bispos, antiguidades, maravilhas da natureza, edifícios e outras observações curiosas, </w:t>
      </w:r>
      <w:r w:rsidRPr="0011294E">
        <w:rPr>
          <w:rFonts w:ascii="Times New Roman" w:hAnsi="Times New Roman"/>
          <w:sz w:val="24"/>
          <w:szCs w:val="24"/>
        </w:rPr>
        <w:t xml:space="preserve">faz uma descrição do sítio de Monforte de Rio Livre, referindo a vida pública no concelho, assim, como as famílias nobres que habitavam pelo termo do concelho e as principais atividades económicas do concelho.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 Memórias Paroquiais de 1758 apresentam-se como uma fonte bastante importante nos estudos regionais de história e património, na medida em que, fornecem dados relativos à morfologia, geografia e demográficos de cada região. Têm por base um inquérito geral dividido em três partes, contendo questões sobre as características morfológicas e económicas de cada região. As Memórias Paroquiais referentes à região de Monforte de Rio Livre estão publicadas nas </w:t>
      </w:r>
      <w:r w:rsidRPr="0011294E">
        <w:rPr>
          <w:rFonts w:ascii="Times New Roman" w:hAnsi="Times New Roman"/>
          <w:i/>
          <w:sz w:val="24"/>
          <w:szCs w:val="24"/>
        </w:rPr>
        <w:t>Freguesias do distrito de Vila Real</w:t>
      </w:r>
      <w:r w:rsidRPr="0011294E">
        <w:rPr>
          <w:rFonts w:ascii="Times New Roman" w:hAnsi="Times New Roman"/>
          <w:i/>
          <w:sz w:val="24"/>
          <w:szCs w:val="24"/>
          <w:vertAlign w:val="superscript"/>
        </w:rPr>
        <w:footnoteReference w:id="14"/>
      </w:r>
      <w:r w:rsidRPr="0011294E">
        <w:rPr>
          <w:rFonts w:ascii="Times New Roman" w:hAnsi="Times New Roman"/>
          <w:sz w:val="24"/>
          <w:szCs w:val="24"/>
        </w:rPr>
        <w:t>, uma edição de João Viriato Capela. No capítulo de Monforte são fornecidos dados sobre as freguesias que constituíam o concelho, o rendimento ordinário, o património, a jurisdição do Julgado, os funcionários do Concelho e a sua eleição.</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obra </w:t>
      </w:r>
      <w:r w:rsidRPr="0011294E">
        <w:rPr>
          <w:rFonts w:ascii="Times New Roman" w:hAnsi="Times New Roman"/>
          <w:i/>
          <w:sz w:val="24"/>
          <w:szCs w:val="24"/>
        </w:rPr>
        <w:t xml:space="preserve">Portugal Antigo e Moderno </w:t>
      </w:r>
      <w:r w:rsidRPr="0011294E">
        <w:rPr>
          <w:rFonts w:ascii="Times New Roman" w:hAnsi="Times New Roman"/>
          <w:sz w:val="24"/>
          <w:szCs w:val="24"/>
        </w:rPr>
        <w:t>de Pinho Leal</w:t>
      </w:r>
      <w:r w:rsidRPr="0011294E">
        <w:rPr>
          <w:rFonts w:ascii="Times New Roman" w:hAnsi="Times New Roman"/>
          <w:sz w:val="24"/>
          <w:szCs w:val="24"/>
          <w:vertAlign w:val="superscript"/>
        </w:rPr>
        <w:footnoteReference w:id="15"/>
      </w:r>
      <w:r w:rsidRPr="0011294E">
        <w:rPr>
          <w:rFonts w:ascii="Times New Roman" w:hAnsi="Times New Roman"/>
          <w:sz w:val="24"/>
          <w:szCs w:val="24"/>
        </w:rPr>
        <w:t xml:space="preserve"> é uma referência para tratar um trabalho de âmbito regional, uma vez que, ao longo dos doze volumes que constituí a obra, existem artigos que abrangem a localização de Terras, igrejas, monumentos, famílias notáveis, com a sua genealogia e heráldica correspondente. Esta obra refere Monforte de Rio Livre como uma </w:t>
      </w:r>
      <w:r w:rsidRPr="0011294E">
        <w:rPr>
          <w:rFonts w:ascii="Times New Roman" w:hAnsi="Times New Roman"/>
          <w:i/>
          <w:sz w:val="24"/>
          <w:szCs w:val="24"/>
        </w:rPr>
        <w:t xml:space="preserve">antiga freguesia do arcebispado de Braga. </w:t>
      </w:r>
      <w:r w:rsidRPr="0011294E">
        <w:rPr>
          <w:rFonts w:ascii="Times New Roman" w:hAnsi="Times New Roman"/>
          <w:sz w:val="24"/>
          <w:szCs w:val="24"/>
        </w:rPr>
        <w:t xml:space="preserve">Paralelamente, são descritos os aspetos económicos da região, assim como, as relações económicas com a vizinha Castela.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De facto, a pesquisa documental que realizamos, para além de nos auxiliar numa primeira fase na preparação e execução da nossa dissertação, permitiu igualmente a </w:t>
      </w:r>
      <w:r w:rsidRPr="0011294E">
        <w:rPr>
          <w:rFonts w:ascii="Times New Roman" w:hAnsi="Times New Roman"/>
          <w:sz w:val="24"/>
          <w:szCs w:val="24"/>
        </w:rPr>
        <w:lastRenderedPageBreak/>
        <w:t xml:space="preserve">elaboração de um apêndice documental. Este apêndice de pesquisa bibliográfica levantou de imediato determinadas situações que nos levou a abordar diversos temas ao longo da elaboração dos cinco capítulos.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 prospeções que realizamos ao Castelo e ao povoado de Monforte de Rio Livre revelaram-se de uma grande importância para a realização deste estudo, na medida em que foram reunidas fotos, esquemas, medidas e anotações, que juntamente com outros trabalhos arqueológicos, de natureza iconográfico sobretudo nos arquivos reunidos da Direção Geral dos Edifícios e Monumentos Nacionais, permitiram traçar uma evolução cronológica da fortaleza e o seu urbanismo. De facto, as fontes descritas na D.G.E.M.N revelam-se de uma enorme importância, pois apresentam fontes iconográficas da antiga reforma do castelo no século XX. Esta investigação permitiu-nos delinear os aspetos principais a abordar aquando do estudo do povoado medieval.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Após a apresentação da nossa metodologia e a definição de algumas problemáticas, proporcionamos, seguidamente, uma pequena elucidação sobre a própria organização da nossa dissertação.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No capítulo introdutório decidimos incluir o enquadramento geográfico e geológico, assim como, um breve enquadramento administrativo do antigo concelho de Monforte de Rio Livre.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No segundo capítulo propomos a observação dos antecedentes de ocupação humana nos concelhos de Chaves e Valpaços, uma vez que as freguesias do antigo concelho de Monforte foram distribuídas pelos atuais concelhos de Chaves e Valpaços. Para nos auxiliar nesta enorme tarefa procedemos à elaboração de uma base de dados, onde incluímos todo o património arqueológico destes dois concelhos, desde o período do Paleolítico até à Idade Média. Numa fase posterior, com o auxílio desta base de dados, foi possível cartografar todos estes elementos patrimoniais, permitindo uma melhor visualização e perspetiva sobre a ocupação e implantação do Castelo de Monforte de Rio Livre. A contextualização não estaria concluída se não nos debruçássemos sobre os testemunhos da Alta Idade Média na região. As invasões dos povos “bárbaros” que invadiram a região nos inícios do século V trouxeram várias alterações, desde logo colocando um ponto final na colonização romana na região. As </w:t>
      </w:r>
      <w:r w:rsidRPr="0011294E">
        <w:rPr>
          <w:rFonts w:ascii="Times New Roman" w:hAnsi="Times New Roman"/>
          <w:sz w:val="24"/>
          <w:szCs w:val="24"/>
        </w:rPr>
        <w:lastRenderedPageBreak/>
        <w:t xml:space="preserve">alterações verificaram-se em todos os níveis. Para a sua compreensão, evidenciamos duas fontes fundamentais para compreender esta temática, designadamente, a </w:t>
      </w:r>
      <w:r w:rsidRPr="0011294E">
        <w:rPr>
          <w:rFonts w:ascii="Times New Roman" w:hAnsi="Times New Roman"/>
          <w:i/>
          <w:sz w:val="24"/>
          <w:szCs w:val="24"/>
        </w:rPr>
        <w:t>Crónica</w:t>
      </w:r>
      <w:r w:rsidRPr="0011294E">
        <w:rPr>
          <w:rFonts w:ascii="Times New Roman" w:hAnsi="Times New Roman"/>
          <w:sz w:val="24"/>
          <w:szCs w:val="24"/>
        </w:rPr>
        <w:t xml:space="preserve"> de Idácio e o </w:t>
      </w:r>
      <w:r w:rsidRPr="0011294E">
        <w:rPr>
          <w:rFonts w:ascii="Times New Roman" w:hAnsi="Times New Roman"/>
          <w:i/>
          <w:iCs/>
          <w:sz w:val="24"/>
          <w:szCs w:val="24"/>
        </w:rPr>
        <w:t xml:space="preserve">Paroquial Suevo. </w:t>
      </w:r>
      <w:r w:rsidRPr="0011294E">
        <w:rPr>
          <w:rFonts w:ascii="Times New Roman" w:hAnsi="Times New Roman"/>
          <w:iCs/>
          <w:sz w:val="24"/>
          <w:szCs w:val="24"/>
        </w:rPr>
        <w:t xml:space="preserve">Paralelamente, apresentamos o povoamento da região </w:t>
      </w:r>
      <w:r w:rsidRPr="0011294E">
        <w:rPr>
          <w:rFonts w:ascii="Times New Roman" w:hAnsi="Times New Roman"/>
          <w:sz w:val="24"/>
          <w:szCs w:val="24"/>
        </w:rPr>
        <w:t xml:space="preserve">durante o período da Reconquista, desde a presúria de Chaves, no século IX, até ao advento dos castelos e das terras, nos séculos XI e XII. </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No terceiro capítulo avançamos para a história de Monforte de Rio Livre, propriamente dita. Neste ponto abordamos a história e evolução da terra e do concelho de Monforte de Rio Livre. Iniciamos este capítulo pelas primeiras referências documentais e arqueológicas sobre Monforte de Rio Livre na Idade Média, relacionado com o aparecimento das </w:t>
      </w:r>
      <w:r w:rsidRPr="0011294E">
        <w:rPr>
          <w:rFonts w:ascii="Times New Roman" w:hAnsi="Times New Roman"/>
          <w:i/>
          <w:sz w:val="24"/>
          <w:szCs w:val="24"/>
        </w:rPr>
        <w:t>civitas</w:t>
      </w:r>
      <w:r w:rsidRPr="0011294E">
        <w:rPr>
          <w:rFonts w:ascii="Times New Roman" w:hAnsi="Times New Roman"/>
          <w:sz w:val="24"/>
          <w:szCs w:val="24"/>
        </w:rPr>
        <w:t xml:space="preserve"> e </w:t>
      </w:r>
      <w:r w:rsidRPr="0011294E">
        <w:rPr>
          <w:rFonts w:ascii="Times New Roman" w:hAnsi="Times New Roman"/>
          <w:i/>
          <w:sz w:val="24"/>
          <w:szCs w:val="24"/>
        </w:rPr>
        <w:t>terras</w:t>
      </w:r>
      <w:r w:rsidRPr="0011294E">
        <w:rPr>
          <w:rFonts w:ascii="Times New Roman" w:hAnsi="Times New Roman"/>
          <w:sz w:val="24"/>
          <w:szCs w:val="24"/>
        </w:rPr>
        <w:t xml:space="preserve">. </w:t>
      </w:r>
    </w:p>
    <w:p w:rsidR="0011294E" w:rsidRPr="0011294E" w:rsidRDefault="00E71068" w:rsidP="0011294E">
      <w:pPr>
        <w:spacing w:line="360" w:lineRule="auto"/>
        <w:jc w:val="both"/>
        <w:rPr>
          <w:rFonts w:ascii="Times New Roman" w:hAnsi="Times New Roman"/>
          <w:sz w:val="24"/>
          <w:szCs w:val="24"/>
        </w:rPr>
      </w:pPr>
      <w:r w:rsidRPr="00E71068">
        <w:rPr>
          <w:rFonts w:ascii="Times New Roman" w:hAnsi="Times New Roman"/>
          <w:sz w:val="24"/>
          <w:szCs w:val="24"/>
        </w:rPr>
        <w:t>As Inquirições Régias apresentam-se como um inquérito emanado pela coroa régia, com o objectivo de combater os abusos praticados pelos senhores laicos e eclesiásticos, cometidos relativamente aos reguengos, terras, direitos e padroados. Neste sentido procedemos à identificação do património</w:t>
      </w:r>
      <w:r w:rsidRPr="00E71068">
        <w:rPr>
          <w:rFonts w:ascii="Times New Roman" w:hAnsi="Times New Roman"/>
          <w:bCs/>
          <w:iCs/>
          <w:sz w:val="24"/>
          <w:szCs w:val="24"/>
        </w:rPr>
        <w:t xml:space="preserve"> eclesiástico e laico de Rio Livre, assim como os aspetos </w:t>
      </w:r>
      <w:r w:rsidRPr="00E71068">
        <w:rPr>
          <w:rFonts w:ascii="Times New Roman" w:hAnsi="Times New Roman"/>
          <w:sz w:val="24"/>
          <w:szCs w:val="24"/>
        </w:rPr>
        <w:t xml:space="preserve">de índole social e económicos.  </w:t>
      </w:r>
      <w:r w:rsidR="0011294E"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Não deixamos ao esquecimento as perturbações e a instabilidade que se vivia na zona fronteiriça do reino Assim, procedemos à investigação da contenda entre D. Afonso II e as suas irmãs D. Teresa, D. Sancha e D. Mafalda. Este conflito, que depressa se transformou numa guerra civil, teve um grande impacto na região de Trás-os-Montes, especialmente em Chaves e Monforte de Rio Livre, uma vez que estas regiões foram ocupadas por Afonso IX de Leão.   </w:t>
      </w:r>
    </w:p>
    <w:p w:rsidR="0011294E" w:rsidRPr="0011294E" w:rsidRDefault="0011294E" w:rsidP="0011294E">
      <w:pPr>
        <w:spacing w:line="360" w:lineRule="auto"/>
        <w:jc w:val="both"/>
        <w:rPr>
          <w:rFonts w:ascii="Times New Roman" w:hAnsi="Times New Roman"/>
          <w:sz w:val="24"/>
          <w:szCs w:val="24"/>
        </w:rPr>
      </w:pPr>
      <w:r w:rsidRPr="0011294E">
        <w:rPr>
          <w:rFonts w:ascii="Times New Roman" w:hAnsi="Times New Roman"/>
          <w:sz w:val="24"/>
          <w:szCs w:val="24"/>
        </w:rPr>
        <w:t xml:space="preserve">Nos séculos XIII e XIV, o Julgado de Monforte de Rio Livre ganha uma nova importância, na medida em que contribuiu para melhorar a integridade territorial do reino. Com efeito, todos os trabalhos monográficos não ficam completos sem o estudo dos seus forais. Neste sentido, procedemos aos estudos dos forais do século de Monforte de Rio Livre, sempre relacionando outros aspetos que consideramos pertinentes para entender e oferecer uma perspetiva sobre o Concelho do século XII ao século XVI. </w:t>
      </w:r>
    </w:p>
    <w:p w:rsidR="0011294E" w:rsidRPr="0011294E" w:rsidRDefault="0011294E" w:rsidP="0011294E">
      <w:pPr>
        <w:spacing w:line="360" w:lineRule="auto"/>
        <w:jc w:val="both"/>
        <w:rPr>
          <w:rFonts w:ascii="Times New Roman" w:hAnsi="Times New Roman"/>
          <w:sz w:val="24"/>
          <w:szCs w:val="24"/>
        </w:rPr>
      </w:pPr>
      <w:r w:rsidRPr="0011294E">
        <w:rPr>
          <w:rFonts w:ascii="Times New Roman" w:hAnsi="Times New Roman"/>
          <w:sz w:val="24"/>
          <w:szCs w:val="24"/>
        </w:rPr>
        <w:t xml:space="preserve">Para finalizar o terceiro capítulo, apresentamos uma perspetiva sobre o século XVI até à extinção do concelho em 1853. Utilizámos fontes como o Numeramento de 1527-1532, </w:t>
      </w:r>
      <w:r w:rsidRPr="0011294E">
        <w:rPr>
          <w:rFonts w:ascii="Times New Roman" w:hAnsi="Times New Roman"/>
          <w:sz w:val="24"/>
          <w:szCs w:val="24"/>
        </w:rPr>
        <w:lastRenderedPageBreak/>
        <w:t>as Demarcações de Fronteira, e as Memórias Paroquiais, que nos permitiram tomar conhecimento sobre o estado do concelho nos últimos séculos da sua existência.</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No quarto capítulo destacámos a interpretação arqueológica colocando no centro da nossa investigação o castelo medieval, não esquecendo o depoimento de Duarte de Armas e a análise dos documentos da D.G.E.M.N, aquando das obras de restauro efetuadas na segunda metade do século XX. Estas fontes revelaram-se bastante importantes para perceber a construção e a evolução da estrutura castelar. </w:t>
      </w:r>
    </w:p>
    <w:p w:rsidR="0011294E" w:rsidRPr="0011294E" w:rsidRDefault="0011294E" w:rsidP="0011294E">
      <w:pPr>
        <w:spacing w:line="360" w:lineRule="auto"/>
        <w:jc w:val="both"/>
        <w:rPr>
          <w:rFonts w:ascii="Times New Roman" w:hAnsi="Times New Roman"/>
          <w:sz w:val="24"/>
          <w:szCs w:val="24"/>
        </w:rPr>
      </w:pPr>
      <w:r w:rsidRPr="0011294E">
        <w:rPr>
          <w:rFonts w:ascii="Times New Roman" w:hAnsi="Times New Roman"/>
          <w:sz w:val="24"/>
          <w:szCs w:val="24"/>
        </w:rPr>
        <w:t xml:space="preserve">Para a elaboração deste capítulo recorremos a outras áreas de estudo como a Arqueologia da Arquitetura e da Paisagem. Estas áreas de estudos permitiram-nos esclarecer o contexto em que a estrutura militar foi erguida e a relação entre a ocupação do homem e a modificação do espaço em redor ao longo do tempo.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 Por fim, no quinto capítulo debruçamos a nossa investigação sobre a evolução do povoamento deste aglomerado, explorando essencialmente o urbanismo medieval deste tipo de povoação de raia. Neste sentido, recorremos aos debuxos de Duarte de Armas e aos inventários do património da D.G.E.M.N. Para além disso, consideramos pertinente a utilização do exemplar de Madrid dos desenhos de Duarte de Armas, para uma comparação mais realista. De facto, entendemos que é importante relacionar os elementos que constituem o traçado do povoado de Monforte de Rio Livre, uma vez que estes contribuem para a fixação de pessoas, para o crescimento do concelho e, consequentemente, para a evolução da arquitetura militar.</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Considerando o exposto, a nossa dissertação pretende explorar minuciosamente o Castelo Medieval e o Povoado de Monforte de Rio Livre. Local muitas vezes deixado no esquecimento tanto das populações com da historiografia portuguesa, comprovado pela falta de fontes documentais e pela falta de um projeto de salvaguarda do local. Paralelamente, o nosso estudo pretende de certa forma abrir portas a novas investigações nesta área de estudo, cronológica e geográfica, onde não faltam temas e informações cativantes para o interesse arqueológico. </w:t>
      </w:r>
    </w:p>
    <w:p w:rsidR="0011294E" w:rsidRPr="00FB5448" w:rsidRDefault="0011294E" w:rsidP="0011294E">
      <w:pPr>
        <w:pStyle w:val="Ttulo2"/>
        <w:keepLines/>
        <w:widowControl/>
        <w:numPr>
          <w:ilvl w:val="0"/>
          <w:numId w:val="25"/>
        </w:numPr>
        <w:suppressAutoHyphens w:val="0"/>
        <w:spacing w:before="200" w:after="0" w:line="276" w:lineRule="auto"/>
        <w:jc w:val="left"/>
        <w:rPr>
          <w:rFonts w:ascii="Times New Roman" w:hAnsi="Times New Roman" w:cs="Times New Roman"/>
          <w:sz w:val="30"/>
          <w:szCs w:val="30"/>
        </w:rPr>
      </w:pPr>
      <w:bookmarkStart w:id="4" w:name="_Toc430358524"/>
      <w:bookmarkStart w:id="5" w:name="_Toc441612267"/>
      <w:r w:rsidRPr="00FB5448">
        <w:rPr>
          <w:rFonts w:ascii="Times New Roman" w:hAnsi="Times New Roman" w:cs="Times New Roman"/>
          <w:sz w:val="30"/>
          <w:szCs w:val="30"/>
        </w:rPr>
        <w:lastRenderedPageBreak/>
        <w:t>Enquadramento de Monforte de Rio Livre – Administração, Geográfica, Fauna e Flora</w:t>
      </w:r>
      <w:bookmarkEnd w:id="4"/>
      <w:bookmarkEnd w:id="5"/>
    </w:p>
    <w:p w:rsidR="0011294E" w:rsidRPr="0011294E" w:rsidRDefault="0011294E" w:rsidP="0011294E">
      <w:pPr>
        <w:pStyle w:val="Ttulo2"/>
        <w:rPr>
          <w:rFonts w:ascii="Times New Roman" w:hAnsi="Times New Roman" w:cs="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 delimitação de uma área geográfica de trabalho é uma tarefa fundamental na investigação arqueológica, imperativa quando o trabalho que se pretende realizar se insere num universo micro-espacial, cujas características carecem de uma análise detalhada que permita compreender as opções e a evolução das comunidades no seu interior.</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Para a introdução deste capítulo pensamos ser pertinente abordar a questão da extinção do concelho de Monforte de Rio Livre e consequente divisão das suas freguesias. As dificuldades de manutenção e povoamento deste concelho ao longo da sua existência sempre foram um problema difícil de ultrapassar. Esta situação levou a que, no ano de 1836, a sede do concelho fosse transferida para a freguesia de Lebução, uma das mais populosas aldeias do termo. Antes, já a sede da sua paróquia tinha sido transferida para a freguesia de Águas Frias.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Em 1853, o Concelho de Monforte de Rio Livre acabou por ser extinto, sendo as suas freguesias divididas por dois concelhos limítrofes, designadamente Chaves e Valpaços. Assim, as freguesias de S. Vicente, Roriz, Travancas, Mairos, Paradela, Sanfins, Castanheira, Águas Frias, Tronco, Bobadela e Oucidres passaram administrativamente para o concelho de Chaves; por sua vez, as freguesias de Lebução, Bouçais, Fiães, Tinhela, Alvarelhos, Sonin, Barreiros, Santa Valha e Fornos do Pinhal passaram a integrar o Concelho de Valpaços.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Atualmente, e em termos administrativos, o castelo </w:t>
      </w:r>
      <w:r w:rsidR="009D2BEB">
        <w:rPr>
          <w:rFonts w:ascii="Times New Roman" w:hAnsi="Times New Roman"/>
          <w:sz w:val="24"/>
          <w:szCs w:val="24"/>
        </w:rPr>
        <w:t>de Monforte encontra-se</w:t>
      </w:r>
      <w:r w:rsidRPr="0011294E">
        <w:rPr>
          <w:rFonts w:ascii="Times New Roman" w:hAnsi="Times New Roman"/>
          <w:sz w:val="24"/>
          <w:szCs w:val="24"/>
        </w:rPr>
        <w:t xml:space="preserve"> no distrito de Vila Real, concelho de Chaves, na freguesia de Águas Frias. </w:t>
      </w:r>
      <w:r w:rsidR="009D2BEB">
        <w:rPr>
          <w:rFonts w:ascii="Times New Roman" w:hAnsi="Times New Roman"/>
          <w:sz w:val="24"/>
          <w:szCs w:val="24"/>
        </w:rPr>
        <w:t>T</w:t>
      </w:r>
      <w:r w:rsidRPr="0011294E">
        <w:rPr>
          <w:rFonts w:ascii="Times New Roman" w:hAnsi="Times New Roman"/>
          <w:sz w:val="24"/>
          <w:szCs w:val="24"/>
        </w:rPr>
        <w:t>opograficamente, o castelo está implantado no rebordo NO da Serra do Brunheiro, a uma altitude de 825 m, dominando vastos horizontes sobre o planalto e a Veiga de Chaves</w:t>
      </w:r>
      <w:r w:rsidRPr="0011294E">
        <w:rPr>
          <w:rStyle w:val="Refdenotaderodap"/>
          <w:rFonts w:ascii="Times New Roman" w:hAnsi="Times New Roman"/>
          <w:sz w:val="24"/>
          <w:szCs w:val="24"/>
        </w:rPr>
        <w:footnoteReference w:id="16"/>
      </w:r>
      <w:r w:rsidRPr="0011294E">
        <w:rPr>
          <w:rFonts w:ascii="Times New Roman" w:hAnsi="Times New Roman"/>
          <w:sz w:val="24"/>
          <w:szCs w:val="24"/>
        </w:rPr>
        <w:t xml:space="preserve">. A Veiga de Chaves apresenta-se como um importante vale que circunda a cidade de Chaves. Ocupa uma área de 25.000 hectares, com cerca de 8,5 km de </w:t>
      </w:r>
      <w:r w:rsidRPr="0011294E">
        <w:rPr>
          <w:rFonts w:ascii="Times New Roman" w:hAnsi="Times New Roman"/>
          <w:sz w:val="24"/>
          <w:szCs w:val="24"/>
        </w:rPr>
        <w:lastRenderedPageBreak/>
        <w:t xml:space="preserve">comprimento e 3 km de largura e inscreve-se no vale do Tâmega. </w:t>
      </w:r>
      <w:r w:rsidRPr="0011294E">
        <w:rPr>
          <w:rFonts w:ascii="Times New Roman" w:hAnsi="Times New Roman"/>
          <w:sz w:val="24"/>
          <w:szCs w:val="24"/>
          <w:shd w:val="clear" w:color="auto" w:fill="FFFFFF"/>
        </w:rPr>
        <w:t>Quase todo o vale fica situado na sua margem esquerda do rio e é delimitado por montes e serras. Defronta-se a leste com a Serra do Brunheiro e com o limite setentrional da Serra da Padrela. A oeste limita-se com uma série de pequenas elevações de terreno, que servem de contrafortes à Serra de Bustelo, a qual, por sua vez, serve de contraforte à Serra do Larouco e ao planalto de Barroso. A norte confronta com a Serra de Mairos, que se expande para Espanha, atingindo aí 1083 metros. A Sul está delimitado pela Ribeira de Oura e por um conjunto de colinas que se prendem ao Brunheiro, no lugar de Pêto de Lagarelhos.</w:t>
      </w:r>
    </w:p>
    <w:p w:rsidR="0011294E" w:rsidRPr="0011294E" w:rsidRDefault="0011294E" w:rsidP="0011294E">
      <w:pPr>
        <w:spacing w:line="360" w:lineRule="auto"/>
        <w:ind w:firstLine="624"/>
        <w:jc w:val="both"/>
        <w:rPr>
          <w:rFonts w:ascii="Times New Roman" w:hAnsi="Times New Roman"/>
          <w:sz w:val="24"/>
          <w:szCs w:val="24"/>
          <w:shd w:val="clear" w:color="auto" w:fill="FFFFFF"/>
        </w:rPr>
      </w:pPr>
      <w:r w:rsidRPr="0011294E">
        <w:rPr>
          <w:rFonts w:ascii="Times New Roman" w:hAnsi="Times New Roman"/>
          <w:sz w:val="24"/>
          <w:szCs w:val="24"/>
          <w:shd w:val="clear" w:color="auto" w:fill="FFFFFF"/>
        </w:rPr>
        <w:t xml:space="preserve">Geologicamente, o território de Monforte de Rio Livre situa-se em grande parte na </w:t>
      </w:r>
      <w:r w:rsidRPr="0011294E">
        <w:rPr>
          <w:rFonts w:ascii="Times New Roman" w:hAnsi="Times New Roman"/>
          <w:i/>
          <w:sz w:val="24"/>
          <w:szCs w:val="24"/>
          <w:shd w:val="clear" w:color="auto" w:fill="FFFFFF"/>
        </w:rPr>
        <w:t>“Subzona de Galiza Média Trás-os-Montes”</w:t>
      </w:r>
      <w:r w:rsidRPr="0011294E">
        <w:rPr>
          <w:rFonts w:ascii="Times New Roman" w:hAnsi="Times New Roman"/>
          <w:sz w:val="24"/>
          <w:szCs w:val="24"/>
          <w:shd w:val="clear" w:color="auto" w:fill="FFFFFF"/>
        </w:rPr>
        <w:t>. Esta subzona pertence à Zona Centro Ibérica, uma das grandes Unidades Geológicas do Maciço Hespérico</w:t>
      </w:r>
      <w:r w:rsidRPr="0011294E">
        <w:rPr>
          <w:rStyle w:val="Refdenotaderodap"/>
          <w:rFonts w:ascii="Times New Roman" w:hAnsi="Times New Roman"/>
          <w:sz w:val="24"/>
          <w:szCs w:val="24"/>
          <w:shd w:val="clear" w:color="auto" w:fill="FFFFFF"/>
        </w:rPr>
        <w:footnoteReference w:id="17"/>
      </w:r>
      <w:r w:rsidRPr="0011294E">
        <w:rPr>
          <w:rFonts w:ascii="Times New Roman" w:hAnsi="Times New Roman"/>
          <w:sz w:val="24"/>
          <w:szCs w:val="24"/>
          <w:shd w:val="clear" w:color="auto" w:fill="FFFFFF"/>
        </w:rPr>
        <w:t>. Este constitui a ossatura central da Península Ibérica, sendo formado sobretudo por rochas eruptivas e metassedimentares</w:t>
      </w:r>
      <w:r w:rsidRPr="0011294E">
        <w:rPr>
          <w:rStyle w:val="Refdenotaderodap"/>
          <w:rFonts w:ascii="Times New Roman" w:hAnsi="Times New Roman"/>
          <w:sz w:val="24"/>
          <w:szCs w:val="24"/>
          <w:shd w:val="clear" w:color="auto" w:fill="FFFFFF"/>
        </w:rPr>
        <w:footnoteReference w:id="18"/>
      </w:r>
      <w:r w:rsidRPr="0011294E">
        <w:rPr>
          <w:rFonts w:ascii="Times New Roman" w:hAnsi="Times New Roman"/>
          <w:sz w:val="24"/>
          <w:szCs w:val="24"/>
          <w:shd w:val="clear" w:color="auto" w:fill="FFFFFF"/>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Na atualidade, o aspeto paisagístico que a região assume tem origem em ações naturais e humanas, que, durante vários períodos cronológicos, foram moldando a face da região transmontana. No que respeita ao primeiro caso, as mudanças terão ocorrido essencialmente no Terciário, onde surgiram períodos de grandes atividades tectónicas, que estão diretamente ligadas à criação de várias depressões e de vales fluviais</w:t>
      </w:r>
      <w:r w:rsidRPr="0011294E">
        <w:rPr>
          <w:rStyle w:val="Refdenotaderodap"/>
          <w:rFonts w:ascii="Times New Roman" w:hAnsi="Times New Roman"/>
          <w:sz w:val="24"/>
          <w:szCs w:val="24"/>
        </w:rPr>
        <w:footnoteReference w:id="19"/>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 depressão de Chaves terá sido originada por diversos fatores tectónicos, muito certamente devido a deslocamentos verticais ou abatimentos. Esta fica encaixada por relevos entre os 400 e os 1200 metros de altitude, entre os quais a Serra da Padrela (do lado Este) e o Planalto Barrosão (do lado Oeste)</w:t>
      </w:r>
      <w:r w:rsidRPr="0011294E">
        <w:rPr>
          <w:rStyle w:val="Refdenotaderodap"/>
          <w:rFonts w:ascii="Times New Roman" w:hAnsi="Times New Roman"/>
          <w:sz w:val="24"/>
          <w:szCs w:val="24"/>
        </w:rPr>
        <w:footnoteReference w:id="20"/>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Para o desenvolvimento desta depressão muito terá contribuído a existência de uma </w:t>
      </w:r>
      <w:r w:rsidRPr="0011294E">
        <w:rPr>
          <w:rFonts w:ascii="Times New Roman" w:hAnsi="Times New Roman"/>
          <w:i/>
          <w:sz w:val="24"/>
          <w:szCs w:val="24"/>
        </w:rPr>
        <w:t>“soleira quartzítica”</w:t>
      </w:r>
      <w:r w:rsidRPr="0011294E">
        <w:rPr>
          <w:rFonts w:ascii="Times New Roman" w:hAnsi="Times New Roman"/>
          <w:sz w:val="24"/>
          <w:szCs w:val="24"/>
        </w:rPr>
        <w:t>, que, conjuntamente com o rio Tâmega, terá determinado a formação de uma planície aluvial, provavelmente no período do Pliocénico devido à natureza e características dos depósitos da depressão flaviense</w:t>
      </w:r>
      <w:r w:rsidRPr="0011294E">
        <w:rPr>
          <w:rStyle w:val="Refdenotaderodap"/>
          <w:rFonts w:ascii="Times New Roman" w:hAnsi="Times New Roman"/>
          <w:sz w:val="24"/>
          <w:szCs w:val="24"/>
        </w:rPr>
        <w:footnoteReference w:id="21"/>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 xml:space="preserve">Nesta região do Alto Tâmega, onde se insere a nossa área de estudo, predominam as rochas de origem sedimentar e metamorfizadas, onde se incluem os xistos, as rochas intrusivas e diversos tipos de granito, rochas predominantes do Maciço Hespérico.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região de Chaves apresenta uma particularidade ao nível geomorfológico, por se encontrar assente sobre depósitos aluviais que formaram uma extensa planície que constitui a </w:t>
      </w:r>
      <w:r w:rsidRPr="0011294E">
        <w:rPr>
          <w:rFonts w:ascii="Times New Roman" w:hAnsi="Times New Roman"/>
          <w:i/>
          <w:sz w:val="24"/>
          <w:szCs w:val="24"/>
        </w:rPr>
        <w:t>“Veiga”</w:t>
      </w:r>
      <w:r w:rsidRPr="0011294E">
        <w:rPr>
          <w:rFonts w:ascii="Times New Roman" w:hAnsi="Times New Roman"/>
          <w:sz w:val="24"/>
          <w:szCs w:val="24"/>
        </w:rPr>
        <w:t xml:space="preserve"> de Chaves. A origem desta depressão terá como base as transformações ocorridas entre o Miocénico Superior e o Quaternário. Mais concretamente, a atividade no período Miocénico fez que com que surgisse uma partição da deformação principal, que induziu à criação de bacias descontínuas ao longo da falha principal</w:t>
      </w:r>
      <w:r w:rsidRPr="0011294E">
        <w:rPr>
          <w:rFonts w:ascii="Times New Roman" w:hAnsi="Times New Roman"/>
          <w:sz w:val="24"/>
          <w:szCs w:val="24"/>
          <w:vertAlign w:val="superscript"/>
        </w:rPr>
        <w:footnoteReference w:id="22"/>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 Veiga de Chaves encontra-se coberta por aluviões recentes, assim como se registam algumas pontualizações na superfície de Sanjurge, designadamente em torno de Valdanta, e numa área entre Sanjurge e Outeiro Seco. Apesar de serem identificados na Carta Geológica de Portugal como depósitos de terraços fluviais, esta interpretação tem sofrido alguma contestação, tendo estas formações sido consideradas como depósitos de sopé alimentados pela escarpa granítica que fica a Ocidente</w:t>
      </w:r>
      <w:r w:rsidRPr="0011294E">
        <w:rPr>
          <w:rStyle w:val="Refdenotaderodap"/>
          <w:rFonts w:ascii="Times New Roman" w:hAnsi="Times New Roman"/>
          <w:sz w:val="24"/>
          <w:szCs w:val="24"/>
        </w:rPr>
        <w:footnoteReference w:id="23"/>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Os recursos minerais desta região são constituídos por filões mineralizados de natureza pegmatítica ou quartzosa, situando-se perto da zona dos xistos com granito, estando localizados na vertente Oeste da superfície da Padrela e ainda na zona de Anelhe e Redondelo. Os jazigos auríferos estão representados por um filão mineralizado situado na superfície de Padrela, entre Carvela e Trasmundes, para além da exploração do Poço dos Feitas, na bacia de Bobadela. A exploração das camadas de argila existentes em depósitos da Veiga estão localizadas na zona do campo da Roda e ainda em menor escala noutros locais próximos como em Outeiro Seco. No que concerne às nascentes de água minerais e medicinais, estas desabrocham na zona de contacto de granito alcalino com as rochas existentes, que compreendem bancadas quartzíticas, nomeadamente no campo do Tabolado e junto ao Forte de S. Francisco, atingindo uma temperatura de 73ºC. Ainda no extremo Norte da área considerada localiza-se uma </w:t>
      </w:r>
      <w:r w:rsidRPr="0011294E">
        <w:rPr>
          <w:rFonts w:ascii="Times New Roman" w:hAnsi="Times New Roman"/>
          <w:sz w:val="24"/>
          <w:szCs w:val="24"/>
        </w:rPr>
        <w:lastRenderedPageBreak/>
        <w:t>nascente na planície aluvial do Tâmega, mas brota de uma diáclase de granito de duas micas atravessadas por filões pegmatíticos e quartzosos</w:t>
      </w:r>
      <w:r w:rsidRPr="0011294E">
        <w:rPr>
          <w:rStyle w:val="Refdenotaderodap"/>
          <w:rFonts w:ascii="Times New Roman" w:hAnsi="Times New Roman"/>
          <w:sz w:val="24"/>
          <w:szCs w:val="24"/>
        </w:rPr>
        <w:footnoteReference w:id="24"/>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Em termos climáticos, a região do Tâmega apresenta as mesmas características do clima típico do noroeste de Portugal. Nas zonas montanhosas da região os níveis de precipitação aumentam em termos significativos. A pluviosidade é condicionada pelas influências marítimas que esbarram na alta cortina montanhosa que se estende desde o Gerês e Barroso, pelo Alvão, Padrela e Marão, que pela sua altitude chegam atingir níveis de pluviosidade de 500 mm/dia</w:t>
      </w:r>
      <w:r w:rsidRPr="0011294E">
        <w:rPr>
          <w:rStyle w:val="Refdenotaderodap"/>
          <w:rFonts w:ascii="Times New Roman" w:hAnsi="Times New Roman"/>
          <w:sz w:val="24"/>
          <w:szCs w:val="24"/>
        </w:rPr>
        <w:footnoteReference w:id="25"/>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Na zona da depressão e ao longo de todo o vale do Tâmega, as condições de precipitação são muito reduzidas, apresentando níveis de cerca de 800 mm/ano. Esta característica justifica-se através da existência de mais períodos de seca em Trás-os-Montes, e pelo facto de, quanto mais avançamos para o interior, menos se fazerem sentir as influências atlânticas.</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Outra das justificações para estas causas relaciona-se com o facto de existir uma espécie de barreira, que faz com que haja uma grande diferença entre o litoral mais húmido e o interior mais seco. Essa barreira caracteriza-se pela corda de serras entre o Minho e o Caramulo</w:t>
      </w:r>
      <w:r w:rsidRPr="0011294E">
        <w:rPr>
          <w:rStyle w:val="Refdenotaderodap"/>
          <w:rFonts w:ascii="Times New Roman" w:hAnsi="Times New Roman"/>
          <w:sz w:val="24"/>
          <w:szCs w:val="24"/>
        </w:rPr>
        <w:footnoteReference w:id="26"/>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As condições do relevo provocam também uma grande miscelânea em termos climáticos, pois consegue conjugar várias influências, como são os casos das atlânticas vindas de ocidente e as de leste que dão a certas zonas da região um carácter continental.</w:t>
      </w:r>
    </w:p>
    <w:p w:rsidR="0011294E" w:rsidRPr="0011294E" w:rsidRDefault="0011294E" w:rsidP="0011294E">
      <w:pPr>
        <w:autoSpaceDE w:val="0"/>
        <w:autoSpaceDN w:val="0"/>
        <w:adjustRightInd w:val="0"/>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No que diz respeito ao elenco florístico, a vegetação existente na área é repleta de diversidade e está intimamente relacionada com a ocupação humana e as suas atividades. Os bosques de folhosas são a base ancestral da vegetação local, com inúmeras espécies companheiras, arbustivas e herbáceas. Destacam-se as composições arbóreas de carvalho, castanheiros e pinheiros. </w:t>
      </w:r>
      <w:r w:rsidR="009D2BEB" w:rsidRPr="0011294E">
        <w:rPr>
          <w:rFonts w:ascii="Times New Roman" w:hAnsi="Times New Roman"/>
          <w:sz w:val="24"/>
          <w:szCs w:val="24"/>
        </w:rPr>
        <w:t xml:space="preserve">Associadas a estas massas florestais de influência atlântica e </w:t>
      </w:r>
      <w:r w:rsidR="009D2BEB">
        <w:rPr>
          <w:rFonts w:ascii="Times New Roman" w:hAnsi="Times New Roman"/>
          <w:sz w:val="24"/>
          <w:szCs w:val="24"/>
        </w:rPr>
        <w:t>euro</w:t>
      </w:r>
      <w:r w:rsidR="009D2BEB" w:rsidRPr="0011294E">
        <w:rPr>
          <w:rFonts w:ascii="Times New Roman" w:hAnsi="Times New Roman"/>
          <w:sz w:val="24"/>
          <w:szCs w:val="24"/>
        </w:rPr>
        <w:t xml:space="preserve"> siberiana, é possível, encontrar espécies como o abrunheiro </w:t>
      </w:r>
      <w:r w:rsidR="009D2BEB" w:rsidRPr="0011294E">
        <w:rPr>
          <w:rFonts w:ascii="Times New Roman" w:hAnsi="Times New Roman"/>
          <w:i/>
          <w:sz w:val="24"/>
          <w:szCs w:val="24"/>
        </w:rPr>
        <w:t xml:space="preserve">(Prunus spinosa), </w:t>
      </w:r>
      <w:r w:rsidR="009D2BEB" w:rsidRPr="0011294E">
        <w:rPr>
          <w:rFonts w:ascii="Times New Roman" w:hAnsi="Times New Roman"/>
          <w:sz w:val="24"/>
          <w:szCs w:val="24"/>
        </w:rPr>
        <w:t xml:space="preserve">o escambrunheiro ou pirliteiro </w:t>
      </w:r>
      <w:r w:rsidR="009D2BEB" w:rsidRPr="0011294E">
        <w:rPr>
          <w:rFonts w:ascii="Times New Roman" w:hAnsi="Times New Roman"/>
          <w:i/>
          <w:sz w:val="24"/>
          <w:szCs w:val="24"/>
        </w:rPr>
        <w:t>(Crataegus monogyna)</w:t>
      </w:r>
      <w:r w:rsidR="009D2BEB" w:rsidRPr="0011294E">
        <w:rPr>
          <w:rFonts w:ascii="Times New Roman" w:hAnsi="Times New Roman"/>
          <w:sz w:val="24"/>
          <w:szCs w:val="24"/>
        </w:rPr>
        <w:t xml:space="preserve"> ou o azevinho </w:t>
      </w:r>
      <w:r w:rsidR="009D2BEB" w:rsidRPr="0011294E">
        <w:rPr>
          <w:rFonts w:ascii="Times New Roman" w:hAnsi="Times New Roman"/>
          <w:i/>
          <w:sz w:val="24"/>
          <w:szCs w:val="24"/>
        </w:rPr>
        <w:lastRenderedPageBreak/>
        <w:t xml:space="preserve">(Ilex aquifolium). </w:t>
      </w:r>
      <w:r w:rsidRPr="0011294E">
        <w:rPr>
          <w:rFonts w:ascii="Times New Roman" w:hAnsi="Times New Roman"/>
          <w:sz w:val="24"/>
          <w:szCs w:val="24"/>
          <w:shd w:val="clear" w:color="auto" w:fill="FFFFFF"/>
        </w:rPr>
        <w:t xml:space="preserve">Os carvalhais são bosques muito diversificados, nos quais, embora domine o carvalho, existe um grande número de outras espécies de árvores e arbustos, como o zangarinho </w:t>
      </w:r>
      <w:r w:rsidRPr="0011294E">
        <w:rPr>
          <w:rFonts w:ascii="Times New Roman" w:hAnsi="Times New Roman"/>
          <w:i/>
          <w:sz w:val="24"/>
          <w:szCs w:val="24"/>
          <w:shd w:val="clear" w:color="auto" w:fill="FFFFFF"/>
        </w:rPr>
        <w:t>(frangula alnus)</w:t>
      </w:r>
      <w:r w:rsidRPr="0011294E">
        <w:rPr>
          <w:rFonts w:ascii="Times New Roman" w:hAnsi="Times New Roman"/>
          <w:sz w:val="24"/>
          <w:szCs w:val="24"/>
          <w:shd w:val="clear" w:color="auto" w:fill="FFFFFF"/>
        </w:rPr>
        <w:t xml:space="preserve">, a lamagueira </w:t>
      </w:r>
      <w:r w:rsidRPr="0011294E">
        <w:rPr>
          <w:rFonts w:ascii="Times New Roman" w:hAnsi="Times New Roman"/>
          <w:i/>
          <w:sz w:val="24"/>
          <w:szCs w:val="24"/>
          <w:shd w:val="clear" w:color="auto" w:fill="FFFFFF"/>
        </w:rPr>
        <w:t>(sorbus aucuparia)</w:t>
      </w:r>
      <w:r w:rsidRPr="0011294E">
        <w:rPr>
          <w:rFonts w:ascii="Times New Roman" w:hAnsi="Times New Roman"/>
          <w:sz w:val="24"/>
          <w:szCs w:val="24"/>
          <w:shd w:val="clear" w:color="auto" w:fill="FFFFFF"/>
        </w:rPr>
        <w:t xml:space="preserve"> e o vidoeiro </w:t>
      </w:r>
      <w:r w:rsidRPr="0011294E">
        <w:rPr>
          <w:rFonts w:ascii="Times New Roman" w:hAnsi="Times New Roman"/>
          <w:i/>
          <w:sz w:val="24"/>
          <w:szCs w:val="24"/>
          <w:shd w:val="clear" w:color="auto" w:fill="FFFFFF"/>
        </w:rPr>
        <w:t>(Betula)</w:t>
      </w:r>
      <w:r w:rsidRPr="0011294E">
        <w:rPr>
          <w:rFonts w:ascii="Times New Roman" w:hAnsi="Times New Roman"/>
          <w:sz w:val="24"/>
          <w:szCs w:val="24"/>
          <w:shd w:val="clear" w:color="auto" w:fill="FFFFFF"/>
        </w:rPr>
        <w:t>. Os carvalhais comportam ainda um vasto leque de flores silvestres, musgo, líquenes, fetos e fungos</w:t>
      </w:r>
      <w:r w:rsidRPr="0011294E">
        <w:rPr>
          <w:rStyle w:val="Refdenotaderodap"/>
          <w:rFonts w:ascii="Times New Roman" w:hAnsi="Times New Roman"/>
          <w:sz w:val="24"/>
          <w:szCs w:val="24"/>
          <w:shd w:val="clear" w:color="auto" w:fill="FFFFFF"/>
        </w:rPr>
        <w:footnoteReference w:id="27"/>
      </w:r>
      <w:r w:rsidRPr="0011294E">
        <w:rPr>
          <w:rFonts w:ascii="Times New Roman" w:hAnsi="Times New Roman"/>
          <w:sz w:val="24"/>
          <w:szCs w:val="24"/>
          <w:shd w:val="clear" w:color="auto" w:fill="FFFFFF"/>
        </w:rPr>
        <w:t xml:space="preserve">. </w:t>
      </w:r>
    </w:p>
    <w:p w:rsidR="0011294E" w:rsidRPr="0011294E" w:rsidRDefault="0011294E" w:rsidP="0011294E">
      <w:pPr>
        <w:spacing w:line="360" w:lineRule="auto"/>
        <w:ind w:firstLine="624"/>
        <w:jc w:val="both"/>
        <w:rPr>
          <w:rFonts w:ascii="Times New Roman" w:hAnsi="Times New Roman"/>
          <w:sz w:val="24"/>
          <w:szCs w:val="24"/>
          <w:shd w:val="clear" w:color="auto" w:fill="FFFFFF"/>
        </w:rPr>
      </w:pPr>
      <w:r w:rsidRPr="0011294E">
        <w:rPr>
          <w:rFonts w:ascii="Times New Roman" w:hAnsi="Times New Roman"/>
          <w:sz w:val="24"/>
          <w:szCs w:val="24"/>
          <w:shd w:val="clear" w:color="auto" w:fill="FFFFFF"/>
        </w:rPr>
        <w:t xml:space="preserve">Em locais de maior influência mediterrânica surgem as matas dominadas pelo sobreiro </w:t>
      </w:r>
      <w:r w:rsidRPr="0011294E">
        <w:rPr>
          <w:rFonts w:ascii="Times New Roman" w:hAnsi="Times New Roman"/>
          <w:i/>
          <w:sz w:val="24"/>
          <w:szCs w:val="24"/>
          <w:shd w:val="clear" w:color="auto" w:fill="FFFFFF"/>
        </w:rPr>
        <w:t>(Quercus suber)</w:t>
      </w:r>
      <w:r w:rsidRPr="0011294E">
        <w:rPr>
          <w:rFonts w:ascii="Times New Roman" w:hAnsi="Times New Roman"/>
          <w:sz w:val="24"/>
          <w:szCs w:val="24"/>
          <w:shd w:val="clear" w:color="auto" w:fill="FFFFFF"/>
        </w:rPr>
        <w:t xml:space="preserve"> e pela azinheira ou carrasco </w:t>
      </w:r>
      <w:r w:rsidRPr="0011294E">
        <w:rPr>
          <w:rFonts w:ascii="Times New Roman" w:hAnsi="Times New Roman"/>
          <w:i/>
          <w:sz w:val="24"/>
          <w:szCs w:val="24"/>
          <w:shd w:val="clear" w:color="auto" w:fill="FFFFFF"/>
        </w:rPr>
        <w:t>(Quercus ilex).</w:t>
      </w:r>
      <w:r w:rsidRPr="0011294E">
        <w:rPr>
          <w:rFonts w:ascii="Times New Roman" w:hAnsi="Times New Roman"/>
          <w:sz w:val="24"/>
          <w:szCs w:val="24"/>
          <w:shd w:val="clear" w:color="auto" w:fill="FFFFFF"/>
        </w:rPr>
        <w:t xml:space="preserve"> A oliveira </w:t>
      </w:r>
      <w:r w:rsidRPr="0011294E">
        <w:rPr>
          <w:rFonts w:ascii="Times New Roman" w:hAnsi="Times New Roman"/>
          <w:i/>
          <w:sz w:val="24"/>
          <w:szCs w:val="24"/>
          <w:shd w:val="clear" w:color="auto" w:fill="FFFFFF"/>
        </w:rPr>
        <w:t>(Olea europae)</w:t>
      </w:r>
      <w:r w:rsidRPr="0011294E">
        <w:rPr>
          <w:rFonts w:ascii="Times New Roman" w:hAnsi="Times New Roman"/>
          <w:sz w:val="24"/>
          <w:szCs w:val="24"/>
          <w:shd w:val="clear" w:color="auto" w:fill="FFFFFF"/>
        </w:rPr>
        <w:t xml:space="preserve"> é um dos sustentáculos da economia agrícola da região constituindo uma das imagens de marca da paisagem local. O medronheiro </w:t>
      </w:r>
      <w:r w:rsidRPr="0011294E">
        <w:rPr>
          <w:rFonts w:ascii="Times New Roman" w:hAnsi="Times New Roman"/>
          <w:i/>
          <w:sz w:val="24"/>
          <w:szCs w:val="24"/>
          <w:shd w:val="clear" w:color="auto" w:fill="FFFFFF"/>
        </w:rPr>
        <w:t>(Arbutus unedo),</w:t>
      </w:r>
      <w:r w:rsidRPr="0011294E">
        <w:rPr>
          <w:rFonts w:ascii="Times New Roman" w:hAnsi="Times New Roman"/>
          <w:sz w:val="24"/>
          <w:szCs w:val="24"/>
          <w:shd w:val="clear" w:color="auto" w:fill="FFFFFF"/>
        </w:rPr>
        <w:t xml:space="preserve"> o rosmaninho </w:t>
      </w:r>
      <w:r w:rsidRPr="0011294E">
        <w:rPr>
          <w:rFonts w:ascii="Times New Roman" w:hAnsi="Times New Roman"/>
          <w:i/>
          <w:sz w:val="24"/>
          <w:szCs w:val="24"/>
          <w:shd w:val="clear" w:color="auto" w:fill="FFFFFF"/>
        </w:rPr>
        <w:t>(Lavandula stoechas subsp. pedunculata)</w:t>
      </w:r>
      <w:r w:rsidRPr="0011294E">
        <w:rPr>
          <w:rFonts w:ascii="Times New Roman" w:hAnsi="Times New Roman"/>
          <w:sz w:val="24"/>
          <w:szCs w:val="24"/>
          <w:shd w:val="clear" w:color="auto" w:fill="FFFFFF"/>
        </w:rPr>
        <w:t xml:space="preserve"> e a esteva </w:t>
      </w:r>
      <w:r w:rsidRPr="0011294E">
        <w:rPr>
          <w:rFonts w:ascii="Times New Roman" w:hAnsi="Times New Roman"/>
          <w:i/>
          <w:sz w:val="24"/>
          <w:szCs w:val="24"/>
          <w:shd w:val="clear" w:color="auto" w:fill="FFFFFF"/>
        </w:rPr>
        <w:t>(Cistus ladanifer),</w:t>
      </w:r>
      <w:r w:rsidRPr="0011294E">
        <w:rPr>
          <w:rFonts w:ascii="Times New Roman" w:hAnsi="Times New Roman"/>
          <w:sz w:val="24"/>
          <w:szCs w:val="24"/>
          <w:shd w:val="clear" w:color="auto" w:fill="FFFFFF"/>
        </w:rPr>
        <w:t xml:space="preserve"> são dos arbustos mais apreciados pelas espécies melíferas</w:t>
      </w:r>
      <w:r w:rsidRPr="0011294E">
        <w:rPr>
          <w:rStyle w:val="Refdenotaderodap"/>
          <w:rFonts w:ascii="Times New Roman" w:hAnsi="Times New Roman"/>
          <w:sz w:val="24"/>
          <w:szCs w:val="24"/>
          <w:shd w:val="clear" w:color="auto" w:fill="FFFFFF"/>
        </w:rPr>
        <w:footnoteReference w:id="28"/>
      </w:r>
      <w:r w:rsidRPr="0011294E">
        <w:rPr>
          <w:rFonts w:ascii="Times New Roman" w:hAnsi="Times New Roman"/>
          <w:sz w:val="24"/>
          <w:szCs w:val="24"/>
          <w:shd w:val="clear" w:color="auto" w:fill="FFFFFF"/>
        </w:rPr>
        <w:t>.</w:t>
      </w:r>
    </w:p>
    <w:p w:rsidR="0011294E" w:rsidRPr="0011294E" w:rsidRDefault="0011294E" w:rsidP="0011294E">
      <w:pPr>
        <w:spacing w:line="360" w:lineRule="auto"/>
        <w:ind w:firstLine="624"/>
        <w:jc w:val="both"/>
        <w:rPr>
          <w:rFonts w:ascii="Times New Roman" w:hAnsi="Times New Roman"/>
          <w:sz w:val="24"/>
          <w:szCs w:val="24"/>
          <w:shd w:val="clear" w:color="auto" w:fill="FFFFFF"/>
        </w:rPr>
      </w:pPr>
      <w:r w:rsidRPr="0011294E">
        <w:rPr>
          <w:rFonts w:ascii="Times New Roman" w:hAnsi="Times New Roman"/>
          <w:sz w:val="24"/>
          <w:szCs w:val="24"/>
          <w:shd w:val="clear" w:color="auto" w:fill="FFFFFF"/>
        </w:rPr>
        <w:t xml:space="preserve">Em relação à fauna selvagem destacamos a classe dos invertebrados, a existência da lesma </w:t>
      </w:r>
      <w:r w:rsidRPr="0011294E">
        <w:rPr>
          <w:rFonts w:ascii="Times New Roman" w:hAnsi="Times New Roman"/>
          <w:sz w:val="24"/>
          <w:szCs w:val="24"/>
        </w:rPr>
        <w:t>da família Arionidae</w:t>
      </w:r>
      <w:r w:rsidRPr="0011294E">
        <w:rPr>
          <w:rFonts w:ascii="Times New Roman" w:hAnsi="Times New Roman"/>
          <w:i/>
          <w:sz w:val="24"/>
          <w:szCs w:val="24"/>
          <w:shd w:val="clear" w:color="auto" w:fill="FFFFFF"/>
        </w:rPr>
        <w:t xml:space="preserve"> (Geomalacus, maculosus)</w:t>
      </w:r>
      <w:r w:rsidRPr="0011294E">
        <w:rPr>
          <w:rFonts w:ascii="Times New Roman" w:hAnsi="Times New Roman"/>
          <w:sz w:val="24"/>
          <w:szCs w:val="24"/>
          <w:shd w:val="clear" w:color="auto" w:fill="FFFFFF"/>
        </w:rPr>
        <w:t xml:space="preserve">, da cabra-loira </w:t>
      </w:r>
      <w:r w:rsidRPr="0011294E">
        <w:rPr>
          <w:rFonts w:ascii="Times New Roman" w:hAnsi="Times New Roman"/>
          <w:i/>
          <w:sz w:val="24"/>
          <w:szCs w:val="24"/>
          <w:shd w:val="clear" w:color="auto" w:fill="FFFFFF"/>
        </w:rPr>
        <w:t>(Lucanus cervus)</w:t>
      </w:r>
      <w:r w:rsidRPr="0011294E">
        <w:rPr>
          <w:rFonts w:ascii="Times New Roman" w:hAnsi="Times New Roman"/>
          <w:sz w:val="24"/>
          <w:szCs w:val="24"/>
          <w:shd w:val="clear" w:color="auto" w:fill="FFFFFF"/>
        </w:rPr>
        <w:t xml:space="preserve"> e do Mexilhão-de água-doce </w:t>
      </w:r>
      <w:r w:rsidRPr="0011294E">
        <w:rPr>
          <w:rFonts w:ascii="Times New Roman" w:hAnsi="Times New Roman"/>
          <w:i/>
          <w:sz w:val="24"/>
          <w:szCs w:val="24"/>
          <w:shd w:val="clear" w:color="auto" w:fill="FFFFFF"/>
        </w:rPr>
        <w:t xml:space="preserve">(Margaretifera). </w:t>
      </w:r>
      <w:r w:rsidRPr="0011294E">
        <w:rPr>
          <w:rFonts w:ascii="Times New Roman" w:hAnsi="Times New Roman"/>
          <w:sz w:val="24"/>
          <w:szCs w:val="24"/>
          <w:shd w:val="clear" w:color="auto" w:fill="FFFFFF"/>
        </w:rPr>
        <w:t xml:space="preserve">Na classe dos animais vertebrados podemos destacar a marta </w:t>
      </w:r>
      <w:r w:rsidRPr="0011294E">
        <w:rPr>
          <w:rFonts w:ascii="Times New Roman" w:hAnsi="Times New Roman"/>
          <w:i/>
          <w:sz w:val="24"/>
          <w:szCs w:val="24"/>
          <w:shd w:val="clear" w:color="auto" w:fill="FFFFFF"/>
        </w:rPr>
        <w:t>(Martes),</w:t>
      </w:r>
      <w:r w:rsidRPr="0011294E">
        <w:rPr>
          <w:rFonts w:ascii="Times New Roman" w:hAnsi="Times New Roman"/>
          <w:sz w:val="24"/>
          <w:szCs w:val="24"/>
          <w:shd w:val="clear" w:color="auto" w:fill="FFFFFF"/>
        </w:rPr>
        <w:t xml:space="preserve"> o armindo </w:t>
      </w:r>
      <w:r w:rsidRPr="0011294E">
        <w:rPr>
          <w:rFonts w:ascii="Times New Roman" w:hAnsi="Times New Roman"/>
          <w:i/>
          <w:sz w:val="24"/>
          <w:szCs w:val="24"/>
          <w:shd w:val="clear" w:color="auto" w:fill="FFFFFF"/>
        </w:rPr>
        <w:t>(Mustela erminea)</w:t>
      </w:r>
      <w:r w:rsidRPr="0011294E">
        <w:rPr>
          <w:rFonts w:ascii="Times New Roman" w:hAnsi="Times New Roman"/>
          <w:sz w:val="24"/>
          <w:szCs w:val="24"/>
          <w:shd w:val="clear" w:color="auto" w:fill="FFFFFF"/>
        </w:rPr>
        <w:t xml:space="preserve"> e o picanço-de-dorso-vermelho</w:t>
      </w:r>
      <w:r w:rsidRPr="0011294E">
        <w:rPr>
          <w:rFonts w:ascii="Times New Roman" w:hAnsi="Times New Roman"/>
          <w:i/>
          <w:sz w:val="24"/>
          <w:szCs w:val="24"/>
          <w:shd w:val="clear" w:color="auto" w:fill="FFFFFF"/>
        </w:rPr>
        <w:t xml:space="preserve"> (Lanius collurio)</w:t>
      </w:r>
      <w:r w:rsidRPr="0011294E">
        <w:rPr>
          <w:rFonts w:ascii="Times New Roman" w:hAnsi="Times New Roman"/>
          <w:sz w:val="24"/>
          <w:szCs w:val="24"/>
          <w:shd w:val="clear" w:color="auto" w:fill="FFFFFF"/>
        </w:rPr>
        <w:t xml:space="preserve">. Relativamente aos animais domésticos, que contribuem para a economia familiar destas populações, podemos destacar as raças autóctones como o cavalo de raça luso-galega </w:t>
      </w:r>
      <w:r w:rsidRPr="0011294E">
        <w:rPr>
          <w:rFonts w:ascii="Times New Roman" w:hAnsi="Times New Roman"/>
          <w:i/>
          <w:sz w:val="24"/>
          <w:szCs w:val="24"/>
          <w:shd w:val="clear" w:color="auto" w:fill="FFFFFF"/>
        </w:rPr>
        <w:t>(Garrana),</w:t>
      </w:r>
      <w:r w:rsidRPr="0011294E">
        <w:rPr>
          <w:rFonts w:ascii="Times New Roman" w:hAnsi="Times New Roman"/>
          <w:sz w:val="24"/>
          <w:szCs w:val="24"/>
          <w:shd w:val="clear" w:color="auto" w:fill="FFFFFF"/>
        </w:rPr>
        <w:t xml:space="preserve"> os caprinos </w:t>
      </w:r>
      <w:r w:rsidRPr="0011294E">
        <w:rPr>
          <w:rFonts w:ascii="Times New Roman" w:hAnsi="Times New Roman"/>
          <w:i/>
          <w:sz w:val="24"/>
          <w:szCs w:val="24"/>
          <w:shd w:val="clear" w:color="auto" w:fill="FFFFFF"/>
        </w:rPr>
        <w:t>(capra hircus)</w:t>
      </w:r>
      <w:r w:rsidRPr="0011294E">
        <w:rPr>
          <w:rFonts w:ascii="Times New Roman" w:hAnsi="Times New Roman"/>
          <w:sz w:val="24"/>
          <w:szCs w:val="24"/>
          <w:shd w:val="clear" w:color="auto" w:fill="FFFFFF"/>
        </w:rPr>
        <w:t xml:space="preserve">, das raças Bravia e a Serrana Transmontana, e os ovinos </w:t>
      </w:r>
      <w:r w:rsidRPr="0011294E">
        <w:rPr>
          <w:rFonts w:ascii="Times New Roman" w:hAnsi="Times New Roman"/>
          <w:i/>
          <w:sz w:val="24"/>
          <w:szCs w:val="24"/>
          <w:shd w:val="clear" w:color="auto" w:fill="FFFFFF"/>
        </w:rPr>
        <w:t>(Ovis Aries),</w:t>
      </w:r>
      <w:r w:rsidRPr="0011294E">
        <w:rPr>
          <w:rFonts w:ascii="Times New Roman" w:hAnsi="Times New Roman"/>
          <w:sz w:val="24"/>
          <w:szCs w:val="24"/>
          <w:shd w:val="clear" w:color="auto" w:fill="FFFFFF"/>
        </w:rPr>
        <w:t xml:space="preserve"> das raças de Bordaleira de Entre Douro e Minho, Charrua da Terra Quente e a Galega Bragançana.</w:t>
      </w:r>
    </w:p>
    <w:p w:rsidR="0011294E" w:rsidRPr="0011294E" w:rsidRDefault="0011294E" w:rsidP="0011294E">
      <w:pPr>
        <w:spacing w:line="360" w:lineRule="auto"/>
        <w:ind w:firstLine="624"/>
        <w:jc w:val="both"/>
        <w:rPr>
          <w:rFonts w:ascii="Times New Roman" w:hAnsi="Times New Roman"/>
          <w:sz w:val="24"/>
          <w:szCs w:val="24"/>
          <w:shd w:val="clear" w:color="auto" w:fill="FFFFFF"/>
        </w:rPr>
      </w:pPr>
      <w:r w:rsidRPr="0011294E">
        <w:rPr>
          <w:rFonts w:ascii="Times New Roman" w:hAnsi="Times New Roman"/>
          <w:sz w:val="24"/>
          <w:szCs w:val="24"/>
          <w:shd w:val="clear" w:color="auto" w:fill="FFFFFF"/>
        </w:rPr>
        <w:t>Na classe dos bovinos sobrevêm três raças autóctones: a Barrosã, a Maronesa e a Mirandesa. O porco (</w:t>
      </w:r>
      <w:r w:rsidRPr="0011294E">
        <w:rPr>
          <w:rFonts w:ascii="Times New Roman" w:hAnsi="Times New Roman"/>
          <w:i/>
          <w:sz w:val="24"/>
          <w:szCs w:val="24"/>
          <w:shd w:val="clear" w:color="auto" w:fill="FFFFFF"/>
        </w:rPr>
        <w:t>Sus domestica</w:t>
      </w:r>
      <w:r w:rsidRPr="0011294E">
        <w:rPr>
          <w:rFonts w:ascii="Times New Roman" w:hAnsi="Times New Roman"/>
          <w:sz w:val="24"/>
          <w:szCs w:val="24"/>
          <w:shd w:val="clear" w:color="auto" w:fill="FFFFFF"/>
        </w:rPr>
        <w:t>), representado pela raça autóctone Bísaro, foi (e continua a ser) um animal de extrema importância cultural e económica</w:t>
      </w:r>
      <w:r w:rsidRPr="0011294E">
        <w:rPr>
          <w:rStyle w:val="Refdenotaderodap"/>
          <w:rFonts w:ascii="Times New Roman" w:hAnsi="Times New Roman"/>
          <w:sz w:val="24"/>
          <w:szCs w:val="24"/>
          <w:shd w:val="clear" w:color="auto" w:fill="FFFFFF"/>
        </w:rPr>
        <w:footnoteReference w:id="29"/>
      </w:r>
      <w:r w:rsidRPr="0011294E">
        <w:rPr>
          <w:rFonts w:ascii="Times New Roman" w:hAnsi="Times New Roman"/>
          <w:sz w:val="24"/>
          <w:szCs w:val="24"/>
          <w:shd w:val="clear" w:color="auto" w:fill="FFFFFF"/>
        </w:rPr>
        <w:t>.</w:t>
      </w:r>
    </w:p>
    <w:p w:rsidR="0011294E" w:rsidRPr="0011294E" w:rsidRDefault="0011294E" w:rsidP="0011294E">
      <w:pPr>
        <w:spacing w:line="360" w:lineRule="auto"/>
        <w:ind w:firstLine="624"/>
        <w:jc w:val="both"/>
        <w:rPr>
          <w:rFonts w:ascii="Times New Roman" w:hAnsi="Times New Roman"/>
          <w:b/>
          <w:sz w:val="24"/>
          <w:szCs w:val="24"/>
        </w:rPr>
      </w:pPr>
    </w:p>
    <w:p w:rsidR="0011294E" w:rsidRPr="00FB5448" w:rsidRDefault="0011294E" w:rsidP="0011294E">
      <w:pPr>
        <w:pStyle w:val="Ttulo2"/>
        <w:rPr>
          <w:rFonts w:ascii="Times New Roman" w:hAnsi="Times New Roman" w:cs="Times New Roman"/>
          <w:sz w:val="32"/>
          <w:szCs w:val="32"/>
        </w:rPr>
      </w:pPr>
      <w:bookmarkStart w:id="6" w:name="_Toc430358525"/>
      <w:bookmarkStart w:id="7" w:name="_Toc441612268"/>
      <w:r w:rsidRPr="00FB5448">
        <w:rPr>
          <w:rFonts w:ascii="Times New Roman" w:hAnsi="Times New Roman" w:cs="Times New Roman"/>
          <w:sz w:val="32"/>
          <w:szCs w:val="32"/>
        </w:rPr>
        <w:lastRenderedPageBreak/>
        <w:t>2. Antecedentes de Ocupação Medieval</w:t>
      </w:r>
      <w:bookmarkEnd w:id="6"/>
      <w:bookmarkEnd w:id="7"/>
    </w:p>
    <w:p w:rsidR="0011294E" w:rsidRPr="00FB5448" w:rsidRDefault="0011294E" w:rsidP="0011294E">
      <w:pPr>
        <w:pStyle w:val="Ttulo2"/>
        <w:rPr>
          <w:rFonts w:ascii="Times New Roman" w:hAnsi="Times New Roman" w:cs="Times New Roman"/>
          <w:sz w:val="24"/>
          <w:szCs w:val="24"/>
        </w:rPr>
      </w:pPr>
      <w:bookmarkStart w:id="8" w:name="_Toc430358526"/>
      <w:bookmarkStart w:id="9" w:name="_Toc441612269"/>
      <w:r w:rsidRPr="00FB5448">
        <w:rPr>
          <w:rFonts w:ascii="Times New Roman" w:hAnsi="Times New Roman" w:cs="Times New Roman"/>
          <w:sz w:val="24"/>
          <w:szCs w:val="24"/>
        </w:rPr>
        <w:t>2.1 Dos primórdios da ocupação Humana ao Império Romano</w:t>
      </w:r>
      <w:bookmarkEnd w:id="8"/>
      <w:bookmarkEnd w:id="9"/>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Este capítulo é consagrado à evolução da ocupação humana no espaço geográfico do antigo concelho de Monforte de Rio Livre antes da Idade Média.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 espaço administrativo e geográfico a que nos referimos encontra-se hoje repartido entre os concelhos de Chaves e Valpaços. Para uma melhor interpretação da ocupação deste espaço procedemos à elaboração de uma base de dados com todos os vestígios arqueológicos dos concelhos de Chaves e Valpaços para posteriormente cartografamos os sítios de maior interesse, fazendo uma análise mais circunstanciada e abrangente.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 região do Alto Tâmega apresenta vestígios de ocupação humana desde o período da Pré-História. Efetivamente, esta área geográfica apresenta-se com excelentes condições para a implantação humana durante a Pré-História recente, devido ao seu vale largo e fértil onde se destacam morros ou plataformas em esporão que ofereciam potenciais condições de vigia e defesa sobre o Tâmega</w:t>
      </w:r>
      <w:r w:rsidRPr="0011294E">
        <w:rPr>
          <w:rStyle w:val="Refdenotaderodap"/>
          <w:rFonts w:ascii="Times New Roman" w:hAnsi="Times New Roman"/>
          <w:sz w:val="24"/>
          <w:szCs w:val="24"/>
        </w:rPr>
        <w:footnoteReference w:id="30"/>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O primeiro achado que nos permite comprovar a ocupação humana neste espaço desde o Paleolítico Inferior, ocorre em 1890, com a descoberta de um biface de tipo acheulense, na Serra do Brunheiro. Apresenta-se como um achado pouco usual e com dimensões bastante consideráveis</w:t>
      </w:r>
      <w:r w:rsidRPr="0011294E">
        <w:rPr>
          <w:rStyle w:val="Refdenotaderodap"/>
          <w:rFonts w:ascii="Times New Roman" w:hAnsi="Times New Roman"/>
          <w:sz w:val="24"/>
          <w:szCs w:val="24"/>
        </w:rPr>
        <w:footnoteReference w:id="31"/>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Para além deste achado, podemos referir sete povoados que dizem respeito à presença humana ao longo da Pré-História recente, mais concretamente nos períodos do Calcolítico e Idade do Bronze, demostrados através de vários vestígios materiais</w:t>
      </w:r>
      <w:r w:rsidRPr="0011294E">
        <w:rPr>
          <w:rStyle w:val="Refdenotaderodap"/>
          <w:rFonts w:ascii="Times New Roman" w:hAnsi="Times New Roman"/>
          <w:sz w:val="24"/>
          <w:szCs w:val="24"/>
        </w:rPr>
        <w:footnoteReference w:id="32"/>
      </w:r>
      <w:r w:rsidRPr="0011294E">
        <w:rPr>
          <w:rFonts w:ascii="Times New Roman" w:hAnsi="Times New Roman"/>
          <w:sz w:val="24"/>
          <w:szCs w:val="24"/>
        </w:rPr>
        <w:t xml:space="preserve">. Estes povoados foram alvo de estudos rigorosos nos anos 80 do século passado. Trata-se dos povoados da Vinha da Soutilha, Circo, Muro da Pastoria, Outeiro do Seco, S. Lourenço, N.ª Senhora da Bandeira e Castras de Moreira.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Destes povoados da Pré-História recente destacamos o povoado da Vinha da Soutilha, uma vez que se apresenta como o melhor exemplo de um povoamento nuclearizado junto de afloramentos rochosos instalados numa plataforma em esporão de encosta, delimitado por ribeiros e com condições naturais de defesa e controle sobre a Veiga de Chaves</w:t>
      </w:r>
      <w:r w:rsidRPr="0011294E">
        <w:rPr>
          <w:rStyle w:val="Refdenotaderodap"/>
          <w:rFonts w:ascii="Times New Roman" w:hAnsi="Times New Roman"/>
          <w:sz w:val="24"/>
          <w:szCs w:val="24"/>
        </w:rPr>
        <w:footnoteReference w:id="33"/>
      </w:r>
      <w:r w:rsidRPr="0011294E">
        <w:rPr>
          <w:rFonts w:ascii="Times New Roman" w:hAnsi="Times New Roman"/>
          <w:sz w:val="24"/>
          <w:szCs w:val="24"/>
        </w:rPr>
        <w:t xml:space="preserve">. Podemos ainda, constatar que a maioria destes povoados encontra-se em zonas de altitude elevada e em áreas de relativamente próximas dos vales dos rios ou ribeiras principais. Assim, as estações de Vinha da Soutilha, Pastoria e S. Lourenço encontram-se entre os 500 e os 880 metros de altitude absoluta. Devemos, ainda, ter em atenção que a forma de assentamento destes povoados é semelhante à de outros períodos cronológicos mais tardios, uma vez que a estratégia de povoamento adotada é a mesma. O que se verifica na maioria destes povoados é que são transversais no tempo, na medida em que vão ser utilizados posteriormente numa fase mais avançada da evolução humana, designadamente na Proto-História.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Para além destes povoados, podemos referir outros locais que justificam a ocupação humana deste espaço na Pré-História, designadamente os povoados de Outeiro Seco, com a existência e machados, enxós polidos e percutores; S. Lourenço, que apresenta materiais diversos, com destaque para pontas de seta, punhais de lingueta ou rebite; e os achados isolados na Serra do Brunheiro, designadamente duas pontas bifaciais de sílex, datadas do Calcolítico</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Apesar de existir uma grande abundância de estruturas pré-históricas no Alto Tâmega, os registos da sua presença na nossa área de trabalho, são praticamente inexistentes. Os vestígios prendem-se sobretudo com a existência de habitats pré-históricos e achados isolados. No que se refere à Arte Rupestre, a conhecida remonta à Idade do Ferro e ao período Romano.</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 Idade do Bronze caraterizou-se por uma fase de afirmação do poder, que se define como uma “</w:t>
      </w:r>
      <w:r w:rsidRPr="0011294E">
        <w:rPr>
          <w:rFonts w:ascii="Times New Roman" w:hAnsi="Times New Roman"/>
          <w:iCs/>
          <w:sz w:val="24"/>
          <w:szCs w:val="24"/>
        </w:rPr>
        <w:t xml:space="preserve">ascensão convergente de pequenos </w:t>
      </w:r>
      <w:r w:rsidR="009D2BEB" w:rsidRPr="0011294E">
        <w:rPr>
          <w:rFonts w:ascii="Times New Roman" w:hAnsi="Times New Roman"/>
          <w:iCs/>
          <w:sz w:val="24"/>
          <w:szCs w:val="24"/>
        </w:rPr>
        <w:t>chefiados</w:t>
      </w:r>
      <w:r w:rsidRPr="0011294E">
        <w:rPr>
          <w:rFonts w:ascii="Times New Roman" w:hAnsi="Times New Roman"/>
          <w:iCs/>
          <w:sz w:val="24"/>
          <w:szCs w:val="24"/>
        </w:rPr>
        <w:t xml:space="preserve">, cuja consolidação teria passado a depender da sua inserção em </w:t>
      </w:r>
      <w:r w:rsidRPr="0011294E">
        <w:rPr>
          <w:rFonts w:ascii="Times New Roman" w:hAnsi="Times New Roman"/>
          <w:bCs/>
          <w:iCs/>
          <w:sz w:val="24"/>
          <w:szCs w:val="24"/>
        </w:rPr>
        <w:t>redes</w:t>
      </w:r>
      <w:r w:rsidRPr="0011294E">
        <w:rPr>
          <w:rFonts w:ascii="Times New Roman" w:hAnsi="Times New Roman"/>
          <w:iCs/>
          <w:sz w:val="24"/>
          <w:szCs w:val="24"/>
        </w:rPr>
        <w:t>mais alargadas de trocas de artefactos de luxo</w:t>
      </w:r>
      <w:r w:rsidRPr="0011294E">
        <w:rPr>
          <w:rFonts w:ascii="Times New Roman" w:hAnsi="Times New Roman"/>
          <w:sz w:val="24"/>
          <w:szCs w:val="24"/>
        </w:rPr>
        <w:t>”</w:t>
      </w:r>
      <w:r w:rsidRPr="0011294E">
        <w:rPr>
          <w:rStyle w:val="Refdenotaderodap"/>
          <w:rFonts w:ascii="Times New Roman" w:hAnsi="Times New Roman"/>
          <w:sz w:val="24"/>
          <w:szCs w:val="24"/>
        </w:rPr>
        <w:footnoteReference w:id="34"/>
      </w:r>
      <w:r w:rsidRPr="0011294E">
        <w:rPr>
          <w:rFonts w:ascii="Times New Roman" w:hAnsi="Times New Roman"/>
          <w:sz w:val="24"/>
          <w:szCs w:val="24"/>
        </w:rPr>
        <w:t xml:space="preserve">. Nesta época podemos observar uma clara opção pela implementação de </w:t>
      </w:r>
      <w:r w:rsidR="009D2BEB" w:rsidRPr="0011294E">
        <w:rPr>
          <w:rFonts w:ascii="Times New Roman" w:hAnsi="Times New Roman"/>
          <w:sz w:val="24"/>
          <w:szCs w:val="24"/>
        </w:rPr>
        <w:t>povoados abertos</w:t>
      </w:r>
      <w:r w:rsidRPr="0011294E">
        <w:rPr>
          <w:rFonts w:ascii="Times New Roman" w:hAnsi="Times New Roman"/>
          <w:sz w:val="24"/>
          <w:szCs w:val="24"/>
        </w:rPr>
        <w:t xml:space="preserve">, em detrimento dos povoados fortificados da época anterior. Que se </w:t>
      </w:r>
      <w:r w:rsidRPr="0011294E">
        <w:rPr>
          <w:rFonts w:ascii="Times New Roman" w:hAnsi="Times New Roman"/>
          <w:sz w:val="24"/>
          <w:szCs w:val="24"/>
        </w:rPr>
        <w:lastRenderedPageBreak/>
        <w:t>deve muito em parte a uma previsível interdependência política da estrutura da sociedade que colocaria de parte uma visão extremamente defensiva do povoamento</w:t>
      </w:r>
      <w:r w:rsidRPr="0011294E">
        <w:rPr>
          <w:rStyle w:val="Refdenotaderodap"/>
          <w:rFonts w:ascii="Times New Roman" w:hAnsi="Times New Roman"/>
          <w:sz w:val="24"/>
          <w:szCs w:val="24"/>
        </w:rPr>
        <w:footnoteReference w:id="35"/>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 Idade do Bronze caracteriza-se por uma fase de complexificação social, devido a uma crescente hierarquização e integração sociopolítica apresentando-se como uma rutura com os períodos antecedentes. Dos achados mais importantes podemos anunciar os sete machado metálicos, recolhidos no aro de Chaves, cuja tipologia remete para o III milénio e inícios do II milénio a. C. Analisando os dados deste período, e comparando com os períodos anteriores, concluímos que existe uma maior concentração populacional dos povoados. Esta situação leva-nos a crer que as comunidades estariam integradas em unidades territoriais físicas e simbólicas, onde o povoamento seria hierarquizado. Ana Bettencourt propõe a possibilidade da existência de lugares centrais, tal como na Proto-História, relativamente às organizações gentílicas suprafamiliares, em diversos castros que estariam inseridos numa rede de dependência face a outros de maior dimensão</w:t>
      </w:r>
      <w:r w:rsidRPr="0011294E">
        <w:rPr>
          <w:rStyle w:val="Refdenotaderodap"/>
          <w:rFonts w:ascii="Times New Roman" w:hAnsi="Times New Roman"/>
          <w:sz w:val="24"/>
          <w:szCs w:val="24"/>
        </w:rPr>
        <w:footnoteReference w:id="36"/>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Efetivamente a região de Chaves é rica em machados de bronze, que muito devem à existência de jazigos de estanho e de cobre, que na realidade, é de há muito conhecida, e cuja exploração remonta a tempos pré-históricos. Assim, seria possível a produção local de ligas bronzíferas, a partir do primeiro quartel do II milénio, como se pode verificar em Trás-os-Montes, na estação de Fraga dos Corvos, Macedo de Cavaleiros</w:t>
      </w:r>
      <w:r w:rsidRPr="0011294E">
        <w:rPr>
          <w:rStyle w:val="Refdenotaderodap"/>
          <w:rFonts w:ascii="Times New Roman" w:hAnsi="Times New Roman"/>
          <w:sz w:val="24"/>
          <w:szCs w:val="24"/>
        </w:rPr>
        <w:footnoteReference w:id="37"/>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Os vestígios da Idade do Bronze registam ainda vários depósitos. Podemos realçar o exemplo de Viela Seca (Chaves), achado constituído por dois machados de talão e duas argolas, um machado de alvado com uma argola, entre outros materiais metálicos. Ou o aparecimento das estátuas-menir de Faiões e de Chaves, que funcionariam como marcas territoriais, como forma de propaganda e de autopromoção das elites locais</w:t>
      </w:r>
      <w:r w:rsidRPr="0011294E">
        <w:rPr>
          <w:rStyle w:val="Refdenotaderodap"/>
          <w:rFonts w:ascii="Times New Roman" w:hAnsi="Times New Roman"/>
          <w:sz w:val="24"/>
          <w:szCs w:val="24"/>
        </w:rPr>
        <w:footnoteReference w:id="38"/>
      </w:r>
      <w:r w:rsidRPr="0011294E">
        <w:rPr>
          <w:rFonts w:ascii="Times New Roman" w:hAnsi="Times New Roman"/>
          <w:sz w:val="24"/>
          <w:szCs w:val="24"/>
        </w:rPr>
        <w:t>. Assim, a atividade metalúrgica manteve-se importante na Idade do Bronze, como se comprova pela abundância de produção de artefactos metálicos.</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Na Idade do Ferro conseguimos identificar um conjunto significado de povoados amuralhados que tornaram, mais tarde, estes locais apetecíveis para uma futura ocupação militar medieval. Analisando a distribuição dos povoados no espaço de estudo observamos que existe uma forte densidade ao longo da depressão de Chaves e da margem direita do rio Tâmega</w:t>
      </w:r>
      <w:r w:rsidR="00D4737C">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Os povoados fortificados da designada Iª Idade do Ferro</w:t>
      </w:r>
      <w:r w:rsidRPr="0011294E">
        <w:rPr>
          <w:rFonts w:ascii="Times New Roman" w:hAnsi="Times New Roman"/>
          <w:sz w:val="24"/>
          <w:szCs w:val="24"/>
          <w:vertAlign w:val="superscript"/>
        </w:rPr>
        <w:footnoteReference w:id="39"/>
      </w:r>
      <w:r w:rsidRPr="0011294E">
        <w:rPr>
          <w:rFonts w:ascii="Times New Roman" w:hAnsi="Times New Roman"/>
          <w:sz w:val="24"/>
          <w:szCs w:val="24"/>
        </w:rPr>
        <w:t xml:space="preserve"> implantavam-se em locais bastante proeminentes e inacessíveis, defendidos naturalmente, embora já com defesas artificiais, e com uma ampla visibilidade para o entorno. Existe apenas uma modificação relativa do espaço pré-existente, produzindo-se uma coincidência entre a extensão do assentamento e a superfície da forma orográfica na qual se implanta. Existe desta forma uma adaptação dos povoados ao espaço natural selecionado</w:t>
      </w:r>
      <w:r w:rsidRPr="0011294E">
        <w:rPr>
          <w:rFonts w:ascii="Times New Roman" w:hAnsi="Times New Roman"/>
          <w:sz w:val="24"/>
          <w:szCs w:val="24"/>
          <w:vertAlign w:val="superscript"/>
        </w:rPr>
        <w:footnoteReference w:id="40"/>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Por sua vez, os castros da IIª fase da Idade do Ferro passam a situar-se em zonas de vale, permitindo uma maior proximidade a terrenos agrícolas, tendo por isso menos condições naturais de defesa, o que implicou um reforço das condições de defesa artificiais. Assistimos neste sentido, a uma adaptação dos povoados ao espaço natural envolvente</w:t>
      </w:r>
      <w:r w:rsidRPr="0011294E">
        <w:rPr>
          <w:rStyle w:val="Refdenotaderodap"/>
          <w:rFonts w:ascii="Times New Roman" w:hAnsi="Times New Roman"/>
          <w:sz w:val="24"/>
          <w:szCs w:val="24"/>
        </w:rPr>
        <w:footnoteReference w:id="41"/>
      </w:r>
      <w:r w:rsidRPr="0011294E">
        <w:rPr>
          <w:rFonts w:ascii="Times New Roman" w:hAnsi="Times New Roman"/>
          <w:sz w:val="24"/>
          <w:szCs w:val="24"/>
        </w:rPr>
        <w:t>. Estas soluções defensivas implicariam uma considerável mão-de-obra, que só poderá ser entendida como resultando de uma interação entre os povoados</w:t>
      </w:r>
      <w:r w:rsidRPr="0011294E">
        <w:rPr>
          <w:rStyle w:val="Refdenotaderodap"/>
          <w:rFonts w:ascii="Times New Roman" w:hAnsi="Times New Roman"/>
          <w:sz w:val="24"/>
          <w:szCs w:val="24"/>
        </w:rPr>
        <w:footnoteReference w:id="42"/>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Para a ocorrência destas alterações na paisagem muito deve ter contribuído o clima de instabilidade provocado pela campanha de</w:t>
      </w:r>
      <w:r w:rsidRPr="0011294E">
        <w:rPr>
          <w:rFonts w:ascii="Times New Roman" w:hAnsi="Times New Roman"/>
          <w:i/>
          <w:sz w:val="24"/>
          <w:szCs w:val="24"/>
        </w:rPr>
        <w:t xml:space="preserve"> Decimus Junius Brutus </w:t>
      </w:r>
      <w:r w:rsidRPr="0011294E">
        <w:rPr>
          <w:rFonts w:ascii="Times New Roman" w:hAnsi="Times New Roman"/>
          <w:sz w:val="24"/>
          <w:szCs w:val="24"/>
        </w:rPr>
        <w:t>(138-136 a.C.), que terá levado a uma reorganização da população. No entanto, não só os fatores político-militares podem justificar esta situação, que também pode estar relacionada com a exploração de recursos económicos, designadamente a agro-pastoricía e a</w:t>
      </w:r>
      <w:r w:rsidR="009D2BEB">
        <w:rPr>
          <w:rFonts w:ascii="Times New Roman" w:hAnsi="Times New Roman"/>
          <w:sz w:val="24"/>
          <w:szCs w:val="24"/>
        </w:rPr>
        <w:t xml:space="preserve"> </w:t>
      </w:r>
      <w:r w:rsidRPr="0011294E">
        <w:rPr>
          <w:rFonts w:ascii="Times New Roman" w:hAnsi="Times New Roman"/>
          <w:sz w:val="24"/>
          <w:szCs w:val="24"/>
        </w:rPr>
        <w:t>mineração</w:t>
      </w:r>
      <w:r w:rsidRPr="0011294E">
        <w:rPr>
          <w:rStyle w:val="Refdenotaderodap"/>
          <w:rFonts w:ascii="Times New Roman" w:hAnsi="Times New Roman"/>
          <w:sz w:val="24"/>
          <w:szCs w:val="24"/>
        </w:rPr>
        <w:footnoteReference w:id="43"/>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Estes povoados apresentam uma enorme propensão para a atividade metalúrgica, que terá ganho uma maior projeção com as relações/influências com os povos indo-</w:t>
      </w:r>
      <w:r w:rsidRPr="0011294E">
        <w:rPr>
          <w:rFonts w:ascii="Times New Roman" w:hAnsi="Times New Roman"/>
          <w:sz w:val="24"/>
          <w:szCs w:val="24"/>
        </w:rPr>
        <w:lastRenderedPageBreak/>
        <w:t>europeus, incrementando ainda mais a ourivesaria que neste espaço teria dois grandes grupos, designadamente um de raiz céltica e outro litoral, tipicamente mediterrânico</w:t>
      </w:r>
      <w:r w:rsidRPr="0011294E">
        <w:rPr>
          <w:rStyle w:val="Refdenotaderodap"/>
          <w:rFonts w:ascii="Times New Roman" w:hAnsi="Times New Roman"/>
          <w:sz w:val="24"/>
          <w:szCs w:val="24"/>
        </w:rPr>
        <w:footnoteReference w:id="44"/>
      </w:r>
      <w:r w:rsidRPr="0011294E">
        <w:rPr>
          <w:rFonts w:ascii="Times New Roman" w:hAnsi="Times New Roman"/>
          <w:sz w:val="24"/>
          <w:szCs w:val="24"/>
        </w:rPr>
        <w:t>. Aqui podemos salientar a originalidade da região de Chaves, que evidencia uma forte influência céltica, onde se destaca o bracelete de Lebução (Valpaços), que apresenta elementos decorativos com paralelos na zona centro-europeia</w:t>
      </w:r>
      <w:r w:rsidRPr="0011294E">
        <w:rPr>
          <w:rStyle w:val="Refdenotaderodap"/>
          <w:rFonts w:ascii="Times New Roman" w:hAnsi="Times New Roman"/>
          <w:sz w:val="24"/>
          <w:szCs w:val="24"/>
        </w:rPr>
        <w:footnoteReference w:id="45"/>
      </w:r>
      <w:r w:rsidRPr="0011294E">
        <w:rPr>
          <w:rFonts w:ascii="Times New Roman" w:hAnsi="Times New Roman"/>
          <w:sz w:val="24"/>
          <w:szCs w:val="24"/>
        </w:rPr>
        <w:t>. Assim, nos finais da IIª Idade do Ferro podemos dizer que existem meios suficientes para a exploração de jazigos primários, ainda que de forma incipiente.</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No Séc. II a.C., com a chegada dos romanos e a posterior conq</w:t>
      </w:r>
      <w:r w:rsidR="00E71068">
        <w:rPr>
          <w:rFonts w:ascii="Times New Roman" w:hAnsi="Times New Roman"/>
          <w:sz w:val="24"/>
          <w:szCs w:val="24"/>
        </w:rPr>
        <w:t>uista do território peninsular</w:t>
      </w:r>
      <w:r w:rsidRPr="0011294E">
        <w:rPr>
          <w:rFonts w:ascii="Times New Roman" w:hAnsi="Times New Roman"/>
          <w:sz w:val="24"/>
          <w:szCs w:val="24"/>
        </w:rPr>
        <w:t xml:space="preserve"> observa-se a continuação da exploração mineira, que vem no seguimento do final da Idade do Ferro. Na zona de Chaves conseguimos analisar algumas explorações, nomeadamente, no Nordeste, onde predomina a exploração de estanho, no Cimo de Vila de Castanheiro, Águas Frias com o povoamento contínuo em Poça da Rabaça, Bobadela e Tronco. Este sistema de exploração é a céu aberto. Na zona Sudeste de Chaves, nas freguesias de Carvela e Tresmundes, era explorado o ouro e a prata. Na parte Sudoeste, em Mosteirão, freguesia de Redondelo, existia uma exploração a céu aberto. Nesta área encontram-se localizados dois povoados mineiros: Olgas e Mosteirões. Na parte Noroeste, nas zonas de Outeiro Seco, Outeiro Machado e Bustelo, o ouro foi amplamente explorado a céu aberto</w:t>
      </w:r>
      <w:r w:rsidRPr="0011294E">
        <w:rPr>
          <w:rStyle w:val="Refdenotaderodap"/>
          <w:rFonts w:ascii="Times New Roman" w:hAnsi="Times New Roman"/>
          <w:sz w:val="24"/>
          <w:szCs w:val="24"/>
        </w:rPr>
        <w:footnoteReference w:id="46"/>
      </w:r>
      <w:r w:rsidRPr="0011294E">
        <w:rPr>
          <w:rFonts w:ascii="Times New Roman" w:hAnsi="Times New Roman"/>
          <w:sz w:val="24"/>
          <w:szCs w:val="24"/>
        </w:rPr>
        <w:t>. Assim, a área mineira de Chaves apresenta um duplo sistema de produção extensivo (dominante nos jazigos secundários) e seletivo. Os materiais arqueológicos existentes apontam para uma cronologia em torno do Séc. I a.C., apesar de a exploração ter continuado na Idade Média</w:t>
      </w:r>
      <w:r w:rsidRPr="0011294E">
        <w:rPr>
          <w:rStyle w:val="Refdenotaderodap"/>
          <w:rFonts w:ascii="Times New Roman" w:hAnsi="Times New Roman"/>
          <w:sz w:val="24"/>
          <w:szCs w:val="24"/>
        </w:rPr>
        <w:footnoteReference w:id="47"/>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Com a ocupação da Península Ibérica pelos romanos a mudança manifestou-se essencialmente numa nova organização do território com a distribuição em províncias, </w:t>
      </w:r>
      <w:r w:rsidRPr="0011294E">
        <w:rPr>
          <w:rFonts w:ascii="Times New Roman" w:hAnsi="Times New Roman"/>
          <w:i/>
          <w:sz w:val="24"/>
          <w:szCs w:val="24"/>
        </w:rPr>
        <w:t>civitas, vici, castella e villae</w:t>
      </w:r>
      <w:r w:rsidRPr="0011294E">
        <w:rPr>
          <w:rFonts w:ascii="Times New Roman" w:hAnsi="Times New Roman"/>
          <w:sz w:val="24"/>
          <w:szCs w:val="24"/>
        </w:rPr>
        <w:t xml:space="preserve">. Ao longo do Séc. I d.C., fruto da reestruturação administrativa, as </w:t>
      </w:r>
      <w:r w:rsidRPr="0011294E">
        <w:rPr>
          <w:rFonts w:ascii="Times New Roman" w:hAnsi="Times New Roman"/>
          <w:i/>
          <w:sz w:val="24"/>
          <w:szCs w:val="24"/>
        </w:rPr>
        <w:t>civitates</w:t>
      </w:r>
      <w:r w:rsidRPr="0011294E">
        <w:rPr>
          <w:rFonts w:ascii="Times New Roman" w:hAnsi="Times New Roman"/>
          <w:sz w:val="24"/>
          <w:szCs w:val="24"/>
        </w:rPr>
        <w:t xml:space="preserve"> são definidas pelos vários imperadores. Chegou até nós uma </w:t>
      </w:r>
      <w:r w:rsidRPr="0011294E">
        <w:rPr>
          <w:rFonts w:ascii="Times New Roman" w:hAnsi="Times New Roman"/>
          <w:sz w:val="24"/>
          <w:szCs w:val="24"/>
        </w:rPr>
        <w:lastRenderedPageBreak/>
        <w:t>importante inscrição, a da Ponte de Alcântara, que menciona onze divisões administrativas entre o Douro e o Tejo</w:t>
      </w:r>
      <w:r w:rsidRPr="0011294E">
        <w:rPr>
          <w:rStyle w:val="Refdenotaderodap"/>
          <w:rFonts w:ascii="Times New Roman" w:hAnsi="Times New Roman"/>
          <w:sz w:val="24"/>
          <w:szCs w:val="24"/>
        </w:rPr>
        <w:footnoteReference w:id="48"/>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São várias as teorias e possibilidades apontadas para a localização destes povos. No entanto para o nosso estudo apenas importa referir os </w:t>
      </w:r>
      <w:r w:rsidRPr="0011294E">
        <w:rPr>
          <w:rFonts w:ascii="Times New Roman" w:hAnsi="Times New Roman"/>
          <w:i/>
          <w:sz w:val="24"/>
          <w:szCs w:val="24"/>
        </w:rPr>
        <w:t xml:space="preserve">Turodi (Turodos). </w:t>
      </w:r>
      <w:r w:rsidRPr="0011294E">
        <w:rPr>
          <w:rFonts w:ascii="Times New Roman" w:hAnsi="Times New Roman"/>
          <w:sz w:val="24"/>
          <w:szCs w:val="24"/>
        </w:rPr>
        <w:t xml:space="preserve">Os </w:t>
      </w:r>
      <w:r w:rsidRPr="0011294E">
        <w:rPr>
          <w:rFonts w:ascii="Times New Roman" w:hAnsi="Times New Roman"/>
          <w:i/>
          <w:sz w:val="24"/>
          <w:szCs w:val="24"/>
        </w:rPr>
        <w:t>Turodi</w:t>
      </w:r>
      <w:r w:rsidRPr="0011294E">
        <w:rPr>
          <w:rFonts w:ascii="Times New Roman" w:hAnsi="Times New Roman"/>
          <w:sz w:val="24"/>
          <w:szCs w:val="24"/>
        </w:rPr>
        <w:t xml:space="preserve"> habitavam e faziam sentir a sua influência na área de Chaves, que na sequência das reformas flavianas foi convertida em </w:t>
      </w:r>
      <w:r w:rsidRPr="0011294E">
        <w:rPr>
          <w:rFonts w:ascii="Times New Roman" w:hAnsi="Times New Roman"/>
          <w:i/>
          <w:sz w:val="24"/>
          <w:szCs w:val="24"/>
        </w:rPr>
        <w:t>civitas</w:t>
      </w:r>
      <w:r w:rsidRPr="0011294E">
        <w:rPr>
          <w:rFonts w:ascii="Times New Roman" w:hAnsi="Times New Roman"/>
          <w:sz w:val="24"/>
          <w:szCs w:val="24"/>
        </w:rPr>
        <w:t xml:space="preserve">, com sede em </w:t>
      </w:r>
      <w:r w:rsidRPr="0011294E">
        <w:rPr>
          <w:rFonts w:ascii="Times New Roman" w:hAnsi="Times New Roman"/>
          <w:i/>
          <w:sz w:val="24"/>
          <w:szCs w:val="24"/>
        </w:rPr>
        <w:t xml:space="preserve">Aquae Flaviae, </w:t>
      </w:r>
      <w:r w:rsidRPr="0011294E">
        <w:rPr>
          <w:rFonts w:ascii="Times New Roman" w:hAnsi="Times New Roman"/>
          <w:sz w:val="24"/>
          <w:szCs w:val="24"/>
        </w:rPr>
        <w:t>e recebeu um estatuto municipal</w:t>
      </w:r>
      <w:r w:rsidRPr="0011294E">
        <w:rPr>
          <w:rStyle w:val="Refdenotaderodap"/>
          <w:rFonts w:ascii="Times New Roman" w:hAnsi="Times New Roman"/>
          <w:sz w:val="24"/>
          <w:szCs w:val="24"/>
        </w:rPr>
        <w:footnoteReference w:id="49"/>
      </w:r>
      <w:r w:rsidRPr="0011294E">
        <w:rPr>
          <w:rFonts w:ascii="Times New Roman" w:hAnsi="Times New Roman"/>
          <w:sz w:val="24"/>
          <w:szCs w:val="24"/>
        </w:rPr>
        <w:t>. Esta era a opinião de Jorge de Alarcão em 1988, expressa na obra «O Domínio Romano em Portugal». No entanto, outros autores têm defendido outras localizações. Assim Armando Coelho Ferreira da Silva</w:t>
      </w:r>
      <w:r w:rsidRPr="0011294E">
        <w:rPr>
          <w:rStyle w:val="Refdenotaderodap"/>
          <w:rFonts w:ascii="Times New Roman" w:hAnsi="Times New Roman"/>
          <w:sz w:val="24"/>
          <w:szCs w:val="24"/>
        </w:rPr>
        <w:footnoteReference w:id="50"/>
      </w:r>
      <w:r w:rsidRPr="0011294E">
        <w:rPr>
          <w:rFonts w:ascii="Times New Roman" w:hAnsi="Times New Roman"/>
          <w:sz w:val="24"/>
          <w:szCs w:val="24"/>
        </w:rPr>
        <w:t xml:space="preserve"> sugere que os </w:t>
      </w:r>
      <w:r w:rsidRPr="0011294E">
        <w:rPr>
          <w:rFonts w:ascii="Times New Roman" w:hAnsi="Times New Roman"/>
          <w:i/>
          <w:sz w:val="24"/>
          <w:szCs w:val="24"/>
        </w:rPr>
        <w:t>Turodi</w:t>
      </w:r>
      <w:r w:rsidRPr="0011294E">
        <w:rPr>
          <w:rFonts w:ascii="Times New Roman" w:hAnsi="Times New Roman"/>
          <w:sz w:val="24"/>
          <w:szCs w:val="24"/>
        </w:rPr>
        <w:t xml:space="preserve"> ocupariam o povoado de Castras de Santiago. Rodríguez Colmenero</w:t>
      </w:r>
      <w:r w:rsidRPr="0011294E">
        <w:rPr>
          <w:rStyle w:val="Refdenotaderodap"/>
          <w:rFonts w:ascii="Times New Roman" w:hAnsi="Times New Roman"/>
          <w:sz w:val="24"/>
          <w:szCs w:val="24"/>
        </w:rPr>
        <w:footnoteReference w:id="51"/>
      </w:r>
      <w:r w:rsidRPr="0011294E">
        <w:rPr>
          <w:rFonts w:ascii="Times New Roman" w:hAnsi="Times New Roman"/>
          <w:sz w:val="24"/>
          <w:szCs w:val="24"/>
        </w:rPr>
        <w:t xml:space="preserve"> localizou-os em San Cibrán das Lás, enquanto Paulo Amaral</w:t>
      </w:r>
      <w:r w:rsidRPr="0011294E">
        <w:rPr>
          <w:rStyle w:val="Refdenotaderodap"/>
          <w:rFonts w:ascii="Times New Roman" w:hAnsi="Times New Roman"/>
          <w:sz w:val="24"/>
          <w:szCs w:val="24"/>
        </w:rPr>
        <w:footnoteReference w:id="52"/>
      </w:r>
      <w:r w:rsidRPr="0011294E">
        <w:rPr>
          <w:rFonts w:ascii="Times New Roman" w:hAnsi="Times New Roman"/>
          <w:sz w:val="24"/>
          <w:szCs w:val="24"/>
        </w:rPr>
        <w:t xml:space="preserve"> sugeriu o povoado de Outeiro Lesenho, que embora descentralizado do vale do Tâmega, consegue ter um bom contacto visual com a área, opção que sai reforçada pela descoberta de quatro estátuas de guerreiros galaicos, que espelham a importância do local.</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No Padrão dos Povos, aparecido em Chaves, são referidas dez </w:t>
      </w:r>
      <w:r w:rsidRPr="0011294E">
        <w:rPr>
          <w:rFonts w:ascii="Times New Roman" w:hAnsi="Times New Roman"/>
          <w:i/>
          <w:sz w:val="24"/>
          <w:szCs w:val="24"/>
        </w:rPr>
        <w:t>civitates</w:t>
      </w:r>
      <w:r w:rsidRPr="0011294E">
        <w:rPr>
          <w:rFonts w:ascii="Times New Roman" w:hAnsi="Times New Roman"/>
          <w:sz w:val="24"/>
          <w:szCs w:val="24"/>
        </w:rPr>
        <w:t xml:space="preserve"> que se inserem na esfera de influência do </w:t>
      </w:r>
      <w:r w:rsidRPr="0011294E">
        <w:rPr>
          <w:rFonts w:ascii="Times New Roman" w:hAnsi="Times New Roman"/>
          <w:i/>
          <w:sz w:val="24"/>
          <w:szCs w:val="24"/>
        </w:rPr>
        <w:t>conventus Bracarensis</w:t>
      </w:r>
      <w:r w:rsidRPr="0011294E">
        <w:rPr>
          <w:rFonts w:ascii="Times New Roman" w:hAnsi="Times New Roman"/>
          <w:sz w:val="24"/>
          <w:szCs w:val="24"/>
        </w:rPr>
        <w:t xml:space="preserve"> que </w:t>
      </w:r>
      <w:r w:rsidRPr="0011294E">
        <w:rPr>
          <w:rFonts w:ascii="Times New Roman" w:hAnsi="Times New Roman"/>
          <w:i/>
          <w:sz w:val="24"/>
          <w:szCs w:val="24"/>
        </w:rPr>
        <w:t>Aquae Flaviae</w:t>
      </w:r>
      <w:r w:rsidRPr="0011294E">
        <w:rPr>
          <w:rFonts w:ascii="Times New Roman" w:hAnsi="Times New Roman"/>
          <w:sz w:val="24"/>
          <w:szCs w:val="24"/>
        </w:rPr>
        <w:t xml:space="preserve"> teve a seu cargo tutelar</w:t>
      </w:r>
      <w:r w:rsidRPr="0011294E">
        <w:rPr>
          <w:rStyle w:val="Refdenotaderodap"/>
          <w:rFonts w:ascii="Times New Roman" w:hAnsi="Times New Roman"/>
          <w:sz w:val="24"/>
          <w:szCs w:val="24"/>
        </w:rPr>
        <w:footnoteReference w:id="53"/>
      </w:r>
      <w:r w:rsidRPr="0011294E">
        <w:rPr>
          <w:rFonts w:ascii="Times New Roman" w:hAnsi="Times New Roman"/>
          <w:sz w:val="24"/>
          <w:szCs w:val="24"/>
        </w:rPr>
        <w:t xml:space="preserve">. Assim, as </w:t>
      </w:r>
      <w:r w:rsidRPr="0011294E">
        <w:rPr>
          <w:rFonts w:ascii="Times New Roman" w:hAnsi="Times New Roman"/>
          <w:i/>
          <w:iCs/>
          <w:sz w:val="24"/>
          <w:szCs w:val="24"/>
        </w:rPr>
        <w:t xml:space="preserve">civitates </w:t>
      </w:r>
      <w:r w:rsidRPr="0011294E">
        <w:rPr>
          <w:rFonts w:ascii="Times New Roman" w:hAnsi="Times New Roman"/>
          <w:sz w:val="24"/>
          <w:szCs w:val="24"/>
        </w:rPr>
        <w:t xml:space="preserve">dependentes de </w:t>
      </w:r>
      <w:r w:rsidRPr="0011294E">
        <w:rPr>
          <w:rFonts w:ascii="Times New Roman" w:hAnsi="Times New Roman"/>
          <w:i/>
          <w:iCs/>
          <w:sz w:val="24"/>
          <w:szCs w:val="24"/>
        </w:rPr>
        <w:t xml:space="preserve">Aquae Flaviae </w:t>
      </w:r>
      <w:r w:rsidRPr="0011294E">
        <w:rPr>
          <w:rFonts w:ascii="Times New Roman" w:hAnsi="Times New Roman"/>
          <w:sz w:val="24"/>
          <w:szCs w:val="24"/>
        </w:rPr>
        <w:t xml:space="preserve">eram as seguintes: </w:t>
      </w:r>
      <w:r w:rsidRPr="0011294E">
        <w:rPr>
          <w:rFonts w:ascii="Times New Roman" w:hAnsi="Times New Roman"/>
          <w:i/>
          <w:iCs/>
          <w:sz w:val="24"/>
          <w:szCs w:val="24"/>
        </w:rPr>
        <w:t>Aquiflavienses</w:t>
      </w:r>
      <w:r w:rsidRPr="0011294E">
        <w:rPr>
          <w:rFonts w:ascii="Times New Roman" w:hAnsi="Times New Roman"/>
          <w:sz w:val="24"/>
          <w:szCs w:val="24"/>
        </w:rPr>
        <w:t xml:space="preserve">, </w:t>
      </w:r>
      <w:r w:rsidRPr="0011294E">
        <w:rPr>
          <w:rFonts w:ascii="Times New Roman" w:hAnsi="Times New Roman"/>
          <w:i/>
          <w:iCs/>
          <w:sz w:val="24"/>
          <w:szCs w:val="24"/>
        </w:rPr>
        <w:t>Avobrigenses</w:t>
      </w:r>
      <w:r w:rsidRPr="0011294E">
        <w:rPr>
          <w:rFonts w:ascii="Times New Roman" w:hAnsi="Times New Roman"/>
          <w:sz w:val="24"/>
          <w:szCs w:val="24"/>
        </w:rPr>
        <w:t>,</w:t>
      </w:r>
      <w:r w:rsidRPr="0011294E">
        <w:rPr>
          <w:rFonts w:ascii="Times New Roman" w:hAnsi="Times New Roman"/>
          <w:i/>
          <w:iCs/>
          <w:sz w:val="24"/>
          <w:szCs w:val="24"/>
        </w:rPr>
        <w:t xml:space="preserve"> Bibali</w:t>
      </w:r>
      <w:r w:rsidRPr="0011294E">
        <w:rPr>
          <w:rFonts w:ascii="Times New Roman" w:hAnsi="Times New Roman"/>
          <w:sz w:val="24"/>
          <w:szCs w:val="24"/>
        </w:rPr>
        <w:t xml:space="preserve">, </w:t>
      </w:r>
      <w:r w:rsidRPr="0011294E">
        <w:rPr>
          <w:rFonts w:ascii="Times New Roman" w:hAnsi="Times New Roman"/>
          <w:i/>
          <w:iCs/>
          <w:sz w:val="24"/>
          <w:szCs w:val="24"/>
        </w:rPr>
        <w:t>Coelerni</w:t>
      </w:r>
      <w:r w:rsidRPr="0011294E">
        <w:rPr>
          <w:rFonts w:ascii="Times New Roman" w:hAnsi="Times New Roman"/>
          <w:sz w:val="24"/>
          <w:szCs w:val="24"/>
        </w:rPr>
        <w:t xml:space="preserve">, </w:t>
      </w:r>
      <w:r w:rsidRPr="0011294E">
        <w:rPr>
          <w:rFonts w:ascii="Times New Roman" w:hAnsi="Times New Roman"/>
          <w:i/>
          <w:iCs/>
          <w:sz w:val="24"/>
          <w:szCs w:val="24"/>
        </w:rPr>
        <w:t>Equaesi</w:t>
      </w:r>
      <w:r w:rsidRPr="0011294E">
        <w:rPr>
          <w:rFonts w:ascii="Times New Roman" w:hAnsi="Times New Roman"/>
          <w:sz w:val="24"/>
          <w:szCs w:val="24"/>
        </w:rPr>
        <w:t xml:space="preserve">, </w:t>
      </w:r>
      <w:r w:rsidRPr="0011294E">
        <w:rPr>
          <w:rFonts w:ascii="Times New Roman" w:hAnsi="Times New Roman"/>
          <w:i/>
          <w:iCs/>
          <w:sz w:val="24"/>
          <w:szCs w:val="24"/>
        </w:rPr>
        <w:t>Interamici</w:t>
      </w:r>
      <w:r w:rsidRPr="0011294E">
        <w:rPr>
          <w:rFonts w:ascii="Times New Roman" w:hAnsi="Times New Roman"/>
          <w:sz w:val="24"/>
          <w:szCs w:val="24"/>
        </w:rPr>
        <w:t xml:space="preserve">, </w:t>
      </w:r>
      <w:r w:rsidRPr="0011294E">
        <w:rPr>
          <w:rFonts w:ascii="Times New Roman" w:hAnsi="Times New Roman"/>
          <w:i/>
          <w:iCs/>
          <w:sz w:val="24"/>
          <w:szCs w:val="24"/>
        </w:rPr>
        <w:t>Limici</w:t>
      </w:r>
      <w:r w:rsidRPr="0011294E">
        <w:rPr>
          <w:rFonts w:ascii="Times New Roman" w:hAnsi="Times New Roman"/>
          <w:sz w:val="24"/>
          <w:szCs w:val="24"/>
        </w:rPr>
        <w:t>,</w:t>
      </w:r>
      <w:r w:rsidRPr="0011294E">
        <w:rPr>
          <w:rFonts w:ascii="Times New Roman" w:hAnsi="Times New Roman"/>
          <w:i/>
          <w:iCs/>
          <w:sz w:val="24"/>
          <w:szCs w:val="24"/>
        </w:rPr>
        <w:t xml:space="preserve"> Naebisoci</w:t>
      </w:r>
      <w:r w:rsidRPr="0011294E">
        <w:rPr>
          <w:rFonts w:ascii="Times New Roman" w:hAnsi="Times New Roman"/>
          <w:sz w:val="24"/>
          <w:szCs w:val="24"/>
        </w:rPr>
        <w:t xml:space="preserve">, </w:t>
      </w:r>
      <w:r w:rsidRPr="0011294E">
        <w:rPr>
          <w:rFonts w:ascii="Times New Roman" w:hAnsi="Times New Roman"/>
          <w:i/>
          <w:iCs/>
          <w:sz w:val="24"/>
          <w:szCs w:val="24"/>
        </w:rPr>
        <w:t xml:space="preserve">Querquerni </w:t>
      </w:r>
      <w:r w:rsidRPr="0011294E">
        <w:rPr>
          <w:rFonts w:ascii="Times New Roman" w:hAnsi="Times New Roman"/>
          <w:sz w:val="24"/>
          <w:szCs w:val="24"/>
        </w:rPr>
        <w:t xml:space="preserve">e </w:t>
      </w:r>
      <w:r w:rsidRPr="0011294E">
        <w:rPr>
          <w:rFonts w:ascii="Times New Roman" w:hAnsi="Times New Roman"/>
          <w:i/>
          <w:iCs/>
          <w:sz w:val="24"/>
          <w:szCs w:val="24"/>
        </w:rPr>
        <w:t>Tamagani</w:t>
      </w:r>
      <w:r w:rsidRPr="0011294E">
        <w:rPr>
          <w:rFonts w:ascii="Times New Roman" w:hAnsi="Times New Roman"/>
          <w:sz w:val="24"/>
          <w:szCs w:val="24"/>
        </w:rPr>
        <w:t>. Integravam-se</w:t>
      </w:r>
      <w:r w:rsidR="009D2BEB">
        <w:rPr>
          <w:rFonts w:ascii="Times New Roman" w:hAnsi="Times New Roman"/>
          <w:sz w:val="24"/>
          <w:szCs w:val="24"/>
        </w:rPr>
        <w:t xml:space="preserve"> </w:t>
      </w:r>
      <w:r w:rsidRPr="0011294E">
        <w:rPr>
          <w:rFonts w:ascii="Times New Roman" w:hAnsi="Times New Roman"/>
          <w:sz w:val="24"/>
          <w:szCs w:val="24"/>
        </w:rPr>
        <w:t xml:space="preserve">na área dos </w:t>
      </w:r>
      <w:r w:rsidRPr="0011294E">
        <w:rPr>
          <w:rFonts w:ascii="Times New Roman" w:hAnsi="Times New Roman"/>
          <w:i/>
          <w:iCs/>
          <w:sz w:val="24"/>
          <w:szCs w:val="24"/>
        </w:rPr>
        <w:t>Callaeci Bracari</w:t>
      </w:r>
      <w:r w:rsidRPr="0011294E">
        <w:rPr>
          <w:rFonts w:ascii="Times New Roman" w:hAnsi="Times New Roman"/>
          <w:sz w:val="24"/>
          <w:szCs w:val="24"/>
        </w:rPr>
        <w:t xml:space="preserve">. É importante referir que os </w:t>
      </w:r>
      <w:r w:rsidRPr="0011294E">
        <w:rPr>
          <w:rFonts w:ascii="Times New Roman" w:hAnsi="Times New Roman"/>
          <w:i/>
          <w:sz w:val="24"/>
          <w:szCs w:val="24"/>
        </w:rPr>
        <w:t>Turodi</w:t>
      </w:r>
      <w:r w:rsidRPr="0011294E">
        <w:rPr>
          <w:rFonts w:ascii="Times New Roman" w:hAnsi="Times New Roman"/>
          <w:sz w:val="24"/>
          <w:szCs w:val="24"/>
        </w:rPr>
        <w:t xml:space="preserve"> foram posteriormente designados por </w:t>
      </w:r>
      <w:r w:rsidRPr="0011294E">
        <w:rPr>
          <w:rFonts w:ascii="Times New Roman" w:hAnsi="Times New Roman"/>
          <w:i/>
          <w:iCs/>
          <w:sz w:val="24"/>
          <w:szCs w:val="24"/>
        </w:rPr>
        <w:t>Aquiflavienses</w:t>
      </w:r>
      <w:r w:rsidRPr="0011294E">
        <w:rPr>
          <w:rFonts w:ascii="Times New Roman" w:hAnsi="Times New Roman"/>
          <w:sz w:val="24"/>
          <w:szCs w:val="24"/>
        </w:rPr>
        <w:t xml:space="preserve"> como se encontra documentado no Padrão dos Povos.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Para uma abordagem mais ampla do estudo pré-romano no território flaviense importa situar espacialmente os restantes povos que a inscrição apresenta. </w:t>
      </w:r>
    </w:p>
    <w:p w:rsidR="0011294E" w:rsidRPr="0011294E" w:rsidRDefault="0011294E" w:rsidP="0011294E">
      <w:pPr>
        <w:autoSpaceDE w:val="0"/>
        <w:autoSpaceDN w:val="0"/>
        <w:adjustRightInd w:val="0"/>
        <w:spacing w:line="360" w:lineRule="auto"/>
        <w:ind w:firstLine="624"/>
        <w:jc w:val="both"/>
        <w:rPr>
          <w:rFonts w:ascii="Times New Roman" w:hAnsi="Times New Roman"/>
          <w:i/>
          <w:sz w:val="24"/>
          <w:szCs w:val="24"/>
        </w:rPr>
      </w:pPr>
      <w:r w:rsidRPr="0011294E">
        <w:rPr>
          <w:rFonts w:ascii="Times New Roman" w:hAnsi="Times New Roman"/>
          <w:sz w:val="24"/>
          <w:szCs w:val="24"/>
        </w:rPr>
        <w:lastRenderedPageBreak/>
        <w:t xml:space="preserve">A área de influência de </w:t>
      </w:r>
      <w:r w:rsidRPr="0011294E">
        <w:rPr>
          <w:rFonts w:ascii="Times New Roman" w:hAnsi="Times New Roman"/>
          <w:i/>
          <w:sz w:val="24"/>
          <w:szCs w:val="24"/>
        </w:rPr>
        <w:t>Aquae Flaviae</w:t>
      </w:r>
      <w:r w:rsidRPr="0011294E">
        <w:rPr>
          <w:rFonts w:ascii="Times New Roman" w:hAnsi="Times New Roman"/>
          <w:sz w:val="24"/>
          <w:szCs w:val="24"/>
        </w:rPr>
        <w:t xml:space="preserve"> tinha o seu limite meridional definido pelas serras da Padrela, do Alvão e de Santa Comba. O limite oriental coincidia com o limite do convento bracarense e o limite ocidental passava pelas Serras da Cabreira e do Gerês, e pelas Serras da Peneda e do Suído. Paralelamente aos Turodi podemos mencionar Os </w:t>
      </w:r>
      <w:r w:rsidR="009D2BEB" w:rsidRPr="0011294E">
        <w:rPr>
          <w:rFonts w:ascii="Times New Roman" w:hAnsi="Times New Roman"/>
          <w:i/>
          <w:sz w:val="24"/>
          <w:szCs w:val="24"/>
        </w:rPr>
        <w:t>Equaesi</w:t>
      </w:r>
      <w:r w:rsidR="009D2BEB">
        <w:rPr>
          <w:rFonts w:ascii="Times New Roman" w:hAnsi="Times New Roman"/>
          <w:i/>
          <w:sz w:val="24"/>
          <w:szCs w:val="24"/>
        </w:rPr>
        <w:t xml:space="preserve"> </w:t>
      </w:r>
      <w:r w:rsidR="009D2BEB" w:rsidRPr="0011294E">
        <w:rPr>
          <w:rFonts w:ascii="Times New Roman" w:hAnsi="Times New Roman"/>
          <w:sz w:val="24"/>
          <w:szCs w:val="24"/>
        </w:rPr>
        <w:t>que</w:t>
      </w:r>
      <w:r w:rsidRPr="0011294E">
        <w:rPr>
          <w:rFonts w:ascii="Times New Roman" w:hAnsi="Times New Roman"/>
          <w:sz w:val="24"/>
          <w:szCs w:val="24"/>
        </w:rPr>
        <w:t xml:space="preserve"> </w:t>
      </w:r>
      <w:r w:rsidRPr="0011294E">
        <w:rPr>
          <w:rFonts w:ascii="Times New Roman" w:hAnsi="Times New Roman"/>
          <w:i/>
          <w:sz w:val="24"/>
          <w:szCs w:val="24"/>
        </w:rPr>
        <w:t>são</w:t>
      </w:r>
      <w:r w:rsidRPr="0011294E">
        <w:rPr>
          <w:rFonts w:ascii="Times New Roman" w:hAnsi="Times New Roman"/>
          <w:sz w:val="24"/>
          <w:szCs w:val="24"/>
        </w:rPr>
        <w:t xml:space="preserve"> referidos por Plínio e poderão ser associados ao Castro de Lesenho, no Concelho de Boticas, onde foram encontrados quatro estátuas de Guerreiros galaico-lusitanos. Para além disso, a paróquia </w:t>
      </w:r>
      <w:r w:rsidRPr="0011294E">
        <w:rPr>
          <w:rFonts w:ascii="Times New Roman" w:hAnsi="Times New Roman"/>
          <w:i/>
          <w:sz w:val="24"/>
          <w:szCs w:val="24"/>
        </w:rPr>
        <w:t>Equesis</w:t>
      </w:r>
      <w:r w:rsidRPr="0011294E">
        <w:rPr>
          <w:rFonts w:ascii="Times New Roman" w:hAnsi="Times New Roman"/>
          <w:sz w:val="24"/>
          <w:szCs w:val="24"/>
        </w:rPr>
        <w:t xml:space="preserve"> vem listada no </w:t>
      </w:r>
      <w:r w:rsidRPr="0011294E">
        <w:rPr>
          <w:rFonts w:ascii="Times New Roman" w:hAnsi="Times New Roman"/>
          <w:i/>
          <w:sz w:val="24"/>
          <w:szCs w:val="24"/>
        </w:rPr>
        <w:t>Parrochiale Suevicum</w:t>
      </w:r>
      <w:r w:rsidRPr="0011294E">
        <w:rPr>
          <w:rFonts w:ascii="Times New Roman" w:hAnsi="Times New Roman"/>
          <w:sz w:val="24"/>
          <w:szCs w:val="24"/>
        </w:rPr>
        <w:t xml:space="preserve"> na diocese de </w:t>
      </w:r>
      <w:r w:rsidRPr="0011294E">
        <w:rPr>
          <w:rFonts w:ascii="Times New Roman" w:hAnsi="Times New Roman"/>
          <w:i/>
          <w:sz w:val="24"/>
          <w:szCs w:val="24"/>
        </w:rPr>
        <w:t>Bracara</w:t>
      </w:r>
      <w:r w:rsidRPr="0011294E">
        <w:rPr>
          <w:rFonts w:ascii="Times New Roman" w:hAnsi="Times New Roman"/>
          <w:sz w:val="24"/>
          <w:szCs w:val="24"/>
        </w:rPr>
        <w:t xml:space="preserve"> e que se deverá associar com a </w:t>
      </w:r>
      <w:r w:rsidRPr="0011294E">
        <w:rPr>
          <w:rFonts w:ascii="Times New Roman" w:hAnsi="Times New Roman"/>
          <w:i/>
          <w:sz w:val="24"/>
          <w:szCs w:val="24"/>
        </w:rPr>
        <w:t>civitas</w:t>
      </w:r>
      <w:r w:rsidRPr="0011294E">
        <w:rPr>
          <w:rFonts w:ascii="Times New Roman" w:hAnsi="Times New Roman"/>
          <w:sz w:val="24"/>
          <w:szCs w:val="24"/>
        </w:rPr>
        <w:t xml:space="preserve"> dos </w:t>
      </w:r>
      <w:r w:rsidRPr="0011294E">
        <w:rPr>
          <w:rFonts w:ascii="Times New Roman" w:hAnsi="Times New Roman"/>
          <w:i/>
          <w:sz w:val="24"/>
          <w:szCs w:val="24"/>
        </w:rPr>
        <w:t>Equaesi</w:t>
      </w:r>
      <w:r w:rsidRPr="0011294E">
        <w:rPr>
          <w:rStyle w:val="Refdenotaderodap"/>
          <w:rFonts w:ascii="Times New Roman" w:hAnsi="Times New Roman"/>
          <w:sz w:val="24"/>
          <w:szCs w:val="24"/>
        </w:rPr>
        <w:footnoteReference w:id="54"/>
      </w:r>
      <w:r w:rsidRPr="0011294E">
        <w:rPr>
          <w:rFonts w:ascii="Times New Roman" w:hAnsi="Times New Roman"/>
          <w:sz w:val="24"/>
          <w:szCs w:val="24"/>
        </w:rPr>
        <w:t xml:space="preserve">. Segundo Jorge de Alarcão é possível identificar uma possível </w:t>
      </w:r>
      <w:r w:rsidRPr="0011294E">
        <w:rPr>
          <w:rFonts w:ascii="Times New Roman" w:hAnsi="Times New Roman"/>
          <w:i/>
          <w:sz w:val="24"/>
          <w:szCs w:val="24"/>
        </w:rPr>
        <w:t>civitas</w:t>
      </w:r>
      <w:r w:rsidRPr="0011294E">
        <w:rPr>
          <w:rFonts w:ascii="Times New Roman" w:hAnsi="Times New Roman"/>
          <w:sz w:val="24"/>
          <w:szCs w:val="24"/>
        </w:rPr>
        <w:t xml:space="preserve"> no vale do Rabagão, no castro de S. Vicente da Chã, em Montalegre. O povo que deverá corresponder esta </w:t>
      </w:r>
      <w:r w:rsidRPr="0011294E">
        <w:rPr>
          <w:rFonts w:ascii="Times New Roman" w:hAnsi="Times New Roman"/>
          <w:i/>
          <w:sz w:val="24"/>
          <w:szCs w:val="24"/>
        </w:rPr>
        <w:t>civitas</w:t>
      </w:r>
      <w:r w:rsidRPr="0011294E">
        <w:rPr>
          <w:rFonts w:ascii="Times New Roman" w:hAnsi="Times New Roman"/>
          <w:sz w:val="24"/>
          <w:szCs w:val="24"/>
        </w:rPr>
        <w:t xml:space="preserve"> encontra-se referido no Padrão dos Povos, devendo corresponder aos </w:t>
      </w:r>
      <w:r w:rsidRPr="0011294E">
        <w:rPr>
          <w:rFonts w:ascii="Times New Roman" w:hAnsi="Times New Roman"/>
          <w:i/>
          <w:sz w:val="24"/>
          <w:szCs w:val="24"/>
        </w:rPr>
        <w:t>Aobrigenses</w:t>
      </w:r>
      <w:r w:rsidRPr="0011294E">
        <w:rPr>
          <w:rFonts w:ascii="Times New Roman" w:hAnsi="Times New Roman"/>
          <w:sz w:val="24"/>
          <w:szCs w:val="24"/>
        </w:rPr>
        <w:t xml:space="preserve"> ou </w:t>
      </w:r>
      <w:r w:rsidRPr="0011294E">
        <w:rPr>
          <w:rFonts w:ascii="Times New Roman" w:hAnsi="Times New Roman"/>
          <w:i/>
          <w:sz w:val="24"/>
          <w:szCs w:val="24"/>
        </w:rPr>
        <w:t>Avobrigenses</w:t>
      </w:r>
      <w:r w:rsidRPr="0011294E">
        <w:rPr>
          <w:rFonts w:ascii="Times New Roman" w:hAnsi="Times New Roman"/>
          <w:sz w:val="24"/>
          <w:szCs w:val="24"/>
        </w:rPr>
        <w:t xml:space="preserve"> ou em alternativa aos </w:t>
      </w:r>
      <w:r w:rsidRPr="0011294E">
        <w:rPr>
          <w:rFonts w:ascii="Times New Roman" w:hAnsi="Times New Roman"/>
          <w:i/>
          <w:sz w:val="24"/>
          <w:szCs w:val="24"/>
        </w:rPr>
        <w:t>Naebisoci</w:t>
      </w:r>
      <w:r w:rsidRPr="0011294E">
        <w:rPr>
          <w:rFonts w:ascii="Times New Roman" w:hAnsi="Times New Roman"/>
          <w:sz w:val="24"/>
          <w:szCs w:val="24"/>
        </w:rPr>
        <w:t xml:space="preserve"> ou </w:t>
      </w:r>
      <w:r w:rsidRPr="0011294E">
        <w:rPr>
          <w:rFonts w:ascii="Times New Roman" w:hAnsi="Times New Roman"/>
          <w:i/>
          <w:sz w:val="24"/>
          <w:szCs w:val="24"/>
        </w:rPr>
        <w:t>Aebisoci.</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Um miliário aparecido perto de Ruivães, concelho de Vieira do Minho, com as milhas contadas a partir de </w:t>
      </w:r>
      <w:r w:rsidRPr="0011294E">
        <w:rPr>
          <w:rFonts w:ascii="Times New Roman" w:hAnsi="Times New Roman"/>
          <w:i/>
          <w:iCs/>
          <w:sz w:val="24"/>
          <w:szCs w:val="24"/>
        </w:rPr>
        <w:t>Aquae Flaviae,</w:t>
      </w:r>
      <w:r w:rsidRPr="0011294E">
        <w:rPr>
          <w:rFonts w:ascii="Times New Roman" w:hAnsi="Times New Roman"/>
          <w:sz w:val="24"/>
          <w:szCs w:val="24"/>
        </w:rPr>
        <w:t xml:space="preserve"> permite-nos considerar que a área de influência de </w:t>
      </w:r>
      <w:r w:rsidRPr="0011294E">
        <w:rPr>
          <w:rFonts w:ascii="Times New Roman" w:hAnsi="Times New Roman"/>
          <w:i/>
          <w:iCs/>
          <w:sz w:val="24"/>
          <w:szCs w:val="24"/>
        </w:rPr>
        <w:t xml:space="preserve">Aquae Flaviae </w:t>
      </w:r>
      <w:r w:rsidRPr="0011294E">
        <w:rPr>
          <w:rFonts w:ascii="Times New Roman" w:hAnsi="Times New Roman"/>
          <w:sz w:val="24"/>
          <w:szCs w:val="24"/>
        </w:rPr>
        <w:t>se estendia a ocidente pelo menos até esta zona</w:t>
      </w:r>
      <w:r w:rsidRPr="0011294E">
        <w:rPr>
          <w:rStyle w:val="Refdenotaderodap"/>
          <w:rFonts w:ascii="Times New Roman" w:hAnsi="Times New Roman"/>
          <w:sz w:val="24"/>
          <w:szCs w:val="24"/>
        </w:rPr>
        <w:footnoteReference w:id="55"/>
      </w:r>
      <w:r w:rsidRPr="0011294E">
        <w:rPr>
          <w:rFonts w:ascii="Times New Roman" w:hAnsi="Times New Roman"/>
          <w:sz w:val="24"/>
          <w:szCs w:val="24"/>
        </w:rPr>
        <w:t xml:space="preserve">. Podemos referir ainda uma possível </w:t>
      </w:r>
      <w:r w:rsidRPr="0011294E">
        <w:rPr>
          <w:rFonts w:ascii="Times New Roman" w:hAnsi="Times New Roman"/>
          <w:i/>
          <w:sz w:val="24"/>
          <w:szCs w:val="24"/>
        </w:rPr>
        <w:t>civitas</w:t>
      </w:r>
      <w:r w:rsidRPr="0011294E">
        <w:rPr>
          <w:rFonts w:ascii="Times New Roman" w:hAnsi="Times New Roman"/>
          <w:sz w:val="24"/>
          <w:szCs w:val="24"/>
        </w:rPr>
        <w:t xml:space="preserve"> com capital em </w:t>
      </w:r>
      <w:r w:rsidRPr="0011294E">
        <w:rPr>
          <w:rFonts w:ascii="Times New Roman" w:hAnsi="Times New Roman"/>
          <w:i/>
          <w:sz w:val="24"/>
          <w:szCs w:val="24"/>
        </w:rPr>
        <w:t>Pietum</w:t>
      </w:r>
      <w:r w:rsidRPr="0011294E">
        <w:rPr>
          <w:rFonts w:ascii="Times New Roman" w:hAnsi="Times New Roman"/>
          <w:sz w:val="24"/>
          <w:szCs w:val="24"/>
        </w:rPr>
        <w:t xml:space="preserve">, referida por Ptolomeu e no Itinerário de António, que faria fronteira a leste com os </w:t>
      </w:r>
      <w:r w:rsidRPr="0011294E">
        <w:rPr>
          <w:rFonts w:ascii="Times New Roman" w:hAnsi="Times New Roman"/>
          <w:i/>
          <w:sz w:val="24"/>
          <w:szCs w:val="24"/>
        </w:rPr>
        <w:t>Zoelas</w:t>
      </w:r>
      <w:r w:rsidRPr="0011294E">
        <w:rPr>
          <w:rFonts w:ascii="Times New Roman" w:hAnsi="Times New Roman"/>
          <w:sz w:val="24"/>
          <w:szCs w:val="24"/>
        </w:rPr>
        <w:t xml:space="preserve">, localizando-se desta forma do </w:t>
      </w:r>
      <w:r w:rsidRPr="0011294E">
        <w:rPr>
          <w:rFonts w:ascii="Times New Roman" w:hAnsi="Times New Roman"/>
          <w:i/>
          <w:sz w:val="24"/>
          <w:szCs w:val="24"/>
        </w:rPr>
        <w:t>Conventus Bracaraugustanus</w:t>
      </w:r>
      <w:r w:rsidRPr="0011294E">
        <w:rPr>
          <w:rFonts w:ascii="Times New Roman" w:hAnsi="Times New Roman"/>
          <w:sz w:val="24"/>
          <w:szCs w:val="24"/>
        </w:rPr>
        <w:t xml:space="preserve">, definidos pelas Serras de Nogueira e de Bornes. O nome deste povo está referido no Padrão do Povos, podendo corresponder aos </w:t>
      </w:r>
      <w:r w:rsidRPr="0011294E">
        <w:rPr>
          <w:rFonts w:ascii="Times New Roman" w:hAnsi="Times New Roman"/>
          <w:i/>
          <w:sz w:val="24"/>
          <w:szCs w:val="24"/>
        </w:rPr>
        <w:t>Aobrigenses</w:t>
      </w:r>
      <w:r w:rsidRPr="0011294E">
        <w:rPr>
          <w:rFonts w:ascii="Times New Roman" w:hAnsi="Times New Roman"/>
          <w:sz w:val="24"/>
          <w:szCs w:val="24"/>
        </w:rPr>
        <w:t xml:space="preserve"> ou </w:t>
      </w:r>
      <w:r w:rsidRPr="0011294E">
        <w:rPr>
          <w:rFonts w:ascii="Times New Roman" w:hAnsi="Times New Roman"/>
          <w:i/>
          <w:sz w:val="24"/>
          <w:szCs w:val="24"/>
        </w:rPr>
        <w:t>Avobrigenses</w:t>
      </w:r>
      <w:r w:rsidRPr="0011294E">
        <w:rPr>
          <w:rFonts w:ascii="Times New Roman" w:hAnsi="Times New Roman"/>
          <w:sz w:val="24"/>
          <w:szCs w:val="24"/>
        </w:rPr>
        <w:t xml:space="preserve"> ou aos </w:t>
      </w:r>
      <w:r w:rsidRPr="0011294E">
        <w:rPr>
          <w:rFonts w:ascii="Times New Roman" w:hAnsi="Times New Roman"/>
          <w:i/>
          <w:sz w:val="24"/>
          <w:szCs w:val="24"/>
        </w:rPr>
        <w:t>Naebisoci</w:t>
      </w:r>
      <w:r w:rsidRPr="0011294E">
        <w:rPr>
          <w:rFonts w:ascii="Times New Roman" w:hAnsi="Times New Roman"/>
          <w:sz w:val="24"/>
          <w:szCs w:val="24"/>
        </w:rPr>
        <w:t xml:space="preserve"> ou </w:t>
      </w:r>
      <w:r w:rsidRPr="0011294E">
        <w:rPr>
          <w:rFonts w:ascii="Times New Roman" w:hAnsi="Times New Roman"/>
          <w:i/>
          <w:sz w:val="24"/>
          <w:szCs w:val="24"/>
        </w:rPr>
        <w:t>Aebisoci</w:t>
      </w:r>
      <w:r w:rsidRPr="0011294E">
        <w:rPr>
          <w:rStyle w:val="Refdenotaderodap"/>
          <w:rFonts w:ascii="Times New Roman" w:hAnsi="Times New Roman"/>
          <w:sz w:val="24"/>
          <w:szCs w:val="24"/>
        </w:rPr>
        <w:footnoteReference w:id="56"/>
      </w:r>
      <w:r w:rsidRPr="0011294E">
        <w:rPr>
          <w:rFonts w:ascii="Times New Roman" w:hAnsi="Times New Roman"/>
          <w:sz w:val="24"/>
          <w:szCs w:val="24"/>
        </w:rPr>
        <w:t>. Importa, no entanto, ressa</w:t>
      </w:r>
      <w:r w:rsidR="00A55E03">
        <w:rPr>
          <w:rFonts w:ascii="Times New Roman" w:hAnsi="Times New Roman"/>
          <w:sz w:val="24"/>
          <w:szCs w:val="24"/>
        </w:rPr>
        <w:t xml:space="preserve">lvar que estes </w:t>
      </w:r>
      <w:proofErr w:type="gramStart"/>
      <w:r w:rsidR="00A55E03">
        <w:rPr>
          <w:rFonts w:ascii="Times New Roman" w:hAnsi="Times New Roman"/>
          <w:sz w:val="24"/>
          <w:szCs w:val="24"/>
        </w:rPr>
        <w:t xml:space="preserve">centros </w:t>
      </w:r>
      <w:r w:rsidRPr="0011294E">
        <w:rPr>
          <w:rFonts w:ascii="Times New Roman" w:hAnsi="Times New Roman"/>
          <w:sz w:val="24"/>
          <w:szCs w:val="24"/>
        </w:rPr>
        <w:t xml:space="preserve"> acima</w:t>
      </w:r>
      <w:proofErr w:type="gramEnd"/>
      <w:r w:rsidRPr="0011294E">
        <w:rPr>
          <w:rFonts w:ascii="Times New Roman" w:hAnsi="Times New Roman"/>
          <w:sz w:val="24"/>
          <w:szCs w:val="24"/>
        </w:rPr>
        <w:t xml:space="preserve"> apenas podem ter sido numa fase inicial do domínio romano. A partir da dinástica flaviana, foram criados novos povoados e centros que terão originado a transferência da capitalidade.</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 restantes </w:t>
      </w:r>
      <w:r w:rsidRPr="0011294E">
        <w:rPr>
          <w:rFonts w:ascii="Times New Roman" w:hAnsi="Times New Roman"/>
          <w:i/>
          <w:sz w:val="24"/>
          <w:szCs w:val="24"/>
        </w:rPr>
        <w:t>civitates</w:t>
      </w:r>
      <w:r w:rsidRPr="0011294E">
        <w:rPr>
          <w:rFonts w:ascii="Times New Roman" w:hAnsi="Times New Roman"/>
          <w:sz w:val="24"/>
          <w:szCs w:val="24"/>
        </w:rPr>
        <w:t xml:space="preserve"> referidas no Padrão dos Povos, nomeadamente, os </w:t>
      </w:r>
      <w:r w:rsidRPr="0011294E">
        <w:rPr>
          <w:rFonts w:ascii="Times New Roman" w:hAnsi="Times New Roman"/>
          <w:i/>
          <w:sz w:val="24"/>
          <w:szCs w:val="24"/>
        </w:rPr>
        <w:t>Tamagani</w:t>
      </w:r>
      <w:r w:rsidRPr="0011294E">
        <w:rPr>
          <w:rFonts w:ascii="Times New Roman" w:hAnsi="Times New Roman"/>
          <w:sz w:val="24"/>
          <w:szCs w:val="24"/>
        </w:rPr>
        <w:t xml:space="preserve">, os </w:t>
      </w:r>
      <w:r w:rsidRPr="0011294E">
        <w:rPr>
          <w:rFonts w:ascii="Times New Roman" w:hAnsi="Times New Roman"/>
          <w:i/>
          <w:sz w:val="24"/>
          <w:szCs w:val="24"/>
        </w:rPr>
        <w:t>Limici</w:t>
      </w:r>
      <w:r w:rsidRPr="0011294E">
        <w:rPr>
          <w:rFonts w:ascii="Times New Roman" w:hAnsi="Times New Roman"/>
          <w:sz w:val="24"/>
          <w:szCs w:val="24"/>
        </w:rPr>
        <w:t>, os</w:t>
      </w:r>
      <w:r w:rsidRPr="0011294E">
        <w:rPr>
          <w:rFonts w:ascii="Times New Roman" w:hAnsi="Times New Roman"/>
          <w:i/>
          <w:sz w:val="24"/>
          <w:szCs w:val="24"/>
        </w:rPr>
        <w:t xml:space="preserve"> Querquemi</w:t>
      </w:r>
      <w:r w:rsidRPr="0011294E">
        <w:rPr>
          <w:rFonts w:ascii="Times New Roman" w:hAnsi="Times New Roman"/>
          <w:sz w:val="24"/>
          <w:szCs w:val="24"/>
        </w:rPr>
        <w:t xml:space="preserve">, os </w:t>
      </w:r>
      <w:r w:rsidRPr="0011294E">
        <w:rPr>
          <w:rFonts w:ascii="Times New Roman" w:hAnsi="Times New Roman"/>
          <w:i/>
          <w:sz w:val="24"/>
          <w:szCs w:val="24"/>
        </w:rPr>
        <w:t>Coelemi</w:t>
      </w:r>
      <w:r w:rsidRPr="0011294E">
        <w:rPr>
          <w:rFonts w:ascii="Times New Roman" w:hAnsi="Times New Roman"/>
          <w:sz w:val="24"/>
          <w:szCs w:val="24"/>
        </w:rPr>
        <w:t xml:space="preserve">, os </w:t>
      </w:r>
      <w:r w:rsidRPr="0011294E">
        <w:rPr>
          <w:rFonts w:ascii="Times New Roman" w:hAnsi="Times New Roman"/>
          <w:i/>
          <w:sz w:val="24"/>
          <w:szCs w:val="24"/>
        </w:rPr>
        <w:t>Interamici</w:t>
      </w:r>
      <w:r w:rsidRPr="0011294E">
        <w:rPr>
          <w:rFonts w:ascii="Times New Roman" w:hAnsi="Times New Roman"/>
          <w:sz w:val="24"/>
          <w:szCs w:val="24"/>
        </w:rPr>
        <w:t xml:space="preserve"> e os </w:t>
      </w:r>
      <w:r w:rsidRPr="0011294E">
        <w:rPr>
          <w:rFonts w:ascii="Times New Roman" w:hAnsi="Times New Roman"/>
          <w:i/>
          <w:sz w:val="24"/>
          <w:szCs w:val="24"/>
        </w:rPr>
        <w:t>Bibali</w:t>
      </w:r>
      <w:r w:rsidRPr="0011294E">
        <w:rPr>
          <w:rFonts w:ascii="Times New Roman" w:hAnsi="Times New Roman"/>
          <w:sz w:val="24"/>
          <w:szCs w:val="24"/>
        </w:rPr>
        <w:t xml:space="preserve">, estão localizados com relativa segurança, em território espanhol, na província de Ourense. Assim, todas estas </w:t>
      </w:r>
      <w:r w:rsidRPr="0011294E">
        <w:rPr>
          <w:rFonts w:ascii="Times New Roman" w:hAnsi="Times New Roman"/>
          <w:i/>
          <w:sz w:val="24"/>
          <w:szCs w:val="24"/>
        </w:rPr>
        <w:t>civitates</w:t>
      </w:r>
      <w:r w:rsidRPr="0011294E">
        <w:rPr>
          <w:rFonts w:ascii="Times New Roman" w:hAnsi="Times New Roman"/>
          <w:sz w:val="24"/>
          <w:szCs w:val="24"/>
        </w:rPr>
        <w:t xml:space="preserve"> incluíam-se no âmbito territorial de </w:t>
      </w:r>
      <w:r w:rsidRPr="0011294E">
        <w:rPr>
          <w:rFonts w:ascii="Times New Roman" w:hAnsi="Times New Roman"/>
          <w:i/>
          <w:sz w:val="24"/>
          <w:szCs w:val="24"/>
        </w:rPr>
        <w:t>Aquae Flaviae</w:t>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i/>
          <w:sz w:val="24"/>
          <w:szCs w:val="24"/>
        </w:rPr>
      </w:pPr>
      <w:r w:rsidRPr="0011294E">
        <w:rPr>
          <w:rFonts w:ascii="Times New Roman" w:hAnsi="Times New Roman"/>
          <w:sz w:val="24"/>
          <w:szCs w:val="24"/>
        </w:rPr>
        <w:lastRenderedPageBreak/>
        <w:t xml:space="preserve">O processo de formação e de desenvolvimento de </w:t>
      </w:r>
      <w:r w:rsidRPr="0011294E">
        <w:rPr>
          <w:rFonts w:ascii="Times New Roman" w:hAnsi="Times New Roman"/>
          <w:i/>
          <w:sz w:val="24"/>
          <w:szCs w:val="24"/>
        </w:rPr>
        <w:t xml:space="preserve">Aquae Flaviae </w:t>
      </w:r>
      <w:r w:rsidRPr="0011294E">
        <w:rPr>
          <w:rFonts w:ascii="Times New Roman" w:hAnsi="Times New Roman"/>
          <w:sz w:val="24"/>
          <w:szCs w:val="24"/>
        </w:rPr>
        <w:t>está em consonância com a evolução das políticas de ocupação e organização do território por parte de Roma, devendo a urbe, neste contexto, ter de ser entendida como um instrumento de gestão de acordo com a estratégia adotada para esta zona. Desta forma, a cidade funcionou aqui como um símbolo da presença e poder de Roma e como uma forma de promover a integração da população indígena</w:t>
      </w:r>
      <w:r w:rsidRPr="0011294E">
        <w:rPr>
          <w:rStyle w:val="Refdenotaderodap"/>
          <w:rFonts w:ascii="Times New Roman" w:hAnsi="Times New Roman"/>
          <w:sz w:val="24"/>
          <w:szCs w:val="24"/>
        </w:rPr>
        <w:footnoteReference w:id="57"/>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Importa igualmente estabelecer a relação entre esta ocupação romana e a construção da rede viária, que facilitava o deslocamento e acesso aos principais núcleos urbanos. No Noroeste da Hispana, a ligação entre </w:t>
      </w:r>
      <w:r w:rsidRPr="0011294E">
        <w:rPr>
          <w:rFonts w:ascii="Times New Roman" w:hAnsi="Times New Roman"/>
          <w:i/>
          <w:sz w:val="24"/>
          <w:szCs w:val="24"/>
        </w:rPr>
        <w:t>Asturica Augusta</w:t>
      </w:r>
      <w:r w:rsidRPr="0011294E">
        <w:rPr>
          <w:rFonts w:ascii="Times New Roman" w:hAnsi="Times New Roman"/>
          <w:sz w:val="24"/>
          <w:szCs w:val="24"/>
        </w:rPr>
        <w:t xml:space="preserve"> e </w:t>
      </w:r>
      <w:r w:rsidRPr="0011294E">
        <w:rPr>
          <w:rFonts w:ascii="Times New Roman" w:hAnsi="Times New Roman"/>
          <w:i/>
          <w:sz w:val="24"/>
          <w:szCs w:val="24"/>
        </w:rPr>
        <w:t xml:space="preserve">Bracara Augusta </w:t>
      </w:r>
      <w:r w:rsidRPr="0011294E">
        <w:rPr>
          <w:rFonts w:ascii="Times New Roman" w:hAnsi="Times New Roman"/>
          <w:sz w:val="24"/>
          <w:szCs w:val="24"/>
        </w:rPr>
        <w:t xml:space="preserve">mereceu uma especial atenção por parte dos Romanos. Esta situação deve-se sobretudo ao posicionamento destas duas cidades. A primeira, </w:t>
      </w:r>
      <w:r w:rsidRPr="0011294E">
        <w:rPr>
          <w:rFonts w:ascii="Times New Roman" w:hAnsi="Times New Roman"/>
          <w:i/>
          <w:sz w:val="24"/>
          <w:szCs w:val="24"/>
        </w:rPr>
        <w:t>Astúrica</w:t>
      </w:r>
      <w:r w:rsidRPr="0011294E">
        <w:rPr>
          <w:rFonts w:ascii="Times New Roman" w:hAnsi="Times New Roman"/>
          <w:sz w:val="24"/>
          <w:szCs w:val="24"/>
        </w:rPr>
        <w:t xml:space="preserve"> fica localizada no extremo ocidental da Meseta Norte. A segunda,</w:t>
      </w:r>
      <w:r w:rsidRPr="0011294E">
        <w:rPr>
          <w:rFonts w:ascii="Times New Roman" w:hAnsi="Times New Roman"/>
          <w:i/>
          <w:sz w:val="24"/>
          <w:szCs w:val="24"/>
        </w:rPr>
        <w:t xml:space="preserve"> Bracara</w:t>
      </w:r>
      <w:r w:rsidRPr="0011294E">
        <w:rPr>
          <w:rFonts w:ascii="Times New Roman" w:hAnsi="Times New Roman"/>
          <w:sz w:val="24"/>
          <w:szCs w:val="24"/>
        </w:rPr>
        <w:t xml:space="preserve">, no canto Sudoeste da </w:t>
      </w:r>
      <w:r w:rsidRPr="0011294E">
        <w:rPr>
          <w:rFonts w:ascii="Times New Roman" w:hAnsi="Times New Roman"/>
          <w:i/>
          <w:sz w:val="24"/>
          <w:szCs w:val="24"/>
        </w:rPr>
        <w:t>Calaceia</w:t>
      </w:r>
      <w:r w:rsidRPr="0011294E">
        <w:rPr>
          <w:rFonts w:ascii="Times New Roman" w:hAnsi="Times New Roman"/>
          <w:sz w:val="24"/>
          <w:szCs w:val="24"/>
        </w:rPr>
        <w:t xml:space="preserve"> entre </w:t>
      </w:r>
      <w:r w:rsidRPr="0011294E">
        <w:rPr>
          <w:rFonts w:ascii="Times New Roman" w:hAnsi="Times New Roman"/>
          <w:i/>
          <w:sz w:val="24"/>
          <w:szCs w:val="24"/>
        </w:rPr>
        <w:t>Olisipão</w:t>
      </w:r>
      <w:r w:rsidRPr="0011294E">
        <w:rPr>
          <w:rFonts w:ascii="Times New Roman" w:hAnsi="Times New Roman"/>
          <w:sz w:val="24"/>
          <w:szCs w:val="24"/>
        </w:rPr>
        <w:t xml:space="preserve"> e </w:t>
      </w:r>
      <w:r w:rsidRPr="0011294E">
        <w:rPr>
          <w:rFonts w:ascii="Times New Roman" w:hAnsi="Times New Roman"/>
          <w:i/>
          <w:sz w:val="24"/>
          <w:szCs w:val="24"/>
        </w:rPr>
        <w:t>Bergantim</w:t>
      </w:r>
      <w:r w:rsidRPr="0011294E">
        <w:rPr>
          <w:rStyle w:val="Refdenotaderodap"/>
          <w:rFonts w:ascii="Times New Roman" w:hAnsi="Times New Roman"/>
          <w:i/>
          <w:sz w:val="24"/>
          <w:szCs w:val="24"/>
        </w:rPr>
        <w:footnoteReference w:id="58"/>
      </w:r>
      <w:r w:rsidRPr="0011294E">
        <w:rPr>
          <w:rFonts w:ascii="Times New Roman" w:hAnsi="Times New Roman"/>
          <w:sz w:val="24"/>
          <w:szCs w:val="24"/>
        </w:rPr>
        <w:t>. Assim, a Via XVII foi concebida essencialmente para fins estratégicos e militares, tendo desempenhado um papel muito importante nas atividades económicas ligadas à exploração aurífera da região e ao escoamento de produtos agrícolas da Terra Quente</w:t>
      </w:r>
      <w:r w:rsidRPr="0011294E">
        <w:rPr>
          <w:rStyle w:val="Refdenotaderodap"/>
          <w:rFonts w:ascii="Times New Roman" w:hAnsi="Times New Roman"/>
          <w:sz w:val="24"/>
          <w:szCs w:val="24"/>
        </w:rPr>
        <w:footnoteReference w:id="59"/>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 desenvolvimento de </w:t>
      </w:r>
      <w:r w:rsidR="00756D8B">
        <w:rPr>
          <w:rFonts w:ascii="Times New Roman" w:hAnsi="Times New Roman"/>
          <w:i/>
          <w:sz w:val="24"/>
          <w:szCs w:val="24"/>
        </w:rPr>
        <w:t>Aquae Flaviae</w:t>
      </w:r>
      <w:r w:rsidRPr="0011294E">
        <w:rPr>
          <w:rFonts w:ascii="Times New Roman" w:hAnsi="Times New Roman"/>
          <w:i/>
          <w:sz w:val="24"/>
          <w:szCs w:val="24"/>
        </w:rPr>
        <w:t xml:space="preserve"> </w:t>
      </w:r>
      <w:r w:rsidRPr="0011294E">
        <w:rPr>
          <w:rFonts w:ascii="Times New Roman" w:hAnsi="Times New Roman"/>
          <w:sz w:val="24"/>
          <w:szCs w:val="24"/>
        </w:rPr>
        <w:t xml:space="preserve">beneficiou da criação e desenvolvimento destas vias romanas. No entanto, a sua importância ia para além da circunstância de nela passar a Via para </w:t>
      </w:r>
      <w:r w:rsidRPr="0011294E">
        <w:rPr>
          <w:rFonts w:ascii="Times New Roman" w:hAnsi="Times New Roman"/>
          <w:i/>
          <w:sz w:val="24"/>
          <w:szCs w:val="24"/>
        </w:rPr>
        <w:t>Asturica</w:t>
      </w:r>
      <w:r w:rsidRPr="0011294E">
        <w:rPr>
          <w:rFonts w:ascii="Times New Roman" w:hAnsi="Times New Roman"/>
          <w:sz w:val="24"/>
          <w:szCs w:val="24"/>
        </w:rPr>
        <w:t xml:space="preserve"> mas também porque daí partiam vários caminhos secundários em direção a Noroeste, Norte e Nordeste, assim como Sul e Sudeste.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Analisando os miliários no território flaviense podemos considerar a existência de duas variantes no trajeto entre </w:t>
      </w:r>
      <w:r w:rsidRPr="0011294E">
        <w:rPr>
          <w:rFonts w:ascii="Times New Roman" w:hAnsi="Times New Roman"/>
          <w:i/>
          <w:sz w:val="24"/>
          <w:szCs w:val="24"/>
        </w:rPr>
        <w:t xml:space="preserve">Bracara Augusta </w:t>
      </w:r>
      <w:r w:rsidRPr="0011294E">
        <w:rPr>
          <w:rFonts w:ascii="Times New Roman" w:hAnsi="Times New Roman"/>
          <w:sz w:val="24"/>
          <w:szCs w:val="24"/>
        </w:rPr>
        <w:t>e</w:t>
      </w:r>
      <w:r w:rsidRPr="0011294E">
        <w:rPr>
          <w:rFonts w:ascii="Times New Roman" w:hAnsi="Times New Roman"/>
          <w:i/>
          <w:sz w:val="24"/>
          <w:szCs w:val="24"/>
        </w:rPr>
        <w:t xml:space="preserve"> Asturica Augusta. </w:t>
      </w:r>
      <w:r w:rsidRPr="0011294E">
        <w:rPr>
          <w:rFonts w:ascii="Times New Roman" w:hAnsi="Times New Roman"/>
          <w:sz w:val="24"/>
          <w:szCs w:val="24"/>
        </w:rPr>
        <w:t xml:space="preserve">Considerando o traçado </w:t>
      </w:r>
      <w:r w:rsidRPr="0011294E">
        <w:rPr>
          <w:rFonts w:ascii="Times New Roman" w:hAnsi="Times New Roman"/>
          <w:i/>
          <w:sz w:val="24"/>
          <w:szCs w:val="24"/>
        </w:rPr>
        <w:t>Bracara Augusta</w:t>
      </w:r>
      <w:r w:rsidRPr="0011294E">
        <w:rPr>
          <w:rFonts w:ascii="Times New Roman" w:hAnsi="Times New Roman"/>
          <w:sz w:val="24"/>
          <w:szCs w:val="24"/>
        </w:rPr>
        <w:t xml:space="preserve"> - </w:t>
      </w:r>
      <w:r w:rsidRPr="0011294E">
        <w:rPr>
          <w:rFonts w:ascii="Times New Roman" w:hAnsi="Times New Roman"/>
          <w:i/>
          <w:sz w:val="24"/>
          <w:szCs w:val="24"/>
        </w:rPr>
        <w:t>Aquae Flaviae</w:t>
      </w:r>
      <w:r w:rsidRPr="0011294E">
        <w:rPr>
          <w:rFonts w:ascii="Times New Roman" w:hAnsi="Times New Roman"/>
          <w:sz w:val="24"/>
          <w:szCs w:val="24"/>
        </w:rPr>
        <w:t xml:space="preserve">, depois de saída de Braga a Via tomava a direção NE, ascendendo ao longo dos vales do rio Cávado e do Rio Rabagão, fletindo depois para Este, em direção a Chaves. Passava ainda pela zona de Arcos, onde foram encontrados três marcos miliários. Na localização desta via é importante referir as atividades económicas que lhe estão associadas, nomeadamente, nesta zona da bacia do Terva, a grande exploração aurífera do Poço das Freitas. Seguindo depois de Ardões e </w:t>
      </w:r>
      <w:r w:rsidRPr="0011294E">
        <w:rPr>
          <w:rFonts w:ascii="Times New Roman" w:hAnsi="Times New Roman"/>
          <w:sz w:val="24"/>
          <w:szCs w:val="24"/>
        </w:rPr>
        <w:lastRenderedPageBreak/>
        <w:t xml:space="preserve">Seara Velha o caminho mais direto para Chaves implica a transposição do relevo Elhos-Facho, até chegar a Chaves. Aqui foram encontrados vários troços de calçada e dois miliários. Para além disso, a toponímia permite-nos comprovar a existência deste troço, nomeadamente pelo microtopónimo “Vale da Via”. Ricardo Teixeira na obra </w:t>
      </w:r>
      <w:r w:rsidRPr="0011294E">
        <w:rPr>
          <w:rFonts w:ascii="Times New Roman" w:hAnsi="Times New Roman"/>
          <w:i/>
          <w:iCs/>
          <w:sz w:val="24"/>
          <w:szCs w:val="24"/>
        </w:rPr>
        <w:t>De Aquae Flaviae a Chaves – Povoamento e Organização do Território entre a Antiguidade e a Idade Média,</w:t>
      </w:r>
      <w:r w:rsidRPr="0011294E">
        <w:rPr>
          <w:rFonts w:ascii="Times New Roman" w:hAnsi="Times New Roman"/>
          <w:sz w:val="24"/>
          <w:szCs w:val="24"/>
        </w:rPr>
        <w:t xml:space="preserve"> avança com um percurso alternativo, a sul, entre a zona de </w:t>
      </w:r>
      <w:r w:rsidR="00C015CF" w:rsidRPr="0011294E">
        <w:rPr>
          <w:rFonts w:ascii="Times New Roman" w:hAnsi="Times New Roman"/>
          <w:sz w:val="24"/>
          <w:szCs w:val="24"/>
        </w:rPr>
        <w:t>Ardões – Poço</w:t>
      </w:r>
      <w:r w:rsidRPr="0011294E">
        <w:rPr>
          <w:rFonts w:ascii="Times New Roman" w:hAnsi="Times New Roman"/>
          <w:sz w:val="24"/>
          <w:szCs w:val="24"/>
        </w:rPr>
        <w:t xml:space="preserve"> das Freitas e Chaves. Este traçado seria mais suave em termos geográficos, embora mais extenso que o primeiro, aproveitando uma portela natural entre a bacia do Terva e a do Tâmega, entre Sapelos e Casas Novas. A via atravessava depois para a zona da Pastoria em direção a Valdanta e Chaves. De referir a presença de um miliário na zona da Pastoria. </w:t>
      </w:r>
      <w:r w:rsidR="009D2BEB" w:rsidRPr="0011294E">
        <w:rPr>
          <w:rFonts w:ascii="Times New Roman" w:hAnsi="Times New Roman"/>
          <w:sz w:val="24"/>
          <w:szCs w:val="24"/>
        </w:rPr>
        <w:t>Face aos dados reunidos, Ricardo Teixeira, formula a hipótese, que nos parece verosímil, de que a via construída no tempo de Augusto seguiria um traçado mais</w:t>
      </w:r>
      <w:r w:rsidR="009D2BEB">
        <w:rPr>
          <w:rFonts w:ascii="Times New Roman" w:hAnsi="Times New Roman"/>
          <w:sz w:val="24"/>
          <w:szCs w:val="24"/>
        </w:rPr>
        <w:t xml:space="preserve"> </w:t>
      </w:r>
      <w:r w:rsidR="009D2BEB" w:rsidRPr="0011294E">
        <w:rPr>
          <w:rFonts w:ascii="Times New Roman" w:hAnsi="Times New Roman"/>
          <w:sz w:val="24"/>
          <w:szCs w:val="24"/>
        </w:rPr>
        <w:t xml:space="preserve">rectilíneo, embora mais acidentado procurando uma ligação mais rápida entre os centros urbanos de </w:t>
      </w:r>
      <w:r w:rsidR="009D2BEB" w:rsidRPr="0011294E">
        <w:rPr>
          <w:rFonts w:ascii="Times New Roman" w:hAnsi="Times New Roman"/>
          <w:i/>
          <w:sz w:val="24"/>
          <w:szCs w:val="24"/>
        </w:rPr>
        <w:t>Bracara Augusta</w:t>
      </w:r>
      <w:r w:rsidR="009D2BEB" w:rsidRPr="0011294E">
        <w:rPr>
          <w:rFonts w:ascii="Times New Roman" w:hAnsi="Times New Roman"/>
          <w:sz w:val="24"/>
          <w:szCs w:val="24"/>
        </w:rPr>
        <w:t xml:space="preserve"> e de </w:t>
      </w:r>
      <w:r w:rsidR="009D2BEB" w:rsidRPr="0011294E">
        <w:rPr>
          <w:rFonts w:ascii="Times New Roman" w:hAnsi="Times New Roman"/>
          <w:i/>
          <w:sz w:val="24"/>
          <w:szCs w:val="24"/>
        </w:rPr>
        <w:t>Asturica Augusta</w:t>
      </w:r>
      <w:r w:rsidR="009D2BEB" w:rsidRPr="0011294E">
        <w:rPr>
          <w:rFonts w:ascii="Times New Roman" w:hAnsi="Times New Roman"/>
          <w:sz w:val="24"/>
          <w:szCs w:val="24"/>
        </w:rPr>
        <w:t xml:space="preserve">, tendo como objetivos as estratégias militares e administrativas. </w:t>
      </w:r>
      <w:r w:rsidRPr="0011294E">
        <w:rPr>
          <w:rFonts w:ascii="Times New Roman" w:hAnsi="Times New Roman"/>
          <w:sz w:val="24"/>
          <w:szCs w:val="24"/>
        </w:rPr>
        <w:t xml:space="preserve">O primeiro traçado, que foi desenhado acima, deverá corresponder a esta hipótese. Entretanto com o desenvolvimento da exploração aurífera do Poço das Freitas e o aproveitamento agrícola da bacia do Terva e da plataforma entre Curalha e Casas Novas, e a implantação de novos habitats, terá originado a construção desta via secundária que, por estar ligada à cidade de </w:t>
      </w:r>
      <w:r w:rsidRPr="0011294E">
        <w:rPr>
          <w:rFonts w:ascii="Times New Roman" w:hAnsi="Times New Roman"/>
          <w:i/>
          <w:sz w:val="24"/>
          <w:szCs w:val="24"/>
        </w:rPr>
        <w:t>Aquae Flaviae</w:t>
      </w:r>
      <w:r w:rsidRPr="0011294E">
        <w:rPr>
          <w:rFonts w:ascii="Times New Roman" w:hAnsi="Times New Roman"/>
          <w:sz w:val="24"/>
          <w:szCs w:val="24"/>
        </w:rPr>
        <w:t>, teve uma importância económica crescente, acabando por se converter num eixo de fluxo eventualmente superior, que possibilitava o interface com a Via XVII</w:t>
      </w:r>
      <w:r w:rsidRPr="0011294E">
        <w:rPr>
          <w:rStyle w:val="Refdenotaderodap"/>
          <w:rFonts w:ascii="Times New Roman" w:hAnsi="Times New Roman"/>
          <w:sz w:val="24"/>
          <w:szCs w:val="24"/>
        </w:rPr>
        <w:footnoteReference w:id="60"/>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Abordemos, agora, outro traçado da Via XVII, no sector situado a Nascente de Chaves, que conheceu dois itinerários diferentes, um na zona Norte e outro na zona Meridional, sendo o itinerário mais a Norte considerado mais importante. Este seguia pela zona Sul, subindo ao planalto de Monforte de Rio Livre, seguindo por Fiães e Buçais, atravessando o Rabaçal e dirigindo-se por Vinhais e Ponte Velha de Soeira a Castro de Avelãs. O traçado meridional atravessava por S. Lourenço, Vilarandelo e </w:t>
      </w:r>
      <w:r w:rsidRPr="0011294E">
        <w:rPr>
          <w:rFonts w:ascii="Times New Roman" w:hAnsi="Times New Roman"/>
          <w:sz w:val="24"/>
          <w:szCs w:val="24"/>
        </w:rPr>
        <w:lastRenderedPageBreak/>
        <w:t>Possacos, transpunha o rio Rabaçal pela ponte de Vale das Telhas e o Rio Tuela na Ponte de Pedra, seguindo depois para Lamalonga até chegar a Castro de Avelãs</w:t>
      </w:r>
      <w:r w:rsidRPr="0011294E">
        <w:rPr>
          <w:rStyle w:val="Refdenotaderodap"/>
          <w:rFonts w:ascii="Times New Roman" w:hAnsi="Times New Roman"/>
          <w:sz w:val="24"/>
          <w:szCs w:val="24"/>
        </w:rPr>
        <w:footnoteReference w:id="61"/>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Analisando este percurso com maior rigor, podemos referir que saindo de Chaves pela Ponte de Trajano, a via atravessa a Veiga de Chaves, prolongando o seu percurso de forma retilínea, a subida pelo planalto devia fazer-se pela calçada de S. Lourenço, que conduz ao rebordo oriental da Veiga de Chaves até próximo da povoação de S. Lourenço. Em S. Lourenço a via atravessava a Ribeira do Caneiro, ou de S. Lourenço pela Ponte do Arco que se encontra muito assoreada mas conserva ainda um aparelho com os característicos silhares almofadados. Partindo desta ponte, a via seguia para a encosta, passando a Sul de S. Julião, onde foram encontrados quatro marcos miliários. Segundo Rodriguez Colmenero, um dos marcos seria do Imperador Macrino e outro marco atribuído ao Imperador Décio. Continuando o percurso da via, ela ascendia ao planalto passando a Sil pelo Alto do Cavalinho. Ao atingir o planalto seguia em direção a Vilarandelo, atravessando o termo de Lama de Ouriço, onde se encontra referência um miliário atribuído a Magnêncio. Aquando das obras na Capela de Sta. Luzia, foram encontrados dois marcos miliários, sendo um deles atribuídos a Macrino e outro a Deadumiano</w:t>
      </w:r>
      <w:r w:rsidRPr="0011294E">
        <w:rPr>
          <w:rStyle w:val="Refdenotaderodap"/>
          <w:rFonts w:ascii="Times New Roman" w:hAnsi="Times New Roman"/>
          <w:sz w:val="24"/>
          <w:szCs w:val="24"/>
        </w:rPr>
        <w:footnoteReference w:id="62"/>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Seguido de Vilarandelo a via dirigia-se para Poçacos, por um traçado mais sinuoso, que passava pela Aldeia de Lagoas</w:t>
      </w:r>
      <w:r w:rsidRPr="0011294E">
        <w:rPr>
          <w:rStyle w:val="Refdenotaderodap"/>
          <w:rFonts w:ascii="Times New Roman" w:hAnsi="Times New Roman"/>
          <w:sz w:val="24"/>
          <w:szCs w:val="24"/>
        </w:rPr>
        <w:footnoteReference w:id="63"/>
      </w:r>
      <w:r w:rsidRPr="0011294E">
        <w:rPr>
          <w:rFonts w:ascii="Times New Roman" w:hAnsi="Times New Roman"/>
          <w:sz w:val="24"/>
          <w:szCs w:val="24"/>
        </w:rPr>
        <w:t xml:space="preserve">. A passagem da via por Poçacos encontra-se justificada pela presença de quatro miliários descobertos nesta localidade. De Poçacos a via iniciava uma descida mais acentuada, da cota dos 440 m para a dos 300 m, que a leva até ao Rio Calvo que transpunha pela Ponte do Arquinho, também conhecida por Pontão de Poçacos. Esta ponte de um só arco e tabuleiro plano conserva grande parte da sua estrutura romana em aparelho almofadado e com marca de </w:t>
      </w:r>
      <w:r w:rsidRPr="0011294E">
        <w:rPr>
          <w:rFonts w:ascii="Times New Roman" w:hAnsi="Times New Roman"/>
          <w:i/>
          <w:iCs/>
          <w:sz w:val="24"/>
          <w:szCs w:val="24"/>
        </w:rPr>
        <w:t xml:space="preserve">fórfex. </w:t>
      </w:r>
      <w:r w:rsidRPr="0011294E">
        <w:rPr>
          <w:rFonts w:ascii="Times New Roman" w:hAnsi="Times New Roman"/>
          <w:sz w:val="24"/>
          <w:szCs w:val="24"/>
        </w:rPr>
        <w:t>Junto à ponte foi encontrado um miliário de Maximino e Máximo, particularmente importante por testemunhar a realização de obras de restauro na via</w:t>
      </w:r>
      <w:r w:rsidRPr="0011294E">
        <w:rPr>
          <w:rStyle w:val="Refdenotaderodap"/>
          <w:rFonts w:ascii="Times New Roman" w:hAnsi="Times New Roman"/>
          <w:sz w:val="24"/>
          <w:szCs w:val="24"/>
        </w:rPr>
        <w:footnoteReference w:id="64"/>
      </w:r>
      <w:r w:rsidRPr="0011294E">
        <w:rPr>
          <w:rFonts w:ascii="Times New Roman" w:hAnsi="Times New Roman"/>
          <w:sz w:val="24"/>
          <w:szCs w:val="24"/>
        </w:rPr>
        <w:t>. Transposta a ponte, a via seguia pela calçada existente dirigindo-se à Ponte de Vale de Telhas onde se realizava a travessia do Rabaçal.</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 xml:space="preserve">Para além deste traçado a Sul de </w:t>
      </w:r>
      <w:r w:rsidRPr="0011294E">
        <w:rPr>
          <w:rFonts w:ascii="Times New Roman" w:hAnsi="Times New Roman"/>
          <w:i/>
          <w:sz w:val="24"/>
          <w:szCs w:val="24"/>
        </w:rPr>
        <w:t>Aquae Flaviae</w:t>
      </w:r>
      <w:r w:rsidRPr="0011294E">
        <w:rPr>
          <w:rFonts w:ascii="Times New Roman" w:hAnsi="Times New Roman"/>
          <w:sz w:val="24"/>
          <w:szCs w:val="24"/>
        </w:rPr>
        <w:t>, temos de ter em conta o traçado Norte da Via XVII do</w:t>
      </w:r>
      <w:r w:rsidRPr="0011294E">
        <w:rPr>
          <w:rFonts w:ascii="Times New Roman" w:hAnsi="Times New Roman"/>
          <w:i/>
          <w:sz w:val="24"/>
          <w:szCs w:val="24"/>
        </w:rPr>
        <w:t xml:space="preserve"> Itinerário de Antonino</w:t>
      </w:r>
      <w:r w:rsidRPr="0011294E">
        <w:rPr>
          <w:rFonts w:ascii="Times New Roman" w:hAnsi="Times New Roman"/>
          <w:sz w:val="24"/>
          <w:szCs w:val="24"/>
        </w:rPr>
        <w:t>, que faria parte do traçado entre Braga e Astorga. Diversos autores consideram a possibilidade deste percurso passar por Chaves em direção a NE, passando por Monforte de Rio Livre, em direção a Vinhais e Bragança. No entanto, não podemos deixar de chamar a atenção que a reconstituição da alternativa norte da Via suscita grandes dificuldades, devido à escassez de dados concretos. Segundo Sande Lemos, só o miliário descoberto na Soeira, atribuído a Augusto, pode garantir o estatuto estatal desta Via</w:t>
      </w:r>
      <w:r w:rsidRPr="0011294E">
        <w:rPr>
          <w:rStyle w:val="Refdenotaderodap"/>
          <w:rFonts w:ascii="Times New Roman" w:hAnsi="Times New Roman"/>
          <w:sz w:val="24"/>
          <w:szCs w:val="24"/>
        </w:rPr>
        <w:footnoteReference w:id="65"/>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Neste sentido, na falta de elementos que nos permitam comprovar o traçado da variante Norte, seguiremos a hipótese avançada por Ricardo Teixeira em </w:t>
      </w:r>
      <w:r w:rsidRPr="0011294E">
        <w:rPr>
          <w:rFonts w:ascii="Times New Roman" w:hAnsi="Times New Roman"/>
          <w:i/>
          <w:iCs/>
          <w:sz w:val="24"/>
          <w:szCs w:val="24"/>
        </w:rPr>
        <w:t xml:space="preserve">De Aquae Flaviae a Chaves – Povoamento e Organização do Território entre a Antiguidade e a Idade Média, </w:t>
      </w:r>
      <w:r w:rsidRPr="0011294E">
        <w:rPr>
          <w:rFonts w:ascii="Times New Roman" w:hAnsi="Times New Roman"/>
          <w:iCs/>
          <w:sz w:val="24"/>
          <w:szCs w:val="24"/>
        </w:rPr>
        <w:t xml:space="preserve">onde a partir do </w:t>
      </w:r>
      <w:r w:rsidRPr="0011294E">
        <w:rPr>
          <w:rFonts w:ascii="Times New Roman" w:hAnsi="Times New Roman"/>
          <w:sz w:val="24"/>
          <w:szCs w:val="24"/>
        </w:rPr>
        <w:t xml:space="preserve">quadro do povoamento romano da zona, conjugou-os com a geomorfologia e a toponímia.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Assim como no itinerário Sul, este traçado partia da ponte Trajano, em Chaves, atravessando a Veiga, seguindo posteriormente até Monforte de Rio Livre, onde passaria pelo habitat romano de Bezeira, passando por Açoeira, onde ascendia ao planalto seguindo o trajeto da Calçada de Souto Velho até chegar a Monforte pelo lado</w:t>
      </w:r>
      <w:r w:rsidR="009D2BEB">
        <w:rPr>
          <w:rFonts w:ascii="Times New Roman" w:hAnsi="Times New Roman"/>
          <w:sz w:val="24"/>
          <w:szCs w:val="24"/>
        </w:rPr>
        <w:t xml:space="preserve"> </w:t>
      </w:r>
      <w:r w:rsidRPr="0011294E">
        <w:rPr>
          <w:rFonts w:ascii="Times New Roman" w:hAnsi="Times New Roman"/>
          <w:sz w:val="24"/>
          <w:szCs w:val="24"/>
        </w:rPr>
        <w:t xml:space="preserve">SE. Neste troço, já ao chegar à zona planáltica, a via servia um importante povoado romano - Casarelhos / Aguatões. Um documento do </w:t>
      </w:r>
      <w:r w:rsidR="009D2BEB" w:rsidRPr="0011294E">
        <w:rPr>
          <w:rFonts w:ascii="Times New Roman" w:hAnsi="Times New Roman"/>
          <w:sz w:val="24"/>
          <w:szCs w:val="24"/>
        </w:rPr>
        <w:t>Cartulário</w:t>
      </w:r>
      <w:r w:rsidRPr="0011294E">
        <w:rPr>
          <w:rFonts w:ascii="Times New Roman" w:hAnsi="Times New Roman"/>
          <w:sz w:val="24"/>
          <w:szCs w:val="24"/>
        </w:rPr>
        <w:t xml:space="preserve"> da Sé de Braga datável do ano de 1068 menciona os limites de propriedade de Aguatões, fazendo referência à via como "</w:t>
      </w:r>
      <w:r w:rsidRPr="0011294E">
        <w:rPr>
          <w:rFonts w:ascii="Times New Roman" w:hAnsi="Times New Roman"/>
          <w:i/>
          <w:iCs/>
          <w:sz w:val="24"/>
          <w:szCs w:val="24"/>
        </w:rPr>
        <w:t>carrale antiqua</w:t>
      </w:r>
      <w:r w:rsidRPr="0011294E">
        <w:rPr>
          <w:rFonts w:ascii="Times New Roman" w:hAnsi="Times New Roman"/>
          <w:sz w:val="24"/>
          <w:szCs w:val="24"/>
        </w:rPr>
        <w:t>”</w:t>
      </w:r>
      <w:r w:rsidRPr="0011294E">
        <w:rPr>
          <w:rStyle w:val="Refdenotaderodap"/>
          <w:rFonts w:ascii="Times New Roman" w:hAnsi="Times New Roman"/>
          <w:sz w:val="24"/>
          <w:szCs w:val="24"/>
        </w:rPr>
        <w:footnoteReference w:id="66"/>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No planalto, a via corria em direção a Este, passando junto do habitat Serra, onde atingia a povoação da Bobadela. Aqui existia um povoado fortificado com ocupação romana, uma ara votiva e duas estelas funerárias. Daqui a via encaminhava-se para a zona de Fiães, depois de atravessar o Rio Calvo próximo de Nozelos. Junto a Fiães localiza-se o povoado das Muradelhas, identificado com o </w:t>
      </w:r>
      <w:r w:rsidRPr="0011294E">
        <w:rPr>
          <w:rFonts w:ascii="Times New Roman" w:hAnsi="Times New Roman"/>
          <w:i/>
          <w:iCs/>
          <w:sz w:val="24"/>
          <w:szCs w:val="24"/>
        </w:rPr>
        <w:t xml:space="preserve">vicus Vagornica </w:t>
      </w:r>
      <w:r w:rsidRPr="0011294E">
        <w:rPr>
          <w:rFonts w:ascii="Times New Roman" w:hAnsi="Times New Roman"/>
          <w:sz w:val="24"/>
          <w:szCs w:val="24"/>
        </w:rPr>
        <w:t xml:space="preserve">referido numa ara dedicada a Júpiter. Francisco Sande Lemos propõe o traçado da via a passar a Norte deste povoado dirigindo-se depois, por Tortomil, Bouçoais e Senhora da Ribeira, </w:t>
      </w:r>
      <w:r w:rsidRPr="0011294E">
        <w:rPr>
          <w:rFonts w:ascii="Times New Roman" w:hAnsi="Times New Roman"/>
          <w:sz w:val="24"/>
          <w:szCs w:val="24"/>
        </w:rPr>
        <w:lastRenderedPageBreak/>
        <w:t>até à Quinta dos Picões, onde se efetuava a travessia do Rabaçal</w:t>
      </w:r>
      <w:r w:rsidRPr="0011294E">
        <w:rPr>
          <w:rStyle w:val="Refdenotaderodap"/>
          <w:rFonts w:ascii="Times New Roman" w:hAnsi="Times New Roman"/>
          <w:sz w:val="24"/>
          <w:szCs w:val="24"/>
        </w:rPr>
        <w:footnoteReference w:id="67"/>
      </w:r>
      <w:r w:rsidRPr="0011294E">
        <w:rPr>
          <w:rFonts w:ascii="Times New Roman" w:hAnsi="Times New Roman"/>
          <w:sz w:val="24"/>
          <w:szCs w:val="24"/>
        </w:rPr>
        <w:t>. Este trajeto estaria ligado às aras descobertas em Tortomil, com o habitat de Vale dos Fetos, a Abadia de Bouçoais e o povoado fortificado romanizado de Nossa Senhora da Ribeira. Apesar de nenhuma das pontes de Picões apresentar vestígios construtivos romanos, podendo a mais antiga ser da época medieval, a persistência da travessia do Rabaçal neste local torna bastante provável a sua inclusão no percurso da via romana, que depois se dirigia a Vinhais e Castro de Avelãs</w:t>
      </w:r>
      <w:r w:rsidRPr="0011294E">
        <w:rPr>
          <w:rStyle w:val="Refdenotaderodap"/>
          <w:rFonts w:ascii="Times New Roman" w:hAnsi="Times New Roman"/>
          <w:sz w:val="24"/>
          <w:szCs w:val="24"/>
        </w:rPr>
        <w:footnoteReference w:id="68"/>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cidade de </w:t>
      </w:r>
      <w:r w:rsidRPr="0011294E">
        <w:rPr>
          <w:rFonts w:ascii="Times New Roman" w:hAnsi="Times New Roman"/>
          <w:i/>
          <w:sz w:val="24"/>
          <w:szCs w:val="24"/>
        </w:rPr>
        <w:t>Aquae Flaviae</w:t>
      </w:r>
      <w:r w:rsidRPr="0011294E">
        <w:rPr>
          <w:rFonts w:ascii="Times New Roman" w:hAnsi="Times New Roman"/>
          <w:sz w:val="24"/>
          <w:szCs w:val="24"/>
        </w:rPr>
        <w:t xml:space="preserve"> era, neste sentido, um importante centro regional, cabeça de uma zona economicamente dinâmica que incluía importantes recursos agrícolas e mineiros. A sua importância deu origem a uma complexidade viária. O planeamento das vias secundárias obedeceu a uma lógica de planeamento integrado, na medida em que foram tidos em conta as condicionantes geomorfológicas, dos recursos económicos, e se pretendia obter o máximo rendimento da malha viária de modo a que esta suportasse diversas escalas de trajetos e a circulação de pessoas de todos os estatutos, escoando também uma ampla diversidade de bens</w:t>
      </w:r>
      <w:r w:rsidRPr="0011294E">
        <w:rPr>
          <w:rStyle w:val="Refdenotaderodap"/>
          <w:rFonts w:ascii="Times New Roman" w:hAnsi="Times New Roman"/>
          <w:sz w:val="24"/>
          <w:szCs w:val="24"/>
        </w:rPr>
        <w:footnoteReference w:id="69"/>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Efetivamente, a intensidade de fluxos entre a cidade e mundo rural não se esgotaria nas atividades económicas e comerciais, mas também à vitalidade política das suas instituições municipais que teriam uma postura de tolerância no que respeita à participação e integração indígena e naturalmente aos usuais atrativos urbanos em que se incluiriam os banhos e os espetáculos públicos</w:t>
      </w:r>
      <w:r w:rsidRPr="0011294E">
        <w:rPr>
          <w:rStyle w:val="Refdenotaderodap"/>
          <w:rFonts w:ascii="Times New Roman" w:hAnsi="Times New Roman"/>
          <w:sz w:val="24"/>
          <w:szCs w:val="24"/>
        </w:rPr>
        <w:footnoteReference w:id="70"/>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Analisando a margem esquerda do rio Tâmega encontramos um marco miliário que podemos atribuir a uma via secundária da região. Este marco pertencia à estrada que, partindo de </w:t>
      </w:r>
      <w:r w:rsidRPr="0011294E">
        <w:rPr>
          <w:rFonts w:ascii="Times New Roman" w:hAnsi="Times New Roman"/>
          <w:i/>
          <w:iCs/>
          <w:sz w:val="24"/>
          <w:szCs w:val="24"/>
        </w:rPr>
        <w:t xml:space="preserve">Aquae Flaviae, </w:t>
      </w:r>
      <w:r w:rsidRPr="0011294E">
        <w:rPr>
          <w:rFonts w:ascii="Times New Roman" w:hAnsi="Times New Roman"/>
          <w:sz w:val="24"/>
          <w:szCs w:val="24"/>
        </w:rPr>
        <w:t>se dirigia para Norte, ao longo do Tâmega, estando igualmente atestada por outros marcos miliários encontrados em Tamaguelos, Tamagos e Verín, já no seu percurso em território espanhol</w:t>
      </w:r>
      <w:r w:rsidRPr="0011294E">
        <w:rPr>
          <w:rStyle w:val="Refdenotaderodap"/>
          <w:rFonts w:ascii="Times New Roman" w:hAnsi="Times New Roman"/>
          <w:sz w:val="24"/>
          <w:szCs w:val="24"/>
        </w:rPr>
        <w:footnoteReference w:id="71"/>
      </w:r>
      <w:r w:rsidRPr="0011294E">
        <w:rPr>
          <w:rFonts w:ascii="Times New Roman" w:hAnsi="Times New Roman"/>
          <w:sz w:val="24"/>
          <w:szCs w:val="24"/>
        </w:rPr>
        <w:t xml:space="preserve">. A convergência do destino da via </w:t>
      </w:r>
      <w:r w:rsidRPr="0011294E">
        <w:rPr>
          <w:rFonts w:ascii="Times New Roman" w:hAnsi="Times New Roman"/>
          <w:sz w:val="24"/>
          <w:szCs w:val="24"/>
        </w:rPr>
        <w:lastRenderedPageBreak/>
        <w:t>romana é por agora desconhecida, embora se possa considerar uma ligação transversal entre as Vias XVII e XVIII</w:t>
      </w:r>
      <w:r w:rsidRPr="0011294E">
        <w:rPr>
          <w:rStyle w:val="Refdenotaderodap"/>
          <w:rFonts w:ascii="Times New Roman" w:hAnsi="Times New Roman"/>
          <w:sz w:val="24"/>
          <w:szCs w:val="24"/>
        </w:rPr>
        <w:footnoteReference w:id="72"/>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Esta via poderia correr junto ao Rio, no alinhamento aproximado de um caminho rural ainda existente. É importante referir ainda que este caminho serve de limite entre as freguesias de Faiões, para Leste, e de Outeiro Seco, para Ocidente. Uma outra alternativa seria a via passar pelo rebordo Oriental da Veiga, tendo em conta a distribuição dos vestígios do habitat e da própria geomorfologia do terreno. Passariam um pouco a Oeste de Faiões e S. Estêvão, dirigindo-se depois para Verín, por Vila Verde da Raia, Tamaguelos e Tamagos.</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Analisando agora a margem direita do rio Tâmega, verificamos que existe uma maior distribuição dos habitats romanos nesta faixa de povoamento. Apesar de não ser conhecido nenhum marco miliares nesta zona, podemos referir uma possível via numa plataforma superior do curso do Tâmega, que ligaria estes habitats às explorações mineiras de Outeiro Seco. Na mesma linha de pensamento de Ricardo Teixeira, podemos destacar o caminho que, partindo da cidade e tomando a direção NE, passava junto ao habitat alto-imperial da Ribalta e mais à frente corria por um velho caminho a nascente da Igreja românica de N.ª Sr.ª da Azinheira e do habitat romano que aí foi detetado este também com ocupação documentada desde o Alto-Império.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Na zona de Outeiro Seco a estrada devia inflectir para NO, passando junto à Capela da Sr.ª da Portela e da necrópole de sepulturas escavadas na rocha da Quinta da Mina. Posteriormente servia o habitat romano de Montes Claros muito provavelmente relacionado com a exploração mineira próxima, situada em Trincheiras/Fachos, que a via contornava pelo lado poente. De seguida tomava a direção Norte servindo o habitat de Pedrianes e, embora mais afastados da via, os de Vale de Lagares/Alto da Silveira e Gradoim Novo. A estrada dirigia-se depois a Vilarelho da Raia, onde se encontraram duas aras dedicadas a Júpiter. Atravessava a Veiga de Calvelos, passando junto ao importante povoado de Vale da Ermida prosseguindo depois o seu percurso já em território orensano</w:t>
      </w:r>
      <w:r w:rsidRPr="0011294E">
        <w:rPr>
          <w:rStyle w:val="Refdenotaderodap"/>
          <w:rFonts w:ascii="Times New Roman" w:hAnsi="Times New Roman"/>
          <w:sz w:val="24"/>
          <w:szCs w:val="24"/>
        </w:rPr>
        <w:footnoteReference w:id="73"/>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Para além destas vias secundárias enunciadas em cima, podemos mencionar outras duas vias que faziam parte deste conjunto, designadamente, uma via em direção a Noroeste e em direção a Sul.</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Assim, a via que seguia para Noroeste, coincidindo com a chamada "Estrada Velha para Montalegre". Esta via permitia a ligação a vários povoados que se situavam no sector a Noroeste de </w:t>
      </w:r>
      <w:r w:rsidRPr="0011294E">
        <w:rPr>
          <w:rFonts w:ascii="Times New Roman" w:hAnsi="Times New Roman"/>
          <w:i/>
          <w:iCs/>
          <w:sz w:val="24"/>
          <w:szCs w:val="24"/>
        </w:rPr>
        <w:t>Aquae Flaviae</w:t>
      </w:r>
      <w:r w:rsidRPr="0011294E">
        <w:rPr>
          <w:rFonts w:ascii="Times New Roman" w:hAnsi="Times New Roman"/>
          <w:sz w:val="24"/>
          <w:szCs w:val="24"/>
        </w:rPr>
        <w:t>, servindo também a zona mineira de Barrocos.</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Saindo da cidade pela zona do Telhado, seguia na direção Noroeste pelo mesmo trajeto que um velho caminho entre muros percorre, até ao sítio do Seara, passando a algumas centenas de metros das cortes mineiras de Barrocos. Do sítio do Seara seguia até à Calçada do Facho. Esta calçada permite vencer a encosta íngreme dos contrafortes orientais do Relevo Elhos-Facho. Atingida a portela natural do Alto Queimado efetuava a descida, seguindo por uma superfície aplanada que divide as águas entre a Ribeira de Calvão, para SO, e o Ribeiro da Torre, para NE, num percurso em linha quase reta. Iniciava-se em seguida a subida para a zona de Soutelinho e daí para Vilar de Perdizes.</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Neste troço, a via servia vários habitats, designadamente Casas de Castelões, cuja localização junto à via o tornava um local de apoio e o povoado fortificado do Alto das Coroas, situado também junto à via. Este apresenta uma intensa romanização e a sua posição estratégica, sobranceiro à estrada e a importantes vales agrícolas, garantiram-lhe uma ocupação prolongada. A ocupação alto-medieval deste povoado parece estar correlacionada também com o importante habitat romano e alto-medieval de S. Caetano, situado nas proximidades. A via encaminhava-se depois para perto de Soutelinho da Raia, onde se localizava um vasto povoado romano no sítio designado Pardieiros</w:t>
      </w:r>
      <w:r w:rsidRPr="0011294E">
        <w:rPr>
          <w:rStyle w:val="Refdenotaderodap"/>
          <w:rFonts w:ascii="Times New Roman" w:hAnsi="Times New Roman"/>
          <w:sz w:val="24"/>
          <w:szCs w:val="24"/>
        </w:rPr>
        <w:footnoteReference w:id="74"/>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Seguindo a linha de pensamento de Ricardo Teixeira no que se respeita ao traçado Sul, este é meramente hipotético. A análise da distribuição espacial dos habitats, através da cartografia, revela uma grande dispersão, o que não ajuda a eleger um traçado provável. Perante esta situação podemos fazer corresponder este possível caminho com uma ligação que era bastante utilizada na Idade Média e que se encontra bem documentada. Efetivamente, o eixo Norte-Sul terá uma importância estratégica fundamental, de ligação ao Douro, no prolongamento da via de penetração natural que a </w:t>
      </w:r>
      <w:r w:rsidRPr="0011294E">
        <w:rPr>
          <w:rFonts w:ascii="Times New Roman" w:hAnsi="Times New Roman"/>
          <w:sz w:val="24"/>
          <w:szCs w:val="24"/>
        </w:rPr>
        <w:lastRenderedPageBreak/>
        <w:t xml:space="preserve">Veiga de Chaves constitui. Para além disso este traçado, ainda que medieval, permitia servir um conjunto importante de habitats de época romana.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u w:val="single"/>
        </w:rPr>
      </w:pPr>
      <w:r w:rsidRPr="0011294E">
        <w:rPr>
          <w:rFonts w:ascii="Times New Roman" w:hAnsi="Times New Roman"/>
          <w:sz w:val="24"/>
          <w:szCs w:val="24"/>
        </w:rPr>
        <w:t>Assim, partindo da ponte romana sobre o Tâmega, passaria junto ao Campo da Roda, onde apareceram duas aras, dirigindo-se a Outeiro Jusão, onde se registaram uma ara dedicada a Ísis e uma estela funerária de um Liberto. Ainda antes de atingir Outeiro Jusão, a estrada passava junto de uma estação romana, a Quinta do Pinheiro. Posteriormente seguia até Redil, onde foi detetado outro povoado romano. A via seguia perto de outro habitat romano (Parada) onde surgiu uma ara dedicada a Baco. Daqui até Oura a estrada encaminhava-se por Fornos e Vila Verde. De Oura a via dirigia-se depois a Vila Pouca de Aguiar, seguindo por Pedras Salgadas e Cidadelhe.</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De facto a ligação de </w:t>
      </w:r>
      <w:r w:rsidRPr="0011294E">
        <w:rPr>
          <w:rFonts w:ascii="Times New Roman" w:hAnsi="Times New Roman"/>
          <w:i/>
          <w:iCs/>
          <w:sz w:val="24"/>
          <w:szCs w:val="24"/>
        </w:rPr>
        <w:t xml:space="preserve">Aquae Flaviae </w:t>
      </w:r>
      <w:r w:rsidRPr="0011294E">
        <w:rPr>
          <w:rFonts w:ascii="Times New Roman" w:hAnsi="Times New Roman"/>
          <w:sz w:val="24"/>
          <w:szCs w:val="24"/>
        </w:rPr>
        <w:t>ao distrito mineiro de Três Minas era muito importante. Tem-se admitido como provável uma ligação feita pela zona de Vila Pouca de Aguiar, a partir do trajeto que apresentado acima. Era indispensável uma via secundária para chegar a este principal centro económico. De Vila Pouca de Aguiar a via deveria subir a Serra da Padrela, por Samaiões, seguindo para Samaiões, depois para Sesmil, Lagarelhos e Santa Leocádia. Junto à aldeia de Sesmil conserva-se os vestígios de um povoado, conhecido como Cruz. De Santa Leocádia a via continuava para Sul, por Vilarinho do Monte, a Norte e Junqueira até alcançar a Padrela, passando junto ao Alto da Cerca, contornando assim, pelo lado Nascente os patamares mais elevados da Serra da Padrela. Seguia depois entre as cabeceiras das linhas de água que separa as bacias hidrográficas dos rios Tinhela e Curros, dois cursos que entalham as superfícies xistosas até ao centro da zona mineira</w:t>
      </w:r>
      <w:r w:rsidRPr="0011294E">
        <w:rPr>
          <w:rStyle w:val="Refdenotaderodap"/>
          <w:rFonts w:ascii="Times New Roman" w:hAnsi="Times New Roman"/>
          <w:sz w:val="24"/>
          <w:szCs w:val="24"/>
        </w:rPr>
        <w:footnoteReference w:id="75"/>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Para além de todos estes caminhos, muitos outros haveria certamente, alguns ainda com relativa importância, a avaliar pelos povoados que poderiam servir. Podemos mencionar o trajeto da variante Norte da Via XVII que terá sido um </w:t>
      </w:r>
      <w:r w:rsidRPr="0011294E">
        <w:rPr>
          <w:rFonts w:ascii="Times New Roman" w:hAnsi="Times New Roman"/>
          <w:i/>
          <w:sz w:val="24"/>
          <w:szCs w:val="24"/>
        </w:rPr>
        <w:t xml:space="preserve">trajeto </w:t>
      </w:r>
      <w:r w:rsidRPr="0011294E">
        <w:rPr>
          <w:rFonts w:ascii="Times New Roman" w:hAnsi="Times New Roman"/>
          <w:sz w:val="24"/>
          <w:szCs w:val="24"/>
        </w:rPr>
        <w:t xml:space="preserve">viário localizado junto ao extremo limite Ocidental do Planalto de Monforte de Rio </w:t>
      </w:r>
      <w:r w:rsidR="009D2BEB" w:rsidRPr="0011294E">
        <w:rPr>
          <w:rFonts w:ascii="Times New Roman" w:hAnsi="Times New Roman"/>
          <w:sz w:val="24"/>
          <w:szCs w:val="24"/>
        </w:rPr>
        <w:t>Livre</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Assim, podemos referir que a zona de </w:t>
      </w:r>
      <w:r w:rsidRPr="0011294E">
        <w:rPr>
          <w:rFonts w:ascii="Times New Roman" w:hAnsi="Times New Roman"/>
          <w:i/>
          <w:sz w:val="24"/>
          <w:szCs w:val="24"/>
        </w:rPr>
        <w:t>Aquae Flaviae</w:t>
      </w:r>
      <w:r w:rsidRPr="0011294E">
        <w:rPr>
          <w:rFonts w:ascii="Times New Roman" w:hAnsi="Times New Roman"/>
          <w:sz w:val="24"/>
          <w:szCs w:val="24"/>
        </w:rPr>
        <w:t xml:space="preserve"> apresenta uma matriz de povoamento muito específica, designadamente pela extensão da sua </w:t>
      </w:r>
      <w:r w:rsidRPr="0011294E">
        <w:rPr>
          <w:rFonts w:ascii="Times New Roman" w:hAnsi="Times New Roman"/>
          <w:i/>
          <w:sz w:val="24"/>
          <w:szCs w:val="24"/>
        </w:rPr>
        <w:t>civitas</w:t>
      </w:r>
      <w:r w:rsidRPr="0011294E">
        <w:rPr>
          <w:rFonts w:ascii="Times New Roman" w:hAnsi="Times New Roman"/>
          <w:sz w:val="24"/>
          <w:szCs w:val="24"/>
        </w:rPr>
        <w:t xml:space="preserve">; a sua centralidade no espaço Norte de Trás-os-Montes e o seu posicionamento fronteiriço </w:t>
      </w:r>
      <w:r w:rsidRPr="0011294E">
        <w:rPr>
          <w:rFonts w:ascii="Times New Roman" w:hAnsi="Times New Roman"/>
          <w:sz w:val="24"/>
          <w:szCs w:val="24"/>
        </w:rPr>
        <w:lastRenderedPageBreak/>
        <w:t xml:space="preserve">perante os </w:t>
      </w:r>
      <w:r w:rsidRPr="0011294E">
        <w:rPr>
          <w:rFonts w:ascii="Times New Roman" w:hAnsi="Times New Roman"/>
          <w:i/>
          <w:sz w:val="24"/>
          <w:szCs w:val="24"/>
        </w:rPr>
        <w:t>Conventus</w:t>
      </w:r>
      <w:r w:rsidRPr="0011294E">
        <w:rPr>
          <w:rFonts w:ascii="Times New Roman" w:hAnsi="Times New Roman"/>
          <w:sz w:val="24"/>
          <w:szCs w:val="24"/>
        </w:rPr>
        <w:t xml:space="preserve"> de </w:t>
      </w:r>
      <w:r w:rsidRPr="0011294E">
        <w:rPr>
          <w:rFonts w:ascii="Times New Roman" w:hAnsi="Times New Roman"/>
          <w:i/>
          <w:sz w:val="24"/>
          <w:szCs w:val="24"/>
        </w:rPr>
        <w:t>Asturica</w:t>
      </w:r>
      <w:r w:rsidRPr="0011294E">
        <w:rPr>
          <w:rFonts w:ascii="Times New Roman" w:hAnsi="Times New Roman"/>
          <w:sz w:val="24"/>
          <w:szCs w:val="24"/>
        </w:rPr>
        <w:t xml:space="preserve"> e de </w:t>
      </w:r>
      <w:r w:rsidRPr="0011294E">
        <w:rPr>
          <w:rFonts w:ascii="Times New Roman" w:hAnsi="Times New Roman"/>
          <w:i/>
          <w:sz w:val="24"/>
          <w:szCs w:val="24"/>
        </w:rPr>
        <w:t>Bracara Augusta</w:t>
      </w:r>
      <w:r w:rsidRPr="0011294E">
        <w:rPr>
          <w:rFonts w:ascii="Times New Roman" w:hAnsi="Times New Roman"/>
          <w:sz w:val="24"/>
          <w:szCs w:val="24"/>
        </w:rPr>
        <w:t xml:space="preserve">; a diversidade do povoamento, destacando-se a relação entre a rede viária e os sítios de exploração mineira de ouro e estanho.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 utilidade deste pequeno estudo da rede viária para o nosso trabalho é bastante importante na medida em que Monforte de Rio Livre aparece na Idade Média implantado junto à variante Norte da via romana que ligava Braga a Astorga. Esta localização indica-nos simultaneamente que aquele troço da via romana não estava perdido ou abandonado e que, a partir de então, passou a ser percorrido por renovados fluxos de homens, animais e mercadorias. Significativamente, também, aquela via constituía a ligação ao Tâmega e a Chaves e, na direção oposta podemos considerá-la como a estrada que ajudou a estruturar o território, ligando Monforte ao respetivo termo</w:t>
      </w:r>
      <w:r w:rsidRPr="0011294E">
        <w:rPr>
          <w:rStyle w:val="Refdenotaderodap"/>
          <w:rFonts w:ascii="Times New Roman" w:hAnsi="Times New Roman"/>
          <w:sz w:val="24"/>
          <w:szCs w:val="24"/>
        </w:rPr>
        <w:footnoteReference w:id="76"/>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Assim, Monforte de Rio Livre, favorecido por um excelente posicionamento geoestratégico, revelou um acentuado crescimento na época romana, quer pela sua proximidade em relação a </w:t>
      </w:r>
      <w:r w:rsidRPr="0011294E">
        <w:rPr>
          <w:rFonts w:ascii="Times New Roman" w:hAnsi="Times New Roman"/>
          <w:i/>
          <w:iCs/>
          <w:sz w:val="24"/>
          <w:szCs w:val="24"/>
        </w:rPr>
        <w:t>Aquae Flaviae</w:t>
      </w:r>
      <w:r w:rsidRPr="0011294E">
        <w:rPr>
          <w:rFonts w:ascii="Times New Roman" w:hAnsi="Times New Roman"/>
          <w:sz w:val="24"/>
          <w:szCs w:val="24"/>
        </w:rPr>
        <w:t>, no sector norte, quer pela vizinhança das grandes minas da serra da Padrela, situadas a leste. Em especial, supomos que terá sido determinante a dimensão das minas de ouro de Três Minas e Jales, que absorviam mão-de-obra e que, consumiam grandes quantidades de biomassa</w:t>
      </w:r>
      <w:r w:rsidRPr="0011294E">
        <w:rPr>
          <w:rStyle w:val="Refdenotaderodap"/>
          <w:rFonts w:ascii="Times New Roman" w:hAnsi="Times New Roman"/>
          <w:sz w:val="24"/>
          <w:szCs w:val="24"/>
        </w:rPr>
        <w:footnoteReference w:id="77"/>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No domínio religioso podemos destacar o culto indígena pré-romano dos deuses </w:t>
      </w:r>
      <w:r w:rsidRPr="0011294E">
        <w:rPr>
          <w:rFonts w:ascii="Times New Roman" w:hAnsi="Times New Roman"/>
          <w:i/>
          <w:sz w:val="24"/>
          <w:szCs w:val="24"/>
        </w:rPr>
        <w:t>Munis</w:t>
      </w:r>
      <w:r w:rsidRPr="0011294E">
        <w:rPr>
          <w:rStyle w:val="Refdenotaderodap"/>
          <w:rFonts w:ascii="Times New Roman" w:hAnsi="Times New Roman"/>
          <w:sz w:val="24"/>
          <w:szCs w:val="24"/>
        </w:rPr>
        <w:footnoteReference w:id="78"/>
      </w:r>
      <w:r w:rsidRPr="0011294E">
        <w:rPr>
          <w:rFonts w:ascii="Times New Roman" w:hAnsi="Times New Roman"/>
          <w:sz w:val="24"/>
          <w:szCs w:val="24"/>
        </w:rPr>
        <w:t xml:space="preserve">, </w:t>
      </w:r>
      <w:r w:rsidRPr="0011294E">
        <w:rPr>
          <w:rFonts w:ascii="Times New Roman" w:hAnsi="Times New Roman"/>
          <w:i/>
          <w:sz w:val="24"/>
          <w:szCs w:val="24"/>
        </w:rPr>
        <w:t>Tameobricus</w:t>
      </w:r>
      <w:r w:rsidRPr="0011294E">
        <w:rPr>
          <w:rFonts w:ascii="Times New Roman" w:hAnsi="Times New Roman"/>
          <w:sz w:val="24"/>
          <w:szCs w:val="24"/>
        </w:rPr>
        <w:t xml:space="preserve">, </w:t>
      </w:r>
      <w:r w:rsidRPr="0011294E">
        <w:rPr>
          <w:rFonts w:ascii="Times New Roman" w:hAnsi="Times New Roman"/>
          <w:i/>
          <w:sz w:val="24"/>
          <w:szCs w:val="24"/>
        </w:rPr>
        <w:t>Laraucos</w:t>
      </w:r>
      <w:r w:rsidRPr="0011294E">
        <w:rPr>
          <w:rStyle w:val="Refdenotaderodap"/>
          <w:rFonts w:ascii="Times New Roman" w:hAnsi="Times New Roman"/>
          <w:sz w:val="24"/>
          <w:szCs w:val="24"/>
        </w:rPr>
        <w:footnoteReference w:id="79"/>
      </w:r>
      <w:r w:rsidRPr="0011294E">
        <w:rPr>
          <w:rFonts w:ascii="Times New Roman" w:hAnsi="Times New Roman"/>
          <w:sz w:val="24"/>
          <w:szCs w:val="24"/>
        </w:rPr>
        <w:t xml:space="preserve">. Relativamente ao período romano, em </w:t>
      </w:r>
      <w:r w:rsidRPr="0011294E">
        <w:rPr>
          <w:rFonts w:ascii="Times New Roman" w:hAnsi="Times New Roman"/>
          <w:i/>
          <w:sz w:val="24"/>
          <w:szCs w:val="24"/>
        </w:rPr>
        <w:t>Aquae Flaviae</w:t>
      </w:r>
      <w:r w:rsidRPr="0011294E">
        <w:rPr>
          <w:rFonts w:ascii="Times New Roman" w:hAnsi="Times New Roman"/>
          <w:sz w:val="24"/>
          <w:szCs w:val="24"/>
        </w:rPr>
        <w:t xml:space="preserve"> existem inscrições a Concórdia</w:t>
      </w:r>
      <w:r w:rsidRPr="0011294E">
        <w:rPr>
          <w:rStyle w:val="Refdenotaderodap"/>
          <w:rFonts w:ascii="Times New Roman" w:hAnsi="Times New Roman"/>
          <w:sz w:val="24"/>
          <w:szCs w:val="24"/>
        </w:rPr>
        <w:footnoteReference w:id="80"/>
      </w:r>
      <w:r w:rsidRPr="0011294E">
        <w:rPr>
          <w:rFonts w:ascii="Times New Roman" w:hAnsi="Times New Roman"/>
          <w:sz w:val="24"/>
          <w:szCs w:val="24"/>
        </w:rPr>
        <w:t>, Jupiter Óptimo</w:t>
      </w:r>
      <w:r w:rsidRPr="0011294E">
        <w:rPr>
          <w:rStyle w:val="Refdenotaderodap"/>
          <w:rFonts w:ascii="Times New Roman" w:hAnsi="Times New Roman"/>
          <w:sz w:val="24"/>
          <w:szCs w:val="24"/>
        </w:rPr>
        <w:footnoteReference w:id="81"/>
      </w:r>
      <w:r w:rsidRPr="0011294E">
        <w:rPr>
          <w:rFonts w:ascii="Times New Roman" w:hAnsi="Times New Roman"/>
          <w:sz w:val="24"/>
          <w:szCs w:val="24"/>
        </w:rPr>
        <w:t xml:space="preserve"> Máximo e Vénus Victrix</w:t>
      </w:r>
      <w:r w:rsidRPr="0011294E">
        <w:rPr>
          <w:rStyle w:val="Refdenotaderodap"/>
          <w:rFonts w:ascii="Times New Roman" w:hAnsi="Times New Roman"/>
          <w:sz w:val="24"/>
          <w:szCs w:val="24"/>
        </w:rPr>
        <w:footnoteReference w:id="82"/>
      </w:r>
      <w:r w:rsidRPr="0011294E">
        <w:rPr>
          <w:rFonts w:ascii="Times New Roman" w:hAnsi="Times New Roman"/>
          <w:sz w:val="24"/>
          <w:szCs w:val="24"/>
        </w:rPr>
        <w:t xml:space="preserve"> pelo que o seu culto era exercido.</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Para além da identificação dos seus deuses, podemos mencionar igualmente, estruturas e santuários identificados neste espaço. Um dos que verificamos foi a Igreja de Santa Marinha, onde foi encontrada uma ara romana que serve de suporte à pia de água benta. Outro local de destaque, onde aparecerem moedas e fíbulas bem como uma </w:t>
      </w:r>
      <w:r w:rsidRPr="0011294E">
        <w:rPr>
          <w:rFonts w:ascii="Times New Roman" w:hAnsi="Times New Roman"/>
          <w:sz w:val="24"/>
          <w:szCs w:val="24"/>
        </w:rPr>
        <w:lastRenderedPageBreak/>
        <w:t>estela funerária romanas, foi o povoado da Nossa Senhora da Ribeira. No povoado da Granjinha foi encontrado um fragmento de uma estátua de Vénus, em mármore, para além de várias aras evocativas. No Santuário Rupestre de Argeriz, encontra-se um santuário romano do tipo de Panóias. É constituído por duas cavidades retangulares dispostas paralelamente e entalhes laterais, aparentemente de assentamento de um templo de planta retangular</w:t>
      </w:r>
      <w:r w:rsidRPr="0011294E">
        <w:rPr>
          <w:rStyle w:val="Refdenotaderodap"/>
          <w:rFonts w:ascii="Times New Roman" w:hAnsi="Times New Roman"/>
          <w:sz w:val="24"/>
          <w:szCs w:val="24"/>
        </w:rPr>
        <w:footnoteReference w:id="83"/>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p>
    <w:p w:rsidR="0011294E" w:rsidRPr="00FB5448" w:rsidRDefault="0011294E" w:rsidP="0011294E">
      <w:pPr>
        <w:pStyle w:val="Ttulo2"/>
        <w:rPr>
          <w:rFonts w:ascii="Times New Roman" w:hAnsi="Times New Roman" w:cs="Times New Roman"/>
          <w:sz w:val="24"/>
          <w:szCs w:val="24"/>
        </w:rPr>
      </w:pPr>
      <w:bookmarkStart w:id="10" w:name="_Toc430358527"/>
      <w:bookmarkStart w:id="11" w:name="_Toc441612270"/>
      <w:r w:rsidRPr="00FB5448">
        <w:rPr>
          <w:rFonts w:ascii="Times New Roman" w:hAnsi="Times New Roman" w:cs="Times New Roman"/>
          <w:sz w:val="24"/>
          <w:szCs w:val="24"/>
        </w:rPr>
        <w:t>2.2 Testemunhos AltiMedievais: Das invasões Bárbaras à Reconquista Cristã</w:t>
      </w:r>
      <w:bookmarkEnd w:id="10"/>
      <w:bookmarkEnd w:id="11"/>
      <w:r w:rsidRPr="00FB5448">
        <w:rPr>
          <w:rFonts w:ascii="Times New Roman" w:hAnsi="Times New Roman" w:cs="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dominação romana prolongou-se até aos finais do Séc. IV apagando-se gradualmente, a partir dos inícios do Séc. V, com a invasão dos povos “Bárbaros”. As invasões dos Suevos, Vândalos e Alanos provenientes do leste europeu, puseram termo à colonização romana. Felizmente chegou até nós uma importante fonte escrita que nos fornece informações úteis e imprescindíveis para o estudo deste período - a </w:t>
      </w:r>
      <w:r w:rsidRPr="0011294E">
        <w:rPr>
          <w:rFonts w:ascii="Times New Roman" w:hAnsi="Times New Roman"/>
          <w:i/>
          <w:sz w:val="24"/>
          <w:szCs w:val="24"/>
        </w:rPr>
        <w:t>Crónica</w:t>
      </w:r>
      <w:r w:rsidRPr="0011294E">
        <w:rPr>
          <w:rFonts w:ascii="Times New Roman" w:hAnsi="Times New Roman"/>
          <w:sz w:val="24"/>
          <w:szCs w:val="24"/>
        </w:rPr>
        <w:t xml:space="preserve"> de Idácio.</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Assim, no século V entraram na Península Ibérica os povos ditos bárbaros. Os Suevos implantaram-se na região entre o Douro e o Minho, com capital sediada em </w:t>
      </w:r>
      <w:r w:rsidRPr="0011294E">
        <w:rPr>
          <w:rFonts w:ascii="Times New Roman" w:hAnsi="Times New Roman"/>
          <w:i/>
          <w:iCs/>
          <w:sz w:val="24"/>
          <w:szCs w:val="24"/>
        </w:rPr>
        <w:t>Bracara Augusta</w:t>
      </w:r>
      <w:r w:rsidRPr="0011294E">
        <w:rPr>
          <w:rFonts w:ascii="Times New Roman" w:hAnsi="Times New Roman"/>
          <w:sz w:val="24"/>
          <w:szCs w:val="24"/>
        </w:rPr>
        <w:t xml:space="preserve">, enquanto os </w:t>
      </w:r>
      <w:r w:rsidRPr="0011294E">
        <w:rPr>
          <w:rFonts w:ascii="Times New Roman" w:hAnsi="Times New Roman"/>
          <w:i/>
          <w:iCs/>
          <w:sz w:val="24"/>
          <w:szCs w:val="24"/>
        </w:rPr>
        <w:t xml:space="preserve">Alanos </w:t>
      </w:r>
      <w:r w:rsidRPr="0011294E">
        <w:rPr>
          <w:rFonts w:ascii="Times New Roman" w:hAnsi="Times New Roman"/>
          <w:sz w:val="24"/>
          <w:szCs w:val="24"/>
        </w:rPr>
        <w:t xml:space="preserve">ocuparam grande parte da província romana da </w:t>
      </w:r>
      <w:r w:rsidRPr="0011294E">
        <w:rPr>
          <w:rFonts w:ascii="Times New Roman" w:hAnsi="Times New Roman"/>
          <w:i/>
          <w:iCs/>
          <w:sz w:val="24"/>
          <w:szCs w:val="24"/>
        </w:rPr>
        <w:t>Lusitânia</w:t>
      </w:r>
      <w:r w:rsidRPr="0011294E">
        <w:rPr>
          <w:rFonts w:ascii="Times New Roman" w:hAnsi="Times New Roman"/>
          <w:sz w:val="24"/>
          <w:szCs w:val="24"/>
        </w:rPr>
        <w:t xml:space="preserve">, deixando o sul da Península Ibérica para os </w:t>
      </w:r>
      <w:r w:rsidRPr="0011294E">
        <w:rPr>
          <w:rFonts w:ascii="Times New Roman" w:hAnsi="Times New Roman"/>
          <w:i/>
          <w:iCs/>
          <w:sz w:val="24"/>
          <w:szCs w:val="24"/>
        </w:rPr>
        <w:t>Vândalos</w:t>
      </w:r>
      <w:r w:rsidRPr="0011294E">
        <w:rPr>
          <w:rFonts w:ascii="Times New Roman" w:hAnsi="Times New Roman"/>
          <w:sz w:val="24"/>
          <w:szCs w:val="24"/>
        </w:rPr>
        <w:t xml:space="preserve">. Que vieram ocupar a </w:t>
      </w:r>
      <w:r w:rsidRPr="0011294E">
        <w:rPr>
          <w:rFonts w:ascii="Times New Roman" w:hAnsi="Times New Roman"/>
          <w:i/>
          <w:iCs/>
          <w:sz w:val="24"/>
          <w:szCs w:val="24"/>
        </w:rPr>
        <w:t>Lusitânia</w:t>
      </w:r>
      <w:r w:rsidRPr="0011294E">
        <w:rPr>
          <w:rFonts w:ascii="Times New Roman" w:hAnsi="Times New Roman"/>
          <w:sz w:val="24"/>
          <w:szCs w:val="24"/>
        </w:rPr>
        <w:t xml:space="preserve">, expulsando os </w:t>
      </w:r>
      <w:r w:rsidRPr="0011294E">
        <w:rPr>
          <w:rFonts w:ascii="Times New Roman" w:hAnsi="Times New Roman"/>
          <w:i/>
          <w:iCs/>
          <w:sz w:val="24"/>
          <w:szCs w:val="24"/>
        </w:rPr>
        <w:t>Alanos</w:t>
      </w:r>
      <w:r w:rsidRPr="0011294E">
        <w:rPr>
          <w:rFonts w:ascii="Times New Roman" w:hAnsi="Times New Roman"/>
          <w:sz w:val="24"/>
          <w:szCs w:val="24"/>
        </w:rPr>
        <w:t>, nos finais do séc. V, começos do séc. VI</w:t>
      </w:r>
      <w:r w:rsidRPr="0011294E">
        <w:rPr>
          <w:rStyle w:val="Refdenotaderodap"/>
          <w:rFonts w:ascii="Times New Roman" w:hAnsi="Times New Roman"/>
          <w:iCs/>
          <w:sz w:val="24"/>
          <w:szCs w:val="24"/>
        </w:rPr>
        <w:footnoteReference w:id="84"/>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Assim, o território do futuro reino de Portugal encontrava-se partilhado por três autoridades: os Suevos a norte da </w:t>
      </w:r>
      <w:r w:rsidRPr="0011294E">
        <w:rPr>
          <w:rFonts w:ascii="Times New Roman" w:hAnsi="Times New Roman"/>
          <w:i/>
          <w:iCs/>
          <w:sz w:val="24"/>
          <w:szCs w:val="24"/>
        </w:rPr>
        <w:t xml:space="preserve">Lusitânia </w:t>
      </w:r>
      <w:r w:rsidRPr="0011294E">
        <w:rPr>
          <w:rFonts w:ascii="Times New Roman" w:hAnsi="Times New Roman"/>
          <w:sz w:val="24"/>
          <w:szCs w:val="24"/>
        </w:rPr>
        <w:t xml:space="preserve">e na </w:t>
      </w:r>
      <w:r w:rsidRPr="0011294E">
        <w:rPr>
          <w:rFonts w:ascii="Times New Roman" w:hAnsi="Times New Roman"/>
          <w:i/>
          <w:iCs/>
          <w:sz w:val="24"/>
          <w:szCs w:val="24"/>
        </w:rPr>
        <w:t>Galecia</w:t>
      </w:r>
      <w:r w:rsidRPr="0011294E">
        <w:rPr>
          <w:rFonts w:ascii="Times New Roman" w:hAnsi="Times New Roman"/>
          <w:sz w:val="24"/>
          <w:szCs w:val="24"/>
        </w:rPr>
        <w:t xml:space="preserve">; os Visigodos que ocupavam agora a </w:t>
      </w:r>
      <w:r w:rsidRPr="0011294E">
        <w:rPr>
          <w:rFonts w:ascii="Times New Roman" w:hAnsi="Times New Roman"/>
          <w:i/>
          <w:iCs/>
          <w:sz w:val="24"/>
          <w:szCs w:val="24"/>
        </w:rPr>
        <w:t>Lusitânia</w:t>
      </w:r>
      <w:r w:rsidRPr="0011294E">
        <w:rPr>
          <w:rFonts w:ascii="Times New Roman" w:hAnsi="Times New Roman"/>
          <w:sz w:val="24"/>
          <w:szCs w:val="24"/>
        </w:rPr>
        <w:t xml:space="preserve">; e na zona do Levante estendia-se o domínio bizantino. Com efeito, a instabilidade política e social registada no final do Império pode ter estimulado esse processo, mas nos campos persistem as anteriores formas de habitat seja concentrado ou disperso, e assiste-se mesmo ao estabelecimento de novos locais. Na região de </w:t>
      </w:r>
      <w:r w:rsidRPr="0011294E">
        <w:rPr>
          <w:rFonts w:ascii="Times New Roman" w:hAnsi="Times New Roman"/>
          <w:i/>
          <w:sz w:val="24"/>
          <w:szCs w:val="24"/>
        </w:rPr>
        <w:t>Aquae Flaviae</w:t>
      </w:r>
      <w:r w:rsidRPr="0011294E">
        <w:rPr>
          <w:rFonts w:ascii="Times New Roman" w:hAnsi="Times New Roman"/>
          <w:sz w:val="24"/>
          <w:szCs w:val="24"/>
        </w:rPr>
        <w:t xml:space="preserve"> a instabilidade e insegurança que se encontram associadas à chegada e estabelecimento dos Suevos terão gerado também novas necessidades, mais ou menos </w:t>
      </w:r>
      <w:r w:rsidRPr="0011294E">
        <w:rPr>
          <w:rFonts w:ascii="Times New Roman" w:hAnsi="Times New Roman"/>
          <w:sz w:val="24"/>
          <w:szCs w:val="24"/>
        </w:rPr>
        <w:lastRenderedPageBreak/>
        <w:t xml:space="preserve">temporárias de refúgio e a criação de fortificações. O próprio Idácio dá-nos conta, da importância estratégica dos </w:t>
      </w:r>
      <w:r w:rsidRPr="0011294E">
        <w:rPr>
          <w:rFonts w:ascii="Times New Roman" w:hAnsi="Times New Roman"/>
          <w:i/>
          <w:iCs/>
          <w:sz w:val="24"/>
          <w:szCs w:val="24"/>
        </w:rPr>
        <w:t xml:space="preserve">castella </w:t>
      </w:r>
      <w:r w:rsidRPr="0011294E">
        <w:rPr>
          <w:rFonts w:ascii="Times New Roman" w:hAnsi="Times New Roman"/>
          <w:iCs/>
          <w:sz w:val="24"/>
          <w:szCs w:val="24"/>
        </w:rPr>
        <w:t xml:space="preserve">(povoados fortificados) </w:t>
      </w:r>
      <w:r w:rsidRPr="0011294E">
        <w:rPr>
          <w:rFonts w:ascii="Times New Roman" w:hAnsi="Times New Roman"/>
          <w:sz w:val="24"/>
          <w:szCs w:val="24"/>
        </w:rPr>
        <w:t>ocupados pela população galaico-romana</w:t>
      </w:r>
      <w:r w:rsidRPr="0011294E">
        <w:rPr>
          <w:rStyle w:val="Refdenotaderodap"/>
          <w:rFonts w:ascii="Times New Roman" w:hAnsi="Times New Roman"/>
          <w:sz w:val="24"/>
          <w:szCs w:val="24"/>
        </w:rPr>
        <w:footnoteReference w:id="85"/>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iCs/>
          <w:sz w:val="24"/>
          <w:szCs w:val="24"/>
        </w:rPr>
      </w:pPr>
      <w:r w:rsidRPr="0011294E">
        <w:rPr>
          <w:rFonts w:ascii="Times New Roman" w:hAnsi="Times New Roman"/>
          <w:sz w:val="24"/>
          <w:szCs w:val="24"/>
        </w:rPr>
        <w:t xml:space="preserve">Para este período temos de considerar uma riquíssima fonte - o </w:t>
      </w:r>
      <w:r w:rsidRPr="0011294E">
        <w:rPr>
          <w:rFonts w:ascii="Times New Roman" w:hAnsi="Times New Roman"/>
          <w:i/>
          <w:iCs/>
          <w:sz w:val="24"/>
          <w:szCs w:val="24"/>
        </w:rPr>
        <w:t xml:space="preserve">Paroquial Suevo. </w:t>
      </w:r>
      <w:r w:rsidRPr="0011294E">
        <w:rPr>
          <w:rFonts w:ascii="Times New Roman" w:hAnsi="Times New Roman"/>
          <w:iCs/>
          <w:sz w:val="24"/>
          <w:szCs w:val="24"/>
        </w:rPr>
        <w:t>Apresenta-se como um raro documento que elenca as sedes episcopais do reino e as respetivas paróquias. As paróquias suevas, com grandes extensões territoriais, desempenharam um papel preponderante na organização do povoamento</w:t>
      </w:r>
      <w:r w:rsidRPr="0011294E">
        <w:rPr>
          <w:rStyle w:val="Refdenotaderodap"/>
          <w:rFonts w:ascii="Times New Roman" w:hAnsi="Times New Roman"/>
          <w:iCs/>
          <w:sz w:val="24"/>
          <w:szCs w:val="24"/>
        </w:rPr>
        <w:footnoteReference w:id="86"/>
      </w:r>
      <w:r w:rsidRPr="0011294E">
        <w:rPr>
          <w:rFonts w:ascii="Times New Roman" w:hAnsi="Times New Roman"/>
          <w:iCs/>
          <w:sz w:val="24"/>
          <w:szCs w:val="24"/>
        </w:rPr>
        <w:t>. A sua marca no território foi tão perene que se manteve durante séculos, tendo algumas delas sido antecedentes de terras, julgados e arcediagos.</w:t>
      </w:r>
    </w:p>
    <w:p w:rsidR="0011294E" w:rsidRPr="0011294E" w:rsidRDefault="0011294E" w:rsidP="0011294E">
      <w:pPr>
        <w:autoSpaceDE w:val="0"/>
        <w:autoSpaceDN w:val="0"/>
        <w:adjustRightInd w:val="0"/>
        <w:spacing w:line="360" w:lineRule="auto"/>
        <w:ind w:firstLine="624"/>
        <w:jc w:val="both"/>
        <w:rPr>
          <w:rFonts w:ascii="Times New Roman" w:hAnsi="Times New Roman"/>
          <w:i/>
          <w:iCs/>
          <w:sz w:val="24"/>
          <w:szCs w:val="24"/>
        </w:rPr>
      </w:pPr>
      <w:r w:rsidRPr="0011294E">
        <w:rPr>
          <w:rFonts w:ascii="Times New Roman" w:hAnsi="Times New Roman"/>
          <w:iCs/>
          <w:sz w:val="24"/>
          <w:szCs w:val="24"/>
        </w:rPr>
        <w:t xml:space="preserve">Assim, a cidade de </w:t>
      </w:r>
      <w:r w:rsidRPr="0011294E">
        <w:rPr>
          <w:rFonts w:ascii="Times New Roman" w:hAnsi="Times New Roman"/>
          <w:i/>
          <w:iCs/>
          <w:sz w:val="24"/>
          <w:szCs w:val="24"/>
        </w:rPr>
        <w:t>Aquae Flaviae</w:t>
      </w:r>
      <w:r w:rsidRPr="0011294E">
        <w:rPr>
          <w:rFonts w:ascii="Times New Roman" w:hAnsi="Times New Roman"/>
          <w:iCs/>
          <w:sz w:val="24"/>
          <w:szCs w:val="24"/>
        </w:rPr>
        <w:t xml:space="preserve"> encontra-se associada à Diocese Bracarense, tendo como </w:t>
      </w:r>
      <w:r w:rsidRPr="0011294E">
        <w:rPr>
          <w:rFonts w:ascii="Times New Roman" w:hAnsi="Times New Roman"/>
          <w:i/>
          <w:iCs/>
          <w:sz w:val="24"/>
          <w:szCs w:val="24"/>
        </w:rPr>
        <w:t>ecclesia</w:t>
      </w:r>
      <w:r w:rsidRPr="0011294E">
        <w:rPr>
          <w:rFonts w:ascii="Times New Roman" w:hAnsi="Times New Roman"/>
          <w:iCs/>
          <w:sz w:val="24"/>
          <w:szCs w:val="24"/>
        </w:rPr>
        <w:t xml:space="preserve"> suévica a </w:t>
      </w:r>
      <w:r w:rsidRPr="0011294E">
        <w:rPr>
          <w:rFonts w:ascii="Times New Roman" w:hAnsi="Times New Roman"/>
          <w:i/>
          <w:iCs/>
          <w:sz w:val="24"/>
          <w:szCs w:val="24"/>
        </w:rPr>
        <w:t>civitas</w:t>
      </w:r>
      <w:r w:rsidRPr="0011294E">
        <w:rPr>
          <w:rFonts w:ascii="Times New Roman" w:hAnsi="Times New Roman"/>
          <w:iCs/>
          <w:sz w:val="24"/>
          <w:szCs w:val="24"/>
        </w:rPr>
        <w:t xml:space="preserve"> de </w:t>
      </w:r>
      <w:r w:rsidRPr="0011294E">
        <w:rPr>
          <w:rFonts w:ascii="Times New Roman" w:hAnsi="Times New Roman"/>
          <w:i/>
          <w:iCs/>
          <w:sz w:val="24"/>
          <w:szCs w:val="24"/>
        </w:rPr>
        <w:t>Cotis.</w:t>
      </w:r>
      <w:r w:rsidRPr="0011294E">
        <w:rPr>
          <w:rFonts w:ascii="Times New Roman" w:hAnsi="Times New Roman"/>
          <w:iCs/>
          <w:sz w:val="24"/>
          <w:szCs w:val="24"/>
        </w:rPr>
        <w:t xml:space="preserve"> A evolução da paróquia de</w:t>
      </w:r>
      <w:r w:rsidR="009D2BEB">
        <w:rPr>
          <w:rFonts w:ascii="Times New Roman" w:hAnsi="Times New Roman"/>
          <w:iCs/>
          <w:sz w:val="24"/>
          <w:szCs w:val="24"/>
        </w:rPr>
        <w:t xml:space="preserve"> </w:t>
      </w:r>
      <w:r w:rsidRPr="0011294E">
        <w:rPr>
          <w:rFonts w:ascii="Times New Roman" w:hAnsi="Times New Roman"/>
          <w:i/>
          <w:iCs/>
          <w:sz w:val="24"/>
          <w:szCs w:val="24"/>
        </w:rPr>
        <w:t>Cottis</w:t>
      </w:r>
      <w:r w:rsidRPr="0011294E">
        <w:rPr>
          <w:rFonts w:ascii="Times New Roman" w:hAnsi="Times New Roman"/>
          <w:iCs/>
          <w:sz w:val="24"/>
          <w:szCs w:val="24"/>
        </w:rPr>
        <w:t xml:space="preserve"> fez-se no arcediago de </w:t>
      </w:r>
      <w:r w:rsidRPr="0011294E">
        <w:rPr>
          <w:rFonts w:ascii="Times New Roman" w:hAnsi="Times New Roman"/>
          <w:i/>
          <w:iCs/>
          <w:sz w:val="24"/>
          <w:szCs w:val="24"/>
        </w:rPr>
        <w:t>Baroncelii</w:t>
      </w:r>
      <w:r w:rsidRPr="0011294E">
        <w:rPr>
          <w:rFonts w:ascii="Times New Roman" w:hAnsi="Times New Roman"/>
          <w:iCs/>
          <w:sz w:val="24"/>
          <w:szCs w:val="24"/>
        </w:rPr>
        <w:t xml:space="preserve"> (Verim) e de Montenegro, em correspondência com a </w:t>
      </w:r>
      <w:r w:rsidRPr="0011294E">
        <w:rPr>
          <w:rFonts w:ascii="Times New Roman" w:hAnsi="Times New Roman"/>
          <w:i/>
          <w:iCs/>
          <w:sz w:val="24"/>
          <w:szCs w:val="24"/>
        </w:rPr>
        <w:t xml:space="preserve">terra </w:t>
      </w:r>
      <w:r w:rsidRPr="0011294E">
        <w:rPr>
          <w:rFonts w:ascii="Times New Roman" w:hAnsi="Times New Roman"/>
          <w:iCs/>
          <w:sz w:val="24"/>
          <w:szCs w:val="24"/>
        </w:rPr>
        <w:t xml:space="preserve">civil deste nome. Paralelamente assiste-se ao surgimento de uma nova terra, a </w:t>
      </w:r>
      <w:r w:rsidRPr="0011294E">
        <w:rPr>
          <w:rFonts w:ascii="Times New Roman" w:hAnsi="Times New Roman"/>
          <w:i/>
          <w:iCs/>
          <w:sz w:val="24"/>
          <w:szCs w:val="24"/>
        </w:rPr>
        <w:t>civitas</w:t>
      </w:r>
      <w:r w:rsidRPr="0011294E">
        <w:rPr>
          <w:rFonts w:ascii="Times New Roman" w:hAnsi="Times New Roman"/>
          <w:iCs/>
          <w:sz w:val="24"/>
          <w:szCs w:val="24"/>
        </w:rPr>
        <w:t xml:space="preserve"> de </w:t>
      </w:r>
      <w:r w:rsidRPr="0011294E">
        <w:rPr>
          <w:rFonts w:ascii="Times New Roman" w:hAnsi="Times New Roman"/>
          <w:i/>
          <w:iCs/>
          <w:sz w:val="24"/>
          <w:szCs w:val="24"/>
        </w:rPr>
        <w:t>Batocas</w:t>
      </w:r>
      <w:r w:rsidRPr="0011294E">
        <w:rPr>
          <w:rFonts w:ascii="Times New Roman" w:hAnsi="Times New Roman"/>
          <w:iCs/>
          <w:sz w:val="24"/>
          <w:szCs w:val="24"/>
        </w:rPr>
        <w:t>, futuro concelho de Monforte de Rio Livre</w:t>
      </w:r>
      <w:r w:rsidRPr="0011294E">
        <w:rPr>
          <w:rFonts w:ascii="Times New Roman" w:hAnsi="Times New Roman"/>
          <w:i/>
          <w:iCs/>
          <w:sz w:val="24"/>
          <w:szCs w:val="24"/>
        </w:rPr>
        <w:t xml:space="preserve">. </w:t>
      </w:r>
      <w:r w:rsidRPr="0011294E">
        <w:rPr>
          <w:rFonts w:ascii="Times New Roman" w:hAnsi="Times New Roman"/>
          <w:iCs/>
          <w:sz w:val="24"/>
          <w:szCs w:val="24"/>
        </w:rPr>
        <w:t>Estamos perante um caso de evolução natural da extensão territorial</w:t>
      </w:r>
      <w:r w:rsidRPr="0011294E">
        <w:rPr>
          <w:rStyle w:val="Refdenotaderodap"/>
          <w:rFonts w:ascii="Times New Roman" w:hAnsi="Times New Roman"/>
          <w:iCs/>
          <w:sz w:val="24"/>
          <w:szCs w:val="24"/>
        </w:rPr>
        <w:footnoteReference w:id="87"/>
      </w:r>
      <w:r w:rsidRPr="0011294E">
        <w:rPr>
          <w:rFonts w:ascii="Times New Roman" w:hAnsi="Times New Roman"/>
          <w:iCs/>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iCs/>
          <w:sz w:val="24"/>
          <w:szCs w:val="24"/>
        </w:rPr>
      </w:pPr>
      <w:r w:rsidRPr="0011294E">
        <w:rPr>
          <w:rFonts w:ascii="Times New Roman" w:hAnsi="Times New Roman"/>
          <w:iCs/>
          <w:sz w:val="24"/>
          <w:szCs w:val="24"/>
        </w:rPr>
        <w:t xml:space="preserve">Este período de dominação dos povos ditos Bárbaros caraterizou-se por uma por uma carência de dominação e organização eficaz, onde os mecanismos de administração política, social e cultural não foram bem vincados. Efetivamente assistimos a uma situação de confronto entre Suevos e Visigodos que durou até aos reinados de Leovigildo (568-586) e Recaredo (585-589). O primeiro monarca foi autor de variadas obras unificadoras e reformas administrativas que juntavam os dois reinos. Já o monarca Recaredo rompeu com o único entrave que existia, a questão religiosa. Assim, foi graças a Recaredo, em 589, que, convertendo-se de vez ao catolicismo e institucionalizando os concílios de Toledo, foi possível a fusão com os Hispano-romanos, que durou até à invasão muçulmana, no século VIII. Em termos económicos, julgamos que terá </w:t>
      </w:r>
      <w:r w:rsidRPr="0011294E">
        <w:rPr>
          <w:rFonts w:ascii="Times New Roman" w:hAnsi="Times New Roman"/>
          <w:iCs/>
          <w:sz w:val="24"/>
          <w:szCs w:val="24"/>
        </w:rPr>
        <w:lastRenderedPageBreak/>
        <w:t xml:space="preserve">funcionado em Flávias uma oficina monetária, isto a julgar por um triente deste monarca que no reverso possui a legenda </w:t>
      </w:r>
      <w:r w:rsidRPr="0011294E">
        <w:rPr>
          <w:rFonts w:ascii="Times New Roman" w:hAnsi="Times New Roman"/>
          <w:i/>
          <w:iCs/>
          <w:sz w:val="24"/>
          <w:szCs w:val="24"/>
        </w:rPr>
        <w:t>FLAVIAS PIVS.</w:t>
      </w:r>
      <w:r w:rsidRPr="0011294E">
        <w:rPr>
          <w:rStyle w:val="Refdenotaderodap"/>
          <w:rFonts w:ascii="Times New Roman" w:hAnsi="Times New Roman"/>
          <w:i/>
          <w:sz w:val="24"/>
          <w:szCs w:val="24"/>
        </w:rPr>
        <w:footnoteReference w:id="88"/>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Para a região em estudo podemos destacar alguns vestígios e indícios arqueológicos deste período, nomeadamente na Vila da Granijinha, um nível de pavimento em </w:t>
      </w:r>
      <w:r w:rsidRPr="0011294E">
        <w:rPr>
          <w:rFonts w:ascii="Times New Roman" w:hAnsi="Times New Roman"/>
          <w:i/>
          <w:iCs/>
          <w:sz w:val="24"/>
          <w:szCs w:val="24"/>
        </w:rPr>
        <w:t xml:space="preserve">opus signinum </w:t>
      </w:r>
      <w:r w:rsidRPr="0011294E">
        <w:rPr>
          <w:rFonts w:ascii="Times New Roman" w:hAnsi="Times New Roman"/>
          <w:sz w:val="24"/>
          <w:szCs w:val="24"/>
        </w:rPr>
        <w:t>com cerâmicas cinzentas datáveis dos Sécs. V-VI. Este local proporcionou também a descoberta de um fragmento de cerâmica cinzenta paleocristã</w:t>
      </w:r>
      <w:r w:rsidRPr="0011294E">
        <w:rPr>
          <w:rStyle w:val="Refdenotaderodap"/>
          <w:rFonts w:ascii="Times New Roman" w:hAnsi="Times New Roman"/>
          <w:sz w:val="24"/>
          <w:szCs w:val="24"/>
        </w:rPr>
        <w:footnoteReference w:id="89"/>
      </w:r>
      <w:r w:rsidRPr="0011294E">
        <w:rPr>
          <w:rFonts w:ascii="Times New Roman" w:hAnsi="Times New Roman"/>
          <w:sz w:val="24"/>
          <w:szCs w:val="24"/>
        </w:rPr>
        <w:t xml:space="preserve">. No Castro de S. Caetano foi detetado um tesouro do século V e ainda uma placa de cinturão visigótica datável do século VII. Mais recentemente, foi descoberto um triente ou </w:t>
      </w:r>
      <w:r w:rsidRPr="0011294E">
        <w:rPr>
          <w:rFonts w:ascii="Times New Roman" w:hAnsi="Times New Roman"/>
          <w:i/>
          <w:sz w:val="24"/>
          <w:szCs w:val="24"/>
        </w:rPr>
        <w:t>triens</w:t>
      </w:r>
      <w:r w:rsidRPr="0011294E">
        <w:rPr>
          <w:rFonts w:ascii="Times New Roman" w:hAnsi="Times New Roman"/>
          <w:sz w:val="24"/>
          <w:szCs w:val="24"/>
        </w:rPr>
        <w:t xml:space="preserve"> que data do reinado do monarca visigótico Égica</w:t>
      </w:r>
      <w:r w:rsidRPr="0011294E">
        <w:rPr>
          <w:rStyle w:val="Refdenotaderodap"/>
          <w:rFonts w:ascii="Times New Roman" w:hAnsi="Times New Roman"/>
          <w:sz w:val="24"/>
          <w:szCs w:val="24"/>
        </w:rPr>
        <w:footnoteReference w:id="90"/>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Todavia esta realidade tardo-antiga é fortemente abalada com a chegada dos muçulmanos e a sua permanência no norte do território, que apesar de efémera, teve um enorme impacto no quotidiano das suas populações.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Para este período é importante referirmos a toponímia para o estudo muçulmano da região. Com efeito, não conseguimos detetar nenhum topónimo árabe na nossa região. Neste sentido decidimos alargar o espaço e destacar alguns topónimos da região mais a norte para a região de Bragança, nomeadamente, Alfajão, Arrifana, Babe, Baçal, Bagueixe, Couços, Mogadouro, Moás, Quirás, Soeira, Almansor, Atalaia, Baçal, Sacoias</w:t>
      </w:r>
      <w:r w:rsidRPr="0011294E">
        <w:rPr>
          <w:rStyle w:val="Refdenotaderodap"/>
          <w:rFonts w:ascii="Times New Roman" w:hAnsi="Times New Roman"/>
          <w:sz w:val="24"/>
          <w:szCs w:val="24"/>
        </w:rPr>
        <w:footnoteReference w:id="91"/>
      </w:r>
      <w:r w:rsidRPr="0011294E">
        <w:rPr>
          <w:rFonts w:ascii="Times New Roman" w:hAnsi="Times New Roman"/>
          <w:sz w:val="24"/>
          <w:szCs w:val="24"/>
        </w:rPr>
        <w:t xml:space="preserve">. A análise da escassa toponímia de origem árabe na nossa área de estudo permite adivinhar que a presença muçulmana não durou por muito tempo e não teve um impacto tão forte como nas regiões mais a sul do território. </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 Paralelamente á análise da toponímica pode mencionar algumas peças que datam deste período e que se encontram em depósito no Museu da Região Flaviense. Falamos, pois, de quatro candis e quatro trempes, em bom estado de conservação. Fazendo uma análise aos quatro candis, podemos referir que são isentos e decoração e que as datações que lhe são atribuídas situam estes achados entre meados do século X e a primeira metade do século XI, tendo apena por base as suas características morfo-tipológicas</w:t>
      </w:r>
      <w:r w:rsidRPr="0011294E">
        <w:rPr>
          <w:rStyle w:val="Refdenotaderodap"/>
          <w:rFonts w:ascii="Times New Roman" w:hAnsi="Times New Roman"/>
          <w:sz w:val="24"/>
          <w:szCs w:val="24"/>
        </w:rPr>
        <w:footnoteReference w:id="92"/>
      </w:r>
      <w:r w:rsidRPr="0011294E">
        <w:rPr>
          <w:rFonts w:ascii="Times New Roman" w:hAnsi="Times New Roman"/>
          <w:sz w:val="24"/>
          <w:szCs w:val="24"/>
        </w:rPr>
        <w:t xml:space="preserve">. No que respeita às quatro trempes, foram encontrados paralelos às dos </w:t>
      </w:r>
      <w:r w:rsidRPr="0011294E">
        <w:rPr>
          <w:rFonts w:ascii="Times New Roman" w:hAnsi="Times New Roman"/>
          <w:sz w:val="24"/>
          <w:szCs w:val="24"/>
        </w:rPr>
        <w:lastRenderedPageBreak/>
        <w:t>fornos islâmicos de Múrcia, inserindo-se no séc. XI. A proveniência destes achados é incerta, podendo estar associada à Veiga de Chaves, local onde foram encontrados nos anos 80. A localização destes achados apresenta-se como um elemento importante, na medida em que a presença destas luminárias na região flaviense é rara</w:t>
      </w:r>
      <w:r w:rsidRPr="0011294E">
        <w:rPr>
          <w:rStyle w:val="Refdenotaderodap"/>
          <w:rFonts w:ascii="Times New Roman" w:hAnsi="Times New Roman"/>
          <w:sz w:val="24"/>
          <w:szCs w:val="24"/>
        </w:rPr>
        <w:footnoteReference w:id="93"/>
      </w:r>
      <w:r w:rsidRPr="0011294E">
        <w:rPr>
          <w:rFonts w:ascii="Times New Roman" w:hAnsi="Times New Roman"/>
          <w:sz w:val="24"/>
          <w:szCs w:val="24"/>
        </w:rPr>
        <w:t>. No entanto, Mário Barroca adverte que “a mobilidade destes testemunhos diminui o seu valor probatório”</w:t>
      </w:r>
      <w:r w:rsidRPr="0011294E">
        <w:rPr>
          <w:rStyle w:val="Refdenotaderodap"/>
          <w:rFonts w:ascii="Times New Roman" w:hAnsi="Times New Roman"/>
          <w:sz w:val="24"/>
          <w:szCs w:val="24"/>
        </w:rPr>
        <w:footnoteReference w:id="94"/>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 escassez de referências documentais relativas ao povoamento da região durante o período da Reconquista, desde a presúria de Chaves, no século IX, até ao advento dos castelos e das terras, nos séculos XI e XII, leva-nos a privilegiar as sepulturas escavadas na rocha, que se conservam até aos dias de hoje graças ao suporte pétreo onde foram criadas.</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Não nos vamos pronunciar sobre as opiniões contraditórias acerca da cronologia deste tipo de sepulturas, que mereceu algum destaque no nosso país e em Espanha</w:t>
      </w:r>
      <w:r w:rsidRPr="0011294E">
        <w:rPr>
          <w:rStyle w:val="Refdenotaderodap"/>
          <w:rFonts w:ascii="Times New Roman" w:hAnsi="Times New Roman"/>
          <w:sz w:val="24"/>
          <w:szCs w:val="24"/>
        </w:rPr>
        <w:footnoteReference w:id="95"/>
      </w:r>
      <w:r w:rsidRPr="0011294E">
        <w:rPr>
          <w:rFonts w:ascii="Times New Roman" w:hAnsi="Times New Roman"/>
          <w:sz w:val="24"/>
          <w:szCs w:val="24"/>
        </w:rPr>
        <w:t xml:space="preserve">. No entanto, estes estudos conseguem fornecer elementos cronológicos bastante interessantes.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Na área espacial do nosso estudo, Ricardo Teixeira registou um total de 74 sepulturas escavadas na rocha, estudando um conjunto de 20, o que denota uma boa representação naquela região do Alto Tâmega.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 sepulturas que foram classificadas como não antropomórficas constituem um conjunto de sete, distribuídas por seis locais diferentes. Para além da reduzida expressão deste conjunto, convém realçar que, no que toca à tipologia da cavidade tumular, não foi encontrado na região qualquer exemplar dos tipos retangular e sub-retangular e que o tipo ovalado se encontra representado apenas por uma das sepulturas da necrópole da Mina. Relativamente às restantes cinco sepulturas constituem exemplos interessantes daquilo que poderá ser considerado já como uma tendência evolutiva em direção às formas antropomórficas. Assim, foram inventariadas sepulturas com uma tendência simétrica para o antropomorfismo, feito através duma ligeira inflexão na zona dos ombros e em direção à cabeceira, nomeadamente em Castras, Mina e Meiral/Trapas.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As sepulturas antropomórficas constituem a maioria dos sepulcros rupestres da região. Dentro destes conjuntos verifica-se um predomínio das que possuem cabeceira em arco ultrapassado em relação às que exibem cabeceira em arco peralteado. Refira-se ainda que muitos dos exemplares inventariados apresentam cavidade tumular com forma antropomórfica mais ou menos acentuada mas conservam a linha de superfície com forma ovalada, considerando-os relativamente arcaicos dentro das sepulturas antropomórficas</w:t>
      </w:r>
      <w:r w:rsidRPr="0011294E">
        <w:rPr>
          <w:rStyle w:val="Refdenotaderodap"/>
          <w:rFonts w:ascii="Times New Roman" w:hAnsi="Times New Roman"/>
          <w:sz w:val="24"/>
          <w:szCs w:val="24"/>
        </w:rPr>
        <w:footnoteReference w:id="96"/>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No que toca às cronologias destas sepulturas, não existem dados concretos que nos permitem datar com exatidão. No entanto, podemos seguir a tese de Mário Barroca que defende para o Entre-Douro-e-Minho, que a maioria delas poderá datar de meados do século IX até aos finais do XI. Podemos considerar que esta forma de enterramento persistiu até aos séculos XIII-XIV, pelo menos</w:t>
      </w:r>
      <w:r w:rsidRPr="0011294E">
        <w:rPr>
          <w:rStyle w:val="Refdenotaderodap"/>
          <w:rFonts w:ascii="Times New Roman" w:hAnsi="Times New Roman"/>
          <w:sz w:val="24"/>
          <w:szCs w:val="24"/>
        </w:rPr>
        <w:footnoteReference w:id="97"/>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No que toca à estrutura e organização dos espaços cemiteriais, regista-se a ausência de núcleos compostos por elevado número de sepulturas. Uma situação de relevo é a que se relaciona com a localização e o cuidado geralmente concedido aos enterramentos infantis, ora concentrados em áreas específicas, formando núcleos próprios, ora dispersos, junto de sepulturas de adultos, parecendo por vezes integrar com estes verdadeiros grupos "familiares". Não é ainda muito claro o significado a atribuir a estes tratamentos diferenciados que por vezes convivem dentro da mesma necrópole, podendo apontar-se diferenças relacionadas com os níveis etários e/ou com o batismo</w:t>
      </w:r>
      <w:r w:rsidRPr="0011294E">
        <w:rPr>
          <w:rStyle w:val="Refdenotaderodap"/>
          <w:rFonts w:ascii="Times New Roman" w:hAnsi="Times New Roman"/>
          <w:sz w:val="24"/>
          <w:szCs w:val="24"/>
        </w:rPr>
        <w:footnoteReference w:id="98"/>
      </w:r>
      <w:r w:rsidRPr="0011294E">
        <w:rPr>
          <w:rFonts w:ascii="Times New Roman" w:hAnsi="Times New Roman"/>
          <w:sz w:val="24"/>
          <w:szCs w:val="24"/>
        </w:rPr>
        <w:t>. Um outro aspeto similar prende-se com a identificação de eventuais núcleos familiares de alguma forma individualizados dentro do espaço cemiterial.</w:t>
      </w:r>
      <w:r w:rsidRPr="0011294E">
        <w:rPr>
          <w:rStyle w:val="Refdenotaderodap"/>
          <w:rFonts w:ascii="Times New Roman" w:hAnsi="Times New Roman"/>
          <w:sz w:val="24"/>
          <w:szCs w:val="24"/>
        </w:rPr>
        <w:footnoteReference w:id="99"/>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 Ricardo Teixeira identificou, na zona de Chaves, quatro situações em que parece ter havido uma associação intencional de duas sepulturas de adultos, situadas a par e isoladas ou destacadas das restantes: Noval, Vale dos Fetos, Muradelhas e Mosteirão. Os cemitérios seriam pouco estruturados, não apresentando espaços contínuos com sepulturas, mas antes uma área composta por vários penedos dispersos com sepulturas </w:t>
      </w:r>
      <w:r w:rsidRPr="0011294E">
        <w:rPr>
          <w:rFonts w:ascii="Times New Roman" w:hAnsi="Times New Roman"/>
          <w:sz w:val="24"/>
          <w:szCs w:val="24"/>
        </w:rPr>
        <w:lastRenderedPageBreak/>
        <w:t>distribuídas irregularmente, situados geralmente em zonas de encosta, possivelmente à vista das habitações do povoado e com domínio sobre os campos de cultivo</w:t>
      </w:r>
      <w:r w:rsidRPr="0011294E">
        <w:rPr>
          <w:rStyle w:val="Refdenotaderodap"/>
          <w:rFonts w:ascii="Times New Roman" w:hAnsi="Times New Roman"/>
          <w:sz w:val="24"/>
          <w:szCs w:val="24"/>
        </w:rPr>
        <w:footnoteReference w:id="100"/>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Em Chaves são vários os conjuntos de sepulturas que se localizam em zonas altas, como as que constituem o prolongamento da Serra da Padrela, e que poderemos eventualmente associar a comunidades dependentes de uma economia agro-pastoril de montanha, como será o caso das necrópoles de St.º Amaro, Crastas de Santiago, S. Pedro de Bobadela ou os dois núcleos de Mairos, também facilmente se apontam vários exemplos de localização em plena Veiga do Tâmega e até muito próximo daquele rio, como sejam a Quinta da Mina/Portela, Quinta da Relva e Mosteirão. Outro aspeto que importa realçar é a relação das sepulturas com a organização paroquial antiga. Na nossa região o que se verifica é uma reduzida associação entre necrópoles escavadas na rocha e templos paroquiais. O que nos parece </w:t>
      </w:r>
      <w:r w:rsidR="009D2BEB" w:rsidRPr="0011294E">
        <w:rPr>
          <w:rFonts w:ascii="Times New Roman" w:hAnsi="Times New Roman"/>
          <w:sz w:val="24"/>
          <w:szCs w:val="24"/>
        </w:rPr>
        <w:t>verosímil</w:t>
      </w:r>
      <w:r w:rsidRPr="0011294E">
        <w:rPr>
          <w:rFonts w:ascii="Times New Roman" w:hAnsi="Times New Roman"/>
          <w:sz w:val="24"/>
          <w:szCs w:val="24"/>
        </w:rPr>
        <w:t xml:space="preserve"> é que a escolha e a determinação dos locais onde eram realizados os enterramentos obedeciam a uma ordenação mais de carácter familiar, não se estruturando em função da rede paroquial, fenómeno que só acontecerá a partir dos finais do Séc. XI com o processo de repovoamento pela monarquia leonesa</w:t>
      </w:r>
      <w:r w:rsidRPr="0011294E">
        <w:rPr>
          <w:rStyle w:val="Refdenotaderodap"/>
          <w:rFonts w:ascii="Times New Roman" w:hAnsi="Times New Roman"/>
          <w:sz w:val="24"/>
          <w:szCs w:val="24"/>
        </w:rPr>
        <w:footnoteReference w:id="101"/>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Para o período da Reconquista, as fontes documentais que respeitam à região flaviense são relativamente escassas e o seu conteúdo impreciso. No entanto, algumas fontes atribuem a Afonso I (739-757) a iniciativa de um conjunto de operações militares dirigidas aos principais pontos estratégicos no vale do Douro. O objeto primordial destas campanhas militares seria não tanto o de assegurar a sua posse ou ocupação efectiva, mas sobretudo o de pilhar, desorganizar, ou, na expressão da época, "despovoar". Entre as povoações que foram alvo destas ações contam-se Lugo, Tuy, Portucale, Braga, Viseu e </w:t>
      </w:r>
      <w:r w:rsidRPr="0011294E">
        <w:rPr>
          <w:rFonts w:ascii="Times New Roman" w:hAnsi="Times New Roman"/>
          <w:i/>
          <w:iCs/>
          <w:sz w:val="24"/>
          <w:szCs w:val="24"/>
        </w:rPr>
        <w:t xml:space="preserve">Flávias. </w:t>
      </w:r>
      <w:r w:rsidRPr="0011294E">
        <w:rPr>
          <w:rFonts w:ascii="Times New Roman" w:hAnsi="Times New Roman"/>
          <w:sz w:val="24"/>
          <w:szCs w:val="24"/>
        </w:rPr>
        <w:t>Segundo José Mattoso não há uma referência explícita a Chaves, tendo em conta que o cronista se pode ter limitado a transcrever um rol de localidades de uma listagem geográfica mais antiga</w:t>
      </w:r>
      <w:r w:rsidRPr="0011294E">
        <w:rPr>
          <w:rStyle w:val="Refdenotaderodap"/>
          <w:rFonts w:ascii="Times New Roman" w:hAnsi="Times New Roman"/>
          <w:sz w:val="24"/>
          <w:szCs w:val="24"/>
        </w:rPr>
        <w:footnoteReference w:id="102"/>
      </w:r>
      <w:r w:rsidRPr="0011294E">
        <w:rPr>
          <w:rFonts w:ascii="Times New Roman" w:hAnsi="Times New Roman"/>
          <w:sz w:val="24"/>
          <w:szCs w:val="24"/>
        </w:rPr>
        <w:t xml:space="preserve">. No entanto, tendo em conta a sua localização num corredor natural de penetração em direção ao Sul, e o papel </w:t>
      </w:r>
      <w:r w:rsidRPr="0011294E">
        <w:rPr>
          <w:rFonts w:ascii="Times New Roman" w:hAnsi="Times New Roman"/>
          <w:sz w:val="24"/>
          <w:szCs w:val="24"/>
        </w:rPr>
        <w:lastRenderedPageBreak/>
        <w:t>que parece ter desempenhado em época imediatamente posterior, com Afonso III, leva-nos a crer que se tratava da cidade de Chaves</w:t>
      </w:r>
      <w:r w:rsidRPr="0011294E">
        <w:rPr>
          <w:rStyle w:val="Refdenotaderodap"/>
          <w:rFonts w:ascii="Times New Roman" w:hAnsi="Times New Roman"/>
          <w:sz w:val="24"/>
          <w:szCs w:val="24"/>
        </w:rPr>
        <w:footnoteReference w:id="103"/>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Em termos muito gerais e no que diz respeito à problemática da teoria do ermamento no Norte de Portugal, somos levados a rejeitar um despovoamento integral de tão vasta região. Neste sentido assistimos a um êxodo da população para as zonas rurais, confirmando-se ainda mais a tendência de ruralização da sociedade, da economia e também certamente do habitat que progressivamente se vinha já observando desde a época tardo-romana</w:t>
      </w:r>
      <w:r w:rsidRPr="0011294E">
        <w:rPr>
          <w:rStyle w:val="Refdenotaderodap"/>
          <w:rFonts w:ascii="Times New Roman" w:hAnsi="Times New Roman"/>
          <w:sz w:val="24"/>
          <w:szCs w:val="24"/>
        </w:rPr>
        <w:footnoteReference w:id="104"/>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Assim, no vasto período em que decorrerem as primeiras ações efetivas do movimento de Reconquista Cristã, compreendidas no âmbito da dinâmica expansiva da monarquia leonesa, até à formação e estabilização geo-política do Reino de Portugal, isto é, genericamente, entre a segunda metade do Séc. IX e o final do Séc. XIII, ocorreram importantes transformações político-militares e também económico-sociais que tiveram profundos reflexos nas formas de conceber a ocupação e domínio do espaço, assim como a administração do território.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 ação “repovoadora” desencadeada pelo rei asturiano Afonso III (866-910) conduziu à presúria de várias localidades importantes, entre as quais se destacam a tomada do Porto pelo conde Vímara Peres, em 868, logo seguida também pela presúria de Chaves, feita pelo conde Odoário, em 872. Poucos anos depois, em 878, Hermenegildo Guterres conquistou Coimbra, provocando um avanço provisório da “Reconquista” até à linha do Mondego e a ocupação de Lamego e Viseu</w:t>
      </w:r>
      <w:r w:rsidRPr="0011294E">
        <w:rPr>
          <w:rStyle w:val="Refdenotaderodap"/>
          <w:rFonts w:ascii="Times New Roman" w:hAnsi="Times New Roman"/>
          <w:sz w:val="24"/>
          <w:szCs w:val="24"/>
        </w:rPr>
        <w:footnoteReference w:id="105"/>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Esta ocupação do território foi acompanhada por uma importante reorganização político-militar do espaço conquistado. Apesar de não conhecermos todos os pormenores desta reorganização, as fontes revelam que se apoiou em </w:t>
      </w:r>
      <w:r w:rsidRPr="0011294E">
        <w:rPr>
          <w:rFonts w:ascii="Times New Roman" w:hAnsi="Times New Roman"/>
          <w:i/>
          <w:iCs/>
          <w:sz w:val="24"/>
          <w:szCs w:val="24"/>
        </w:rPr>
        <w:t>civitates</w:t>
      </w:r>
      <w:r w:rsidRPr="0011294E">
        <w:rPr>
          <w:rFonts w:ascii="Times New Roman" w:hAnsi="Times New Roman"/>
          <w:sz w:val="24"/>
          <w:szCs w:val="24"/>
        </w:rPr>
        <w:t xml:space="preserve">, à frente das quais se encontravam condes ou delegados régios situados na dependência direta de Afonso III, um pouco à semelhança das </w:t>
      </w:r>
      <w:r w:rsidRPr="0011294E">
        <w:rPr>
          <w:rFonts w:ascii="Times New Roman" w:hAnsi="Times New Roman"/>
          <w:i/>
          <w:iCs/>
          <w:sz w:val="24"/>
          <w:szCs w:val="24"/>
        </w:rPr>
        <w:t xml:space="preserve">commissiones </w:t>
      </w:r>
      <w:r w:rsidRPr="0011294E">
        <w:rPr>
          <w:rFonts w:ascii="Times New Roman" w:hAnsi="Times New Roman"/>
          <w:sz w:val="24"/>
          <w:szCs w:val="24"/>
        </w:rPr>
        <w:t>asturianas e galegas e equivalente às marcas muçulmanas implantadas pelo califado nas regiões fronteiriças</w:t>
      </w:r>
      <w:r w:rsidRPr="0011294E">
        <w:rPr>
          <w:rStyle w:val="Refdenotaderodap"/>
          <w:rFonts w:ascii="Times New Roman" w:hAnsi="Times New Roman"/>
          <w:sz w:val="24"/>
          <w:szCs w:val="24"/>
        </w:rPr>
        <w:footnoteReference w:id="106"/>
      </w:r>
      <w:r w:rsidRPr="0011294E">
        <w:rPr>
          <w:rFonts w:ascii="Times New Roman" w:hAnsi="Times New Roman"/>
          <w:sz w:val="24"/>
          <w:szCs w:val="24"/>
        </w:rPr>
        <w:t xml:space="preserve">. Assim se </w:t>
      </w:r>
      <w:r w:rsidRPr="0011294E">
        <w:rPr>
          <w:rFonts w:ascii="Times New Roman" w:hAnsi="Times New Roman"/>
          <w:sz w:val="24"/>
          <w:szCs w:val="24"/>
        </w:rPr>
        <w:lastRenderedPageBreak/>
        <w:t xml:space="preserve">terão estabelecido as </w:t>
      </w:r>
      <w:r w:rsidRPr="0011294E">
        <w:rPr>
          <w:rFonts w:ascii="Times New Roman" w:hAnsi="Times New Roman"/>
          <w:i/>
          <w:iCs/>
          <w:sz w:val="24"/>
          <w:szCs w:val="24"/>
        </w:rPr>
        <w:t xml:space="preserve">civitates </w:t>
      </w:r>
      <w:r w:rsidRPr="0011294E">
        <w:rPr>
          <w:rFonts w:ascii="Times New Roman" w:hAnsi="Times New Roman"/>
          <w:sz w:val="24"/>
          <w:szCs w:val="24"/>
        </w:rPr>
        <w:t xml:space="preserve">de Tui, Braga, Guimarães, Portucale, Eja, Santa Maria da Feira, Lamego, Viseu, Seia, Coimbra e também a de </w:t>
      </w:r>
      <w:r w:rsidRPr="0011294E">
        <w:rPr>
          <w:rFonts w:ascii="Times New Roman" w:hAnsi="Times New Roman"/>
          <w:i/>
          <w:iCs/>
          <w:sz w:val="24"/>
          <w:szCs w:val="24"/>
        </w:rPr>
        <w:t>Flávias</w:t>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Chaves e toda a zona envolvente tiveram um papel importante no processo de Reconquista, designadamente geoestratégico. O seu território, centrado no Alto Vale do Tâmega, constituiu também um corredor natural de circulação de eixo N-S, já materializado na viária romana que conduzia ao Douro, o que o tornou particularmente importante no período em que as ações da “Reconquista” da monarquia asturiana se dirigiram cada vez mais para o Sul</w:t>
      </w:r>
      <w:r w:rsidRPr="0011294E">
        <w:rPr>
          <w:rStyle w:val="Refdenotaderodap"/>
          <w:rFonts w:ascii="Times New Roman" w:hAnsi="Times New Roman"/>
          <w:sz w:val="24"/>
          <w:szCs w:val="24"/>
        </w:rPr>
        <w:footnoteReference w:id="107"/>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Assim, na segunda metade do Séc. IX, </w:t>
      </w:r>
      <w:r w:rsidRPr="0011294E">
        <w:rPr>
          <w:rFonts w:ascii="Times New Roman" w:hAnsi="Times New Roman"/>
          <w:i/>
          <w:sz w:val="24"/>
          <w:szCs w:val="24"/>
        </w:rPr>
        <w:t>Flávias</w:t>
      </w:r>
      <w:r w:rsidRPr="0011294E">
        <w:rPr>
          <w:rFonts w:ascii="Times New Roman" w:hAnsi="Times New Roman"/>
          <w:sz w:val="24"/>
          <w:szCs w:val="24"/>
        </w:rPr>
        <w:t xml:space="preserve"> foi o centro da importante ação repovoadora pelo Conde Odoário. No ano de 872, o Conde Odoário foi encarregue de reorganizar e repovoar a comarca flaviense, ao longo do rio Tâmega, tendo então distribuído terras a colonos e mandado erguer castelos nas principais </w:t>
      </w:r>
      <w:r w:rsidRPr="0011294E">
        <w:rPr>
          <w:rFonts w:ascii="Times New Roman" w:hAnsi="Times New Roman"/>
          <w:i/>
          <w:sz w:val="24"/>
          <w:szCs w:val="24"/>
        </w:rPr>
        <w:t>civitates</w:t>
      </w:r>
      <w:r w:rsidRPr="0011294E">
        <w:rPr>
          <w:rFonts w:ascii="Times New Roman" w:hAnsi="Times New Roman"/>
          <w:sz w:val="24"/>
          <w:szCs w:val="24"/>
        </w:rPr>
        <w:t xml:space="preserve">, um dos quais em </w:t>
      </w:r>
      <w:r w:rsidRPr="0011294E">
        <w:rPr>
          <w:rFonts w:ascii="Times New Roman" w:hAnsi="Times New Roman"/>
          <w:i/>
          <w:sz w:val="24"/>
          <w:szCs w:val="24"/>
        </w:rPr>
        <w:t>Flávias</w:t>
      </w:r>
      <w:r w:rsidRPr="0011294E">
        <w:rPr>
          <w:rFonts w:ascii="Times New Roman" w:hAnsi="Times New Roman"/>
          <w:sz w:val="24"/>
          <w:szCs w:val="24"/>
        </w:rPr>
        <w:t xml:space="preserve">. Um conhecido documento datado de 982 faz referência à ação repovoadora do Conde, e onde se encontra referência pela primeira vez à </w:t>
      </w:r>
      <w:r w:rsidRPr="0011294E">
        <w:rPr>
          <w:rFonts w:ascii="Times New Roman" w:hAnsi="Times New Roman"/>
          <w:i/>
          <w:sz w:val="24"/>
          <w:szCs w:val="24"/>
        </w:rPr>
        <w:t>civitas Flávias</w:t>
      </w:r>
      <w:r w:rsidRPr="0011294E">
        <w:rPr>
          <w:rStyle w:val="Refdenotaderodap"/>
          <w:rFonts w:ascii="Times New Roman" w:hAnsi="Times New Roman"/>
          <w:i/>
          <w:sz w:val="24"/>
          <w:szCs w:val="24"/>
        </w:rPr>
        <w:footnoteReference w:id="108"/>
      </w:r>
      <w:r w:rsidRPr="0011294E">
        <w:rPr>
          <w:rFonts w:ascii="Times New Roman" w:hAnsi="Times New Roman"/>
          <w:i/>
          <w:sz w:val="24"/>
          <w:szCs w:val="24"/>
        </w:rPr>
        <w:t>.</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Parece-nos muito provável que o Castro da Curalha poderá fazer parte destes povoados que o Conde Odoário fez surgir no Alto Tâmega, depois de ter assumido o controlo de Chaves. Na realidade, ao contrário do que defendia Santos Júnior, que classificou este castro num simples povoado castrejo, parece antes um povoado da Alta Idade Média. Mário Barroca diz a este respeito que as suas casas, adotando sistematicamente planta retangulares, com ângulos retos, adossam-se umas às outras, erguendo-se comprimidas num espaço reduzido, e encostam-se à muralha, tudo opções evitadas em povoados castrejos. O espólio exumado é na sua maioria tardio, compreendendo materiais tardo-romanos e medievais, contando com sigillatas claras e estampadas e ainda materiais medievais como cerâmicas cinzentas ornamentadas com cordões plásticos com dedadas, incisões e outras gramáticas decorativas tipicamente </w:t>
      </w:r>
      <w:r w:rsidRPr="0011294E">
        <w:rPr>
          <w:rFonts w:ascii="Times New Roman" w:hAnsi="Times New Roman"/>
          <w:sz w:val="24"/>
          <w:szCs w:val="24"/>
        </w:rPr>
        <w:lastRenderedPageBreak/>
        <w:t>medievais</w:t>
      </w:r>
      <w:r w:rsidRPr="0011294E">
        <w:rPr>
          <w:rStyle w:val="Refdenotaderodap"/>
          <w:rFonts w:ascii="Times New Roman" w:hAnsi="Times New Roman"/>
          <w:sz w:val="24"/>
          <w:szCs w:val="24"/>
        </w:rPr>
        <w:footnoteReference w:id="109"/>
      </w:r>
      <w:r w:rsidRPr="0011294E">
        <w:rPr>
          <w:rFonts w:ascii="Times New Roman" w:hAnsi="Times New Roman"/>
          <w:sz w:val="24"/>
          <w:szCs w:val="24"/>
        </w:rPr>
        <w:t>. Para além dos dados arqueológicos podemos referir que o Castro de Curalha aparece já mencionado num documento do cartulário da Sé de Braga</w:t>
      </w:r>
      <w:r w:rsidRPr="0011294E">
        <w:rPr>
          <w:rStyle w:val="Refdenotaderodap"/>
          <w:rFonts w:ascii="Times New Roman" w:hAnsi="Times New Roman"/>
          <w:sz w:val="24"/>
          <w:szCs w:val="24"/>
        </w:rPr>
        <w:footnoteReference w:id="110"/>
      </w:r>
      <w:r w:rsidRPr="0011294E">
        <w:rPr>
          <w:rFonts w:ascii="Times New Roman" w:hAnsi="Times New Roman"/>
          <w:sz w:val="24"/>
          <w:szCs w:val="24"/>
        </w:rPr>
        <w:t xml:space="preserve">. Assim, todos os dados revelam que o Castro da Curalha teve uma ocupação tardia de Reconquista, apresentando-se como um testemunho da reorganização do povoamento da zona da </w:t>
      </w:r>
      <w:r w:rsidRPr="0011294E">
        <w:rPr>
          <w:rFonts w:ascii="Times New Roman" w:hAnsi="Times New Roman"/>
          <w:i/>
          <w:iCs/>
          <w:sz w:val="24"/>
          <w:szCs w:val="24"/>
        </w:rPr>
        <w:t xml:space="preserve">civitas </w:t>
      </w:r>
      <w:r w:rsidRPr="0011294E">
        <w:rPr>
          <w:rFonts w:ascii="Times New Roman" w:hAnsi="Times New Roman"/>
          <w:sz w:val="24"/>
          <w:szCs w:val="24"/>
        </w:rPr>
        <w:t>de Chaves, processo encetado por Odoário a partir de 872</w:t>
      </w:r>
      <w:r w:rsidRPr="0011294E">
        <w:rPr>
          <w:rStyle w:val="Refdenotaderodap"/>
          <w:rFonts w:ascii="Times New Roman" w:hAnsi="Times New Roman"/>
          <w:sz w:val="24"/>
          <w:szCs w:val="24"/>
        </w:rPr>
        <w:footnoteReference w:id="111"/>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i/>
          <w:iCs/>
          <w:sz w:val="24"/>
          <w:szCs w:val="24"/>
        </w:rPr>
      </w:pPr>
      <w:r w:rsidRPr="0011294E">
        <w:rPr>
          <w:rFonts w:ascii="Times New Roman" w:hAnsi="Times New Roman"/>
          <w:sz w:val="24"/>
          <w:szCs w:val="24"/>
        </w:rPr>
        <w:t xml:space="preserve">As restantes informações que dispomos datam já do século seguinte, nomeadamente documentos do cartulário da Sé de Braga que nos permitem conhecer as autoridades flavienses nos finais do século XI e princípios do Século XII. Em 1029, encontramos um documento do </w:t>
      </w:r>
      <w:r w:rsidRPr="0011294E">
        <w:rPr>
          <w:rFonts w:ascii="Times New Roman" w:hAnsi="Times New Roman"/>
          <w:i/>
          <w:sz w:val="24"/>
          <w:szCs w:val="24"/>
        </w:rPr>
        <w:t>Liber Fidei</w:t>
      </w:r>
      <w:r w:rsidRPr="0011294E">
        <w:rPr>
          <w:rFonts w:ascii="Times New Roman" w:hAnsi="Times New Roman"/>
          <w:sz w:val="24"/>
          <w:szCs w:val="24"/>
        </w:rPr>
        <w:t xml:space="preserve"> que nos dá conta de uma carta de D. Rodrigo Ordonhes que constituiu a favor da sua esposa, a condessa D. Toda Gonçalves, um conjunto de vilas </w:t>
      </w:r>
      <w:r w:rsidRPr="0011294E">
        <w:rPr>
          <w:rFonts w:ascii="Times New Roman" w:hAnsi="Times New Roman"/>
          <w:i/>
          <w:sz w:val="24"/>
          <w:szCs w:val="24"/>
        </w:rPr>
        <w:t>in Flávias</w:t>
      </w:r>
      <w:r w:rsidRPr="0011294E">
        <w:rPr>
          <w:rFonts w:ascii="Times New Roman" w:hAnsi="Times New Roman"/>
          <w:sz w:val="24"/>
          <w:szCs w:val="24"/>
        </w:rPr>
        <w:t>. Em 1072, numa doação que Marinha efetua ao mosteiro de Santo Estevão podemos ler “</w:t>
      </w:r>
      <w:r w:rsidRPr="0011294E">
        <w:rPr>
          <w:rFonts w:ascii="Times New Roman" w:hAnsi="Times New Roman"/>
          <w:i/>
          <w:iCs/>
          <w:sz w:val="24"/>
          <w:szCs w:val="24"/>
        </w:rPr>
        <w:t>"..</w:t>
      </w:r>
      <w:r w:rsidR="009D2BEB">
        <w:rPr>
          <w:rFonts w:ascii="Times New Roman" w:hAnsi="Times New Roman"/>
          <w:i/>
          <w:iCs/>
          <w:sz w:val="24"/>
          <w:szCs w:val="24"/>
        </w:rPr>
        <w:t>.in</w:t>
      </w:r>
      <w:r w:rsidRPr="0011294E">
        <w:rPr>
          <w:rFonts w:ascii="Times New Roman" w:hAnsi="Times New Roman"/>
          <w:i/>
          <w:iCs/>
          <w:sz w:val="24"/>
          <w:szCs w:val="24"/>
        </w:rPr>
        <w:t xml:space="preserve"> villa Sancti Stephani </w:t>
      </w:r>
      <w:r w:rsidRPr="0011294E">
        <w:rPr>
          <w:rFonts w:ascii="Times New Roman" w:hAnsi="Times New Roman"/>
          <w:bCs/>
          <w:i/>
          <w:iCs/>
          <w:sz w:val="24"/>
          <w:szCs w:val="24"/>
        </w:rPr>
        <w:t>territorio Flav[i]ensi discurrente rivulo Tamica</w:t>
      </w:r>
      <w:r w:rsidRPr="0011294E">
        <w:rPr>
          <w:rFonts w:ascii="Times New Roman" w:hAnsi="Times New Roman"/>
          <w:i/>
          <w:iCs/>
          <w:sz w:val="24"/>
          <w:szCs w:val="24"/>
        </w:rPr>
        <w:t>..."</w:t>
      </w:r>
      <w:r w:rsidRPr="0011294E">
        <w:rPr>
          <w:rFonts w:ascii="Times New Roman" w:hAnsi="Times New Roman"/>
          <w:sz w:val="24"/>
          <w:szCs w:val="24"/>
        </w:rPr>
        <w:t xml:space="preserve">, e no termo do documento: </w:t>
      </w:r>
      <w:r w:rsidRPr="0011294E">
        <w:rPr>
          <w:rFonts w:ascii="Times New Roman" w:hAnsi="Times New Roman"/>
          <w:i/>
          <w:iCs/>
          <w:sz w:val="24"/>
          <w:szCs w:val="24"/>
        </w:rPr>
        <w:t xml:space="preserve">"...Regnante Sancio rege, </w:t>
      </w:r>
      <w:r w:rsidRPr="0011294E">
        <w:rPr>
          <w:rFonts w:ascii="Times New Roman" w:hAnsi="Times New Roman"/>
          <w:bCs/>
          <w:i/>
          <w:iCs/>
          <w:sz w:val="24"/>
          <w:szCs w:val="24"/>
        </w:rPr>
        <w:t>Vimara Godesindiz maiorino in Flávias</w:t>
      </w:r>
      <w:r w:rsidRPr="0011294E">
        <w:rPr>
          <w:rFonts w:ascii="Times New Roman" w:hAnsi="Times New Roman"/>
          <w:i/>
          <w:iCs/>
          <w:sz w:val="24"/>
          <w:szCs w:val="24"/>
        </w:rPr>
        <w:t>, Gontemiro vigario..."</w:t>
      </w:r>
      <w:r w:rsidRPr="0011294E">
        <w:rPr>
          <w:rStyle w:val="Refdenotaderodap"/>
          <w:rFonts w:ascii="Times New Roman" w:hAnsi="Times New Roman"/>
          <w:i/>
          <w:iCs/>
          <w:sz w:val="24"/>
          <w:szCs w:val="24"/>
        </w:rPr>
        <w:footnoteReference w:id="112"/>
      </w:r>
      <w:r w:rsidRPr="0011294E">
        <w:rPr>
          <w:rFonts w:ascii="Times New Roman" w:hAnsi="Times New Roman"/>
          <w:i/>
          <w:iCs/>
          <w:sz w:val="24"/>
          <w:szCs w:val="24"/>
        </w:rPr>
        <w:t>.</w:t>
      </w:r>
    </w:p>
    <w:p w:rsidR="0011294E" w:rsidRPr="0011294E" w:rsidRDefault="0011294E" w:rsidP="0011294E">
      <w:pPr>
        <w:spacing w:line="360" w:lineRule="auto"/>
        <w:ind w:firstLine="624"/>
        <w:jc w:val="both"/>
        <w:rPr>
          <w:rFonts w:ascii="Times New Roman" w:hAnsi="Times New Roman"/>
          <w:i/>
          <w:iCs/>
          <w:sz w:val="24"/>
          <w:szCs w:val="24"/>
        </w:rPr>
      </w:pPr>
      <w:r w:rsidRPr="0011294E">
        <w:rPr>
          <w:rFonts w:ascii="Times New Roman" w:hAnsi="Times New Roman"/>
          <w:sz w:val="24"/>
          <w:szCs w:val="24"/>
        </w:rPr>
        <w:t xml:space="preserve">Ainda no mesmo ano, o presbítero Martinho Zarraquiz doa ao seu sobrinho, presbítero Pedro vários bens com obrigação de os testar ao mosteiro de Santo Estêvão. Os bens são localizados: </w:t>
      </w:r>
      <w:r w:rsidRPr="0011294E">
        <w:rPr>
          <w:rFonts w:ascii="Times New Roman" w:hAnsi="Times New Roman"/>
          <w:i/>
          <w:iCs/>
          <w:sz w:val="24"/>
          <w:szCs w:val="24"/>
        </w:rPr>
        <w:t>" ...</w:t>
      </w:r>
      <w:r w:rsidRPr="0011294E">
        <w:rPr>
          <w:rFonts w:ascii="Times New Roman" w:hAnsi="Times New Roman"/>
          <w:bCs/>
          <w:i/>
          <w:iCs/>
          <w:sz w:val="24"/>
          <w:szCs w:val="24"/>
        </w:rPr>
        <w:t xml:space="preserve">in territorio Flávias </w:t>
      </w:r>
      <w:r w:rsidRPr="0011294E">
        <w:rPr>
          <w:rFonts w:ascii="Times New Roman" w:hAnsi="Times New Roman"/>
          <w:i/>
          <w:iCs/>
          <w:sz w:val="24"/>
          <w:szCs w:val="24"/>
        </w:rPr>
        <w:t xml:space="preserve">discurrente rivulo Tamice..." </w:t>
      </w:r>
      <w:r w:rsidRPr="0011294E">
        <w:rPr>
          <w:rFonts w:ascii="Times New Roman" w:hAnsi="Times New Roman"/>
          <w:sz w:val="24"/>
          <w:szCs w:val="24"/>
        </w:rPr>
        <w:t xml:space="preserve">. No final do documento é referido </w:t>
      </w:r>
      <w:r w:rsidRPr="0011294E">
        <w:rPr>
          <w:rFonts w:ascii="Times New Roman" w:hAnsi="Times New Roman"/>
          <w:i/>
          <w:iCs/>
          <w:sz w:val="24"/>
          <w:szCs w:val="24"/>
        </w:rPr>
        <w:t xml:space="preserve">"...regnante Adefonso rege in sede Legione. Qui illa terra imperavit Fernando Menendiz, et sagio </w:t>
      </w:r>
      <w:r w:rsidRPr="0011294E">
        <w:rPr>
          <w:rFonts w:ascii="Times New Roman" w:hAnsi="Times New Roman"/>
          <w:bCs/>
          <w:i/>
          <w:iCs/>
          <w:sz w:val="24"/>
          <w:szCs w:val="24"/>
        </w:rPr>
        <w:t>Rodrico Fernandiz in Flávias</w:t>
      </w:r>
      <w:r w:rsidRPr="0011294E">
        <w:rPr>
          <w:rFonts w:ascii="Times New Roman" w:hAnsi="Times New Roman"/>
          <w:i/>
          <w:iCs/>
          <w:sz w:val="24"/>
          <w:szCs w:val="24"/>
        </w:rPr>
        <w:t>"</w:t>
      </w:r>
      <w:r w:rsidRPr="0011294E">
        <w:rPr>
          <w:rStyle w:val="Refdenotaderodap"/>
          <w:rFonts w:ascii="Times New Roman" w:hAnsi="Times New Roman"/>
          <w:i/>
          <w:iCs/>
          <w:sz w:val="24"/>
          <w:szCs w:val="24"/>
        </w:rPr>
        <w:footnoteReference w:id="113"/>
      </w:r>
      <w:r w:rsidRPr="0011294E">
        <w:rPr>
          <w:rFonts w:ascii="Times New Roman" w:hAnsi="Times New Roman"/>
          <w:i/>
          <w:iCs/>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Em 1084, numa nova doação de bens situados em Sto. Estêvão volta a citar-se: </w:t>
      </w:r>
      <w:r w:rsidRPr="0011294E">
        <w:rPr>
          <w:rFonts w:ascii="Times New Roman" w:hAnsi="Times New Roman"/>
          <w:i/>
          <w:iCs/>
          <w:sz w:val="24"/>
          <w:szCs w:val="24"/>
        </w:rPr>
        <w:t xml:space="preserve">"...in </w:t>
      </w:r>
      <w:r w:rsidRPr="0011294E">
        <w:rPr>
          <w:rFonts w:ascii="Times New Roman" w:hAnsi="Times New Roman"/>
          <w:bCs/>
          <w:i/>
          <w:iCs/>
          <w:sz w:val="24"/>
          <w:szCs w:val="24"/>
        </w:rPr>
        <w:t xml:space="preserve">territorio Flávias </w:t>
      </w:r>
      <w:r w:rsidRPr="0011294E">
        <w:rPr>
          <w:rFonts w:ascii="Times New Roman" w:hAnsi="Times New Roman"/>
          <w:i/>
          <w:iCs/>
          <w:sz w:val="24"/>
          <w:szCs w:val="24"/>
        </w:rPr>
        <w:t>discurrente flu[v]ius Tamice..."</w:t>
      </w:r>
      <w:r w:rsidRPr="0011294E">
        <w:rPr>
          <w:rFonts w:ascii="Times New Roman" w:hAnsi="Times New Roman"/>
          <w:sz w:val="24"/>
          <w:szCs w:val="24"/>
        </w:rPr>
        <w:t xml:space="preserve">, e </w:t>
      </w:r>
      <w:r w:rsidRPr="0011294E">
        <w:rPr>
          <w:rFonts w:ascii="Times New Roman" w:hAnsi="Times New Roman"/>
          <w:i/>
          <w:iCs/>
          <w:sz w:val="24"/>
          <w:szCs w:val="24"/>
        </w:rPr>
        <w:t xml:space="preserve">"...regnante illustrissimo rege Adefonso in Legionense, </w:t>
      </w:r>
      <w:r w:rsidRPr="0011294E">
        <w:rPr>
          <w:rFonts w:ascii="Times New Roman" w:hAnsi="Times New Roman"/>
          <w:bCs/>
          <w:i/>
          <w:iCs/>
          <w:sz w:val="24"/>
          <w:szCs w:val="24"/>
        </w:rPr>
        <w:t xml:space="preserve">mandante Flávias comes Rodrigo Velasce </w:t>
      </w:r>
      <w:r w:rsidRPr="0011294E">
        <w:rPr>
          <w:rFonts w:ascii="Times New Roman" w:hAnsi="Times New Roman"/>
          <w:i/>
          <w:iCs/>
          <w:sz w:val="24"/>
          <w:szCs w:val="24"/>
        </w:rPr>
        <w:t>et eius vicarius"</w:t>
      </w:r>
      <w:r w:rsidRPr="0011294E">
        <w:rPr>
          <w:rStyle w:val="Refdenotaderodap"/>
          <w:rFonts w:ascii="Times New Roman" w:hAnsi="Times New Roman"/>
          <w:i/>
          <w:iCs/>
          <w:sz w:val="24"/>
          <w:szCs w:val="24"/>
        </w:rPr>
        <w:footnoteReference w:id="114"/>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i/>
          <w:iCs/>
          <w:sz w:val="24"/>
          <w:szCs w:val="24"/>
        </w:rPr>
      </w:pPr>
      <w:r w:rsidRPr="0011294E">
        <w:rPr>
          <w:rFonts w:ascii="Times New Roman" w:hAnsi="Times New Roman"/>
          <w:sz w:val="24"/>
          <w:szCs w:val="24"/>
        </w:rPr>
        <w:t xml:space="preserve">Em 1086 encontramos de novo: </w:t>
      </w:r>
      <w:r w:rsidRPr="0011294E">
        <w:rPr>
          <w:rFonts w:ascii="Times New Roman" w:hAnsi="Times New Roman"/>
          <w:i/>
          <w:iCs/>
          <w:sz w:val="24"/>
          <w:szCs w:val="24"/>
        </w:rPr>
        <w:t>"...</w:t>
      </w:r>
      <w:r w:rsidRPr="0011294E">
        <w:rPr>
          <w:rFonts w:ascii="Times New Roman" w:hAnsi="Times New Roman"/>
          <w:bCs/>
          <w:i/>
          <w:iCs/>
          <w:sz w:val="24"/>
          <w:szCs w:val="24"/>
        </w:rPr>
        <w:t xml:space="preserve">territorio Flabias </w:t>
      </w:r>
      <w:r w:rsidRPr="0011294E">
        <w:rPr>
          <w:rFonts w:ascii="Times New Roman" w:hAnsi="Times New Roman"/>
          <w:i/>
          <w:iCs/>
          <w:sz w:val="24"/>
          <w:szCs w:val="24"/>
        </w:rPr>
        <w:t xml:space="preserve">subtus mons Batoccas discurrente flumen Tamice in villa quod vocitant Sancti Stephani..." </w:t>
      </w:r>
      <w:r w:rsidRPr="0011294E">
        <w:rPr>
          <w:rFonts w:ascii="Times New Roman" w:hAnsi="Times New Roman"/>
          <w:sz w:val="24"/>
          <w:szCs w:val="24"/>
        </w:rPr>
        <w:t xml:space="preserve">e no formulário final </w:t>
      </w:r>
      <w:r w:rsidRPr="0011294E">
        <w:rPr>
          <w:rFonts w:ascii="Times New Roman" w:hAnsi="Times New Roman"/>
          <w:i/>
          <w:iCs/>
          <w:sz w:val="24"/>
          <w:szCs w:val="24"/>
        </w:rPr>
        <w:t xml:space="preserve">"...Regnante rege Adefonso in Toleto, </w:t>
      </w:r>
      <w:r w:rsidRPr="0011294E">
        <w:rPr>
          <w:rFonts w:ascii="Times New Roman" w:hAnsi="Times New Roman"/>
          <w:bCs/>
          <w:i/>
          <w:iCs/>
          <w:sz w:val="24"/>
          <w:szCs w:val="24"/>
        </w:rPr>
        <w:t xml:space="preserve">mandante Flávias </w:t>
      </w:r>
      <w:r w:rsidRPr="0011294E">
        <w:rPr>
          <w:rFonts w:ascii="Times New Roman" w:hAnsi="Times New Roman"/>
          <w:i/>
          <w:iCs/>
          <w:sz w:val="24"/>
          <w:szCs w:val="24"/>
        </w:rPr>
        <w:t>Fernando Menendiz et eius vigario Roderigo Fernandi"</w:t>
      </w:r>
      <w:r w:rsidRPr="0011294E">
        <w:rPr>
          <w:rStyle w:val="Refdenotaderodap"/>
          <w:rFonts w:ascii="Times New Roman" w:hAnsi="Times New Roman"/>
          <w:i/>
          <w:iCs/>
          <w:sz w:val="24"/>
          <w:szCs w:val="24"/>
        </w:rPr>
        <w:footnoteReference w:id="115"/>
      </w:r>
      <w:r w:rsidRPr="0011294E">
        <w:rPr>
          <w:rFonts w:ascii="Times New Roman" w:hAnsi="Times New Roman"/>
          <w:i/>
          <w:iCs/>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iCs/>
          <w:sz w:val="24"/>
          <w:szCs w:val="24"/>
        </w:rPr>
        <w:lastRenderedPageBreak/>
        <w:t xml:space="preserve">Esta ação desenvolvida pelo </w:t>
      </w:r>
      <w:r w:rsidRPr="0011294E">
        <w:rPr>
          <w:rFonts w:ascii="Times New Roman" w:hAnsi="Times New Roman"/>
          <w:sz w:val="24"/>
          <w:szCs w:val="24"/>
        </w:rPr>
        <w:t xml:space="preserve">conde Odoário evidencia uma preocupação de ordem administrativa que consistiu em promover e enquadrar as populações distribuídas pelos diversos tipos de habitats, atribuindo-lhes estatutos e limites. Além da referência aos </w:t>
      </w:r>
      <w:r w:rsidRPr="0011294E">
        <w:rPr>
          <w:rFonts w:ascii="Times New Roman" w:hAnsi="Times New Roman"/>
          <w:i/>
          <w:iCs/>
          <w:sz w:val="24"/>
          <w:szCs w:val="24"/>
        </w:rPr>
        <w:t>vici</w:t>
      </w:r>
      <w:r w:rsidRPr="0011294E">
        <w:rPr>
          <w:rFonts w:ascii="Times New Roman" w:hAnsi="Times New Roman"/>
          <w:sz w:val="24"/>
          <w:szCs w:val="24"/>
        </w:rPr>
        <w:t xml:space="preserve">, </w:t>
      </w:r>
      <w:r w:rsidRPr="0011294E">
        <w:rPr>
          <w:rFonts w:ascii="Times New Roman" w:hAnsi="Times New Roman"/>
          <w:i/>
          <w:iCs/>
          <w:sz w:val="24"/>
          <w:szCs w:val="24"/>
        </w:rPr>
        <w:t xml:space="preserve">civitates </w:t>
      </w:r>
      <w:r w:rsidRPr="0011294E">
        <w:rPr>
          <w:rFonts w:ascii="Times New Roman" w:hAnsi="Times New Roman"/>
          <w:sz w:val="24"/>
          <w:szCs w:val="24"/>
        </w:rPr>
        <w:t xml:space="preserve">e </w:t>
      </w:r>
      <w:r w:rsidRPr="0011294E">
        <w:rPr>
          <w:rFonts w:ascii="Times New Roman" w:hAnsi="Times New Roman"/>
          <w:i/>
          <w:iCs/>
          <w:sz w:val="24"/>
          <w:szCs w:val="24"/>
        </w:rPr>
        <w:t>villae</w:t>
      </w:r>
      <w:r w:rsidRPr="0011294E">
        <w:rPr>
          <w:rFonts w:ascii="Times New Roman" w:hAnsi="Times New Roman"/>
          <w:sz w:val="24"/>
          <w:szCs w:val="24"/>
        </w:rPr>
        <w:t xml:space="preserve">, importa-nos referir o habitat designado por </w:t>
      </w:r>
      <w:r w:rsidRPr="0011294E">
        <w:rPr>
          <w:rFonts w:ascii="Times New Roman" w:hAnsi="Times New Roman"/>
          <w:i/>
          <w:iCs/>
          <w:sz w:val="24"/>
          <w:szCs w:val="24"/>
        </w:rPr>
        <w:t>castella</w:t>
      </w:r>
      <w:r w:rsidRPr="0011294E">
        <w:rPr>
          <w:rFonts w:ascii="Times New Roman" w:hAnsi="Times New Roman"/>
          <w:sz w:val="24"/>
          <w:szCs w:val="24"/>
        </w:rPr>
        <w:t>. É provável que nesta categoria se inscrevessem também alguns dos antigos castros com ocupação tardo-romana e suevo-visigoda que, ou nunca chegaram a ser totalmente abandonados ou conheceram uma reocupação mais intensa neste período de insegurança</w:t>
      </w:r>
      <w:r w:rsidRPr="0011294E">
        <w:rPr>
          <w:rStyle w:val="Refdenotaderodap"/>
          <w:rFonts w:ascii="Times New Roman" w:hAnsi="Times New Roman"/>
          <w:sz w:val="24"/>
          <w:szCs w:val="24"/>
        </w:rPr>
        <w:footnoteReference w:id="116"/>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Na segunda metade do Séc. XI a autoridade asturo-leonesa foi de certa forma restabelecida o que permitiu uma nova etapa da expansão cristã, com as campanhas de Fernando, o Magno, a fazerem deslocar novamente a fronteira para Sul, levando à ocupação definitiva de Lamego, Viseu e Coimbra. Assistiu-se também a importantes transformações sociais, traduzidas na ascensão de determinados elementos da nobreza local, e a mudanças administrativas e militares. A antiga organização territorial baseada nas </w:t>
      </w:r>
      <w:r w:rsidRPr="0011294E">
        <w:rPr>
          <w:rFonts w:ascii="Times New Roman" w:hAnsi="Times New Roman"/>
          <w:i/>
          <w:iCs/>
          <w:sz w:val="24"/>
          <w:szCs w:val="24"/>
        </w:rPr>
        <w:t xml:space="preserve">civitates </w:t>
      </w:r>
      <w:r w:rsidRPr="0011294E">
        <w:rPr>
          <w:rFonts w:ascii="Times New Roman" w:hAnsi="Times New Roman"/>
          <w:sz w:val="24"/>
          <w:szCs w:val="24"/>
        </w:rPr>
        <w:t xml:space="preserve">foi progressivamente dando lugar a unidades administrativas de menor extensão, as </w:t>
      </w:r>
      <w:r w:rsidRPr="0011294E">
        <w:rPr>
          <w:rFonts w:ascii="Times New Roman" w:hAnsi="Times New Roman"/>
          <w:i/>
          <w:iCs/>
          <w:sz w:val="24"/>
          <w:szCs w:val="24"/>
        </w:rPr>
        <w:t>Terras</w:t>
      </w:r>
      <w:r w:rsidRPr="0011294E">
        <w:rPr>
          <w:rFonts w:ascii="Times New Roman" w:hAnsi="Times New Roman"/>
          <w:iCs/>
          <w:sz w:val="24"/>
          <w:szCs w:val="24"/>
        </w:rPr>
        <w:t xml:space="preserve">, </w:t>
      </w:r>
      <w:r w:rsidRPr="0011294E">
        <w:rPr>
          <w:rFonts w:ascii="Times New Roman" w:hAnsi="Times New Roman"/>
          <w:sz w:val="24"/>
          <w:szCs w:val="24"/>
        </w:rPr>
        <w:t xml:space="preserve">capitaneadas por um castelo, melhor adaptadas às novas condições geo-estratégicas da “Reconquista” e às transformações sociais entretanto registadas. O processo não foi imediato e deu certamente lugar à competição entre castelos, alguns conseguindo ascender a cabeça de </w:t>
      </w:r>
      <w:r w:rsidRPr="0011294E">
        <w:rPr>
          <w:rFonts w:ascii="Times New Roman" w:hAnsi="Times New Roman"/>
          <w:i/>
          <w:iCs/>
          <w:sz w:val="24"/>
          <w:szCs w:val="24"/>
        </w:rPr>
        <w:t>Terra</w:t>
      </w:r>
      <w:r w:rsidRPr="0011294E">
        <w:rPr>
          <w:rFonts w:ascii="Times New Roman" w:hAnsi="Times New Roman"/>
          <w:sz w:val="24"/>
          <w:szCs w:val="24"/>
        </w:rPr>
        <w:t>, enquanto outros entraram definitivamente em declínio, acabando mesmo por desaparecer</w:t>
      </w:r>
      <w:r w:rsidRPr="0011294E">
        <w:rPr>
          <w:rStyle w:val="Refdenotaderodap"/>
          <w:rFonts w:ascii="Times New Roman" w:hAnsi="Times New Roman"/>
          <w:sz w:val="24"/>
          <w:szCs w:val="24"/>
        </w:rPr>
        <w:footnoteReference w:id="117"/>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Estas transformações traduziram-se numa consolidação do regime senhorial pelo qual os detentores de castelos e </w:t>
      </w:r>
      <w:r w:rsidRPr="0011294E">
        <w:rPr>
          <w:rFonts w:ascii="Times New Roman" w:hAnsi="Times New Roman"/>
          <w:i/>
          <w:iCs/>
          <w:sz w:val="24"/>
          <w:szCs w:val="24"/>
        </w:rPr>
        <w:t>Terras</w:t>
      </w:r>
      <w:r w:rsidRPr="0011294E">
        <w:rPr>
          <w:rFonts w:ascii="Times New Roman" w:hAnsi="Times New Roman"/>
          <w:sz w:val="24"/>
          <w:szCs w:val="24"/>
        </w:rPr>
        <w:t>, designados “tenentes”, passaram a exercer uma autoridade sancionada pelo próprio rei. Estas mudanças representam também o definitivo declínio das antigas famílias condais e a emergência dos infanções que passaram a exercer funções fiscais, judiciais e militares nos territórios que controlavam</w:t>
      </w:r>
      <w:r w:rsidRPr="0011294E">
        <w:rPr>
          <w:rStyle w:val="Refdenotaderodap"/>
          <w:rFonts w:ascii="Times New Roman" w:hAnsi="Times New Roman"/>
          <w:sz w:val="24"/>
          <w:szCs w:val="24"/>
        </w:rPr>
        <w:footnoteReference w:id="118"/>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Não dispomos de séries documentais tão completas para esta zona do território como as que permitem conhecer com certo detalhe o processo de desagregação da </w:t>
      </w:r>
      <w:r w:rsidRPr="0011294E">
        <w:rPr>
          <w:rFonts w:ascii="Times New Roman" w:hAnsi="Times New Roman"/>
          <w:i/>
          <w:iCs/>
          <w:sz w:val="24"/>
          <w:szCs w:val="24"/>
        </w:rPr>
        <w:t xml:space="preserve">civitas </w:t>
      </w:r>
      <w:r w:rsidRPr="0011294E">
        <w:rPr>
          <w:rFonts w:ascii="Times New Roman" w:hAnsi="Times New Roman"/>
          <w:sz w:val="24"/>
          <w:szCs w:val="24"/>
        </w:rPr>
        <w:t xml:space="preserve">Anégia e a formação de várias </w:t>
      </w:r>
      <w:r w:rsidRPr="0011294E">
        <w:rPr>
          <w:rFonts w:ascii="Times New Roman" w:hAnsi="Times New Roman"/>
          <w:i/>
          <w:iCs/>
          <w:sz w:val="24"/>
          <w:szCs w:val="24"/>
        </w:rPr>
        <w:t>Terras</w:t>
      </w:r>
      <w:r w:rsidRPr="0011294E">
        <w:rPr>
          <w:rFonts w:ascii="Times New Roman" w:hAnsi="Times New Roman"/>
          <w:sz w:val="24"/>
          <w:szCs w:val="24"/>
        </w:rPr>
        <w:t xml:space="preserve">, ao longo da segunda metade do Séc. XI. </w:t>
      </w:r>
      <w:r w:rsidRPr="0011294E">
        <w:rPr>
          <w:rFonts w:ascii="Times New Roman" w:hAnsi="Times New Roman"/>
          <w:sz w:val="24"/>
          <w:szCs w:val="24"/>
        </w:rPr>
        <w:lastRenderedPageBreak/>
        <w:t xml:space="preserve">Contudo, os elementos que possuímos sobre a </w:t>
      </w:r>
      <w:r w:rsidRPr="0011294E">
        <w:rPr>
          <w:rFonts w:ascii="Times New Roman" w:hAnsi="Times New Roman"/>
          <w:i/>
          <w:sz w:val="24"/>
          <w:szCs w:val="24"/>
        </w:rPr>
        <w:t xml:space="preserve">civitas Flavias </w:t>
      </w:r>
      <w:r w:rsidRPr="0011294E">
        <w:rPr>
          <w:rFonts w:ascii="Times New Roman" w:hAnsi="Times New Roman"/>
          <w:sz w:val="24"/>
          <w:szCs w:val="24"/>
        </w:rPr>
        <w:t xml:space="preserve">permitem que se aponte para um processo semelhante à da região do vale médio do Douro. Ao longo do Séc. XI e sobretudo do Séc. XII, em que o número de diplomas aumenta, multiplicam-se </w:t>
      </w:r>
      <w:r w:rsidR="009D2BEB" w:rsidRPr="0011294E">
        <w:rPr>
          <w:rFonts w:ascii="Times New Roman" w:hAnsi="Times New Roman"/>
          <w:sz w:val="24"/>
          <w:szCs w:val="24"/>
        </w:rPr>
        <w:t>as</w:t>
      </w:r>
      <w:r w:rsidR="009D2BEB">
        <w:rPr>
          <w:rFonts w:ascii="Times New Roman" w:hAnsi="Times New Roman"/>
          <w:sz w:val="24"/>
          <w:szCs w:val="24"/>
        </w:rPr>
        <w:t xml:space="preserve"> </w:t>
      </w:r>
      <w:r w:rsidR="009D2BEB" w:rsidRPr="0011294E">
        <w:rPr>
          <w:rFonts w:ascii="Times New Roman" w:hAnsi="Times New Roman"/>
          <w:sz w:val="24"/>
          <w:szCs w:val="24"/>
        </w:rPr>
        <w:t>referências</w:t>
      </w:r>
      <w:r w:rsidRPr="0011294E">
        <w:rPr>
          <w:rFonts w:ascii="Times New Roman" w:hAnsi="Times New Roman"/>
          <w:sz w:val="24"/>
          <w:szCs w:val="24"/>
        </w:rPr>
        <w:t xml:space="preserve"> que permitem identificar um número significativo de </w:t>
      </w:r>
      <w:r w:rsidRPr="0011294E">
        <w:rPr>
          <w:rFonts w:ascii="Times New Roman" w:hAnsi="Times New Roman"/>
          <w:i/>
          <w:iCs/>
          <w:sz w:val="24"/>
          <w:szCs w:val="24"/>
        </w:rPr>
        <w:t xml:space="preserve">Terras </w:t>
      </w:r>
      <w:r w:rsidRPr="0011294E">
        <w:rPr>
          <w:rFonts w:ascii="Times New Roman" w:hAnsi="Times New Roman"/>
          <w:sz w:val="24"/>
          <w:szCs w:val="24"/>
        </w:rPr>
        <w:t>que</w:t>
      </w:r>
      <w:r w:rsidR="009D2BEB">
        <w:rPr>
          <w:rFonts w:ascii="Times New Roman" w:hAnsi="Times New Roman"/>
          <w:sz w:val="24"/>
          <w:szCs w:val="24"/>
        </w:rPr>
        <w:t xml:space="preserve"> </w:t>
      </w:r>
      <w:r w:rsidRPr="0011294E">
        <w:rPr>
          <w:rFonts w:ascii="Times New Roman" w:hAnsi="Times New Roman"/>
          <w:sz w:val="24"/>
          <w:szCs w:val="24"/>
        </w:rPr>
        <w:t xml:space="preserve">substituem a anterior organização estruturada em </w:t>
      </w:r>
      <w:r w:rsidRPr="0011294E">
        <w:rPr>
          <w:rFonts w:ascii="Times New Roman" w:hAnsi="Times New Roman"/>
          <w:i/>
          <w:iCs/>
          <w:sz w:val="24"/>
          <w:szCs w:val="24"/>
        </w:rPr>
        <w:t>civitates</w:t>
      </w:r>
      <w:r w:rsidRPr="0011294E">
        <w:rPr>
          <w:rStyle w:val="Refdenotaderodap"/>
          <w:rFonts w:ascii="Times New Roman" w:hAnsi="Times New Roman"/>
          <w:i/>
          <w:iCs/>
          <w:sz w:val="24"/>
          <w:szCs w:val="24"/>
        </w:rPr>
        <w:footnoteReference w:id="119"/>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Na zona do Alto-Tâmega, em volta de Chaves, assinalam-se </w:t>
      </w:r>
      <w:r w:rsidRPr="0011294E">
        <w:rPr>
          <w:rFonts w:ascii="Times New Roman" w:hAnsi="Times New Roman"/>
          <w:i/>
          <w:sz w:val="24"/>
          <w:szCs w:val="24"/>
        </w:rPr>
        <w:t>Baronceli</w:t>
      </w:r>
      <w:r w:rsidRPr="0011294E">
        <w:rPr>
          <w:rFonts w:ascii="Times New Roman" w:hAnsi="Times New Roman"/>
          <w:sz w:val="24"/>
          <w:szCs w:val="24"/>
        </w:rPr>
        <w:t xml:space="preserve">, Montenegro, Rio Livre e Santo Estêvão de Chaves. Cada uma destas unidades territoriais era comandada por um castelo, cabeça militar da respetiva </w:t>
      </w:r>
      <w:r w:rsidRPr="0011294E">
        <w:rPr>
          <w:rFonts w:ascii="Times New Roman" w:hAnsi="Times New Roman"/>
          <w:i/>
          <w:iCs/>
          <w:sz w:val="24"/>
          <w:szCs w:val="24"/>
        </w:rPr>
        <w:t>Terra</w:t>
      </w:r>
      <w:r w:rsidRPr="0011294E">
        <w:rPr>
          <w:rFonts w:ascii="Times New Roman" w:hAnsi="Times New Roman"/>
          <w:sz w:val="24"/>
          <w:szCs w:val="24"/>
        </w:rPr>
        <w:t xml:space="preserve">, embora frequentemente apoiado em torres e fortificações secundárias que ajudavam no controlo do território. No governo destas </w:t>
      </w:r>
      <w:r w:rsidRPr="0011294E">
        <w:rPr>
          <w:rFonts w:ascii="Times New Roman" w:hAnsi="Times New Roman"/>
          <w:i/>
          <w:iCs/>
          <w:sz w:val="24"/>
          <w:szCs w:val="24"/>
        </w:rPr>
        <w:t xml:space="preserve">Terras </w:t>
      </w:r>
      <w:r w:rsidRPr="0011294E">
        <w:rPr>
          <w:rFonts w:ascii="Times New Roman" w:hAnsi="Times New Roman"/>
          <w:sz w:val="24"/>
          <w:szCs w:val="24"/>
        </w:rPr>
        <w:t>e na tenência dos respetivos castelos vamos encontrar alguns dos mais destacados membros das principais linhagens do Séc. XII. Pela sua ação, a região do Douro converte-se numa importante extensão ou mesmo no palco nuclear dos seus poderes senhoriais associados ao patrocínio dos principais institutos monásticos da região, onde estas famílias constituem também um vasto património fundiário</w:t>
      </w:r>
      <w:r w:rsidRPr="0011294E">
        <w:rPr>
          <w:rStyle w:val="Refdenotaderodap"/>
          <w:rFonts w:ascii="Times New Roman" w:hAnsi="Times New Roman"/>
          <w:sz w:val="24"/>
          <w:szCs w:val="24"/>
        </w:rPr>
        <w:footnoteReference w:id="120"/>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iCs/>
          <w:sz w:val="24"/>
          <w:szCs w:val="24"/>
        </w:rPr>
      </w:pPr>
      <w:r w:rsidRPr="0011294E">
        <w:rPr>
          <w:rFonts w:ascii="Times New Roman" w:hAnsi="Times New Roman"/>
          <w:iCs/>
          <w:sz w:val="24"/>
          <w:szCs w:val="24"/>
        </w:rPr>
        <w:t>Após a fase de afirmação dos poderes senhoriais das principais linhagens, fortemente ligada ao controlo e posse de castelos, assistiu-se, entre a segunda metade do Séc. XIII e os primeiros anos da centúria seguinte, a um vasto processo de reorganização territorial que deu origem à promoção de uma nova forma de habitat concentrado e fortificado, a vila, investida por iniciativa régia de funções de capitalidade sobre um território mais ou menos vasto, o respetivo termo.</w:t>
      </w:r>
    </w:p>
    <w:p w:rsidR="0011294E" w:rsidRPr="0011294E" w:rsidRDefault="0011294E" w:rsidP="0011294E">
      <w:pPr>
        <w:spacing w:line="360" w:lineRule="auto"/>
        <w:ind w:firstLine="624"/>
        <w:jc w:val="both"/>
        <w:rPr>
          <w:rFonts w:ascii="Times New Roman" w:hAnsi="Times New Roman"/>
          <w:iCs/>
          <w:sz w:val="24"/>
          <w:szCs w:val="24"/>
        </w:rPr>
      </w:pPr>
      <w:r w:rsidRPr="0011294E">
        <w:rPr>
          <w:rFonts w:ascii="Times New Roman" w:hAnsi="Times New Roman"/>
          <w:sz w:val="24"/>
          <w:szCs w:val="24"/>
        </w:rPr>
        <w:t>Na região do Alto-Tâmega, onde se consolida a constituição da fronteira norte do Reino, afirmam-se dois centros importantes que irão polarizar a organização dos territórios baixo-medievais: as vilas fortificadas de Chaves e de Monforte de Rio Livre</w:t>
      </w:r>
      <w:r w:rsidRPr="0011294E">
        <w:rPr>
          <w:rStyle w:val="Refdenotaderodap"/>
          <w:rFonts w:ascii="Times New Roman" w:hAnsi="Times New Roman"/>
          <w:sz w:val="24"/>
          <w:szCs w:val="24"/>
        </w:rPr>
        <w:footnoteReference w:id="121"/>
      </w:r>
      <w:r w:rsidRPr="0011294E">
        <w:rPr>
          <w:rFonts w:ascii="Times New Roman" w:hAnsi="Times New Roman"/>
          <w:sz w:val="24"/>
          <w:szCs w:val="24"/>
        </w:rPr>
        <w:t xml:space="preserve">. Esta encontrava-se já perfeitamente estabelecida em 1273. Em relação à vila de Chaves podemos referir que existiu uma tentativa de constituição de uma Póvoa de Santo </w:t>
      </w:r>
      <w:r w:rsidRPr="0011294E">
        <w:rPr>
          <w:rFonts w:ascii="Times New Roman" w:hAnsi="Times New Roman"/>
          <w:iCs/>
          <w:sz w:val="24"/>
          <w:szCs w:val="24"/>
        </w:rPr>
        <w:t xml:space="preserve">Estêvão de Chaves cujos vestígios julgamos ter identificado numa área situada entre o Castelo de Santo Estêvão de Chaves e a atual cidade. No entanto, esta tentativa </w:t>
      </w:r>
      <w:r w:rsidRPr="0011294E">
        <w:rPr>
          <w:rFonts w:ascii="Times New Roman" w:hAnsi="Times New Roman"/>
          <w:iCs/>
          <w:sz w:val="24"/>
          <w:szCs w:val="24"/>
        </w:rPr>
        <w:lastRenderedPageBreak/>
        <w:t xml:space="preserve">revelou-se efémera e em 1258 a vila de Chaves aparece já em coincidência topográfica com a antiga </w:t>
      </w:r>
      <w:r w:rsidRPr="0011294E">
        <w:rPr>
          <w:rFonts w:ascii="Times New Roman" w:hAnsi="Times New Roman"/>
          <w:i/>
          <w:iCs/>
          <w:sz w:val="24"/>
          <w:szCs w:val="24"/>
        </w:rPr>
        <w:t>Aquae Flaviae</w:t>
      </w:r>
      <w:r w:rsidRPr="0011294E">
        <w:rPr>
          <w:rStyle w:val="Refdenotaderodap"/>
          <w:rFonts w:ascii="Times New Roman" w:hAnsi="Times New Roman"/>
          <w:iCs/>
          <w:sz w:val="24"/>
          <w:szCs w:val="24"/>
        </w:rPr>
        <w:footnoteReference w:id="122"/>
      </w:r>
      <w:r w:rsidRPr="0011294E">
        <w:rPr>
          <w:rFonts w:ascii="Times New Roman" w:hAnsi="Times New Roman"/>
          <w:iCs/>
          <w:sz w:val="24"/>
          <w:szCs w:val="24"/>
        </w:rPr>
        <w:t>.</w:t>
      </w:r>
    </w:p>
    <w:p w:rsidR="0011294E" w:rsidRPr="0011294E" w:rsidRDefault="0011294E" w:rsidP="003B23C4">
      <w:pPr>
        <w:spacing w:line="360" w:lineRule="auto"/>
        <w:jc w:val="both"/>
        <w:rPr>
          <w:rFonts w:ascii="Times New Roman" w:hAnsi="Times New Roman"/>
          <w:b/>
          <w:sz w:val="24"/>
          <w:szCs w:val="24"/>
        </w:rPr>
      </w:pPr>
    </w:p>
    <w:p w:rsidR="0011294E" w:rsidRPr="00FB5448" w:rsidRDefault="0011294E" w:rsidP="0011294E">
      <w:pPr>
        <w:pStyle w:val="Ttulo2"/>
        <w:rPr>
          <w:rFonts w:ascii="Times New Roman" w:hAnsi="Times New Roman" w:cs="Times New Roman"/>
          <w:sz w:val="32"/>
          <w:szCs w:val="32"/>
        </w:rPr>
      </w:pPr>
      <w:bookmarkStart w:id="12" w:name="_Toc430358528"/>
      <w:bookmarkStart w:id="13" w:name="_Toc441612271"/>
      <w:r w:rsidRPr="00FB5448">
        <w:rPr>
          <w:rFonts w:ascii="Times New Roman" w:hAnsi="Times New Roman" w:cs="Times New Roman"/>
          <w:sz w:val="32"/>
          <w:szCs w:val="32"/>
        </w:rPr>
        <w:t>3. Monforte de Rio Livre na Idade Média</w:t>
      </w:r>
      <w:bookmarkEnd w:id="12"/>
      <w:bookmarkEnd w:id="13"/>
      <w:r w:rsidRPr="00FB5448">
        <w:rPr>
          <w:rFonts w:ascii="Times New Roman" w:hAnsi="Times New Roman" w:cs="Times New Roman"/>
          <w:sz w:val="32"/>
          <w:szCs w:val="32"/>
        </w:rPr>
        <w:t xml:space="preserve"> </w:t>
      </w:r>
    </w:p>
    <w:p w:rsidR="0011294E" w:rsidRPr="0011294E" w:rsidRDefault="0011294E" w:rsidP="0011294E">
      <w:pPr>
        <w:pStyle w:val="Ttulo2"/>
        <w:rPr>
          <w:rFonts w:ascii="Times New Roman" w:hAnsi="Times New Roman" w:cs="Times New Roman"/>
          <w:sz w:val="24"/>
          <w:szCs w:val="24"/>
        </w:rPr>
      </w:pPr>
      <w:bookmarkStart w:id="14" w:name="_Toc430358529"/>
      <w:bookmarkStart w:id="15" w:name="_Toc441612272"/>
      <w:r w:rsidRPr="0011294E">
        <w:rPr>
          <w:rFonts w:ascii="Times New Roman" w:hAnsi="Times New Roman" w:cs="Times New Roman"/>
          <w:sz w:val="24"/>
          <w:szCs w:val="24"/>
        </w:rPr>
        <w:t>3.1. Primeira Referências documentais</w:t>
      </w:r>
      <w:bookmarkEnd w:id="14"/>
      <w:bookmarkEnd w:id="15"/>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Já observamos nos capítulos anteriores as características naturais e os antecedentes de ocupação medieval para a zona de estudo, nomeadamente, os concelhos de Chaves e Valpaços, concelhos onde se inserem as antigas freguesias e termos de Monforte de Rio Livre. Neste capítulo iremos abordar as primeiras referências documentais e arqueológicas relacionando-as com o aparecimento das </w:t>
      </w:r>
      <w:r w:rsidRPr="0011294E">
        <w:rPr>
          <w:rFonts w:ascii="Times New Roman" w:hAnsi="Times New Roman"/>
          <w:i/>
          <w:sz w:val="24"/>
          <w:szCs w:val="24"/>
        </w:rPr>
        <w:t>civitates</w:t>
      </w:r>
      <w:r w:rsidRPr="0011294E">
        <w:rPr>
          <w:rFonts w:ascii="Times New Roman" w:hAnsi="Times New Roman"/>
          <w:sz w:val="24"/>
          <w:szCs w:val="24"/>
        </w:rPr>
        <w:t xml:space="preserve"> e das </w:t>
      </w:r>
      <w:r w:rsidRPr="0011294E">
        <w:rPr>
          <w:rFonts w:ascii="Times New Roman" w:hAnsi="Times New Roman"/>
          <w:i/>
          <w:sz w:val="24"/>
          <w:szCs w:val="24"/>
        </w:rPr>
        <w:t>terras</w:t>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mais antiga referência documental alusiva a Monforte de Rio Livre data do século XI, mais concretamente a 25 de Agosto de 1072. Trata-se do testamento de Martinho </w:t>
      </w:r>
      <w:r w:rsidRPr="0011294E">
        <w:rPr>
          <w:rFonts w:ascii="Times New Roman" w:hAnsi="Times New Roman"/>
          <w:i/>
          <w:sz w:val="24"/>
          <w:szCs w:val="24"/>
        </w:rPr>
        <w:t>Zarraquiz</w:t>
      </w:r>
      <w:r w:rsidRPr="0011294E">
        <w:rPr>
          <w:rFonts w:ascii="Times New Roman" w:hAnsi="Times New Roman"/>
          <w:sz w:val="24"/>
          <w:szCs w:val="24"/>
        </w:rPr>
        <w:t xml:space="preserve">no qual faz a doação dos bens que possuí em Chaves ao Presbítero Fernando Pais, com obrigação de testar no Mosteiro de Santo Estêvão. Neste documento o local onde se encontra o território de Monforte de Rio Livre é denominado de Batocas, designadamente </w:t>
      </w:r>
      <w:r w:rsidRPr="0011294E">
        <w:rPr>
          <w:rFonts w:ascii="Times New Roman" w:hAnsi="Times New Roman"/>
          <w:i/>
          <w:sz w:val="24"/>
          <w:szCs w:val="24"/>
        </w:rPr>
        <w:t xml:space="preserve">in territorio Flaviensis discurrente rivulo Tamica determinantibus per illa fontanela de Felzes et ferit in Tamicam et per illum soveredum et per mediatorio de Marius et per Aquas Frigidas et venit ad </w:t>
      </w:r>
      <w:r w:rsidRPr="0011294E">
        <w:rPr>
          <w:rFonts w:ascii="Times New Roman" w:hAnsi="Times New Roman"/>
          <w:b/>
          <w:i/>
          <w:sz w:val="24"/>
          <w:szCs w:val="24"/>
        </w:rPr>
        <w:t>civitatem de Batocas</w:t>
      </w:r>
      <w:r w:rsidRPr="0011294E">
        <w:rPr>
          <w:rStyle w:val="Refdenotaderodap"/>
          <w:rFonts w:ascii="Times New Roman" w:hAnsi="Times New Roman"/>
          <w:sz w:val="24"/>
          <w:szCs w:val="24"/>
        </w:rPr>
        <w:footnoteReference w:id="123"/>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Num outro documento do </w:t>
      </w:r>
      <w:r w:rsidRPr="0011294E">
        <w:rPr>
          <w:rFonts w:ascii="Times New Roman" w:hAnsi="Times New Roman"/>
          <w:i/>
          <w:sz w:val="24"/>
          <w:szCs w:val="24"/>
        </w:rPr>
        <w:t>Liber Fidei</w:t>
      </w:r>
      <w:r w:rsidR="009D2BEB">
        <w:rPr>
          <w:rFonts w:ascii="Times New Roman" w:hAnsi="Times New Roman"/>
          <w:i/>
          <w:sz w:val="24"/>
          <w:szCs w:val="24"/>
        </w:rPr>
        <w:t xml:space="preserve"> </w:t>
      </w:r>
      <w:r w:rsidRPr="0011294E">
        <w:rPr>
          <w:rFonts w:ascii="Times New Roman" w:hAnsi="Times New Roman"/>
          <w:sz w:val="24"/>
          <w:szCs w:val="24"/>
        </w:rPr>
        <w:t xml:space="preserve">com a mesma data, encontramos uma nova doação de Martinho </w:t>
      </w:r>
      <w:r w:rsidRPr="0011294E">
        <w:rPr>
          <w:rFonts w:ascii="Times New Roman" w:hAnsi="Times New Roman"/>
          <w:i/>
          <w:sz w:val="24"/>
          <w:szCs w:val="24"/>
        </w:rPr>
        <w:t>Zarraquiz</w:t>
      </w:r>
      <w:r w:rsidRPr="0011294E">
        <w:rPr>
          <w:rFonts w:ascii="Times New Roman" w:hAnsi="Times New Roman"/>
          <w:sz w:val="24"/>
          <w:szCs w:val="24"/>
        </w:rPr>
        <w:t xml:space="preserve"> a Fernando Pais, uma doação dos bens que se situavam em Faiões, com a obrigação de passarem para o Mosteiro de São Estevão, na morte do beneficiário. Podemos ler novamente</w:t>
      </w:r>
      <w:r w:rsidRPr="0011294E">
        <w:rPr>
          <w:rFonts w:ascii="Times New Roman" w:hAnsi="Times New Roman"/>
          <w:i/>
          <w:sz w:val="24"/>
          <w:szCs w:val="24"/>
        </w:rPr>
        <w:t xml:space="preserve"> in territorio Flavias discurrente rivulo Tamice determinantes pro illa fontanella de Felzes que fere in Tamize deinde per illo </w:t>
      </w:r>
      <w:r w:rsidRPr="0011294E">
        <w:rPr>
          <w:rFonts w:ascii="Times New Roman" w:hAnsi="Times New Roman"/>
          <w:i/>
          <w:sz w:val="24"/>
          <w:szCs w:val="24"/>
        </w:rPr>
        <w:lastRenderedPageBreak/>
        <w:t xml:space="preserve">Soverecoso et pro Mediatorio de Marius et pro Aquas Frigidas et veni ad </w:t>
      </w:r>
      <w:r w:rsidRPr="0011294E">
        <w:rPr>
          <w:rFonts w:ascii="Times New Roman" w:hAnsi="Times New Roman"/>
          <w:b/>
          <w:i/>
          <w:sz w:val="24"/>
          <w:szCs w:val="24"/>
        </w:rPr>
        <w:t>civitatem de Batocas</w:t>
      </w:r>
      <w:r w:rsidRPr="0011294E">
        <w:rPr>
          <w:rFonts w:ascii="Times New Roman" w:hAnsi="Times New Roman"/>
          <w:i/>
          <w:sz w:val="24"/>
          <w:szCs w:val="24"/>
        </w:rPr>
        <w:t xml:space="preserve"> et fere pro illa sculca in Corrado et proveni inter Amexinus el Almondres</w:t>
      </w:r>
      <w:r w:rsidRPr="0011294E">
        <w:rPr>
          <w:rStyle w:val="Refdenotaderodap"/>
          <w:rFonts w:ascii="Times New Roman" w:hAnsi="Times New Roman"/>
          <w:i/>
          <w:sz w:val="24"/>
          <w:szCs w:val="24"/>
        </w:rPr>
        <w:footnoteReference w:id="124"/>
      </w:r>
      <w:r w:rsidRPr="0011294E">
        <w:rPr>
          <w:rFonts w:ascii="Times New Roman" w:hAnsi="Times New Roman"/>
          <w:i/>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Em 1086 registamos um outro documento de Martinho </w:t>
      </w:r>
      <w:r w:rsidRPr="0011294E">
        <w:rPr>
          <w:rFonts w:ascii="Times New Roman" w:hAnsi="Times New Roman"/>
          <w:i/>
          <w:sz w:val="24"/>
          <w:szCs w:val="24"/>
        </w:rPr>
        <w:t>Zarraquiz</w:t>
      </w:r>
      <w:r w:rsidRPr="0011294E">
        <w:rPr>
          <w:rFonts w:ascii="Times New Roman" w:hAnsi="Times New Roman"/>
          <w:sz w:val="24"/>
          <w:szCs w:val="24"/>
        </w:rPr>
        <w:t xml:space="preserve"> onde é feita a doação da Igreja de Santo Estêvão e de todos os bens de raiz que este outorgante possuiu no termo de Chaves, novamente a Fernando Pais. Neste documento é referido </w:t>
      </w:r>
      <w:r w:rsidRPr="0011294E">
        <w:rPr>
          <w:rFonts w:ascii="Times New Roman" w:hAnsi="Times New Roman"/>
          <w:i/>
          <w:sz w:val="24"/>
          <w:szCs w:val="24"/>
        </w:rPr>
        <w:t xml:space="preserve">(…) ganantia territorio Flabias </w:t>
      </w:r>
      <w:r w:rsidRPr="0011294E">
        <w:rPr>
          <w:rFonts w:ascii="Times New Roman" w:hAnsi="Times New Roman"/>
          <w:b/>
          <w:i/>
          <w:sz w:val="24"/>
          <w:szCs w:val="24"/>
        </w:rPr>
        <w:t>subtus mons Batocas</w:t>
      </w:r>
      <w:r w:rsidRPr="0011294E">
        <w:rPr>
          <w:rFonts w:ascii="Times New Roman" w:hAnsi="Times New Roman"/>
          <w:i/>
          <w:sz w:val="24"/>
          <w:szCs w:val="24"/>
        </w:rPr>
        <w:t xml:space="preserve"> discurrente flumen Tamice in villa quod vocitant Sancti Stephani (…</w:t>
      </w:r>
      <w:r w:rsidRPr="0011294E">
        <w:rPr>
          <w:rFonts w:ascii="Times New Roman" w:hAnsi="Times New Roman"/>
          <w:sz w:val="24"/>
          <w:szCs w:val="24"/>
        </w:rPr>
        <w:t>)</w:t>
      </w:r>
      <w:r w:rsidRPr="0011294E">
        <w:rPr>
          <w:rStyle w:val="Refdenotaderodap"/>
          <w:rFonts w:ascii="Times New Roman" w:hAnsi="Times New Roman"/>
          <w:sz w:val="24"/>
          <w:szCs w:val="24"/>
        </w:rPr>
        <w:footnoteReference w:id="125"/>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No século XII, o território de Monforte de Rio Livre aparece novamente referido num documento de 1155. Fernando </w:t>
      </w:r>
      <w:r w:rsidRPr="0011294E">
        <w:rPr>
          <w:rFonts w:ascii="Times New Roman" w:hAnsi="Times New Roman"/>
          <w:i/>
          <w:sz w:val="24"/>
          <w:szCs w:val="24"/>
        </w:rPr>
        <w:t>Godesteiz</w:t>
      </w:r>
      <w:r w:rsidRPr="0011294E">
        <w:rPr>
          <w:rFonts w:ascii="Times New Roman" w:hAnsi="Times New Roman"/>
          <w:sz w:val="24"/>
          <w:szCs w:val="24"/>
        </w:rPr>
        <w:t xml:space="preserve"> doa à Sé de Braga uma herdade em Torre. Mais uma vez surge a referência ao lugar de Batocas: (…) </w:t>
      </w:r>
      <w:r w:rsidRPr="0011294E">
        <w:rPr>
          <w:rFonts w:ascii="Times New Roman" w:hAnsi="Times New Roman"/>
          <w:i/>
          <w:sz w:val="24"/>
          <w:szCs w:val="24"/>
        </w:rPr>
        <w:t xml:space="preserve">hereditate mea propria quam habeo in villa que vocatur Turris </w:t>
      </w:r>
      <w:r w:rsidRPr="0011294E">
        <w:rPr>
          <w:rFonts w:ascii="Times New Roman" w:hAnsi="Times New Roman"/>
          <w:b/>
          <w:i/>
          <w:sz w:val="24"/>
          <w:szCs w:val="24"/>
        </w:rPr>
        <w:t>sub monte Batocas</w:t>
      </w:r>
      <w:r w:rsidRPr="0011294E">
        <w:rPr>
          <w:rFonts w:ascii="Times New Roman" w:hAnsi="Times New Roman"/>
          <w:i/>
          <w:sz w:val="24"/>
          <w:szCs w:val="24"/>
        </w:rPr>
        <w:t xml:space="preserve"> discurrente flumine tamice territorio Flavias (…)</w:t>
      </w:r>
      <w:r w:rsidRPr="0011294E">
        <w:rPr>
          <w:rStyle w:val="Refdenotaderodap"/>
          <w:rFonts w:ascii="Times New Roman" w:hAnsi="Times New Roman"/>
          <w:sz w:val="24"/>
          <w:szCs w:val="24"/>
        </w:rPr>
        <w:footnoteReference w:id="126"/>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Para esta centúria o cartulário da Sé de Braga ainda nos reserva mais três documentos onde podemos observar a referência a Batocas. O primeiro que consideramos data do ano de 1155, numa doação de Aragunte Gomes de uma parte da Igreja de Santo André de Sesmil à Sé de Braga. Nele podemos ler </w:t>
      </w:r>
      <w:r w:rsidRPr="0011294E">
        <w:rPr>
          <w:rFonts w:ascii="Times New Roman" w:hAnsi="Times New Roman"/>
          <w:i/>
          <w:sz w:val="24"/>
          <w:szCs w:val="24"/>
        </w:rPr>
        <w:t>vocatur Turris sub monte Batocas discurrente flumine tamice territorio Flavias</w:t>
      </w:r>
      <w:r w:rsidRPr="0011294E">
        <w:rPr>
          <w:rStyle w:val="Refdenotaderodap"/>
          <w:rFonts w:ascii="Times New Roman" w:hAnsi="Times New Roman"/>
          <w:i/>
          <w:sz w:val="24"/>
          <w:szCs w:val="24"/>
        </w:rPr>
        <w:footnoteReference w:id="127"/>
      </w:r>
      <w:r w:rsidRPr="0011294E">
        <w:rPr>
          <w:rFonts w:ascii="Times New Roman" w:hAnsi="Times New Roman"/>
          <w:i/>
          <w:sz w:val="24"/>
          <w:szCs w:val="24"/>
        </w:rPr>
        <w:t xml:space="preserve">. </w:t>
      </w:r>
      <w:r w:rsidRPr="0011294E">
        <w:rPr>
          <w:rFonts w:ascii="Times New Roman" w:hAnsi="Times New Roman"/>
          <w:sz w:val="24"/>
          <w:szCs w:val="24"/>
        </w:rPr>
        <w:t xml:space="preserve">No segundo documento de 1160, constatamos nova doação, desta vez de Ilduara Vasques, de umas arras em Santo Estêvão e em Ninho de Águia. A referência a </w:t>
      </w:r>
      <w:r w:rsidRPr="0011294E">
        <w:rPr>
          <w:rFonts w:ascii="Times New Roman" w:hAnsi="Times New Roman"/>
          <w:b/>
          <w:i/>
          <w:sz w:val="24"/>
          <w:szCs w:val="24"/>
        </w:rPr>
        <w:t>sub monte Batocas</w:t>
      </w:r>
      <w:r w:rsidRPr="0011294E">
        <w:rPr>
          <w:rFonts w:ascii="Times New Roman" w:hAnsi="Times New Roman"/>
          <w:i/>
          <w:sz w:val="24"/>
          <w:szCs w:val="24"/>
        </w:rPr>
        <w:t xml:space="preserve"> discurentibus aquis ad flumem Tamice</w:t>
      </w:r>
      <w:r w:rsidRPr="0011294E">
        <w:rPr>
          <w:rFonts w:ascii="Times New Roman" w:hAnsi="Times New Roman"/>
          <w:sz w:val="24"/>
          <w:szCs w:val="24"/>
        </w:rPr>
        <w:t xml:space="preserve"> é novamente registada</w:t>
      </w:r>
      <w:r w:rsidRPr="0011294E">
        <w:rPr>
          <w:rStyle w:val="Refdenotaderodap"/>
          <w:rFonts w:ascii="Times New Roman" w:hAnsi="Times New Roman"/>
          <w:sz w:val="24"/>
          <w:szCs w:val="24"/>
        </w:rPr>
        <w:footnoteReference w:id="128"/>
      </w:r>
      <w:r w:rsidRPr="0011294E">
        <w:rPr>
          <w:rFonts w:ascii="Times New Roman" w:hAnsi="Times New Roman"/>
          <w:sz w:val="24"/>
          <w:szCs w:val="24"/>
        </w:rPr>
        <w:t xml:space="preserve">. O último documento que possuímos desta centúria diz respeito à continuação da doação de Ilduara Vasques, onde é feita nova menção a </w:t>
      </w:r>
      <w:r w:rsidRPr="0011294E">
        <w:rPr>
          <w:rFonts w:ascii="Times New Roman" w:hAnsi="Times New Roman"/>
          <w:i/>
          <w:sz w:val="24"/>
          <w:szCs w:val="24"/>
        </w:rPr>
        <w:t>sub monte Batocas</w:t>
      </w:r>
      <w:r w:rsidRPr="0011294E">
        <w:rPr>
          <w:rStyle w:val="Refdenotaderodap"/>
          <w:rFonts w:ascii="Times New Roman" w:hAnsi="Times New Roman"/>
          <w:i/>
          <w:sz w:val="24"/>
          <w:szCs w:val="24"/>
        </w:rPr>
        <w:footnoteReference w:id="129"/>
      </w:r>
      <w:r w:rsidRPr="0011294E">
        <w:rPr>
          <w:rFonts w:ascii="Times New Roman" w:hAnsi="Times New Roman"/>
          <w:i/>
          <w:sz w:val="24"/>
          <w:szCs w:val="24"/>
        </w:rPr>
        <w:t>.</w:t>
      </w:r>
    </w:p>
    <w:p w:rsidR="0011294E" w:rsidRPr="0011294E" w:rsidRDefault="0011294E" w:rsidP="0011294E">
      <w:pPr>
        <w:spacing w:line="360" w:lineRule="auto"/>
        <w:ind w:firstLine="624"/>
        <w:jc w:val="both"/>
        <w:rPr>
          <w:rFonts w:ascii="Times New Roman" w:hAnsi="Times New Roman"/>
          <w:iCs/>
          <w:sz w:val="24"/>
          <w:szCs w:val="24"/>
        </w:rPr>
      </w:pPr>
      <w:r w:rsidRPr="0011294E">
        <w:rPr>
          <w:rFonts w:ascii="Times New Roman" w:hAnsi="Times New Roman"/>
          <w:sz w:val="24"/>
          <w:szCs w:val="24"/>
        </w:rPr>
        <w:tab/>
        <w:t xml:space="preserve">Tendo em conta estas primeiras referências documentais a Batocas, à primeira vista podemos questionar o porquê de nos documentos do século XI e XII ser referido </w:t>
      </w:r>
      <w:r w:rsidRPr="0011294E">
        <w:rPr>
          <w:rFonts w:ascii="Times New Roman" w:hAnsi="Times New Roman"/>
          <w:i/>
          <w:sz w:val="24"/>
          <w:szCs w:val="24"/>
        </w:rPr>
        <w:t xml:space="preserve">civitatem de Batocas </w:t>
      </w:r>
      <w:r w:rsidRPr="0011294E">
        <w:rPr>
          <w:rFonts w:ascii="Times New Roman" w:hAnsi="Times New Roman"/>
          <w:sz w:val="24"/>
          <w:szCs w:val="24"/>
        </w:rPr>
        <w:t xml:space="preserve">e </w:t>
      </w:r>
      <w:r w:rsidRPr="0011294E">
        <w:rPr>
          <w:rFonts w:ascii="Times New Roman" w:hAnsi="Times New Roman"/>
          <w:i/>
          <w:sz w:val="24"/>
          <w:szCs w:val="24"/>
        </w:rPr>
        <w:t xml:space="preserve">sub monte Batocas </w:t>
      </w:r>
      <w:r w:rsidRPr="0011294E">
        <w:rPr>
          <w:rFonts w:ascii="Times New Roman" w:hAnsi="Times New Roman"/>
          <w:sz w:val="24"/>
          <w:szCs w:val="24"/>
        </w:rPr>
        <w:t>e ainda</w:t>
      </w:r>
      <w:r w:rsidRPr="0011294E">
        <w:rPr>
          <w:rFonts w:ascii="Times New Roman" w:hAnsi="Times New Roman"/>
          <w:i/>
          <w:sz w:val="24"/>
          <w:szCs w:val="24"/>
        </w:rPr>
        <w:t xml:space="preserve"> subtus mons Batocas. </w:t>
      </w:r>
      <w:r w:rsidRPr="0011294E">
        <w:rPr>
          <w:rFonts w:ascii="Times New Roman" w:hAnsi="Times New Roman"/>
          <w:sz w:val="24"/>
          <w:szCs w:val="24"/>
        </w:rPr>
        <w:t xml:space="preserve">Como já referimos no capítulo anterior em relação à ação “repovoadora” do rei asturiano D. </w:t>
      </w:r>
      <w:r w:rsidRPr="0011294E">
        <w:rPr>
          <w:rFonts w:ascii="Times New Roman" w:hAnsi="Times New Roman"/>
          <w:sz w:val="24"/>
          <w:szCs w:val="24"/>
        </w:rPr>
        <w:lastRenderedPageBreak/>
        <w:t xml:space="preserve">Afonso III, a ocupação do território depois das presúrias do Porto, Chaves e Coimbra, foi acompanhada e sustentada por uma organização social assente em </w:t>
      </w:r>
      <w:r w:rsidRPr="0011294E">
        <w:rPr>
          <w:rFonts w:ascii="Times New Roman" w:hAnsi="Times New Roman"/>
          <w:i/>
          <w:iCs/>
          <w:sz w:val="24"/>
          <w:szCs w:val="24"/>
        </w:rPr>
        <w:t xml:space="preserve">civitates. </w:t>
      </w:r>
      <w:r w:rsidRPr="0011294E">
        <w:rPr>
          <w:rFonts w:ascii="Times New Roman" w:hAnsi="Times New Roman"/>
          <w:iCs/>
          <w:sz w:val="24"/>
          <w:szCs w:val="24"/>
        </w:rPr>
        <w:t xml:space="preserve">As </w:t>
      </w:r>
      <w:r w:rsidRPr="0011294E">
        <w:rPr>
          <w:rFonts w:ascii="Times New Roman" w:hAnsi="Times New Roman"/>
          <w:i/>
          <w:iCs/>
          <w:sz w:val="24"/>
          <w:szCs w:val="24"/>
        </w:rPr>
        <w:t>civitates</w:t>
      </w:r>
      <w:r w:rsidRPr="0011294E">
        <w:rPr>
          <w:rFonts w:ascii="Times New Roman" w:hAnsi="Times New Roman"/>
          <w:iCs/>
          <w:sz w:val="24"/>
          <w:szCs w:val="24"/>
        </w:rPr>
        <w:t xml:space="preserve"> eram grandes espaços geográficos</w:t>
      </w:r>
      <w:r w:rsidRPr="0011294E">
        <w:rPr>
          <w:rStyle w:val="Refdenotaderodap"/>
          <w:rFonts w:ascii="Times New Roman" w:hAnsi="Times New Roman"/>
          <w:iCs/>
          <w:sz w:val="24"/>
          <w:szCs w:val="24"/>
        </w:rPr>
        <w:footnoteReference w:id="130"/>
      </w:r>
      <w:r w:rsidRPr="0011294E">
        <w:rPr>
          <w:rFonts w:ascii="Times New Roman" w:hAnsi="Times New Roman"/>
          <w:iCs/>
          <w:sz w:val="24"/>
          <w:szCs w:val="24"/>
        </w:rPr>
        <w:t>. Eram distritos militares que dependiam de um lugar central, fortificado</w:t>
      </w:r>
      <w:r w:rsidRPr="0011294E">
        <w:rPr>
          <w:rFonts w:ascii="Times New Roman" w:hAnsi="Times New Roman"/>
          <w:sz w:val="24"/>
          <w:szCs w:val="24"/>
        </w:rPr>
        <w:t>,</w:t>
      </w:r>
      <w:r w:rsidRPr="0011294E">
        <w:rPr>
          <w:rFonts w:ascii="Times New Roman" w:hAnsi="Times New Roman"/>
          <w:iCs/>
          <w:sz w:val="24"/>
          <w:szCs w:val="24"/>
        </w:rPr>
        <w:t xml:space="preserve"> a partir do qual eram coordenadas as iniciativas de defesa. Foi nestas estruturas, como vimos, que a monarquia asturiana se apoiou para enquadrar e controlar as populações das áreas ocupadas</w:t>
      </w:r>
      <w:r w:rsidRPr="0011294E">
        <w:rPr>
          <w:rStyle w:val="Refdenotaderodap"/>
          <w:rFonts w:ascii="Times New Roman" w:hAnsi="Times New Roman"/>
          <w:iCs/>
          <w:sz w:val="24"/>
          <w:szCs w:val="24"/>
        </w:rPr>
        <w:footnoteReference w:id="131"/>
      </w:r>
      <w:r w:rsidRPr="0011294E">
        <w:rPr>
          <w:rFonts w:ascii="Times New Roman" w:hAnsi="Times New Roman"/>
          <w:iCs/>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iCs/>
          <w:sz w:val="24"/>
          <w:szCs w:val="24"/>
        </w:rPr>
        <w:t xml:space="preserve">Na segunda metade do século IX coube ao Conde de Odoário a tarefa de </w:t>
      </w:r>
      <w:r w:rsidRPr="0011294E">
        <w:rPr>
          <w:rFonts w:ascii="Times New Roman" w:hAnsi="Times New Roman"/>
          <w:sz w:val="24"/>
          <w:szCs w:val="24"/>
        </w:rPr>
        <w:t xml:space="preserve">coordenar o “repovoamento” de </w:t>
      </w:r>
      <w:r w:rsidRPr="0011294E">
        <w:rPr>
          <w:rFonts w:ascii="Times New Roman" w:hAnsi="Times New Roman"/>
          <w:i/>
          <w:sz w:val="24"/>
          <w:szCs w:val="24"/>
        </w:rPr>
        <w:t>vicos, castella</w:t>
      </w:r>
      <w:r w:rsidRPr="0011294E">
        <w:rPr>
          <w:rFonts w:ascii="Times New Roman" w:hAnsi="Times New Roman"/>
          <w:sz w:val="24"/>
          <w:szCs w:val="24"/>
        </w:rPr>
        <w:t xml:space="preserve"> e </w:t>
      </w:r>
      <w:r w:rsidRPr="0011294E">
        <w:rPr>
          <w:rFonts w:ascii="Times New Roman" w:hAnsi="Times New Roman"/>
          <w:i/>
          <w:sz w:val="24"/>
          <w:szCs w:val="24"/>
        </w:rPr>
        <w:t>villas</w:t>
      </w:r>
      <w:r w:rsidRPr="0011294E">
        <w:rPr>
          <w:rFonts w:ascii="Times New Roman" w:hAnsi="Times New Roman"/>
          <w:sz w:val="24"/>
          <w:szCs w:val="24"/>
        </w:rPr>
        <w:t>. Por uma questão de proximidade é perfeitamente natural que as ações do conde tenham chegado a Batocas, através da Veiga de Chaves, por se tratar de uma zona de planáltica</w:t>
      </w:r>
      <w:r w:rsidRPr="0011294E">
        <w:rPr>
          <w:rStyle w:val="Refdenotaderodap"/>
          <w:rFonts w:ascii="Times New Roman" w:hAnsi="Times New Roman"/>
          <w:sz w:val="24"/>
          <w:szCs w:val="24"/>
        </w:rPr>
        <w:footnoteReference w:id="132"/>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No que toca a vestígios arqueológicos na área de Batocas, as fontes são omissas, pelo que temos de ter em conta o estudo da toponímia local. Realizando uma análise onomástica e etimológica ao termo de Batocas, chegamos à conclusão que se trata de um termo que provem do pré-céltico que significa “propriedade”. Contudo com a evolução linguística passa a significar “reunião” e/ou “lugar”</w:t>
      </w:r>
      <w:r w:rsidRPr="0011294E">
        <w:rPr>
          <w:rStyle w:val="Refdenotaderodap"/>
          <w:rFonts w:ascii="Times New Roman" w:hAnsi="Times New Roman"/>
          <w:sz w:val="24"/>
          <w:szCs w:val="24"/>
        </w:rPr>
        <w:footnoteReference w:id="133"/>
      </w:r>
      <w:r w:rsidRPr="0011294E">
        <w:rPr>
          <w:rFonts w:ascii="Times New Roman" w:hAnsi="Times New Roman"/>
          <w:sz w:val="24"/>
          <w:szCs w:val="24"/>
        </w:rPr>
        <w:t xml:space="preserve">. No nosso entender, através do significado deste termo temos que considerar, com algumas reservas, na medida em que não existem dados arqueológicos, que a </w:t>
      </w:r>
      <w:r w:rsidRPr="0011294E">
        <w:rPr>
          <w:rFonts w:ascii="Times New Roman" w:hAnsi="Times New Roman"/>
          <w:i/>
          <w:sz w:val="24"/>
          <w:szCs w:val="24"/>
        </w:rPr>
        <w:t>civitas</w:t>
      </w:r>
      <w:r w:rsidRPr="0011294E">
        <w:rPr>
          <w:rFonts w:ascii="Times New Roman" w:hAnsi="Times New Roman"/>
          <w:sz w:val="24"/>
          <w:szCs w:val="24"/>
        </w:rPr>
        <w:t xml:space="preserve"> de Batocas tinha origem num povoado fortificado proto-histórico ou pré-romano. Como vimos anteriormente, a origem natural das </w:t>
      </w:r>
      <w:r w:rsidRPr="0011294E">
        <w:rPr>
          <w:rFonts w:ascii="Times New Roman" w:hAnsi="Times New Roman"/>
          <w:i/>
          <w:sz w:val="24"/>
          <w:szCs w:val="24"/>
        </w:rPr>
        <w:t>civitates</w:t>
      </w:r>
      <w:r w:rsidRPr="0011294E">
        <w:rPr>
          <w:rFonts w:ascii="Times New Roman" w:hAnsi="Times New Roman"/>
          <w:sz w:val="24"/>
          <w:szCs w:val="24"/>
        </w:rPr>
        <w:t xml:space="preserve"> está num local forte por natureza, situação que não se adapta muito com as melhores condições de estância e povoamento no próprio local, pois em geral apresenta-se como um lugar agreste e algo elevado remoto dos povoados</w:t>
      </w:r>
      <w:r w:rsidRPr="0011294E">
        <w:rPr>
          <w:rStyle w:val="Refdenotaderodap"/>
          <w:rFonts w:ascii="Times New Roman" w:hAnsi="Times New Roman"/>
          <w:sz w:val="24"/>
          <w:szCs w:val="24"/>
        </w:rPr>
        <w:footnoteReference w:id="134"/>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Paralelamente a este significado etimológico da palavra Batocas, a referência a </w:t>
      </w:r>
      <w:r w:rsidRPr="0011294E">
        <w:rPr>
          <w:rFonts w:ascii="Times New Roman" w:hAnsi="Times New Roman"/>
          <w:i/>
          <w:sz w:val="24"/>
          <w:szCs w:val="24"/>
        </w:rPr>
        <w:t>civitate</w:t>
      </w:r>
      <w:r w:rsidRPr="0011294E">
        <w:rPr>
          <w:rFonts w:ascii="Times New Roman" w:hAnsi="Times New Roman"/>
          <w:sz w:val="24"/>
          <w:szCs w:val="24"/>
        </w:rPr>
        <w:t xml:space="preserve"> e de </w:t>
      </w:r>
      <w:r w:rsidRPr="0011294E">
        <w:rPr>
          <w:rFonts w:ascii="Times New Roman" w:hAnsi="Times New Roman"/>
          <w:i/>
          <w:sz w:val="24"/>
          <w:szCs w:val="24"/>
        </w:rPr>
        <w:t xml:space="preserve">civitalelia </w:t>
      </w:r>
      <w:r w:rsidRPr="0011294E">
        <w:rPr>
          <w:rFonts w:ascii="Times New Roman" w:hAnsi="Times New Roman"/>
          <w:sz w:val="24"/>
          <w:szCs w:val="24"/>
        </w:rPr>
        <w:t>na documentação, pressupõe uma ocupação mais alargada podendo remontar a um povoado fortificado pré-romano. No que toca à implantação do castelo e vila, este assemelha-se a um dos padrões típicos dos povoados fortificados proto-históricos da zona.</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lastRenderedPageBreak/>
        <w:t xml:space="preserve">É, ainda, necessário relacionar os dados com a rede viária do Alto Tâmega, onde Monforte de Rio Livre aparece com um excelente posicionamento geoestratégico sobre a Veiga de Chaves. Monforte, como já vimos, localizava-se na variante Norte da via romana que fazia a ligação entre </w:t>
      </w:r>
      <w:r w:rsidRPr="0011294E">
        <w:rPr>
          <w:rFonts w:ascii="Times New Roman" w:hAnsi="Times New Roman"/>
          <w:i/>
          <w:sz w:val="24"/>
          <w:szCs w:val="24"/>
        </w:rPr>
        <w:t xml:space="preserve">Bracara Augusta </w:t>
      </w:r>
      <w:r w:rsidRPr="0011294E">
        <w:rPr>
          <w:rFonts w:ascii="Times New Roman" w:hAnsi="Times New Roman"/>
          <w:sz w:val="24"/>
          <w:szCs w:val="24"/>
        </w:rPr>
        <w:t>e</w:t>
      </w:r>
      <w:r w:rsidRPr="0011294E">
        <w:rPr>
          <w:rFonts w:ascii="Times New Roman" w:hAnsi="Times New Roman"/>
          <w:i/>
          <w:sz w:val="24"/>
          <w:szCs w:val="24"/>
        </w:rPr>
        <w:t xml:space="preserve"> Asturica Augusta. </w:t>
      </w:r>
      <w:r w:rsidRPr="0011294E">
        <w:rPr>
          <w:rFonts w:ascii="Times New Roman" w:hAnsi="Times New Roman"/>
          <w:sz w:val="24"/>
          <w:szCs w:val="24"/>
        </w:rPr>
        <w:t xml:space="preserve">Este facto parece-nos importante na medida em que por Batocas/Monforte passaria um forte fluxo de homens, animais e mercadorias. Para além disso, esta via permitia a ligação direta a </w:t>
      </w:r>
      <w:r w:rsidRPr="0011294E">
        <w:rPr>
          <w:rFonts w:ascii="Times New Roman" w:hAnsi="Times New Roman"/>
          <w:i/>
          <w:sz w:val="24"/>
          <w:szCs w:val="24"/>
        </w:rPr>
        <w:t xml:space="preserve">Aquae Flaviae. </w:t>
      </w:r>
      <w:r w:rsidRPr="0011294E">
        <w:rPr>
          <w:rFonts w:ascii="Times New Roman" w:hAnsi="Times New Roman"/>
          <w:sz w:val="24"/>
          <w:szCs w:val="24"/>
        </w:rPr>
        <w:t xml:space="preserve">Neste sentido, o posicionamento geoestratégico de Monforte assume uma importância muito grande pois encontra-se no cimo da serra do Brunheiro, tendo o domínio visual sobre a Veiga de Chaves, permitindo avistar as fortificações de Chaves e de Monterrey. Para além disso, apresenta a facilidade de aproximação para com a cidade de Chaves e as restantes fortificações. Somando a estes fatores, devemos ainda acrescentar a proximidade às grandes minas da serra da Padrela, a leste, e, sobretudo, às minas de ouro de Três Minas e Jales, que absorviam mão-de-obra e que, consumiam grandes quantidades de biomassa. Todos estes fatores ajudaram a estruturar o território ligado à </w:t>
      </w:r>
      <w:r w:rsidRPr="0011294E">
        <w:rPr>
          <w:rFonts w:ascii="Times New Roman" w:hAnsi="Times New Roman"/>
          <w:i/>
          <w:sz w:val="24"/>
          <w:szCs w:val="24"/>
        </w:rPr>
        <w:t>civitas</w:t>
      </w:r>
      <w:r w:rsidRPr="0011294E">
        <w:rPr>
          <w:rFonts w:ascii="Times New Roman" w:hAnsi="Times New Roman"/>
          <w:sz w:val="24"/>
          <w:szCs w:val="24"/>
        </w:rPr>
        <w:t xml:space="preserve"> de Batocas.</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Uma outra questão a ter em conta é a referência a </w:t>
      </w:r>
      <w:r w:rsidRPr="0011294E">
        <w:rPr>
          <w:rFonts w:ascii="Times New Roman" w:hAnsi="Times New Roman"/>
          <w:i/>
          <w:sz w:val="24"/>
          <w:szCs w:val="24"/>
        </w:rPr>
        <w:t>sub monte Batocas</w:t>
      </w:r>
      <w:r w:rsidRPr="0011294E">
        <w:rPr>
          <w:rFonts w:ascii="Times New Roman" w:hAnsi="Times New Roman"/>
          <w:sz w:val="24"/>
          <w:szCs w:val="24"/>
        </w:rPr>
        <w:t xml:space="preserve">, nos documentos dos inícios do século XII. A expressão </w:t>
      </w:r>
      <w:r w:rsidRPr="0011294E">
        <w:rPr>
          <w:rFonts w:ascii="Times New Roman" w:hAnsi="Times New Roman"/>
          <w:i/>
          <w:iCs/>
          <w:sz w:val="24"/>
          <w:szCs w:val="24"/>
        </w:rPr>
        <w:t xml:space="preserve">subtus mons, </w:t>
      </w:r>
      <w:r w:rsidRPr="0011294E">
        <w:rPr>
          <w:rFonts w:ascii="Times New Roman" w:hAnsi="Times New Roman"/>
          <w:iCs/>
          <w:sz w:val="24"/>
          <w:szCs w:val="24"/>
        </w:rPr>
        <w:t xml:space="preserve">segundo Carlos Alberto Ferreira de Almeida, era usada quase sistematicamente nos diplomas da primeira metade do século XII, designando quase sempre, na zona </w:t>
      </w:r>
      <w:r w:rsidRPr="0011294E">
        <w:rPr>
          <w:rFonts w:ascii="Times New Roman" w:hAnsi="Times New Roman"/>
          <w:sz w:val="24"/>
          <w:szCs w:val="24"/>
        </w:rPr>
        <w:t>Entre-Douro-e-Minho, castelos ou locais com estruturas defensivas medievais. Esta expressão corresponde a uma dependência de carácter administrativo e militar</w:t>
      </w:r>
      <w:r w:rsidRPr="0011294E">
        <w:rPr>
          <w:rStyle w:val="Refdenotaderodap"/>
          <w:rFonts w:ascii="Times New Roman" w:hAnsi="Times New Roman"/>
          <w:sz w:val="24"/>
          <w:szCs w:val="24"/>
        </w:rPr>
        <w:footnoteReference w:id="135"/>
      </w:r>
      <w:r w:rsidRPr="0011294E">
        <w:rPr>
          <w:rFonts w:ascii="Times New Roman" w:hAnsi="Times New Roman"/>
          <w:sz w:val="24"/>
          <w:szCs w:val="24"/>
        </w:rPr>
        <w:t xml:space="preserve">. Para além destas expressões podemos ainda considerar outras na documentação nomeadamente </w:t>
      </w:r>
      <w:r w:rsidRPr="0011294E">
        <w:rPr>
          <w:rFonts w:ascii="Times New Roman" w:hAnsi="Times New Roman"/>
          <w:i/>
          <w:sz w:val="24"/>
          <w:szCs w:val="24"/>
        </w:rPr>
        <w:t>monte</w:t>
      </w:r>
      <w:r w:rsidRPr="0011294E">
        <w:rPr>
          <w:rFonts w:ascii="Times New Roman" w:hAnsi="Times New Roman"/>
          <w:sz w:val="24"/>
          <w:szCs w:val="24"/>
        </w:rPr>
        <w:t xml:space="preserve">, </w:t>
      </w:r>
      <w:r w:rsidRPr="0011294E">
        <w:rPr>
          <w:rFonts w:ascii="Times New Roman" w:hAnsi="Times New Roman"/>
          <w:i/>
          <w:sz w:val="24"/>
          <w:szCs w:val="24"/>
        </w:rPr>
        <w:t>alpe</w:t>
      </w:r>
      <w:r w:rsidRPr="0011294E">
        <w:rPr>
          <w:rFonts w:ascii="Times New Roman" w:hAnsi="Times New Roman"/>
          <w:sz w:val="24"/>
          <w:szCs w:val="24"/>
        </w:rPr>
        <w:t xml:space="preserve"> e </w:t>
      </w:r>
      <w:r w:rsidRPr="0011294E">
        <w:rPr>
          <w:rFonts w:ascii="Times New Roman" w:hAnsi="Times New Roman"/>
          <w:i/>
          <w:sz w:val="24"/>
          <w:szCs w:val="24"/>
        </w:rPr>
        <w:t>castro</w:t>
      </w:r>
      <w:r w:rsidRPr="0011294E">
        <w:rPr>
          <w:rStyle w:val="Refdenotaderodap"/>
          <w:rFonts w:ascii="Times New Roman" w:hAnsi="Times New Roman"/>
          <w:i/>
          <w:sz w:val="24"/>
          <w:szCs w:val="24"/>
        </w:rPr>
        <w:footnoteReference w:id="136"/>
      </w:r>
      <w:r w:rsidRPr="0011294E">
        <w:rPr>
          <w:rFonts w:ascii="Times New Roman" w:hAnsi="Times New Roman"/>
          <w:i/>
          <w:sz w:val="24"/>
          <w:szCs w:val="24"/>
        </w:rPr>
        <w:t xml:space="preserve">. </w:t>
      </w:r>
      <w:r w:rsidRPr="0011294E">
        <w:rPr>
          <w:rFonts w:ascii="Times New Roman" w:hAnsi="Times New Roman"/>
          <w:sz w:val="24"/>
          <w:szCs w:val="24"/>
        </w:rPr>
        <w:t xml:space="preserve">O emprego destas expressões diz respeito a estruturas fortificadas castelares dos primeiros tempos da Reconquista Cristã. Estas estruturas apresentavam-se como rudimentares, com muros incipientes, aproveitado sempre que possível a facilidade concebida pela morfologia do terreno para defesa e onde desaterros artificiais acentuavam as diferenças de cota. Implantadas em locais elevados, privilegiando o campo de visão, as suas muralhas aproveitavam a presença de batólitos graníticos para se apoiarem, diminuindo assim o esforço de construção. Estas estruturas foram </w:t>
      </w:r>
      <w:r w:rsidRPr="0011294E">
        <w:rPr>
          <w:rFonts w:ascii="Times New Roman" w:hAnsi="Times New Roman"/>
          <w:sz w:val="24"/>
          <w:szCs w:val="24"/>
        </w:rPr>
        <w:lastRenderedPageBreak/>
        <w:t>importantes no processo de Reconquista Cristã, na medida em que era nelas que se abrigavam as populações durante os ataques dos invasores e possíveis violências internas praticadas por bandos armados</w:t>
      </w:r>
      <w:r w:rsidRPr="0011294E">
        <w:rPr>
          <w:rStyle w:val="Refdenotaderodap"/>
          <w:rFonts w:ascii="Times New Roman" w:hAnsi="Times New Roman"/>
          <w:sz w:val="24"/>
          <w:szCs w:val="24"/>
        </w:rPr>
        <w:footnoteReference w:id="137"/>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iCs/>
          <w:sz w:val="24"/>
          <w:szCs w:val="24"/>
        </w:rPr>
      </w:pPr>
      <w:r w:rsidRPr="0011294E">
        <w:rPr>
          <w:rFonts w:ascii="Times New Roman" w:hAnsi="Times New Roman"/>
          <w:iCs/>
          <w:sz w:val="24"/>
          <w:szCs w:val="24"/>
        </w:rPr>
        <w:t xml:space="preserve">Neste sentido, analisando os documentos do </w:t>
      </w:r>
      <w:r w:rsidRPr="0011294E">
        <w:rPr>
          <w:rFonts w:ascii="Times New Roman" w:hAnsi="Times New Roman"/>
          <w:i/>
          <w:iCs/>
          <w:sz w:val="24"/>
          <w:szCs w:val="24"/>
        </w:rPr>
        <w:t>Liber Fidei</w:t>
      </w:r>
      <w:r w:rsidRPr="0011294E">
        <w:rPr>
          <w:rFonts w:ascii="Times New Roman" w:hAnsi="Times New Roman"/>
          <w:iCs/>
          <w:sz w:val="24"/>
          <w:szCs w:val="24"/>
        </w:rPr>
        <w:t xml:space="preserve"> que nos oferecem as primeiras referências documentais à </w:t>
      </w:r>
      <w:r w:rsidRPr="0011294E">
        <w:rPr>
          <w:rFonts w:ascii="Times New Roman" w:hAnsi="Times New Roman"/>
          <w:i/>
          <w:sz w:val="24"/>
          <w:szCs w:val="24"/>
        </w:rPr>
        <w:t xml:space="preserve">civitas </w:t>
      </w:r>
      <w:r w:rsidRPr="0011294E">
        <w:rPr>
          <w:rFonts w:ascii="Times New Roman" w:hAnsi="Times New Roman"/>
          <w:sz w:val="24"/>
          <w:szCs w:val="24"/>
        </w:rPr>
        <w:t>de</w:t>
      </w:r>
      <w:r w:rsidRPr="0011294E">
        <w:rPr>
          <w:rFonts w:ascii="Times New Roman" w:hAnsi="Times New Roman"/>
          <w:i/>
          <w:sz w:val="24"/>
          <w:szCs w:val="24"/>
        </w:rPr>
        <w:t xml:space="preserve"> Batocas </w:t>
      </w:r>
      <w:r w:rsidRPr="0011294E">
        <w:rPr>
          <w:rFonts w:ascii="Times New Roman" w:hAnsi="Times New Roman"/>
          <w:sz w:val="24"/>
          <w:szCs w:val="24"/>
        </w:rPr>
        <w:t xml:space="preserve">e a </w:t>
      </w:r>
      <w:r w:rsidRPr="0011294E">
        <w:rPr>
          <w:rFonts w:ascii="Times New Roman" w:hAnsi="Times New Roman"/>
          <w:i/>
          <w:sz w:val="24"/>
          <w:szCs w:val="24"/>
        </w:rPr>
        <w:t xml:space="preserve">sub monte Batocas </w:t>
      </w:r>
      <w:r w:rsidRPr="0011294E">
        <w:rPr>
          <w:rFonts w:ascii="Times New Roman" w:hAnsi="Times New Roman"/>
          <w:sz w:val="24"/>
          <w:szCs w:val="24"/>
        </w:rPr>
        <w:t xml:space="preserve">e depois de termos realizado um estudo etimológico da palavra Batocas, pela falta de fontes documentais e arqueológicas, chegamos à conclusão que este lugar diz respeito a um povoado fortificado pré-romano na zona. A sua posição geográfica apresenta também um fator bastante forte para a nossa tese. Paralelamente a esta argumentação, devemos ter em consideração a opinião de Paulo Merêa que defendia que todas as </w:t>
      </w:r>
      <w:r w:rsidRPr="0011294E">
        <w:rPr>
          <w:rFonts w:ascii="Times New Roman" w:hAnsi="Times New Roman"/>
          <w:i/>
          <w:sz w:val="24"/>
          <w:szCs w:val="24"/>
        </w:rPr>
        <w:t>terras</w:t>
      </w:r>
      <w:r w:rsidRPr="0011294E">
        <w:rPr>
          <w:rFonts w:ascii="Times New Roman" w:hAnsi="Times New Roman"/>
          <w:sz w:val="24"/>
          <w:szCs w:val="24"/>
        </w:rPr>
        <w:t xml:space="preserve"> tiveram a sua </w:t>
      </w:r>
      <w:r w:rsidRPr="0011294E">
        <w:rPr>
          <w:rFonts w:ascii="Times New Roman" w:hAnsi="Times New Roman"/>
          <w:i/>
          <w:sz w:val="24"/>
          <w:szCs w:val="24"/>
        </w:rPr>
        <w:t xml:space="preserve">civitas, </w:t>
      </w:r>
      <w:r w:rsidRPr="0011294E">
        <w:rPr>
          <w:rFonts w:ascii="Times New Roman" w:hAnsi="Times New Roman"/>
          <w:sz w:val="24"/>
          <w:szCs w:val="24"/>
        </w:rPr>
        <w:t>com o seu ópido</w:t>
      </w:r>
      <w:r w:rsidRPr="0011294E">
        <w:rPr>
          <w:rFonts w:ascii="Times New Roman" w:hAnsi="Times New Roman"/>
          <w:i/>
          <w:sz w:val="24"/>
          <w:szCs w:val="24"/>
        </w:rPr>
        <w:t xml:space="preserve">, </w:t>
      </w:r>
      <w:r w:rsidRPr="0011294E">
        <w:rPr>
          <w:rFonts w:ascii="Times New Roman" w:hAnsi="Times New Roman"/>
          <w:sz w:val="24"/>
          <w:szCs w:val="24"/>
        </w:rPr>
        <w:t xml:space="preserve">defensáculo castrejo que se gravou profundamente na toponímia em termos de raiz daquele ou deles derivados: </w:t>
      </w:r>
      <w:r w:rsidRPr="0011294E">
        <w:rPr>
          <w:rFonts w:ascii="Times New Roman" w:hAnsi="Times New Roman"/>
          <w:i/>
          <w:sz w:val="24"/>
          <w:szCs w:val="24"/>
        </w:rPr>
        <w:t>cividade</w:t>
      </w:r>
      <w:r w:rsidRPr="0011294E">
        <w:rPr>
          <w:rFonts w:ascii="Times New Roman" w:hAnsi="Times New Roman"/>
          <w:sz w:val="24"/>
          <w:szCs w:val="24"/>
        </w:rPr>
        <w:t xml:space="preserve">, </w:t>
      </w:r>
      <w:r w:rsidRPr="0011294E">
        <w:rPr>
          <w:rFonts w:ascii="Times New Roman" w:hAnsi="Times New Roman"/>
          <w:i/>
          <w:sz w:val="24"/>
          <w:szCs w:val="24"/>
        </w:rPr>
        <w:t>cidadelha</w:t>
      </w:r>
      <w:r w:rsidRPr="0011294E">
        <w:rPr>
          <w:rFonts w:ascii="Times New Roman" w:hAnsi="Times New Roman"/>
          <w:sz w:val="24"/>
          <w:szCs w:val="24"/>
        </w:rPr>
        <w:t xml:space="preserve">, </w:t>
      </w:r>
      <w:r w:rsidRPr="0011294E">
        <w:rPr>
          <w:rFonts w:ascii="Times New Roman" w:hAnsi="Times New Roman"/>
          <w:i/>
          <w:sz w:val="24"/>
          <w:szCs w:val="24"/>
        </w:rPr>
        <w:t>cidadonha</w:t>
      </w:r>
      <w:r w:rsidRPr="0011294E">
        <w:rPr>
          <w:rFonts w:ascii="Times New Roman" w:hAnsi="Times New Roman"/>
          <w:sz w:val="24"/>
          <w:szCs w:val="24"/>
        </w:rPr>
        <w:t xml:space="preserve">. Pelo que não é estranho o facto de ainda no século XI se chamar certos territórios de </w:t>
      </w:r>
      <w:r w:rsidRPr="0011294E">
        <w:rPr>
          <w:rFonts w:ascii="Times New Roman" w:hAnsi="Times New Roman"/>
          <w:i/>
          <w:sz w:val="24"/>
          <w:szCs w:val="24"/>
        </w:rPr>
        <w:t>civitas</w:t>
      </w:r>
      <w:r w:rsidRPr="0011294E">
        <w:rPr>
          <w:rFonts w:ascii="Times New Roman" w:hAnsi="Times New Roman"/>
          <w:sz w:val="24"/>
          <w:szCs w:val="24"/>
        </w:rPr>
        <w:t xml:space="preserve">. Sobre muitos destes castros ou ópidos correspondentes a cada uma dessas </w:t>
      </w:r>
      <w:r w:rsidRPr="0011294E">
        <w:rPr>
          <w:rFonts w:ascii="Times New Roman" w:hAnsi="Times New Roman"/>
          <w:i/>
          <w:sz w:val="24"/>
          <w:szCs w:val="24"/>
        </w:rPr>
        <w:t>civitas</w:t>
      </w:r>
      <w:r w:rsidRPr="0011294E">
        <w:rPr>
          <w:rFonts w:ascii="Times New Roman" w:hAnsi="Times New Roman"/>
          <w:sz w:val="24"/>
          <w:szCs w:val="24"/>
        </w:rPr>
        <w:t xml:space="preserve"> alicerçaram-se verdadeiros castelos, mais ou menos fortes e complexos, mas verdadeiros castelos de Reconquista</w:t>
      </w:r>
      <w:r w:rsidRPr="0011294E">
        <w:rPr>
          <w:rStyle w:val="Refdenotaderodap"/>
          <w:rFonts w:ascii="Times New Roman" w:hAnsi="Times New Roman"/>
          <w:sz w:val="24"/>
          <w:szCs w:val="24"/>
        </w:rPr>
        <w:footnoteReference w:id="138"/>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Na segunda metade do século XI, com as campanhas militares de D. Fernando, o Magno, assistimos ao declínio das </w:t>
      </w:r>
      <w:r w:rsidRPr="0011294E">
        <w:rPr>
          <w:rFonts w:ascii="Times New Roman" w:hAnsi="Times New Roman"/>
          <w:i/>
          <w:sz w:val="24"/>
          <w:szCs w:val="24"/>
        </w:rPr>
        <w:t>civitates</w:t>
      </w:r>
      <w:r w:rsidRPr="0011294E">
        <w:rPr>
          <w:rFonts w:ascii="Times New Roman" w:hAnsi="Times New Roman"/>
          <w:sz w:val="24"/>
          <w:szCs w:val="24"/>
        </w:rPr>
        <w:t xml:space="preserve">, perdendo funções que desempenhavam anteriormente. A organização do território em </w:t>
      </w:r>
      <w:r w:rsidRPr="0011294E">
        <w:rPr>
          <w:rFonts w:ascii="Times New Roman" w:hAnsi="Times New Roman"/>
          <w:i/>
          <w:iCs/>
          <w:sz w:val="24"/>
          <w:szCs w:val="24"/>
        </w:rPr>
        <w:t xml:space="preserve">civitas </w:t>
      </w:r>
      <w:r w:rsidRPr="0011294E">
        <w:rPr>
          <w:rFonts w:ascii="Times New Roman" w:hAnsi="Times New Roman"/>
          <w:sz w:val="24"/>
          <w:szCs w:val="24"/>
        </w:rPr>
        <w:t xml:space="preserve">deixara de fazer sentido pois, face aos novos condicionalismos militares, era necessário organizar-se o território em áreas mais pequenas. Começam então a surgir na documentação medieval as referências às </w:t>
      </w:r>
      <w:r w:rsidRPr="0011294E">
        <w:rPr>
          <w:rFonts w:ascii="Times New Roman" w:hAnsi="Times New Roman"/>
          <w:i/>
          <w:iCs/>
          <w:sz w:val="24"/>
          <w:szCs w:val="24"/>
        </w:rPr>
        <w:t>terras</w:t>
      </w:r>
      <w:r w:rsidRPr="0011294E">
        <w:rPr>
          <w:rFonts w:ascii="Times New Roman" w:hAnsi="Times New Roman"/>
          <w:sz w:val="24"/>
          <w:szCs w:val="24"/>
        </w:rPr>
        <w:t xml:space="preserve">, novas unidades administrativas e militares, com uma área muito menor que as </w:t>
      </w:r>
      <w:r w:rsidRPr="0011294E">
        <w:rPr>
          <w:rFonts w:ascii="Times New Roman" w:hAnsi="Times New Roman"/>
          <w:i/>
          <w:iCs/>
          <w:sz w:val="24"/>
          <w:szCs w:val="24"/>
        </w:rPr>
        <w:t>civitates</w:t>
      </w:r>
      <w:r w:rsidRPr="0011294E">
        <w:rPr>
          <w:rFonts w:ascii="Times New Roman" w:hAnsi="Times New Roman"/>
          <w:sz w:val="24"/>
          <w:szCs w:val="24"/>
        </w:rPr>
        <w:t>, e que tinham à frente dos seus destinos militares um castelo cabeça-de-terra de que era tenente um elemento da nobreza local. Trata-se essencialmente da transição de um “modelo condal” para um “modelo senhorial”, face à crescente influência da nobreza local, os chamados “infanções”</w:t>
      </w:r>
      <w:r w:rsidRPr="0011294E">
        <w:rPr>
          <w:rStyle w:val="Refdenotaderodap"/>
          <w:rFonts w:ascii="Times New Roman" w:hAnsi="Times New Roman"/>
          <w:sz w:val="24"/>
          <w:szCs w:val="24"/>
        </w:rPr>
        <w:footnoteReference w:id="139"/>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 xml:space="preserve">Assim, cada terra possuía uma única estrutura militar, o castelo cabeça-de-terra, onde se concentrava e corporizava o poder desse território. O triunfo das terras </w:t>
      </w:r>
      <w:r w:rsidRPr="0011294E">
        <w:rPr>
          <w:rFonts w:ascii="Times New Roman" w:hAnsi="Times New Roman"/>
          <w:sz w:val="24"/>
          <w:szCs w:val="24"/>
        </w:rPr>
        <w:lastRenderedPageBreak/>
        <w:t>conduziu, de certa maneira, a um “desincastelamento”, face à redução das estruturas fortificadas originada pela nova organização territorial e administrativa. Estas estruturas implantavam-se no alto dos montes, aproveitando os afloramentos rochosos, de forma a potenciar a defesa do local e permitir um amplo campo de visão</w:t>
      </w:r>
      <w:r w:rsidRPr="0011294E">
        <w:rPr>
          <w:rStyle w:val="Refdenotaderodap"/>
          <w:rFonts w:ascii="Times New Roman" w:hAnsi="Times New Roman"/>
          <w:sz w:val="24"/>
          <w:szCs w:val="24"/>
        </w:rPr>
        <w:footnoteReference w:id="140"/>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iCs/>
          <w:sz w:val="24"/>
          <w:szCs w:val="24"/>
        </w:rPr>
      </w:pPr>
      <w:r w:rsidRPr="0011294E">
        <w:rPr>
          <w:rFonts w:ascii="Times New Roman" w:hAnsi="Times New Roman"/>
          <w:iCs/>
          <w:sz w:val="24"/>
          <w:szCs w:val="24"/>
        </w:rPr>
        <w:t xml:space="preserve">A partir do final do século XI e inícios do século XII a designação Batocas desaparece da documentação. Esta situação pode ser explicada pelo triunfo das terras, uma vez que as referências a estruturas fortificadas desaparecem quando a </w:t>
      </w:r>
      <w:r w:rsidRPr="0011294E">
        <w:rPr>
          <w:rFonts w:ascii="Times New Roman" w:hAnsi="Times New Roman"/>
          <w:i/>
          <w:iCs/>
          <w:sz w:val="24"/>
          <w:szCs w:val="24"/>
        </w:rPr>
        <w:t>Terra</w:t>
      </w:r>
      <w:r w:rsidRPr="0011294E">
        <w:rPr>
          <w:rFonts w:ascii="Times New Roman" w:hAnsi="Times New Roman"/>
          <w:iCs/>
          <w:sz w:val="24"/>
          <w:szCs w:val="24"/>
        </w:rPr>
        <w:t xml:space="preserve"> está já estruturada. Estes tenentes eram nomeados pelos monarcas, que delegavam neles o poder de administrar o território do ponto de vista militar, judicial e fiscal. Um poder delegado por tempo não determinado. Desta forma os tenentes nunca foram verdadeiramente senhores destes territórios. Ao delegar neles competências militares, administrativas e judiciais, D. Fernando pretendia restringir o poder condal, transferindo progressivamente para um grupo social emergente, que tornava os novos tenentes dependentes do monarca por laços de vassalidade</w:t>
      </w:r>
      <w:r w:rsidRPr="0011294E">
        <w:rPr>
          <w:rStyle w:val="Refdenotaderodap"/>
          <w:rFonts w:ascii="Times New Roman" w:hAnsi="Times New Roman"/>
          <w:iCs/>
          <w:sz w:val="24"/>
          <w:szCs w:val="24"/>
        </w:rPr>
        <w:footnoteReference w:id="141"/>
      </w:r>
      <w:r w:rsidRPr="0011294E">
        <w:rPr>
          <w:rFonts w:ascii="Times New Roman" w:hAnsi="Times New Roman"/>
          <w:iCs/>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iCs/>
          <w:sz w:val="24"/>
          <w:szCs w:val="24"/>
        </w:rPr>
        <w:t xml:space="preserve">A 17 de Junho de 1253 encontramos um aforamento das herdades foreiras e reguengas que D. Afonso III tinha em Rio Livre: </w:t>
      </w:r>
      <w:r w:rsidRPr="0011294E">
        <w:rPr>
          <w:rFonts w:ascii="Times New Roman" w:hAnsi="Times New Roman"/>
          <w:i/>
          <w:iCs/>
          <w:sz w:val="24"/>
          <w:szCs w:val="24"/>
        </w:rPr>
        <w:t xml:space="preserve">“dou e concedo aos homens de Rio Livre todas as minhas herdades foreiras e reguengas que tenho na própria terra de Rio Livre (…) e os mesmos homens devem dar-me (…) anualmente por ocasião da festa de São Martinho, quatrocentos morabitinos” </w:t>
      </w:r>
      <w:r w:rsidRPr="0011294E">
        <w:rPr>
          <w:rStyle w:val="Refdenotaderodap"/>
          <w:rFonts w:ascii="Times New Roman" w:hAnsi="Times New Roman"/>
          <w:i/>
          <w:sz w:val="24"/>
          <w:szCs w:val="24"/>
        </w:rPr>
        <w:footnoteReference w:id="142"/>
      </w:r>
      <w:r w:rsidRPr="0011294E">
        <w:rPr>
          <w:rFonts w:ascii="Times New Roman" w:hAnsi="Times New Roman"/>
          <w:i/>
          <w:sz w:val="24"/>
          <w:szCs w:val="24"/>
        </w:rPr>
        <w:t xml:space="preserve">. </w:t>
      </w:r>
      <w:r w:rsidRPr="0011294E">
        <w:rPr>
          <w:rFonts w:ascii="Times New Roman" w:hAnsi="Times New Roman"/>
          <w:sz w:val="24"/>
          <w:szCs w:val="24"/>
        </w:rPr>
        <w:t xml:space="preserve">A partir deste documento vamos assistir a uma maior intervenção do monarca D. Afonso III na terra de Monforte comprovado ainda pelas inquirições de 1258 ao Julgado de Monforte de Rio Livre e posteriormente em 1273 pela outorga do Foral. De facto, segundo nos diz Gama Barros, “da existência de castelos, castros ou postos fortificados na segunda metade do século XI, compreendidos na região que depois pertenceu o reino de Portugal, nasceram as </w:t>
      </w:r>
      <w:r w:rsidRPr="0011294E">
        <w:rPr>
          <w:rFonts w:ascii="Times New Roman" w:hAnsi="Times New Roman"/>
          <w:i/>
          <w:sz w:val="24"/>
          <w:szCs w:val="24"/>
        </w:rPr>
        <w:t>villas</w:t>
      </w:r>
      <w:r w:rsidRPr="0011294E">
        <w:rPr>
          <w:rFonts w:ascii="Times New Roman" w:hAnsi="Times New Roman"/>
          <w:sz w:val="24"/>
          <w:szCs w:val="24"/>
        </w:rPr>
        <w:t xml:space="preserve"> que, no correr dos tempos, se foram povoando junto deles, à sombra da proteção e </w:t>
      </w:r>
      <w:r w:rsidR="009D2BEB" w:rsidRPr="0011294E">
        <w:rPr>
          <w:rFonts w:ascii="Times New Roman" w:hAnsi="Times New Roman"/>
          <w:sz w:val="24"/>
          <w:szCs w:val="24"/>
        </w:rPr>
        <w:t>refúgio</w:t>
      </w:r>
      <w:r w:rsidRPr="0011294E">
        <w:rPr>
          <w:rFonts w:ascii="Times New Roman" w:hAnsi="Times New Roman"/>
          <w:sz w:val="24"/>
          <w:szCs w:val="24"/>
        </w:rPr>
        <w:t xml:space="preserve"> que nesta proximidade achavam contra as corrias e os assaltos dos inimigos”</w:t>
      </w:r>
      <w:r w:rsidRPr="0011294E">
        <w:rPr>
          <w:rStyle w:val="Refdenotaderodap"/>
          <w:rFonts w:ascii="Times New Roman" w:hAnsi="Times New Roman"/>
          <w:sz w:val="24"/>
          <w:szCs w:val="24"/>
        </w:rPr>
        <w:footnoteReference w:id="143"/>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iCs/>
          <w:sz w:val="24"/>
          <w:szCs w:val="24"/>
        </w:rPr>
      </w:pPr>
      <w:r w:rsidRPr="0011294E">
        <w:rPr>
          <w:rFonts w:ascii="Times New Roman" w:hAnsi="Times New Roman"/>
          <w:iCs/>
          <w:sz w:val="24"/>
          <w:szCs w:val="24"/>
        </w:rPr>
        <w:t>Nos documentos de chancelaria de D. Afonso III assistimos à tentativa do monarca criar novos núcleos urbanos, com especial incidência na zona de Trás-os-</w:t>
      </w:r>
      <w:r w:rsidRPr="0011294E">
        <w:rPr>
          <w:rFonts w:ascii="Times New Roman" w:hAnsi="Times New Roman"/>
          <w:iCs/>
          <w:sz w:val="24"/>
          <w:szCs w:val="24"/>
        </w:rPr>
        <w:lastRenderedPageBreak/>
        <w:t>Montes e no Vale do Douro. Esta situação mostra uma intenção clara do plano que decorre do poder régio. Este desejo de D. Afonso III tem um significado obviamente demográfico, de incremento do povoamento, assim como numa multiplicidade de outros significados que adquire toda a sua dimensão histórica de modo de reorganização e hierarquização de um território já povoado e portanto de criador do espaço de exercício do poder da Monarquia emergente, que iria culminar na outorga de Foral de 1273 a Monforte de Rio Livre</w:t>
      </w:r>
      <w:r w:rsidRPr="0011294E">
        <w:rPr>
          <w:rStyle w:val="Refdenotaderodap"/>
          <w:rFonts w:ascii="Times New Roman" w:hAnsi="Times New Roman"/>
          <w:iCs/>
          <w:sz w:val="24"/>
          <w:szCs w:val="24"/>
        </w:rPr>
        <w:footnoteReference w:id="144"/>
      </w:r>
      <w:r w:rsidRPr="0011294E">
        <w:rPr>
          <w:rFonts w:ascii="Times New Roman" w:hAnsi="Times New Roman"/>
          <w:iCs/>
          <w:sz w:val="24"/>
          <w:szCs w:val="24"/>
        </w:rPr>
        <w:t>.</w:t>
      </w:r>
    </w:p>
    <w:p w:rsidR="0011294E" w:rsidRPr="0011294E" w:rsidRDefault="0011294E" w:rsidP="0011294E">
      <w:pPr>
        <w:spacing w:line="360" w:lineRule="auto"/>
        <w:jc w:val="both"/>
        <w:rPr>
          <w:rFonts w:ascii="Times New Roman" w:hAnsi="Times New Roman"/>
          <w:b/>
          <w:sz w:val="24"/>
          <w:szCs w:val="24"/>
        </w:rPr>
      </w:pPr>
    </w:p>
    <w:p w:rsidR="0011294E" w:rsidRPr="0011294E" w:rsidRDefault="0011294E" w:rsidP="0011294E">
      <w:pPr>
        <w:spacing w:line="360" w:lineRule="auto"/>
        <w:ind w:firstLine="624"/>
        <w:jc w:val="both"/>
        <w:rPr>
          <w:rFonts w:ascii="Times New Roman" w:hAnsi="Times New Roman"/>
          <w:b/>
          <w:sz w:val="24"/>
          <w:szCs w:val="24"/>
        </w:rPr>
      </w:pPr>
    </w:p>
    <w:p w:rsidR="0011294E" w:rsidRPr="0011294E" w:rsidRDefault="0011294E" w:rsidP="0011294E">
      <w:pPr>
        <w:pStyle w:val="Ttulo2"/>
        <w:rPr>
          <w:rFonts w:ascii="Times New Roman" w:hAnsi="Times New Roman" w:cs="Times New Roman"/>
          <w:sz w:val="24"/>
          <w:szCs w:val="24"/>
        </w:rPr>
      </w:pPr>
      <w:bookmarkStart w:id="16" w:name="_Toc430358530"/>
      <w:bookmarkStart w:id="17" w:name="_Toc441612273"/>
      <w:r w:rsidRPr="0011294E">
        <w:rPr>
          <w:rFonts w:ascii="Times New Roman" w:hAnsi="Times New Roman" w:cs="Times New Roman"/>
          <w:sz w:val="24"/>
          <w:szCs w:val="24"/>
        </w:rPr>
        <w:t>3.2 Monforte de Rio Livre nas Inquirições de 1258.</w:t>
      </w:r>
      <w:bookmarkEnd w:id="16"/>
      <w:bookmarkEnd w:id="17"/>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Para procedermos ao estudo do Julgado de Monforte de Rio Livre devemos recorrer obrigatoriamente às Inquirições de 1258, organizadas pela coroa.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 inquirições régias tiveram como objetivo primordial combater os abusos dos senhorios, laicos e eclesiásticos, cometidos contra os reguengos, terras, direitos e padroados da coroa. Os coutos e as honras estabeleciam-se de forma abusiva e, para além disso, ocultavam o pagamento da colheita, foros, rações e anúduvas. De tudo isto sofria a coroa. O monarca, cujas necessidades em aumentar os rendimentos, quer em géneros, quer em moeda, se tornavam de ano para ano mais prementes, servia-se dos inquéritos para apurar responsabilidades e pôr um termo aos desmandos. Paralelamente ia sendo construído um cadastro bastante imperfeito da propriedade, da distribuição demográfica e dos rendimentos gerais.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As primeiras inquirições gerais foram realizadas no reinado de D. Afonso II, em 1220. Estas inquirições tiveram uma especial incidência no Entre-Douro-e-Minho, Trás-os-Montes e Beira-Norte</w:t>
      </w:r>
      <w:r w:rsidRPr="0011294E">
        <w:rPr>
          <w:rStyle w:val="Refdenotaderodap"/>
          <w:rFonts w:ascii="Times New Roman" w:hAnsi="Times New Roman"/>
          <w:sz w:val="24"/>
          <w:szCs w:val="24"/>
        </w:rPr>
        <w:footnoteReference w:id="145"/>
      </w:r>
      <w:r w:rsidRPr="0011294E">
        <w:rPr>
          <w:rFonts w:ascii="Times New Roman" w:hAnsi="Times New Roman"/>
          <w:sz w:val="24"/>
          <w:szCs w:val="24"/>
        </w:rPr>
        <w:t xml:space="preserve">. Em 1258, D. Afonso III ordenou novos inquéritos, que se alargaram a uma parte significativa do território do reino. As comissões de inquérito foram nomeadas pelo monarca e entre os inquiridores contavam-se representantes dos vários sectores da sociedade (nobreza, clero, concelhos e administração central). Em </w:t>
      </w:r>
      <w:r w:rsidRPr="0011294E">
        <w:rPr>
          <w:rFonts w:ascii="Times New Roman" w:hAnsi="Times New Roman"/>
          <w:sz w:val="24"/>
          <w:szCs w:val="24"/>
        </w:rPr>
        <w:lastRenderedPageBreak/>
        <w:t>cada local eram convocados e inquiridos o juiz de cada Julgado, o pároco da respetiva freguesia e os homens-bons. Nas respostas, como iremos ver, descortinava-se frequentemente, com bastante objetividade e desassombro, as acusações feitas aos privilegiados. O seu objetivo era averiguar a situação dos direitos reais, dos padroados e dos reguengos, em suma dos bens da coroa</w:t>
      </w:r>
      <w:r w:rsidRPr="0011294E">
        <w:rPr>
          <w:rStyle w:val="Refdenotaderodap"/>
          <w:rFonts w:ascii="Times New Roman" w:hAnsi="Times New Roman"/>
          <w:sz w:val="24"/>
          <w:szCs w:val="24"/>
        </w:rPr>
        <w:footnoteReference w:id="146"/>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Um dos aspetos interessante das Inquirições é a versatilidade das suas informações, pelo que se apresentam como um instrumento muito importante para a Arqueologia, na medida em que oferecem dados relativos à toponímia, às unidades de povoamento, ao tipo de produções e às estruturas produtivas ou construídas. O inquérito, organizado por paróquias, permite reconstituir as unidades territoriais mais vastas, como os julgados e terras, possibilitando, assim, a reconstituição do mapa administrativo do Portugal de Duzentos. Para além disso, muitos desses topónimos ficaram registados, não por designarem qualquer uma daquelas unidades, mas sim por se associarem a referências essenciais da paisagem, tanto como elementos fundamentais para a identificação do espaço, como da sua delimitação ou partilha</w:t>
      </w:r>
      <w:r w:rsidRPr="0011294E">
        <w:rPr>
          <w:rStyle w:val="Refdenotaderodap"/>
          <w:rFonts w:ascii="Times New Roman" w:hAnsi="Times New Roman"/>
          <w:sz w:val="24"/>
          <w:szCs w:val="24"/>
        </w:rPr>
        <w:footnoteReference w:id="147"/>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As Inquirições régias proporcionam, de facto, o conhecimento dos limites territoriais em áreas cada vez mais alargadas, oferecendo-nos uma conformação jurisdicional diferente. Na realidade, assiste-se à alteração em certos casos da designação “Terra” para “Julgado”. Tal não significa, porém, que a primeira tenha desaparecido. Pelo contrário, de acordo com José Mattoso, há uma tendência para que uma rede de Terras cubra todo o território nacional que não esteja dependente dos concelhos. Este autor acrescenta ainda que esta alteração se prende com o facto de aos inquiridores interessar realizar o registo da forma como a propriedade régia se agrupava sob uma autoridade não senhorial, percebendo de que forma aqueles que estavam dependentes do monarca se relacionavam com a autoridade régia. Neste caso, eram os juízes</w:t>
      </w:r>
      <w:r w:rsidRPr="0011294E">
        <w:rPr>
          <w:rFonts w:ascii="Times New Roman" w:hAnsi="Times New Roman"/>
          <w:sz w:val="24"/>
          <w:szCs w:val="24"/>
          <w:vertAlign w:val="superscript"/>
        </w:rPr>
        <w:footnoteReference w:id="148"/>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As Inquirições de 1258 vieram proporcionar ao monarca, nas palavras de Leontina Ventura, “um conhecimento quase “fotográfico” do Portugal senhorial”</w:t>
      </w:r>
      <w:r w:rsidRPr="0011294E">
        <w:rPr>
          <w:rFonts w:ascii="Times New Roman" w:hAnsi="Times New Roman"/>
          <w:sz w:val="24"/>
          <w:szCs w:val="24"/>
          <w:vertAlign w:val="superscript"/>
        </w:rPr>
        <w:footnoteReference w:id="149"/>
      </w:r>
      <w:r w:rsidRPr="0011294E">
        <w:rPr>
          <w:rFonts w:ascii="Times New Roman" w:hAnsi="Times New Roman"/>
          <w:sz w:val="24"/>
          <w:szCs w:val="24"/>
        </w:rPr>
        <w:t xml:space="preserve"> na medida em que lhe foi possível ficar a perceber até que ponto as classes privilegiadas constituíam, do ponto de vista senhorial e territorial, uma ameaça ao poder régio, assim como identificar os abusos cometidos. Concluídas as Inquirições, D. Afonso III dispunha das bases necessárias para saber como conduzir uma profunda reforma nos planos da administração, da justiça e da legislação.</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 que distingue as Inquirições de 1220 das de 1258 é o facto de, nas primeiras, a autoridade máxima numa Terra ser exercida por um nobre – o senhor da Terra ou Tenente –, enquanto nas de 1258 o Julgado era a circunscrição administrada por um juiz, oficial de nomeação régia. Em suma, assiste-se a uma alteração de paradigma, perfeitamente sintetizado nas palavras de Leontina Ventura: “a um Portugal senhorial, dividido em </w:t>
      </w:r>
      <w:r w:rsidRPr="0011294E">
        <w:rPr>
          <w:rFonts w:ascii="Times New Roman" w:hAnsi="Times New Roman"/>
          <w:iCs/>
          <w:sz w:val="24"/>
          <w:szCs w:val="24"/>
        </w:rPr>
        <w:t>terras</w:t>
      </w:r>
      <w:r w:rsidRPr="0011294E">
        <w:rPr>
          <w:rFonts w:ascii="Times New Roman" w:hAnsi="Times New Roman"/>
          <w:sz w:val="24"/>
          <w:szCs w:val="24"/>
        </w:rPr>
        <w:t>, foi sucedendo um Portugal régio, dividido em julgados. Aquele impunha-se ao rei, este emanava do rei”</w:t>
      </w:r>
      <w:r w:rsidRPr="0011294E">
        <w:rPr>
          <w:rFonts w:ascii="Times New Roman" w:hAnsi="Times New Roman"/>
          <w:sz w:val="24"/>
          <w:szCs w:val="24"/>
          <w:vertAlign w:val="superscript"/>
        </w:rPr>
        <w:footnoteReference w:id="150"/>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Neste sentido, procedemos à análise das Inquirições de 1258, no Julgado de Rio Livre. Neste caso foram recolhidos dados sobre os títulos de posse de propriedade, sobre a usurpação de direitos e sobre questões de administração local.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Os limites administrativos do Julgado de Rio Livre, em 1258, a que correspondiam as respetivas paróquias, não podem ser conhecidos com rigor, essencialmente por três fatores. Em primeiro lugar, devido às reformas administrativas que se realizaram após essa data, principalmente aquelas que ocorreram no seguimento da revolução liberal, com o propósito da extinção de algumas freguesias e de vários municípios. Em segundo lugar, porque a toponímia de vários lugares mencionados nas </w:t>
      </w:r>
      <w:r w:rsidRPr="0011294E">
        <w:rPr>
          <w:rFonts w:ascii="Times New Roman" w:hAnsi="Times New Roman"/>
          <w:iCs/>
          <w:sz w:val="24"/>
          <w:szCs w:val="24"/>
        </w:rPr>
        <w:t xml:space="preserve">inquirições </w:t>
      </w:r>
      <w:r w:rsidRPr="0011294E">
        <w:rPr>
          <w:rFonts w:ascii="Times New Roman" w:hAnsi="Times New Roman"/>
          <w:sz w:val="24"/>
          <w:szCs w:val="24"/>
        </w:rPr>
        <w:t>sofreu alterações ao longo do tempo, não convergindo com a do presente. Finalmente, em terceiro lugar, porque muitos desses locais foram sendo incorporados em povoações adjacentes que se foram expandindo com a passagem dos séculos, pelo que, mesmo que os seus topónimos se tenham mantido, não se encontram mencionados nas cartas geográficas disponíveis.</w:t>
      </w:r>
    </w:p>
    <w:p w:rsidR="0011294E" w:rsidRPr="0011294E" w:rsidRDefault="0011294E" w:rsidP="0011294E">
      <w:pPr>
        <w:spacing w:line="360" w:lineRule="auto"/>
        <w:ind w:firstLine="624"/>
        <w:jc w:val="both"/>
        <w:rPr>
          <w:rFonts w:ascii="Times New Roman" w:hAnsi="Times New Roman"/>
          <w:bCs/>
          <w:iCs/>
          <w:sz w:val="24"/>
          <w:szCs w:val="24"/>
        </w:rPr>
      </w:pPr>
      <w:r w:rsidRPr="0011294E">
        <w:rPr>
          <w:rFonts w:ascii="Times New Roman" w:hAnsi="Times New Roman"/>
          <w:sz w:val="24"/>
          <w:szCs w:val="24"/>
        </w:rPr>
        <w:lastRenderedPageBreak/>
        <w:t xml:space="preserve">Apesar destes condicionalismos, conseguimos perspetivar os lugares e termos da região. Começamos a nossa análise pelas questões relacionadas com a extensão do Julgado de Rio Livre no século XIII. Assim, o julgado era constituído por várias paróquias que mais tarde se irão transformar nas freguesias do concelho de Monforte de Rio Livre. O julgado de Rio Livre era composto pelas paróquias de </w:t>
      </w:r>
      <w:r w:rsidRPr="0011294E">
        <w:rPr>
          <w:rFonts w:ascii="Times New Roman" w:hAnsi="Times New Roman"/>
          <w:bCs/>
          <w:i/>
          <w:iCs/>
          <w:sz w:val="24"/>
          <w:szCs w:val="24"/>
        </w:rPr>
        <w:t xml:space="preserve">Santala </w:t>
      </w:r>
      <w:r w:rsidRPr="0011294E">
        <w:rPr>
          <w:rFonts w:ascii="Times New Roman" w:hAnsi="Times New Roman"/>
          <w:bCs/>
          <w:iCs/>
          <w:sz w:val="24"/>
          <w:szCs w:val="24"/>
        </w:rPr>
        <w:t>(paróquia de Santa Valha), de</w:t>
      </w:r>
      <w:r w:rsidRPr="0011294E">
        <w:rPr>
          <w:rFonts w:ascii="Times New Roman" w:hAnsi="Times New Roman"/>
          <w:i/>
          <w:iCs/>
          <w:sz w:val="24"/>
          <w:szCs w:val="24"/>
        </w:rPr>
        <w:t> </w:t>
      </w:r>
      <w:r w:rsidRPr="0011294E">
        <w:rPr>
          <w:rFonts w:ascii="Times New Roman" w:hAnsi="Times New Roman"/>
          <w:bCs/>
          <w:i/>
          <w:iCs/>
          <w:sz w:val="24"/>
          <w:szCs w:val="24"/>
        </w:rPr>
        <w:t xml:space="preserve">Sancte Maria de Riparia </w:t>
      </w:r>
      <w:r w:rsidRPr="0011294E">
        <w:rPr>
          <w:rFonts w:ascii="Times New Roman" w:hAnsi="Times New Roman"/>
          <w:bCs/>
          <w:iCs/>
          <w:sz w:val="24"/>
          <w:szCs w:val="24"/>
        </w:rPr>
        <w:t>(paróquia de Bouçais), de</w:t>
      </w:r>
      <w:r w:rsidRPr="0011294E">
        <w:rPr>
          <w:rFonts w:ascii="Times New Roman" w:hAnsi="Times New Roman"/>
          <w:bCs/>
          <w:i/>
          <w:iCs/>
          <w:sz w:val="24"/>
          <w:szCs w:val="24"/>
        </w:rPr>
        <w:t xml:space="preserve"> Sancte Marie de Tiela </w:t>
      </w:r>
      <w:r w:rsidRPr="0011294E">
        <w:rPr>
          <w:rFonts w:ascii="Times New Roman" w:hAnsi="Times New Roman"/>
          <w:bCs/>
          <w:iCs/>
          <w:sz w:val="24"/>
          <w:szCs w:val="24"/>
        </w:rPr>
        <w:t>(paróquia de Tinhela), de</w:t>
      </w:r>
      <w:r w:rsidRPr="0011294E">
        <w:rPr>
          <w:rFonts w:ascii="Times New Roman" w:hAnsi="Times New Roman"/>
          <w:bCs/>
          <w:i/>
          <w:iCs/>
          <w:sz w:val="24"/>
          <w:szCs w:val="24"/>
        </w:rPr>
        <w:t xml:space="preserve"> Sancti Petri de Batocas </w:t>
      </w:r>
      <w:r w:rsidRPr="0011294E">
        <w:rPr>
          <w:rFonts w:ascii="Times New Roman" w:hAnsi="Times New Roman"/>
          <w:bCs/>
          <w:iCs/>
          <w:sz w:val="24"/>
          <w:szCs w:val="24"/>
        </w:rPr>
        <w:t>(paróquia de Batocas-Águas Frias), de</w:t>
      </w:r>
      <w:r w:rsidRPr="0011294E">
        <w:rPr>
          <w:rFonts w:ascii="Times New Roman" w:hAnsi="Times New Roman"/>
          <w:bCs/>
          <w:i/>
          <w:iCs/>
          <w:sz w:val="24"/>
          <w:szCs w:val="24"/>
        </w:rPr>
        <w:t xml:space="preserve"> Sancti Iohanis de Castineyra </w:t>
      </w:r>
      <w:r w:rsidRPr="0011294E">
        <w:rPr>
          <w:rFonts w:ascii="Times New Roman" w:hAnsi="Times New Roman"/>
          <w:bCs/>
          <w:iCs/>
          <w:sz w:val="24"/>
          <w:szCs w:val="24"/>
        </w:rPr>
        <w:t>(paróquia de S. João da Castanheira) e ainda pela paróquia de</w:t>
      </w:r>
      <w:r w:rsidRPr="0011294E">
        <w:rPr>
          <w:rFonts w:ascii="Times New Roman" w:hAnsi="Times New Roman"/>
          <w:bCs/>
          <w:i/>
          <w:iCs/>
          <w:sz w:val="24"/>
          <w:szCs w:val="24"/>
        </w:rPr>
        <w:t xml:space="preserve"> Sancti Michaelis de Feeaes </w:t>
      </w:r>
      <w:r w:rsidRPr="0011294E">
        <w:rPr>
          <w:rFonts w:ascii="Times New Roman" w:hAnsi="Times New Roman"/>
          <w:bCs/>
          <w:iCs/>
          <w:sz w:val="24"/>
          <w:szCs w:val="24"/>
        </w:rPr>
        <w:t xml:space="preserve">(paróquia de S. Miguel de Fiães). </w:t>
      </w:r>
    </w:p>
    <w:p w:rsidR="0011294E" w:rsidRPr="0011294E" w:rsidRDefault="0011294E" w:rsidP="0011294E">
      <w:pPr>
        <w:spacing w:line="360" w:lineRule="auto"/>
        <w:ind w:firstLine="624"/>
        <w:jc w:val="both"/>
        <w:rPr>
          <w:rFonts w:ascii="Times New Roman" w:hAnsi="Times New Roman"/>
          <w:bCs/>
          <w:iCs/>
          <w:sz w:val="24"/>
          <w:szCs w:val="24"/>
        </w:rPr>
      </w:pPr>
    </w:p>
    <w:tbl>
      <w:tblPr>
        <w:tblStyle w:val="Tabelacomgrelha"/>
        <w:tblW w:w="0" w:type="auto"/>
        <w:tblLook w:val="04A0"/>
      </w:tblPr>
      <w:tblGrid>
        <w:gridCol w:w="2161"/>
        <w:gridCol w:w="2161"/>
        <w:gridCol w:w="2161"/>
        <w:gridCol w:w="2161"/>
      </w:tblGrid>
      <w:tr w:rsidR="0011294E" w:rsidRPr="0011294E" w:rsidTr="0011294E">
        <w:tc>
          <w:tcPr>
            <w:tcW w:w="2161" w:type="dxa"/>
            <w:shd w:val="clear" w:color="auto" w:fill="C4BC96" w:themeFill="background2" w:themeFillShade="BF"/>
          </w:tcPr>
          <w:p w:rsidR="0011294E" w:rsidRPr="0011294E" w:rsidRDefault="0011294E" w:rsidP="00DB7206">
            <w:pPr>
              <w:jc w:val="both"/>
              <w:rPr>
                <w:rFonts w:ascii="Times New Roman" w:hAnsi="Times New Roman" w:cs="Times New Roman"/>
                <w:b/>
                <w:sz w:val="24"/>
                <w:szCs w:val="24"/>
              </w:rPr>
            </w:pPr>
            <w:r w:rsidRPr="0011294E">
              <w:rPr>
                <w:rFonts w:ascii="Times New Roman" w:hAnsi="Times New Roman" w:cs="Times New Roman"/>
                <w:b/>
                <w:sz w:val="24"/>
                <w:szCs w:val="24"/>
              </w:rPr>
              <w:t>Localidade</w:t>
            </w:r>
          </w:p>
        </w:tc>
        <w:tc>
          <w:tcPr>
            <w:tcW w:w="2161" w:type="dxa"/>
            <w:shd w:val="clear" w:color="auto" w:fill="C4BC96" w:themeFill="background2" w:themeFillShade="BF"/>
          </w:tcPr>
          <w:p w:rsidR="0011294E" w:rsidRPr="0011294E" w:rsidRDefault="0011294E" w:rsidP="00DB7206">
            <w:pPr>
              <w:jc w:val="both"/>
              <w:rPr>
                <w:rFonts w:ascii="Times New Roman" w:hAnsi="Times New Roman" w:cs="Times New Roman"/>
                <w:b/>
                <w:sz w:val="24"/>
                <w:szCs w:val="24"/>
              </w:rPr>
            </w:pPr>
            <w:r w:rsidRPr="0011294E">
              <w:rPr>
                <w:rFonts w:ascii="Times New Roman" w:hAnsi="Times New Roman" w:cs="Times New Roman"/>
                <w:b/>
                <w:sz w:val="24"/>
                <w:szCs w:val="24"/>
              </w:rPr>
              <w:t xml:space="preserve">Paróquia/Orago </w:t>
            </w:r>
          </w:p>
        </w:tc>
        <w:tc>
          <w:tcPr>
            <w:tcW w:w="2161" w:type="dxa"/>
            <w:shd w:val="clear" w:color="auto" w:fill="C4BC96" w:themeFill="background2" w:themeFillShade="BF"/>
          </w:tcPr>
          <w:p w:rsidR="0011294E" w:rsidRPr="0011294E" w:rsidRDefault="0011294E" w:rsidP="00DB7206">
            <w:pPr>
              <w:jc w:val="both"/>
              <w:rPr>
                <w:rFonts w:ascii="Times New Roman" w:hAnsi="Times New Roman" w:cs="Times New Roman"/>
                <w:b/>
                <w:sz w:val="24"/>
                <w:szCs w:val="24"/>
              </w:rPr>
            </w:pPr>
            <w:r w:rsidRPr="0011294E">
              <w:rPr>
                <w:rFonts w:ascii="Times New Roman" w:hAnsi="Times New Roman" w:cs="Times New Roman"/>
                <w:b/>
                <w:sz w:val="24"/>
                <w:szCs w:val="24"/>
              </w:rPr>
              <w:t>Possuidores</w:t>
            </w:r>
          </w:p>
        </w:tc>
        <w:tc>
          <w:tcPr>
            <w:tcW w:w="2161" w:type="dxa"/>
            <w:shd w:val="clear" w:color="auto" w:fill="C4BC96" w:themeFill="background2" w:themeFillShade="BF"/>
          </w:tcPr>
          <w:p w:rsidR="0011294E" w:rsidRPr="0011294E" w:rsidRDefault="0011294E" w:rsidP="00DB7206">
            <w:pPr>
              <w:jc w:val="both"/>
              <w:rPr>
                <w:rFonts w:ascii="Times New Roman" w:hAnsi="Times New Roman" w:cs="Times New Roman"/>
                <w:b/>
                <w:sz w:val="24"/>
                <w:szCs w:val="24"/>
              </w:rPr>
            </w:pPr>
            <w:r w:rsidRPr="0011294E">
              <w:rPr>
                <w:rFonts w:ascii="Times New Roman" w:hAnsi="Times New Roman" w:cs="Times New Roman"/>
                <w:b/>
                <w:sz w:val="24"/>
                <w:szCs w:val="24"/>
              </w:rPr>
              <w:t>P.M.H. Inq.</w:t>
            </w:r>
          </w:p>
        </w:tc>
      </w:tr>
      <w:tr w:rsidR="0011294E" w:rsidRPr="0011294E" w:rsidTr="0011294E">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Santa Valha</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 xml:space="preserve">Santa Valha </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Padroado: Sé de Braga</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p.1344</w:t>
            </w:r>
          </w:p>
        </w:tc>
      </w:tr>
      <w:tr w:rsidR="0011294E" w:rsidRPr="0011294E" w:rsidTr="0011294E">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Bouçais</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Santa Maria da Riparia</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Padroado: ½ Sé de Braga; ½ Rei</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p.1345</w:t>
            </w:r>
          </w:p>
        </w:tc>
      </w:tr>
      <w:tr w:rsidR="0011294E" w:rsidRPr="0011294E" w:rsidTr="0011294E">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Tinhela</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 xml:space="preserve">Santa Maria de Tiela </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Padroado: ½ Rei; ½ Sé de Braga</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p.1346</w:t>
            </w:r>
          </w:p>
        </w:tc>
      </w:tr>
      <w:tr w:rsidR="0011294E" w:rsidRPr="0011294E" w:rsidTr="0011294E">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Águas Frias</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São Pedro de Batocas</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Padroado: ¼ Vasco Sanches Barbosa (netos de); ¼ Urraca Hermiges</w:t>
            </w:r>
          </w:p>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 xml:space="preserve">(filhos de); ¼ Álvaro Peres. </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p.1347</w:t>
            </w:r>
          </w:p>
        </w:tc>
      </w:tr>
      <w:tr w:rsidR="0011294E" w:rsidRPr="0011294E" w:rsidTr="0011294E">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S. João da Castanheira</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São João da Castanheira</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Padroado: ½ Rei; ½ Ordem do Hospital</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p.1348</w:t>
            </w:r>
          </w:p>
        </w:tc>
      </w:tr>
      <w:tr w:rsidR="0011294E" w:rsidRPr="0011294E" w:rsidTr="0011294E">
        <w:tc>
          <w:tcPr>
            <w:tcW w:w="2161" w:type="dxa"/>
          </w:tcPr>
          <w:p w:rsidR="0011294E" w:rsidRPr="0011294E" w:rsidRDefault="0011294E" w:rsidP="00DB7206">
            <w:pPr>
              <w:jc w:val="both"/>
              <w:rPr>
                <w:rFonts w:ascii="Times New Roman" w:hAnsi="Times New Roman" w:cs="Times New Roman"/>
                <w:bCs/>
                <w:i/>
                <w:sz w:val="24"/>
                <w:szCs w:val="24"/>
              </w:rPr>
            </w:pPr>
            <w:r w:rsidRPr="0011294E">
              <w:rPr>
                <w:rFonts w:ascii="Times New Roman" w:hAnsi="Times New Roman" w:cs="Times New Roman"/>
                <w:sz w:val="24"/>
                <w:szCs w:val="24"/>
              </w:rPr>
              <w:t>Fiães</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São Miguel de Fiães</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Padroado: Rei</w:t>
            </w:r>
          </w:p>
        </w:tc>
        <w:tc>
          <w:tcPr>
            <w:tcW w:w="2161" w:type="dxa"/>
          </w:tcPr>
          <w:p w:rsidR="0011294E" w:rsidRPr="0011294E" w:rsidRDefault="0011294E" w:rsidP="00DB7206">
            <w:pPr>
              <w:jc w:val="both"/>
              <w:rPr>
                <w:rFonts w:ascii="Times New Roman" w:hAnsi="Times New Roman" w:cs="Times New Roman"/>
                <w:sz w:val="24"/>
                <w:szCs w:val="24"/>
              </w:rPr>
            </w:pPr>
            <w:r w:rsidRPr="0011294E">
              <w:rPr>
                <w:rFonts w:ascii="Times New Roman" w:hAnsi="Times New Roman" w:cs="Times New Roman"/>
                <w:sz w:val="24"/>
                <w:szCs w:val="24"/>
              </w:rPr>
              <w:t>p.1348</w:t>
            </w:r>
          </w:p>
        </w:tc>
      </w:tr>
    </w:tbl>
    <w:p w:rsidR="0011294E" w:rsidRPr="0011294E" w:rsidRDefault="0011294E" w:rsidP="0011294E">
      <w:pPr>
        <w:spacing w:line="360" w:lineRule="auto"/>
        <w:ind w:firstLine="1134"/>
        <w:jc w:val="both"/>
        <w:rPr>
          <w:rFonts w:ascii="Times New Roman" w:hAnsi="Times New Roman"/>
          <w:sz w:val="24"/>
          <w:szCs w:val="24"/>
        </w:rPr>
      </w:pPr>
      <w:r w:rsidRPr="0011294E">
        <w:rPr>
          <w:rFonts w:ascii="Times New Roman" w:hAnsi="Times New Roman"/>
          <w:b/>
          <w:sz w:val="24"/>
          <w:szCs w:val="24"/>
        </w:rPr>
        <w:t>Quadro 1:</w:t>
      </w:r>
      <w:r w:rsidRPr="0011294E">
        <w:rPr>
          <w:rFonts w:ascii="Times New Roman" w:hAnsi="Times New Roman"/>
          <w:sz w:val="24"/>
          <w:szCs w:val="24"/>
        </w:rPr>
        <w:t>Registo de localidades, paróquias e possuidores</w:t>
      </w:r>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bCs/>
          <w:iCs/>
          <w:sz w:val="24"/>
          <w:szCs w:val="24"/>
        </w:rPr>
      </w:pPr>
      <w:r w:rsidRPr="0011294E">
        <w:rPr>
          <w:rFonts w:ascii="Times New Roman" w:hAnsi="Times New Roman"/>
          <w:bCs/>
          <w:iCs/>
          <w:sz w:val="24"/>
          <w:szCs w:val="24"/>
        </w:rPr>
        <w:t>Importa igualmente referir que num documento do século XI no tombo de Celanova, sobre a Terra de Montenegro, são mencionadas as vilas de Fiães e da Castanheira, que em 1258 integram o julgado de Rio Livre como sedes paroquiais</w:t>
      </w:r>
      <w:r w:rsidRPr="0011294E">
        <w:rPr>
          <w:rFonts w:ascii="Times New Roman" w:hAnsi="Times New Roman"/>
          <w:bCs/>
          <w:iCs/>
          <w:sz w:val="24"/>
          <w:szCs w:val="24"/>
          <w:vertAlign w:val="superscript"/>
        </w:rPr>
        <w:footnoteReference w:id="151"/>
      </w:r>
      <w:r w:rsidRPr="0011294E">
        <w:rPr>
          <w:rFonts w:ascii="Times New Roman" w:hAnsi="Times New Roman"/>
          <w:bCs/>
          <w:iCs/>
          <w:sz w:val="24"/>
          <w:szCs w:val="24"/>
        </w:rPr>
        <w:t xml:space="preserve">. </w:t>
      </w:r>
    </w:p>
    <w:p w:rsidR="0011294E" w:rsidRPr="0011294E" w:rsidRDefault="0011294E" w:rsidP="0011294E">
      <w:pPr>
        <w:spacing w:line="360" w:lineRule="auto"/>
        <w:ind w:firstLine="624"/>
        <w:jc w:val="both"/>
        <w:rPr>
          <w:rFonts w:ascii="Times New Roman" w:hAnsi="Times New Roman"/>
          <w:bCs/>
          <w:iCs/>
          <w:sz w:val="24"/>
          <w:szCs w:val="24"/>
        </w:rPr>
      </w:pPr>
    </w:p>
    <w:p w:rsidR="0011294E" w:rsidRDefault="0011294E" w:rsidP="00CF23E3">
      <w:pPr>
        <w:spacing w:line="360" w:lineRule="auto"/>
        <w:jc w:val="both"/>
        <w:rPr>
          <w:rFonts w:ascii="Times New Roman" w:hAnsi="Times New Roman"/>
          <w:bCs/>
          <w:iCs/>
          <w:sz w:val="24"/>
          <w:szCs w:val="24"/>
        </w:rPr>
      </w:pPr>
    </w:p>
    <w:p w:rsidR="00CF23E3" w:rsidRPr="0011294E" w:rsidRDefault="00CF23E3" w:rsidP="00CF23E3">
      <w:pPr>
        <w:spacing w:line="360" w:lineRule="auto"/>
        <w:jc w:val="both"/>
        <w:rPr>
          <w:rFonts w:ascii="Times New Roman" w:hAnsi="Times New Roman"/>
          <w:bCs/>
          <w:iCs/>
          <w:sz w:val="24"/>
          <w:szCs w:val="24"/>
        </w:rPr>
      </w:pPr>
    </w:p>
    <w:tbl>
      <w:tblPr>
        <w:tblStyle w:val="Tabelacomgrelha"/>
        <w:tblW w:w="9396" w:type="dxa"/>
        <w:tblLook w:val="04A0"/>
      </w:tblPr>
      <w:tblGrid>
        <w:gridCol w:w="2093"/>
        <w:gridCol w:w="1417"/>
        <w:gridCol w:w="1798"/>
        <w:gridCol w:w="2597"/>
        <w:gridCol w:w="1491"/>
      </w:tblGrid>
      <w:tr w:rsidR="0011294E" w:rsidRPr="0011294E" w:rsidTr="0011294E">
        <w:trPr>
          <w:trHeight w:val="286"/>
        </w:trPr>
        <w:tc>
          <w:tcPr>
            <w:tcW w:w="3510" w:type="dxa"/>
            <w:gridSpan w:val="2"/>
            <w:shd w:val="clear" w:color="auto" w:fill="C4BC96" w:themeFill="background2" w:themeFillShade="BF"/>
            <w:noWrap/>
            <w:hideMark/>
          </w:tcPr>
          <w:p w:rsidR="0011294E" w:rsidRPr="0011294E" w:rsidRDefault="0011294E" w:rsidP="0011294E">
            <w:pPr>
              <w:jc w:val="both"/>
              <w:rPr>
                <w:rFonts w:ascii="Times New Roman" w:eastAsia="Times New Roman" w:hAnsi="Times New Roman" w:cs="Times New Roman"/>
                <w:b/>
                <w:sz w:val="24"/>
                <w:szCs w:val="24"/>
                <w:lang w:eastAsia="pt-PT"/>
              </w:rPr>
            </w:pPr>
            <w:r w:rsidRPr="0011294E">
              <w:rPr>
                <w:rFonts w:ascii="Times New Roman" w:eastAsia="Times New Roman" w:hAnsi="Times New Roman" w:cs="Times New Roman"/>
                <w:b/>
                <w:sz w:val="24"/>
                <w:szCs w:val="24"/>
                <w:lang w:eastAsia="pt-PT"/>
              </w:rPr>
              <w:lastRenderedPageBreak/>
              <w:t>Freguesias</w:t>
            </w:r>
          </w:p>
        </w:tc>
        <w:tc>
          <w:tcPr>
            <w:tcW w:w="4395" w:type="dxa"/>
            <w:gridSpan w:val="2"/>
            <w:shd w:val="clear" w:color="auto" w:fill="C4BC96" w:themeFill="background2" w:themeFillShade="BF"/>
          </w:tcPr>
          <w:p w:rsidR="0011294E" w:rsidRPr="0011294E" w:rsidRDefault="0011294E" w:rsidP="0011294E">
            <w:pPr>
              <w:jc w:val="both"/>
              <w:rPr>
                <w:rFonts w:ascii="Times New Roman" w:eastAsia="Times New Roman" w:hAnsi="Times New Roman" w:cs="Times New Roman"/>
                <w:b/>
                <w:sz w:val="24"/>
                <w:szCs w:val="24"/>
                <w:lang w:eastAsia="pt-PT"/>
              </w:rPr>
            </w:pPr>
            <w:r w:rsidRPr="0011294E">
              <w:rPr>
                <w:rFonts w:ascii="Times New Roman" w:eastAsia="Times New Roman" w:hAnsi="Times New Roman" w:cs="Times New Roman"/>
                <w:b/>
                <w:sz w:val="24"/>
                <w:szCs w:val="24"/>
                <w:lang w:eastAsia="pt-PT"/>
              </w:rPr>
              <w:t>Localidades</w:t>
            </w:r>
          </w:p>
        </w:tc>
        <w:tc>
          <w:tcPr>
            <w:tcW w:w="1491" w:type="dxa"/>
            <w:vMerge w:val="restart"/>
            <w:shd w:val="clear" w:color="auto" w:fill="C4BC96" w:themeFill="background2" w:themeFillShade="BF"/>
          </w:tcPr>
          <w:p w:rsidR="0011294E" w:rsidRPr="0011294E" w:rsidRDefault="0011294E" w:rsidP="0011294E">
            <w:pPr>
              <w:jc w:val="both"/>
              <w:rPr>
                <w:rFonts w:ascii="Times New Roman" w:hAnsi="Times New Roman" w:cs="Times New Roman"/>
                <w:b/>
                <w:sz w:val="24"/>
                <w:szCs w:val="24"/>
              </w:rPr>
            </w:pPr>
          </w:p>
          <w:p w:rsidR="0011294E" w:rsidRPr="0011294E" w:rsidRDefault="0011294E" w:rsidP="0011294E">
            <w:pPr>
              <w:jc w:val="both"/>
              <w:rPr>
                <w:rFonts w:ascii="Times New Roman" w:hAnsi="Times New Roman" w:cs="Times New Roman"/>
                <w:b/>
                <w:sz w:val="24"/>
                <w:szCs w:val="24"/>
              </w:rPr>
            </w:pPr>
          </w:p>
          <w:p w:rsidR="0011294E" w:rsidRPr="0011294E" w:rsidRDefault="0011294E" w:rsidP="0011294E">
            <w:pPr>
              <w:jc w:val="both"/>
              <w:rPr>
                <w:rFonts w:ascii="Times New Roman" w:hAnsi="Times New Roman" w:cs="Times New Roman"/>
                <w:b/>
                <w:sz w:val="24"/>
                <w:szCs w:val="24"/>
              </w:rPr>
            </w:pPr>
            <w:r w:rsidRPr="0011294E">
              <w:rPr>
                <w:rFonts w:ascii="Times New Roman" w:hAnsi="Times New Roman" w:cs="Times New Roman"/>
                <w:b/>
                <w:sz w:val="24"/>
                <w:szCs w:val="24"/>
              </w:rPr>
              <w:t xml:space="preserve"> P.M.H., Inq.</w:t>
            </w:r>
          </w:p>
        </w:tc>
      </w:tr>
      <w:tr w:rsidR="0011294E" w:rsidRPr="0011294E" w:rsidTr="0011294E">
        <w:trPr>
          <w:trHeight w:val="286"/>
        </w:trPr>
        <w:tc>
          <w:tcPr>
            <w:tcW w:w="2093" w:type="dxa"/>
            <w:shd w:val="clear" w:color="auto" w:fill="C4BC96" w:themeFill="background2" w:themeFillShade="BF"/>
            <w:noWrap/>
            <w:hideMark/>
          </w:tcPr>
          <w:p w:rsidR="0011294E" w:rsidRPr="0011294E" w:rsidRDefault="0011294E" w:rsidP="0011294E">
            <w:pPr>
              <w:jc w:val="both"/>
              <w:rPr>
                <w:rFonts w:ascii="Times New Roman" w:eastAsia="Times New Roman" w:hAnsi="Times New Roman" w:cs="Times New Roman"/>
                <w:b/>
                <w:sz w:val="24"/>
                <w:szCs w:val="24"/>
                <w:lang w:eastAsia="pt-PT"/>
              </w:rPr>
            </w:pPr>
            <w:r w:rsidRPr="0011294E">
              <w:rPr>
                <w:rFonts w:ascii="Times New Roman" w:eastAsia="Times New Roman" w:hAnsi="Times New Roman" w:cs="Times New Roman"/>
                <w:b/>
                <w:sz w:val="24"/>
                <w:szCs w:val="24"/>
                <w:lang w:eastAsia="pt-PT"/>
              </w:rPr>
              <w:t>Designação nas Inquirições</w:t>
            </w:r>
          </w:p>
        </w:tc>
        <w:tc>
          <w:tcPr>
            <w:tcW w:w="1417" w:type="dxa"/>
            <w:shd w:val="clear" w:color="auto" w:fill="C4BC96" w:themeFill="background2" w:themeFillShade="BF"/>
            <w:noWrap/>
            <w:hideMark/>
          </w:tcPr>
          <w:p w:rsidR="0011294E" w:rsidRPr="0011294E" w:rsidRDefault="0011294E" w:rsidP="0011294E">
            <w:pPr>
              <w:jc w:val="both"/>
              <w:rPr>
                <w:rFonts w:ascii="Times New Roman" w:eastAsia="Times New Roman" w:hAnsi="Times New Roman" w:cs="Times New Roman"/>
                <w:b/>
                <w:sz w:val="24"/>
                <w:szCs w:val="24"/>
                <w:lang w:eastAsia="pt-PT"/>
              </w:rPr>
            </w:pPr>
            <w:r w:rsidRPr="0011294E">
              <w:rPr>
                <w:rFonts w:ascii="Times New Roman" w:eastAsia="Times New Roman" w:hAnsi="Times New Roman" w:cs="Times New Roman"/>
                <w:b/>
                <w:sz w:val="24"/>
                <w:szCs w:val="24"/>
                <w:lang w:eastAsia="pt-PT"/>
              </w:rPr>
              <w:t>Designação Atual</w:t>
            </w:r>
          </w:p>
        </w:tc>
        <w:tc>
          <w:tcPr>
            <w:tcW w:w="1798" w:type="dxa"/>
            <w:shd w:val="clear" w:color="auto" w:fill="C4BC96" w:themeFill="background2" w:themeFillShade="BF"/>
          </w:tcPr>
          <w:p w:rsidR="0011294E" w:rsidRPr="0011294E" w:rsidRDefault="0011294E" w:rsidP="0011294E">
            <w:pPr>
              <w:jc w:val="both"/>
              <w:rPr>
                <w:rFonts w:ascii="Times New Roman" w:eastAsia="Times New Roman" w:hAnsi="Times New Roman" w:cs="Times New Roman"/>
                <w:b/>
                <w:sz w:val="24"/>
                <w:szCs w:val="24"/>
                <w:lang w:eastAsia="pt-PT"/>
              </w:rPr>
            </w:pPr>
            <w:r w:rsidRPr="0011294E">
              <w:rPr>
                <w:rFonts w:ascii="Times New Roman" w:eastAsia="Times New Roman" w:hAnsi="Times New Roman" w:cs="Times New Roman"/>
                <w:b/>
                <w:sz w:val="24"/>
                <w:szCs w:val="24"/>
                <w:lang w:eastAsia="pt-PT"/>
              </w:rPr>
              <w:t>Designação nas Inquirições</w:t>
            </w:r>
          </w:p>
        </w:tc>
        <w:tc>
          <w:tcPr>
            <w:tcW w:w="2597" w:type="dxa"/>
            <w:shd w:val="clear" w:color="auto" w:fill="C4BC96" w:themeFill="background2" w:themeFillShade="BF"/>
          </w:tcPr>
          <w:p w:rsidR="0011294E" w:rsidRPr="0011294E" w:rsidRDefault="0011294E" w:rsidP="0011294E">
            <w:pPr>
              <w:jc w:val="both"/>
              <w:rPr>
                <w:rFonts w:ascii="Times New Roman" w:eastAsia="Times New Roman" w:hAnsi="Times New Roman" w:cs="Times New Roman"/>
                <w:b/>
                <w:sz w:val="24"/>
                <w:szCs w:val="24"/>
                <w:lang w:eastAsia="pt-PT"/>
              </w:rPr>
            </w:pPr>
            <w:r w:rsidRPr="0011294E">
              <w:rPr>
                <w:rFonts w:ascii="Times New Roman" w:eastAsia="Times New Roman" w:hAnsi="Times New Roman" w:cs="Times New Roman"/>
                <w:b/>
                <w:sz w:val="24"/>
                <w:szCs w:val="24"/>
                <w:lang w:eastAsia="pt-PT"/>
              </w:rPr>
              <w:t>Designação e  Localização Atuais</w:t>
            </w:r>
          </w:p>
        </w:tc>
        <w:tc>
          <w:tcPr>
            <w:tcW w:w="1491" w:type="dxa"/>
            <w:vMerge/>
          </w:tcPr>
          <w:p w:rsidR="0011294E" w:rsidRPr="0011294E" w:rsidRDefault="0011294E" w:rsidP="0011294E">
            <w:pPr>
              <w:jc w:val="both"/>
              <w:rPr>
                <w:rFonts w:ascii="Times New Roman" w:eastAsia="Times New Roman" w:hAnsi="Times New Roman" w:cs="Times New Roman"/>
                <w:b/>
                <w:sz w:val="24"/>
                <w:szCs w:val="24"/>
                <w:lang w:eastAsia="pt-PT"/>
              </w:rPr>
            </w:pPr>
          </w:p>
        </w:tc>
      </w:tr>
      <w:tr w:rsidR="0011294E" w:rsidRPr="0011294E" w:rsidTr="0011294E">
        <w:trPr>
          <w:trHeight w:val="286"/>
        </w:trPr>
        <w:tc>
          <w:tcPr>
            <w:tcW w:w="2093" w:type="dxa"/>
            <w:vMerge w:val="restart"/>
            <w:noWrap/>
            <w:hideMark/>
          </w:tcPr>
          <w:p w:rsidR="0011294E" w:rsidRPr="0011294E" w:rsidRDefault="0011294E" w:rsidP="0011294E">
            <w:pPr>
              <w:jc w:val="both"/>
              <w:rPr>
                <w:rFonts w:ascii="Times New Roman" w:eastAsia="Times New Roman" w:hAnsi="Times New Roman" w:cs="Times New Roman"/>
                <w:i/>
                <w:sz w:val="24"/>
                <w:szCs w:val="24"/>
                <w:lang w:eastAsia="pt-PT"/>
              </w:rPr>
            </w:pPr>
            <w:r w:rsidRPr="0011294E">
              <w:rPr>
                <w:rFonts w:ascii="Times New Roman" w:eastAsia="Times New Roman" w:hAnsi="Times New Roman" w:cs="Times New Roman"/>
                <w:bCs/>
                <w:i/>
                <w:sz w:val="24"/>
                <w:szCs w:val="24"/>
                <w:lang w:eastAsia="pt-PT"/>
              </w:rPr>
              <w:t>Parrochia  Sante Maria de Riparia</w:t>
            </w:r>
          </w:p>
        </w:tc>
        <w:tc>
          <w:tcPr>
            <w:tcW w:w="1417" w:type="dxa"/>
            <w:vMerge w:val="restart"/>
            <w:noWrap/>
            <w:hideMark/>
          </w:tcPr>
          <w:p w:rsidR="0011294E" w:rsidRPr="0011294E" w:rsidRDefault="0011294E" w:rsidP="0011294E">
            <w:pPr>
              <w:jc w:val="both"/>
              <w:rPr>
                <w:rFonts w:ascii="Times New Roman" w:eastAsia="Times New Roman" w:hAnsi="Times New Roman" w:cs="Times New Roman"/>
                <w:sz w:val="24"/>
                <w:szCs w:val="24"/>
                <w:lang w:eastAsia="pt-PT"/>
              </w:rPr>
            </w:pPr>
            <w:r w:rsidRPr="0011294E">
              <w:rPr>
                <w:rFonts w:ascii="Times New Roman" w:eastAsia="Times New Roman" w:hAnsi="Times New Roman" w:cs="Times New Roman"/>
                <w:sz w:val="24"/>
                <w:szCs w:val="24"/>
                <w:lang w:eastAsia="pt-PT"/>
              </w:rPr>
              <w:t xml:space="preserve"> Bouçais</w:t>
            </w:r>
          </w:p>
        </w:tc>
        <w:tc>
          <w:tcPr>
            <w:tcW w:w="1798" w:type="dxa"/>
          </w:tcPr>
          <w:p w:rsidR="0011294E" w:rsidRPr="0011294E" w:rsidRDefault="0011294E" w:rsidP="0011294E">
            <w:pPr>
              <w:jc w:val="both"/>
              <w:rPr>
                <w:rFonts w:ascii="Times New Roman" w:eastAsia="Times New Roman" w:hAnsi="Times New Roman" w:cs="Times New Roman"/>
                <w:sz w:val="24"/>
                <w:szCs w:val="24"/>
                <w:lang w:eastAsia="pt-PT"/>
              </w:rPr>
            </w:pPr>
            <w:r w:rsidRPr="0011294E">
              <w:rPr>
                <w:rFonts w:ascii="Times New Roman" w:hAnsi="Times New Roman" w:cs="Times New Roman"/>
                <w:bCs/>
                <w:i/>
                <w:iCs/>
                <w:sz w:val="24"/>
                <w:szCs w:val="24"/>
              </w:rPr>
              <w:t>Trotomir</w:t>
            </w:r>
          </w:p>
        </w:tc>
        <w:tc>
          <w:tcPr>
            <w:tcW w:w="2597" w:type="dxa"/>
          </w:tcPr>
          <w:p w:rsidR="0011294E" w:rsidRPr="0011294E" w:rsidRDefault="0011294E" w:rsidP="0011294E">
            <w:pPr>
              <w:rPr>
                <w:rFonts w:ascii="Times New Roman" w:eastAsia="Times New Roman" w:hAnsi="Times New Roman" w:cs="Times New Roman"/>
                <w:sz w:val="24"/>
                <w:szCs w:val="24"/>
                <w:lang w:eastAsia="pt-PT"/>
              </w:rPr>
            </w:pPr>
            <w:r w:rsidRPr="0011294E">
              <w:rPr>
                <w:rFonts w:ascii="Times New Roman" w:hAnsi="Times New Roman" w:cs="Times New Roman"/>
                <w:bCs/>
                <w:iCs/>
                <w:sz w:val="24"/>
                <w:szCs w:val="24"/>
              </w:rPr>
              <w:t>Tortomil-F.Bouçais, C.Valpaços</w:t>
            </w:r>
          </w:p>
        </w:tc>
        <w:tc>
          <w:tcPr>
            <w:tcW w:w="1491" w:type="dxa"/>
          </w:tcPr>
          <w:p w:rsidR="0011294E" w:rsidRPr="0011294E" w:rsidRDefault="0011294E" w:rsidP="0011294E">
            <w:pPr>
              <w:jc w:val="both"/>
              <w:rPr>
                <w:rFonts w:ascii="Times New Roman" w:eastAsia="Times New Roman" w:hAnsi="Times New Roman" w:cs="Times New Roman"/>
                <w:sz w:val="24"/>
                <w:szCs w:val="24"/>
                <w:lang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1345</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Aluarellos </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F. Alvarelhos, C. Valpaços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1345</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Villaratam </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Vilartão-F.Bouçais,C. Valpaços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1345</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Eruones</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F.Ervões, C.Valpaços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Labuzan</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F. Lebução, C. Valpaços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Picones</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Bauzais</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Val maiore</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Trutumir</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Rechousinho</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Palacio</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Ernes</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Outidres</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noWrap/>
            <w:hideMark/>
          </w:tcPr>
          <w:p w:rsidR="0011294E" w:rsidRPr="0011294E" w:rsidRDefault="0011294E" w:rsidP="0011294E">
            <w:pPr>
              <w:jc w:val="both"/>
              <w:rPr>
                <w:rFonts w:ascii="Times New Roman" w:eastAsia="Times New Roman" w:hAnsi="Times New Roman" w:cs="Times New Roman"/>
                <w:bCs/>
                <w:i/>
                <w:sz w:val="24"/>
                <w:szCs w:val="24"/>
                <w:lang w:eastAsia="pt-PT"/>
              </w:rPr>
            </w:pPr>
            <w:r w:rsidRPr="0011294E">
              <w:rPr>
                <w:rFonts w:ascii="Times New Roman" w:eastAsia="Times New Roman" w:hAnsi="Times New Roman" w:cs="Times New Roman"/>
                <w:bCs/>
                <w:i/>
                <w:sz w:val="24"/>
                <w:szCs w:val="24"/>
                <w:lang w:eastAsia="pt-PT"/>
              </w:rPr>
              <w:t>Parrochia de Santala</w:t>
            </w:r>
          </w:p>
        </w:tc>
        <w:tc>
          <w:tcPr>
            <w:tcW w:w="1417" w:type="dxa"/>
            <w:noWrap/>
            <w:hideMark/>
          </w:tcPr>
          <w:p w:rsidR="0011294E" w:rsidRPr="0011294E" w:rsidRDefault="0011294E" w:rsidP="0011294E">
            <w:pPr>
              <w:jc w:val="both"/>
              <w:rPr>
                <w:rFonts w:ascii="Times New Roman" w:eastAsia="Times New Roman" w:hAnsi="Times New Roman" w:cs="Times New Roman"/>
                <w:sz w:val="24"/>
                <w:szCs w:val="24"/>
                <w:lang w:eastAsia="pt-PT"/>
              </w:rPr>
            </w:pPr>
            <w:r w:rsidRPr="0011294E">
              <w:rPr>
                <w:rFonts w:ascii="Times New Roman" w:eastAsia="Times New Roman" w:hAnsi="Times New Roman" w:cs="Times New Roman"/>
                <w:sz w:val="24"/>
                <w:szCs w:val="24"/>
                <w:lang w:eastAsia="pt-PT"/>
              </w:rPr>
              <w:t>Santa Valha</w:t>
            </w: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Felmir</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Felmir-F.Santa Valha, C.Valpaços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val="restart"/>
            <w:noWrap/>
            <w:hideMark/>
          </w:tcPr>
          <w:p w:rsidR="0011294E" w:rsidRPr="0011294E" w:rsidRDefault="0011294E" w:rsidP="0011294E">
            <w:pPr>
              <w:jc w:val="both"/>
              <w:rPr>
                <w:rFonts w:ascii="Times New Roman" w:eastAsia="Times New Roman" w:hAnsi="Times New Roman" w:cs="Times New Roman"/>
                <w:bCs/>
                <w:i/>
                <w:sz w:val="24"/>
                <w:szCs w:val="24"/>
                <w:lang w:eastAsia="pt-PT"/>
              </w:rPr>
            </w:pPr>
            <w:r w:rsidRPr="0011294E">
              <w:rPr>
                <w:rFonts w:ascii="Times New Roman" w:eastAsia="Times New Roman" w:hAnsi="Times New Roman" w:cs="Times New Roman"/>
                <w:bCs/>
                <w:i/>
                <w:sz w:val="24"/>
                <w:szCs w:val="24"/>
                <w:lang w:eastAsia="pt-PT"/>
              </w:rPr>
              <w:t>Parrochia de Santala</w:t>
            </w:r>
          </w:p>
        </w:tc>
        <w:tc>
          <w:tcPr>
            <w:tcW w:w="1417" w:type="dxa"/>
            <w:vMerge w:val="restart"/>
            <w:noWrap/>
            <w:hideMark/>
          </w:tcPr>
          <w:p w:rsidR="0011294E" w:rsidRPr="0011294E" w:rsidRDefault="0011294E" w:rsidP="0011294E">
            <w:pPr>
              <w:jc w:val="both"/>
              <w:rPr>
                <w:rFonts w:ascii="Times New Roman" w:eastAsia="Times New Roman" w:hAnsi="Times New Roman" w:cs="Times New Roman"/>
                <w:sz w:val="24"/>
                <w:szCs w:val="24"/>
                <w:lang w:eastAsia="pt-PT"/>
              </w:rPr>
            </w:pPr>
            <w:r w:rsidRPr="0011294E">
              <w:rPr>
                <w:rFonts w:ascii="Times New Roman" w:eastAsia="Times New Roman" w:hAnsi="Times New Roman" w:cs="Times New Roman"/>
                <w:sz w:val="24"/>
                <w:szCs w:val="24"/>
                <w:lang w:eastAsia="pt-PT"/>
              </w:rPr>
              <w:t>Santa Valha</w:t>
            </w: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Ousezares</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F.Oucidres, C. Chaves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Ponte Domente</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Albergaria</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Santa Maria de Rocamador</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vMerge w:val="restart"/>
            <w:noWrap/>
            <w:hideMark/>
          </w:tcPr>
          <w:p w:rsidR="0011294E" w:rsidRPr="0011294E" w:rsidRDefault="0011294E" w:rsidP="0011294E">
            <w:pPr>
              <w:jc w:val="both"/>
              <w:rPr>
                <w:rFonts w:ascii="Times New Roman" w:eastAsia="Times New Roman" w:hAnsi="Times New Roman" w:cs="Times New Roman"/>
                <w:bCs/>
                <w:i/>
                <w:sz w:val="24"/>
                <w:szCs w:val="24"/>
                <w:lang w:eastAsia="pt-PT"/>
              </w:rPr>
            </w:pPr>
            <w:r w:rsidRPr="0011294E">
              <w:rPr>
                <w:rFonts w:ascii="Times New Roman" w:eastAsia="Times New Roman" w:hAnsi="Times New Roman" w:cs="Times New Roman"/>
                <w:bCs/>
                <w:i/>
                <w:sz w:val="24"/>
                <w:szCs w:val="24"/>
                <w:lang w:eastAsia="pt-PT"/>
              </w:rPr>
              <w:t>Parrochia Santi Petri de Batocas</w:t>
            </w:r>
          </w:p>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val="restart"/>
            <w:noWrap/>
            <w:hideMark/>
          </w:tcPr>
          <w:p w:rsidR="0011294E" w:rsidRPr="0011294E" w:rsidRDefault="0011294E" w:rsidP="0011294E">
            <w:pPr>
              <w:jc w:val="both"/>
              <w:rPr>
                <w:rFonts w:ascii="Times New Roman" w:eastAsia="Times New Roman" w:hAnsi="Times New Roman" w:cs="Times New Roman"/>
                <w:sz w:val="24"/>
                <w:szCs w:val="24"/>
                <w:lang w:eastAsia="pt-PT"/>
              </w:rPr>
            </w:pPr>
            <w:r w:rsidRPr="0011294E">
              <w:rPr>
                <w:rFonts w:ascii="Times New Roman" w:eastAsia="Times New Roman" w:hAnsi="Times New Roman" w:cs="Times New Roman"/>
                <w:sz w:val="24"/>
                <w:szCs w:val="24"/>
                <w:lang w:eastAsia="pt-PT"/>
              </w:rPr>
              <w:t>Águas Frias</w:t>
            </w:r>
          </w:p>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Rooriz</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F.Roriz, C.Chaves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1348</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Auelalelas</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Avelelas-F. Águas Frias, C.Chaves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1347</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Mayros</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F. Mairos, C. Chaves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1347</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Aquis Frigidas</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 xml:space="preserve">F. Águas Frias, C. Chaves  </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1347</w:t>
            </w:r>
          </w:p>
        </w:tc>
      </w:tr>
      <w:tr w:rsidR="0011294E" w:rsidRPr="0011294E" w:rsidTr="0011294E">
        <w:trPr>
          <w:trHeight w:val="286"/>
        </w:trPr>
        <w:tc>
          <w:tcPr>
            <w:tcW w:w="2093" w:type="dxa"/>
            <w:vMerge w:val="restart"/>
            <w:noWrap/>
            <w:hideMark/>
          </w:tcPr>
          <w:p w:rsidR="0011294E" w:rsidRPr="0011294E" w:rsidRDefault="0011294E" w:rsidP="0011294E">
            <w:pPr>
              <w:jc w:val="both"/>
              <w:rPr>
                <w:rFonts w:ascii="Times New Roman" w:eastAsia="Times New Roman" w:hAnsi="Times New Roman" w:cs="Times New Roman"/>
                <w:bCs/>
                <w:i/>
                <w:sz w:val="24"/>
                <w:szCs w:val="24"/>
                <w:lang w:eastAsia="pt-PT"/>
              </w:rPr>
            </w:pPr>
            <w:r w:rsidRPr="0011294E">
              <w:rPr>
                <w:rFonts w:ascii="Times New Roman" w:eastAsia="Times New Roman" w:hAnsi="Times New Roman" w:cs="Times New Roman"/>
                <w:bCs/>
                <w:i/>
                <w:sz w:val="24"/>
                <w:szCs w:val="24"/>
                <w:lang w:eastAsia="pt-PT"/>
              </w:rPr>
              <w:t>Parrochia Sancti Michaelis de Feeaes</w:t>
            </w:r>
          </w:p>
          <w:p w:rsidR="0011294E" w:rsidRPr="0011294E" w:rsidRDefault="0011294E" w:rsidP="0011294E">
            <w:pPr>
              <w:jc w:val="both"/>
              <w:rPr>
                <w:rFonts w:ascii="Times New Roman" w:eastAsia="Times New Roman" w:hAnsi="Times New Roman" w:cs="Times New Roman"/>
                <w:bCs/>
                <w:i/>
                <w:sz w:val="24"/>
                <w:szCs w:val="24"/>
                <w:lang w:eastAsia="pt-PT"/>
              </w:rPr>
            </w:pPr>
          </w:p>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val="restart"/>
            <w:noWrap/>
            <w:hideMark/>
          </w:tcPr>
          <w:p w:rsidR="0011294E" w:rsidRPr="0011294E" w:rsidRDefault="0011294E" w:rsidP="0011294E">
            <w:pPr>
              <w:jc w:val="both"/>
              <w:rPr>
                <w:rFonts w:ascii="Times New Roman" w:eastAsia="Times New Roman" w:hAnsi="Times New Roman" w:cs="Times New Roman"/>
                <w:sz w:val="24"/>
                <w:szCs w:val="24"/>
                <w:lang w:eastAsia="pt-PT"/>
              </w:rPr>
            </w:pPr>
            <w:r w:rsidRPr="0011294E">
              <w:rPr>
                <w:rFonts w:ascii="Times New Roman" w:eastAsia="Times New Roman" w:hAnsi="Times New Roman" w:cs="Times New Roman"/>
                <w:sz w:val="24"/>
                <w:szCs w:val="24"/>
                <w:lang w:eastAsia="pt-PT"/>
              </w:rPr>
              <w:t>Fiães</w:t>
            </w:r>
          </w:p>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Barreyros</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F. Barreiros, C.Valpaços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1348</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Bouadela</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F. Bobadela, C. Chaves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1348</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Zonj</w:t>
            </w:r>
          </w:p>
        </w:tc>
        <w:tc>
          <w:tcPr>
            <w:tcW w:w="2597" w:type="dxa"/>
          </w:tcPr>
          <w:p w:rsidR="0011294E" w:rsidRPr="0011294E" w:rsidRDefault="0011294E" w:rsidP="0011294E">
            <w:pPr>
              <w:rPr>
                <w:rFonts w:ascii="Times New Roman" w:hAnsi="Times New Roman" w:cs="Times New Roman"/>
                <w:bCs/>
                <w:iCs/>
                <w:sz w:val="24"/>
                <w:szCs w:val="24"/>
                <w:lang w:val="en-US"/>
              </w:rPr>
            </w:pPr>
            <w:r w:rsidRPr="0011294E">
              <w:rPr>
                <w:rFonts w:ascii="Times New Roman" w:hAnsi="Times New Roman" w:cs="Times New Roman"/>
                <w:bCs/>
                <w:iCs/>
                <w:sz w:val="24"/>
                <w:szCs w:val="24"/>
                <w:lang w:val="en-US"/>
              </w:rPr>
              <w:t>Sonin-F. Sonin, C. Valpaços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1348</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Villar de Sancto Petro de Pias</w:t>
            </w:r>
          </w:p>
        </w:tc>
        <w:tc>
          <w:tcPr>
            <w:tcW w:w="2597" w:type="dxa"/>
          </w:tcPr>
          <w:p w:rsidR="0011294E" w:rsidRPr="0011294E" w:rsidRDefault="0011294E" w:rsidP="0011294E">
            <w:pPr>
              <w:rPr>
                <w:rFonts w:ascii="Times New Roman" w:hAnsi="Times New Roman" w:cs="Times New Roman"/>
                <w:bCs/>
                <w:iCs/>
                <w:sz w:val="24"/>
                <w:szCs w:val="24"/>
                <w:lang w:val="en-US"/>
              </w:rPr>
            </w:pPr>
            <w:r w:rsidRPr="0011294E">
              <w:rPr>
                <w:rFonts w:ascii="Times New Roman" w:hAnsi="Times New Roman" w:cs="Times New Roman"/>
                <w:bCs/>
                <w:iCs/>
                <w:sz w:val="24"/>
                <w:szCs w:val="24"/>
                <w:lang w:val="en-US"/>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1348</w:t>
            </w:r>
          </w:p>
        </w:tc>
      </w:tr>
      <w:tr w:rsidR="0011294E" w:rsidRPr="0011294E" w:rsidTr="0011294E">
        <w:trPr>
          <w:trHeight w:val="286"/>
        </w:trPr>
        <w:tc>
          <w:tcPr>
            <w:tcW w:w="2093" w:type="dxa"/>
            <w:vMerge/>
            <w:noWrap/>
            <w:hideMark/>
          </w:tcPr>
          <w:p w:rsidR="0011294E" w:rsidRPr="0011294E" w:rsidRDefault="0011294E" w:rsidP="0011294E">
            <w:pPr>
              <w:jc w:val="both"/>
              <w:rPr>
                <w:rFonts w:ascii="Times New Roman" w:eastAsia="Times New Roman" w:hAnsi="Times New Roman" w:cs="Times New Roman"/>
                <w:bCs/>
                <w:i/>
                <w:sz w:val="24"/>
                <w:szCs w:val="24"/>
                <w:lang w:eastAsia="pt-PT"/>
              </w:rPr>
            </w:pPr>
          </w:p>
        </w:tc>
        <w:tc>
          <w:tcPr>
            <w:tcW w:w="1417" w:type="dxa"/>
            <w:vMerge/>
            <w:noWrap/>
            <w:hideMark/>
          </w:tcPr>
          <w:p w:rsidR="0011294E" w:rsidRPr="0011294E" w:rsidRDefault="0011294E" w:rsidP="0011294E">
            <w:pPr>
              <w:jc w:val="both"/>
              <w:rPr>
                <w:rFonts w:ascii="Times New Roman" w:eastAsia="Times New Roman" w:hAnsi="Times New Roman" w:cs="Times New Roman"/>
                <w:sz w:val="24"/>
                <w:szCs w:val="24"/>
                <w:lang w:eastAsia="pt-PT"/>
              </w:rPr>
            </w:pP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Sezelo</w:t>
            </w:r>
          </w:p>
        </w:tc>
        <w:tc>
          <w:tcPr>
            <w:tcW w:w="2597" w:type="dxa"/>
          </w:tcPr>
          <w:p w:rsidR="0011294E" w:rsidRPr="0011294E" w:rsidRDefault="0011294E" w:rsidP="0011294E">
            <w:pPr>
              <w:rPr>
                <w:rFonts w:ascii="Times New Roman" w:hAnsi="Times New Roman" w:cs="Times New Roman"/>
                <w:bCs/>
                <w:iCs/>
                <w:sz w:val="24"/>
                <w:szCs w:val="24"/>
                <w:lang w:val="en-US"/>
              </w:rPr>
            </w:pPr>
            <w:r w:rsidRPr="0011294E">
              <w:rPr>
                <w:rFonts w:ascii="Times New Roman" w:hAnsi="Times New Roman" w:cs="Times New Roman"/>
                <w:bCs/>
                <w:iCs/>
                <w:sz w:val="24"/>
                <w:szCs w:val="24"/>
                <w:lang w:val="en-US"/>
              </w:rPr>
              <w:t>?</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1348</w:t>
            </w:r>
          </w:p>
        </w:tc>
      </w:tr>
      <w:tr w:rsidR="0011294E" w:rsidRPr="0011294E" w:rsidTr="0011294E">
        <w:trPr>
          <w:trHeight w:val="286"/>
        </w:trPr>
        <w:tc>
          <w:tcPr>
            <w:tcW w:w="2093" w:type="dxa"/>
            <w:noWrap/>
            <w:hideMark/>
          </w:tcPr>
          <w:p w:rsidR="0011294E" w:rsidRPr="0011294E" w:rsidRDefault="0011294E" w:rsidP="0011294E">
            <w:pPr>
              <w:jc w:val="both"/>
              <w:rPr>
                <w:rFonts w:ascii="Times New Roman" w:eastAsia="Times New Roman" w:hAnsi="Times New Roman" w:cs="Times New Roman"/>
                <w:bCs/>
                <w:i/>
                <w:sz w:val="24"/>
                <w:szCs w:val="24"/>
                <w:lang w:eastAsia="pt-PT"/>
              </w:rPr>
            </w:pPr>
            <w:r w:rsidRPr="0011294E">
              <w:rPr>
                <w:rFonts w:ascii="Times New Roman" w:eastAsia="Times New Roman" w:hAnsi="Times New Roman" w:cs="Times New Roman"/>
                <w:bCs/>
                <w:i/>
                <w:sz w:val="24"/>
                <w:szCs w:val="24"/>
                <w:lang w:eastAsia="pt-PT"/>
              </w:rPr>
              <w:t>Parrochia Sante Maria de Tiela</w:t>
            </w:r>
          </w:p>
        </w:tc>
        <w:tc>
          <w:tcPr>
            <w:tcW w:w="1417" w:type="dxa"/>
            <w:noWrap/>
            <w:hideMark/>
          </w:tcPr>
          <w:p w:rsidR="0011294E" w:rsidRPr="0011294E" w:rsidRDefault="0011294E" w:rsidP="0011294E">
            <w:pPr>
              <w:jc w:val="both"/>
              <w:rPr>
                <w:rFonts w:ascii="Times New Roman" w:eastAsia="Times New Roman" w:hAnsi="Times New Roman" w:cs="Times New Roman"/>
                <w:sz w:val="24"/>
                <w:szCs w:val="24"/>
                <w:lang w:eastAsia="pt-PT"/>
              </w:rPr>
            </w:pPr>
            <w:r w:rsidRPr="0011294E">
              <w:rPr>
                <w:rFonts w:ascii="Times New Roman" w:eastAsia="Times New Roman" w:hAnsi="Times New Roman" w:cs="Times New Roman"/>
                <w:sz w:val="24"/>
                <w:szCs w:val="24"/>
                <w:lang w:eastAsia="pt-PT"/>
              </w:rPr>
              <w:t>Tinhela</w:t>
            </w: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Azares</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Azares- F. Tinhela, C. Valpaços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1346</w:t>
            </w:r>
          </w:p>
        </w:tc>
      </w:tr>
      <w:tr w:rsidR="0011294E" w:rsidRPr="0011294E" w:rsidTr="0011294E">
        <w:trPr>
          <w:trHeight w:val="286"/>
        </w:trPr>
        <w:tc>
          <w:tcPr>
            <w:tcW w:w="2093" w:type="dxa"/>
            <w:noWrap/>
            <w:hideMark/>
          </w:tcPr>
          <w:p w:rsidR="0011294E" w:rsidRPr="0011294E" w:rsidRDefault="0011294E" w:rsidP="0011294E">
            <w:pPr>
              <w:jc w:val="both"/>
              <w:rPr>
                <w:rFonts w:ascii="Times New Roman" w:eastAsia="Times New Roman" w:hAnsi="Times New Roman" w:cs="Times New Roman"/>
                <w:bCs/>
                <w:i/>
                <w:sz w:val="24"/>
                <w:szCs w:val="24"/>
                <w:lang w:eastAsia="pt-PT"/>
              </w:rPr>
            </w:pPr>
            <w:r w:rsidRPr="0011294E">
              <w:rPr>
                <w:rFonts w:ascii="Times New Roman" w:eastAsia="Times New Roman" w:hAnsi="Times New Roman" w:cs="Times New Roman"/>
                <w:bCs/>
                <w:i/>
                <w:sz w:val="24"/>
                <w:szCs w:val="24"/>
                <w:lang w:eastAsia="pt-PT"/>
              </w:rPr>
              <w:t>Parrochia Sancti Iohanis Castineyra</w:t>
            </w:r>
          </w:p>
        </w:tc>
        <w:tc>
          <w:tcPr>
            <w:tcW w:w="1417" w:type="dxa"/>
            <w:noWrap/>
            <w:hideMark/>
          </w:tcPr>
          <w:p w:rsidR="0011294E" w:rsidRPr="0011294E" w:rsidRDefault="0011294E" w:rsidP="0011294E">
            <w:pPr>
              <w:jc w:val="both"/>
              <w:rPr>
                <w:rFonts w:ascii="Times New Roman" w:eastAsia="Times New Roman" w:hAnsi="Times New Roman" w:cs="Times New Roman"/>
                <w:sz w:val="24"/>
                <w:szCs w:val="24"/>
                <w:lang w:eastAsia="pt-PT"/>
              </w:rPr>
            </w:pPr>
            <w:r w:rsidRPr="0011294E">
              <w:rPr>
                <w:rFonts w:ascii="Times New Roman" w:eastAsia="Times New Roman" w:hAnsi="Times New Roman" w:cs="Times New Roman"/>
                <w:sz w:val="24"/>
                <w:szCs w:val="24"/>
                <w:lang w:eastAsia="pt-PT"/>
              </w:rPr>
              <w:t>S. João da Castanheira</w:t>
            </w:r>
          </w:p>
        </w:tc>
        <w:tc>
          <w:tcPr>
            <w:tcW w:w="1798" w:type="dxa"/>
          </w:tcPr>
          <w:p w:rsidR="0011294E" w:rsidRPr="0011294E" w:rsidRDefault="0011294E" w:rsidP="0011294E">
            <w:pPr>
              <w:jc w:val="both"/>
              <w:rPr>
                <w:rFonts w:ascii="Times New Roman" w:hAnsi="Times New Roman" w:cs="Times New Roman"/>
                <w:bCs/>
                <w:i/>
                <w:iCs/>
                <w:sz w:val="24"/>
                <w:szCs w:val="24"/>
              </w:rPr>
            </w:pPr>
            <w:r w:rsidRPr="0011294E">
              <w:rPr>
                <w:rFonts w:ascii="Times New Roman" w:hAnsi="Times New Roman" w:cs="Times New Roman"/>
                <w:bCs/>
                <w:i/>
                <w:iCs/>
                <w:sz w:val="24"/>
                <w:szCs w:val="24"/>
              </w:rPr>
              <w:t>Paradela</w:t>
            </w:r>
          </w:p>
        </w:tc>
        <w:tc>
          <w:tcPr>
            <w:tcW w:w="2597" w:type="dxa"/>
          </w:tcPr>
          <w:p w:rsidR="0011294E" w:rsidRPr="0011294E" w:rsidRDefault="0011294E" w:rsidP="0011294E">
            <w:pPr>
              <w:rPr>
                <w:rFonts w:ascii="Times New Roman" w:hAnsi="Times New Roman" w:cs="Times New Roman"/>
                <w:bCs/>
                <w:iCs/>
                <w:sz w:val="24"/>
                <w:szCs w:val="24"/>
              </w:rPr>
            </w:pPr>
            <w:r w:rsidRPr="0011294E">
              <w:rPr>
                <w:rFonts w:ascii="Times New Roman" w:hAnsi="Times New Roman" w:cs="Times New Roman"/>
                <w:bCs/>
                <w:iCs/>
                <w:sz w:val="24"/>
                <w:szCs w:val="24"/>
              </w:rPr>
              <w:t>F. Paradela, C. Chaves</w:t>
            </w:r>
          </w:p>
        </w:tc>
        <w:tc>
          <w:tcPr>
            <w:tcW w:w="1491" w:type="dxa"/>
          </w:tcPr>
          <w:p w:rsidR="0011294E" w:rsidRPr="0011294E" w:rsidRDefault="0011294E" w:rsidP="0011294E">
            <w:pPr>
              <w:jc w:val="both"/>
              <w:rPr>
                <w:rFonts w:ascii="Times New Roman" w:eastAsia="Times New Roman" w:hAnsi="Times New Roman" w:cs="Times New Roman"/>
                <w:sz w:val="24"/>
                <w:szCs w:val="24"/>
                <w:lang w:val="fr-FR" w:eastAsia="pt-PT"/>
              </w:rPr>
            </w:pPr>
            <w:r w:rsidRPr="0011294E">
              <w:rPr>
                <w:rFonts w:ascii="Times New Roman" w:hAnsi="Times New Roman" w:cs="Times New Roman"/>
                <w:sz w:val="24"/>
                <w:szCs w:val="24"/>
              </w:rPr>
              <w:t>p.</w:t>
            </w:r>
            <w:r w:rsidRPr="0011294E">
              <w:rPr>
                <w:rFonts w:ascii="Times New Roman" w:eastAsia="Times New Roman" w:hAnsi="Times New Roman" w:cs="Times New Roman"/>
                <w:sz w:val="24"/>
                <w:szCs w:val="24"/>
                <w:lang w:val="fr-FR" w:eastAsia="pt-PT"/>
              </w:rPr>
              <w:t>1348</w:t>
            </w:r>
          </w:p>
        </w:tc>
      </w:tr>
    </w:tbl>
    <w:p w:rsidR="0011294E" w:rsidRPr="0011294E" w:rsidRDefault="0011294E" w:rsidP="0011294E">
      <w:pPr>
        <w:spacing w:line="360" w:lineRule="auto"/>
        <w:ind w:left="851"/>
        <w:jc w:val="both"/>
        <w:rPr>
          <w:rFonts w:ascii="Times New Roman" w:hAnsi="Times New Roman"/>
          <w:bCs/>
          <w:iCs/>
          <w:sz w:val="24"/>
          <w:szCs w:val="24"/>
        </w:rPr>
      </w:pPr>
      <w:r w:rsidRPr="0011294E">
        <w:rPr>
          <w:rFonts w:ascii="Times New Roman" w:hAnsi="Times New Roman"/>
          <w:b/>
          <w:bCs/>
          <w:iCs/>
          <w:sz w:val="24"/>
          <w:szCs w:val="24"/>
        </w:rPr>
        <w:lastRenderedPageBreak/>
        <w:t xml:space="preserve">Quadro 2: </w:t>
      </w:r>
      <w:r w:rsidRPr="0011294E">
        <w:rPr>
          <w:rFonts w:ascii="Times New Roman" w:hAnsi="Times New Roman"/>
          <w:bCs/>
          <w:iCs/>
          <w:sz w:val="24"/>
          <w:szCs w:val="24"/>
        </w:rPr>
        <w:t>Identificação de lugares e topónimos nas Inquirições de 1258, no Julgado de Rio Livre</w:t>
      </w:r>
    </w:p>
    <w:p w:rsidR="0011294E" w:rsidRPr="0011294E" w:rsidRDefault="0011294E" w:rsidP="0011294E">
      <w:pPr>
        <w:spacing w:line="360" w:lineRule="auto"/>
        <w:ind w:firstLine="624"/>
        <w:jc w:val="both"/>
        <w:rPr>
          <w:rFonts w:ascii="Times New Roman" w:hAnsi="Times New Roman"/>
          <w:bCs/>
          <w:iCs/>
          <w:sz w:val="24"/>
          <w:szCs w:val="24"/>
        </w:rPr>
      </w:pPr>
    </w:p>
    <w:p w:rsidR="0011294E" w:rsidRPr="0011294E" w:rsidRDefault="0011294E" w:rsidP="0011294E">
      <w:pPr>
        <w:spacing w:line="360" w:lineRule="auto"/>
        <w:ind w:firstLine="624"/>
        <w:jc w:val="both"/>
        <w:rPr>
          <w:rFonts w:ascii="Times New Roman" w:hAnsi="Times New Roman"/>
          <w:bCs/>
          <w:iCs/>
          <w:sz w:val="24"/>
          <w:szCs w:val="24"/>
        </w:rPr>
      </w:pPr>
      <w:r w:rsidRPr="0011294E">
        <w:rPr>
          <w:rFonts w:ascii="Times New Roman" w:hAnsi="Times New Roman"/>
          <w:bCs/>
          <w:iCs/>
          <w:sz w:val="24"/>
          <w:szCs w:val="24"/>
        </w:rPr>
        <w:t>Identificadas as paróquias, e ainda algumas aldeias e lugares do Julgado, falemos agora sobre os proprietários dos direitos fundiários destas terras.</w:t>
      </w:r>
    </w:p>
    <w:p w:rsidR="0011294E" w:rsidRPr="0011294E" w:rsidRDefault="0011294E" w:rsidP="0011294E">
      <w:pPr>
        <w:spacing w:line="360" w:lineRule="auto"/>
        <w:ind w:firstLine="624"/>
        <w:jc w:val="both"/>
        <w:rPr>
          <w:rFonts w:ascii="Times New Roman" w:hAnsi="Times New Roman"/>
          <w:bCs/>
          <w:iCs/>
          <w:sz w:val="24"/>
          <w:szCs w:val="24"/>
        </w:rPr>
      </w:pPr>
    </w:p>
    <w:tbl>
      <w:tblPr>
        <w:tblStyle w:val="Tabelacomgrelha1"/>
        <w:tblW w:w="0" w:type="auto"/>
        <w:tblLook w:val="04A0"/>
      </w:tblPr>
      <w:tblGrid>
        <w:gridCol w:w="1728"/>
        <w:gridCol w:w="1729"/>
        <w:gridCol w:w="1729"/>
        <w:gridCol w:w="1729"/>
        <w:gridCol w:w="1729"/>
      </w:tblGrid>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 xml:space="preserve">Donatário </w:t>
            </w:r>
          </w:p>
        </w:tc>
        <w:tc>
          <w:tcPr>
            <w:tcW w:w="1729"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Localidade</w:t>
            </w:r>
          </w:p>
          <w:p w:rsidR="00CF23E3" w:rsidRPr="00834ECC" w:rsidRDefault="00CF23E3" w:rsidP="00DB7206">
            <w:pPr>
              <w:ind w:firstLine="0"/>
              <w:rPr>
                <w:rFonts w:cs="Times New Roman"/>
                <w:szCs w:val="24"/>
              </w:rPr>
            </w:pPr>
            <w:r w:rsidRPr="00834ECC">
              <w:rPr>
                <w:rFonts w:cs="Times New Roman"/>
                <w:szCs w:val="24"/>
              </w:rPr>
              <w:t>(Nome atual)</w:t>
            </w:r>
          </w:p>
        </w:tc>
        <w:tc>
          <w:tcPr>
            <w:tcW w:w="3458" w:type="dxa"/>
            <w:gridSpan w:val="2"/>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Propriedade</w:t>
            </w:r>
          </w:p>
        </w:tc>
        <w:tc>
          <w:tcPr>
            <w:tcW w:w="1729"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 xml:space="preserve">Fonte </w:t>
            </w:r>
          </w:p>
          <w:p w:rsidR="00CF23E3" w:rsidRPr="00834ECC" w:rsidRDefault="00CF23E3" w:rsidP="00DB7206">
            <w:pPr>
              <w:ind w:firstLine="0"/>
              <w:rPr>
                <w:rFonts w:cs="Times New Roman"/>
                <w:b/>
                <w:szCs w:val="24"/>
              </w:rPr>
            </w:pPr>
            <w:r w:rsidRPr="00834ECC">
              <w:rPr>
                <w:rFonts w:cs="Times New Roman"/>
                <w:b/>
                <w:szCs w:val="24"/>
              </w:rPr>
              <w:t>PMH – Inq.</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b/>
                <w:szCs w:val="24"/>
              </w:rPr>
            </w:pPr>
          </w:p>
        </w:tc>
        <w:tc>
          <w:tcPr>
            <w:tcW w:w="1729" w:type="dxa"/>
            <w:vMerge/>
            <w:shd w:val="clear" w:color="auto" w:fill="C4BC96" w:themeFill="background2" w:themeFillShade="BF"/>
          </w:tcPr>
          <w:p w:rsidR="00CF23E3" w:rsidRPr="00834ECC" w:rsidRDefault="00CF23E3" w:rsidP="00DB7206">
            <w:pPr>
              <w:ind w:firstLine="0"/>
              <w:rPr>
                <w:rFonts w:cs="Times New Roman"/>
                <w:b/>
                <w:szCs w:val="24"/>
              </w:rPr>
            </w:pPr>
          </w:p>
        </w:tc>
        <w:tc>
          <w:tcPr>
            <w:tcW w:w="1729" w:type="dxa"/>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Tipo</w:t>
            </w:r>
          </w:p>
        </w:tc>
        <w:tc>
          <w:tcPr>
            <w:tcW w:w="1729" w:type="dxa"/>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 xml:space="preserve">Como Obteve </w:t>
            </w:r>
          </w:p>
        </w:tc>
        <w:tc>
          <w:tcPr>
            <w:tcW w:w="1729" w:type="dxa"/>
            <w:vMerge/>
            <w:shd w:val="clear" w:color="auto" w:fill="C4BC96" w:themeFill="background2" w:themeFillShade="BF"/>
          </w:tcPr>
          <w:p w:rsidR="00CF23E3" w:rsidRPr="00834ECC" w:rsidRDefault="00CF23E3" w:rsidP="00DB7206">
            <w:pPr>
              <w:ind w:firstLine="0"/>
              <w:rPr>
                <w:rFonts w:cs="Times New Roman"/>
                <w:b/>
                <w:szCs w:val="24"/>
              </w:rPr>
            </w:pPr>
          </w:p>
        </w:tc>
      </w:tr>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Afonso Lopes de Baião</w:t>
            </w:r>
          </w:p>
        </w:tc>
        <w:tc>
          <w:tcPr>
            <w:tcW w:w="1729" w:type="dxa"/>
          </w:tcPr>
          <w:p w:rsidR="00CF23E3" w:rsidRPr="00834ECC" w:rsidRDefault="00CF23E3" w:rsidP="00DB7206">
            <w:pPr>
              <w:ind w:firstLine="0"/>
              <w:rPr>
                <w:rFonts w:cs="Times New Roman"/>
                <w:szCs w:val="24"/>
              </w:rPr>
            </w:pPr>
            <w:r w:rsidRPr="00834ECC">
              <w:rPr>
                <w:rFonts w:cs="Times New Roman"/>
                <w:szCs w:val="24"/>
              </w:rPr>
              <w:t>Tinhela</w:t>
            </w:r>
          </w:p>
        </w:tc>
        <w:tc>
          <w:tcPr>
            <w:tcW w:w="1729" w:type="dxa"/>
          </w:tcPr>
          <w:p w:rsidR="00CF23E3" w:rsidRPr="00834ECC" w:rsidRDefault="00CF23E3" w:rsidP="00DB7206">
            <w:pPr>
              <w:ind w:firstLine="0"/>
              <w:rPr>
                <w:rFonts w:cs="Times New Roman"/>
                <w:szCs w:val="24"/>
              </w:rPr>
            </w:pPr>
            <w:r w:rsidRPr="00834ECC">
              <w:rPr>
                <w:rFonts w:cs="Times New Roman"/>
                <w:szCs w:val="24"/>
              </w:rPr>
              <w:t>1 Vila de Ervões</w:t>
            </w:r>
          </w:p>
        </w:tc>
        <w:tc>
          <w:tcPr>
            <w:tcW w:w="1729" w:type="dxa"/>
          </w:tcPr>
          <w:p w:rsidR="00CF23E3" w:rsidRPr="00834ECC" w:rsidRDefault="00CF23E3" w:rsidP="00DB7206">
            <w:pPr>
              <w:ind w:firstLine="0"/>
              <w:rPr>
                <w:rFonts w:cs="Times New Roman"/>
                <w:szCs w:val="24"/>
              </w:rPr>
            </w:pPr>
            <w:r w:rsidRPr="00834ECC">
              <w:rPr>
                <w:rFonts w:cs="Times New Roman"/>
                <w:szCs w:val="24"/>
              </w:rPr>
              <w:t>Doação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Bouçais</w:t>
            </w:r>
          </w:p>
        </w:tc>
        <w:tc>
          <w:tcPr>
            <w:tcW w:w="1729" w:type="dxa"/>
          </w:tcPr>
          <w:p w:rsidR="00CF23E3" w:rsidRPr="00834ECC" w:rsidRDefault="00CF23E3" w:rsidP="00DB7206">
            <w:pPr>
              <w:ind w:firstLine="0"/>
              <w:rPr>
                <w:rFonts w:cs="Times New Roman"/>
                <w:szCs w:val="24"/>
              </w:rPr>
            </w:pPr>
            <w:r w:rsidRPr="00834ECC">
              <w:rPr>
                <w:rFonts w:cs="Times New Roman"/>
                <w:szCs w:val="24"/>
              </w:rPr>
              <w:t>1 Vila em Alvarelhos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p.1345</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Santa Valha</w:t>
            </w:r>
          </w:p>
        </w:tc>
        <w:tc>
          <w:tcPr>
            <w:tcW w:w="1729" w:type="dxa"/>
          </w:tcPr>
          <w:p w:rsidR="00CF23E3" w:rsidRPr="00834ECC" w:rsidRDefault="00CF23E3" w:rsidP="00DB7206">
            <w:pPr>
              <w:ind w:firstLine="0"/>
              <w:rPr>
                <w:rFonts w:cs="Times New Roman"/>
                <w:szCs w:val="24"/>
              </w:rPr>
            </w:pPr>
            <w:r w:rsidRPr="00834ECC">
              <w:rPr>
                <w:rFonts w:cs="Times New Roman"/>
                <w:szCs w:val="24"/>
              </w:rPr>
              <w:t>Aldeia de Ponte Domente</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p.1344</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Álvaro Peres</w:t>
            </w:r>
          </w:p>
        </w:tc>
        <w:tc>
          <w:tcPr>
            <w:tcW w:w="1729" w:type="dxa"/>
          </w:tcPr>
          <w:p w:rsidR="00CF23E3" w:rsidRPr="00834ECC" w:rsidRDefault="00CF23E3" w:rsidP="00DB7206">
            <w:pPr>
              <w:ind w:firstLine="0"/>
              <w:rPr>
                <w:rFonts w:cs="Times New Roman"/>
                <w:szCs w:val="24"/>
              </w:rPr>
            </w:pPr>
            <w:r w:rsidRPr="00834ECC">
              <w:rPr>
                <w:rFonts w:cs="Times New Roman"/>
                <w:szCs w:val="24"/>
              </w:rPr>
              <w:t>Águas Frias</w:t>
            </w:r>
          </w:p>
        </w:tc>
        <w:tc>
          <w:tcPr>
            <w:tcW w:w="1729" w:type="dxa"/>
          </w:tcPr>
          <w:p w:rsidR="00CF23E3" w:rsidRPr="00834ECC" w:rsidRDefault="00CF23E3" w:rsidP="00DB7206">
            <w:pPr>
              <w:ind w:firstLine="0"/>
              <w:rPr>
                <w:rFonts w:cs="Times New Roman"/>
                <w:szCs w:val="24"/>
              </w:rPr>
            </w:pPr>
            <w:r w:rsidRPr="00834ECC">
              <w:rPr>
                <w:rFonts w:cs="Times New Roman"/>
                <w:szCs w:val="24"/>
              </w:rPr>
              <w:t>¼ do padroado da Igreja de S. Pedro de Batocas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p.1347</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szCs w:val="24"/>
              </w:rPr>
            </w:pPr>
            <w:r w:rsidRPr="00834ECC">
              <w:rPr>
                <w:rFonts w:cs="Times New Roman"/>
                <w:b/>
                <w:bCs/>
                <w:iCs/>
                <w:szCs w:val="24"/>
              </w:rPr>
              <w:t>Cavaleiros de São Estevão de Chaves</w:t>
            </w:r>
          </w:p>
        </w:tc>
        <w:tc>
          <w:tcPr>
            <w:tcW w:w="1729" w:type="dxa"/>
          </w:tcPr>
          <w:p w:rsidR="00CF23E3" w:rsidRPr="00834ECC" w:rsidRDefault="00CF23E3" w:rsidP="00DB7206">
            <w:pPr>
              <w:ind w:firstLine="0"/>
              <w:rPr>
                <w:rFonts w:cs="Times New Roman"/>
                <w:szCs w:val="24"/>
              </w:rPr>
            </w:pPr>
            <w:r w:rsidRPr="00834ECC">
              <w:rPr>
                <w:rFonts w:cs="Times New Roman"/>
                <w:szCs w:val="24"/>
              </w:rPr>
              <w:t>Águas Frias</w:t>
            </w:r>
          </w:p>
        </w:tc>
        <w:tc>
          <w:tcPr>
            <w:tcW w:w="1729" w:type="dxa"/>
          </w:tcPr>
          <w:p w:rsidR="00CF23E3" w:rsidRPr="00834ECC" w:rsidRDefault="00CF23E3" w:rsidP="00DB7206">
            <w:pPr>
              <w:ind w:firstLine="0"/>
              <w:rPr>
                <w:rFonts w:cs="Times New Roman"/>
                <w:szCs w:val="24"/>
              </w:rPr>
            </w:pPr>
            <w:r w:rsidRPr="00834ECC">
              <w:rPr>
                <w:rFonts w:cs="Times New Roman"/>
                <w:szCs w:val="24"/>
              </w:rPr>
              <w:t>7 Casais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p.1347</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b/>
                <w:bCs/>
                <w:iCs/>
                <w:szCs w:val="24"/>
              </w:rPr>
            </w:pPr>
            <w:r w:rsidRPr="00834ECC">
              <w:rPr>
                <w:rFonts w:cs="Times New Roman"/>
                <w:b/>
                <w:bCs/>
                <w:iCs/>
                <w:szCs w:val="24"/>
              </w:rPr>
              <w:t xml:space="preserve">Cavaleiros de </w:t>
            </w:r>
            <w:r w:rsidRPr="00834ECC">
              <w:rPr>
                <w:rFonts w:cs="Times New Roman"/>
                <w:b/>
                <w:bCs/>
                <w:i/>
                <w:iCs/>
                <w:szCs w:val="24"/>
              </w:rPr>
              <w:t>Tozeyros</w:t>
            </w:r>
          </w:p>
        </w:tc>
        <w:tc>
          <w:tcPr>
            <w:tcW w:w="1729" w:type="dxa"/>
          </w:tcPr>
          <w:p w:rsidR="00CF23E3" w:rsidRPr="00834ECC" w:rsidRDefault="00CF23E3" w:rsidP="00DB7206">
            <w:pPr>
              <w:ind w:firstLine="0"/>
              <w:rPr>
                <w:rFonts w:cs="Times New Roman"/>
                <w:szCs w:val="24"/>
              </w:rPr>
            </w:pPr>
            <w:r w:rsidRPr="00834ECC">
              <w:rPr>
                <w:rFonts w:cs="Times New Roman"/>
                <w:szCs w:val="24"/>
              </w:rPr>
              <w:t>Fiães</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½ da Vila de </w:t>
            </w:r>
            <w:r w:rsidRPr="00834ECC">
              <w:rPr>
                <w:rFonts w:cs="Times New Roman"/>
                <w:bCs/>
                <w:i/>
                <w:iCs/>
                <w:szCs w:val="24"/>
              </w:rPr>
              <w:t>Ousezares.</w:t>
            </w:r>
          </w:p>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szCs w:val="24"/>
              </w:rPr>
            </w:pPr>
            <w:r w:rsidRPr="00834ECC">
              <w:rPr>
                <w:rFonts w:cs="Times New Roman"/>
                <w:b/>
                <w:szCs w:val="24"/>
              </w:rPr>
              <w:t>Fernando Anes da Galiza</w:t>
            </w:r>
          </w:p>
        </w:tc>
        <w:tc>
          <w:tcPr>
            <w:tcW w:w="1729" w:type="dxa"/>
          </w:tcPr>
          <w:p w:rsidR="00CF23E3" w:rsidRPr="00834ECC" w:rsidRDefault="00CF23E3" w:rsidP="00DB7206">
            <w:pPr>
              <w:ind w:firstLine="0"/>
              <w:rPr>
                <w:rFonts w:cs="Times New Roman"/>
                <w:szCs w:val="24"/>
              </w:rPr>
            </w:pPr>
            <w:r w:rsidRPr="00834ECC">
              <w:rPr>
                <w:rFonts w:cs="Times New Roman"/>
                <w:szCs w:val="24"/>
              </w:rPr>
              <w:t>Bouçais</w:t>
            </w:r>
          </w:p>
        </w:tc>
        <w:tc>
          <w:tcPr>
            <w:tcW w:w="1729" w:type="dxa"/>
          </w:tcPr>
          <w:p w:rsidR="00CF23E3" w:rsidRPr="00834ECC" w:rsidRDefault="00CF23E3" w:rsidP="00DB7206">
            <w:pPr>
              <w:ind w:firstLine="0"/>
              <w:rPr>
                <w:rFonts w:cs="Times New Roman"/>
                <w:szCs w:val="24"/>
              </w:rPr>
            </w:pPr>
            <w:r w:rsidRPr="00834ECC">
              <w:rPr>
                <w:rFonts w:cs="Times New Roman"/>
                <w:szCs w:val="24"/>
              </w:rPr>
              <w:t>Vila de Palacio</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 xml:space="preserve">Fernando Rodrigo </w:t>
            </w:r>
          </w:p>
        </w:tc>
        <w:tc>
          <w:tcPr>
            <w:tcW w:w="1729" w:type="dxa"/>
          </w:tcPr>
          <w:p w:rsidR="00CF23E3" w:rsidRPr="00834ECC" w:rsidRDefault="00CF23E3" w:rsidP="00DB7206">
            <w:pPr>
              <w:ind w:firstLine="0"/>
              <w:rPr>
                <w:rFonts w:cs="Times New Roman"/>
                <w:szCs w:val="24"/>
              </w:rPr>
            </w:pPr>
            <w:r w:rsidRPr="00834ECC">
              <w:rPr>
                <w:rFonts w:cs="Times New Roman"/>
                <w:szCs w:val="24"/>
              </w:rPr>
              <w:t>Águas Frias</w:t>
            </w:r>
          </w:p>
        </w:tc>
        <w:tc>
          <w:tcPr>
            <w:tcW w:w="1729" w:type="dxa"/>
          </w:tcPr>
          <w:p w:rsidR="00CF23E3" w:rsidRPr="00834ECC" w:rsidRDefault="00CF23E3" w:rsidP="00DB7206">
            <w:pPr>
              <w:ind w:firstLine="0"/>
              <w:rPr>
                <w:rFonts w:cs="Times New Roman"/>
                <w:szCs w:val="24"/>
              </w:rPr>
            </w:pPr>
            <w:r w:rsidRPr="00834ECC">
              <w:rPr>
                <w:rFonts w:cs="Times New Roman"/>
                <w:szCs w:val="24"/>
              </w:rPr>
              <w:t>1 Casal em Lebução</w:t>
            </w:r>
          </w:p>
        </w:tc>
        <w:tc>
          <w:tcPr>
            <w:tcW w:w="1729" w:type="dxa"/>
          </w:tcPr>
          <w:p w:rsidR="00CF23E3" w:rsidRPr="00834ECC" w:rsidRDefault="00CF23E3" w:rsidP="00DB7206">
            <w:pPr>
              <w:ind w:firstLine="0"/>
              <w:rPr>
                <w:rFonts w:cs="Times New Roman"/>
                <w:szCs w:val="24"/>
              </w:rPr>
            </w:pPr>
            <w:r w:rsidRPr="00834ECC">
              <w:rPr>
                <w:rFonts w:cs="Times New Roman"/>
                <w:szCs w:val="24"/>
              </w:rPr>
              <w:t>Compra</w:t>
            </w:r>
          </w:p>
        </w:tc>
        <w:tc>
          <w:tcPr>
            <w:tcW w:w="1729" w:type="dxa"/>
          </w:tcPr>
          <w:p w:rsidR="00CF23E3" w:rsidRPr="00834ECC" w:rsidRDefault="00CF23E3" w:rsidP="00DB7206">
            <w:pPr>
              <w:ind w:firstLine="0"/>
              <w:rPr>
                <w:rFonts w:cs="Times New Roman"/>
                <w:szCs w:val="24"/>
              </w:rPr>
            </w:pPr>
            <w:r w:rsidRPr="00834ECC">
              <w:rPr>
                <w:rFonts w:cs="Times New Roman"/>
                <w:szCs w:val="24"/>
              </w:rPr>
              <w:t>p.1347</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Fernando Rodrigues</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S. João da Castanheira </w:t>
            </w:r>
          </w:p>
        </w:tc>
        <w:tc>
          <w:tcPr>
            <w:tcW w:w="1729" w:type="dxa"/>
          </w:tcPr>
          <w:p w:rsidR="00CF23E3" w:rsidRPr="00834ECC" w:rsidRDefault="00CF23E3" w:rsidP="00DB7206">
            <w:pPr>
              <w:ind w:firstLine="0"/>
              <w:rPr>
                <w:rFonts w:cs="Times New Roman"/>
                <w:szCs w:val="24"/>
              </w:rPr>
            </w:pPr>
            <w:r w:rsidRPr="00834ECC">
              <w:rPr>
                <w:rFonts w:cs="Times New Roman"/>
                <w:szCs w:val="24"/>
              </w:rPr>
              <w:t>1 Herdamento em Lebusão</w:t>
            </w:r>
          </w:p>
        </w:tc>
        <w:tc>
          <w:tcPr>
            <w:tcW w:w="1729" w:type="dxa"/>
          </w:tcPr>
          <w:p w:rsidR="00CF23E3" w:rsidRPr="00834ECC" w:rsidRDefault="00CF23E3" w:rsidP="00DB7206">
            <w:pPr>
              <w:ind w:firstLine="0"/>
              <w:rPr>
                <w:rFonts w:cs="Times New Roman"/>
                <w:szCs w:val="24"/>
              </w:rPr>
            </w:pPr>
            <w:r w:rsidRPr="00834ECC">
              <w:rPr>
                <w:rFonts w:cs="Times New Roman"/>
                <w:szCs w:val="24"/>
              </w:rPr>
              <w:t>Compra</w:t>
            </w:r>
          </w:p>
        </w:tc>
        <w:tc>
          <w:tcPr>
            <w:tcW w:w="1729" w:type="dxa"/>
          </w:tcPr>
          <w:p w:rsidR="00CF23E3" w:rsidRPr="00834ECC" w:rsidRDefault="00CF23E3" w:rsidP="00DB7206">
            <w:pPr>
              <w:ind w:firstLine="0"/>
              <w:rPr>
                <w:rFonts w:cs="Times New Roman"/>
                <w:szCs w:val="24"/>
              </w:rPr>
            </w:pPr>
            <w:r w:rsidRPr="00834ECC">
              <w:rPr>
                <w:rFonts w:cs="Times New Roman"/>
                <w:szCs w:val="24"/>
              </w:rPr>
              <w:t>p.1345</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Garcia Pires de Bragança</w:t>
            </w:r>
          </w:p>
        </w:tc>
        <w:tc>
          <w:tcPr>
            <w:tcW w:w="1729" w:type="dxa"/>
          </w:tcPr>
          <w:p w:rsidR="00CF23E3" w:rsidRPr="00834ECC" w:rsidRDefault="00CF23E3" w:rsidP="00DB7206">
            <w:pPr>
              <w:ind w:firstLine="0"/>
              <w:rPr>
                <w:rFonts w:cs="Times New Roman"/>
                <w:szCs w:val="24"/>
              </w:rPr>
            </w:pPr>
            <w:r w:rsidRPr="00834ECC">
              <w:rPr>
                <w:rFonts w:cs="Times New Roman"/>
                <w:szCs w:val="24"/>
              </w:rPr>
              <w:t>Santa Valha</w:t>
            </w:r>
          </w:p>
        </w:tc>
        <w:tc>
          <w:tcPr>
            <w:tcW w:w="1729" w:type="dxa"/>
          </w:tcPr>
          <w:p w:rsidR="00CF23E3" w:rsidRPr="00834ECC" w:rsidRDefault="00CF23E3" w:rsidP="00DB7206">
            <w:pPr>
              <w:ind w:firstLine="0"/>
              <w:rPr>
                <w:rFonts w:cs="Times New Roman"/>
                <w:szCs w:val="24"/>
              </w:rPr>
            </w:pPr>
            <w:r w:rsidRPr="00834ECC">
              <w:rPr>
                <w:rFonts w:cs="Times New Roman"/>
                <w:szCs w:val="24"/>
              </w:rPr>
              <w:t>2 Casais</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p.1344</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bCs/>
                <w:szCs w:val="24"/>
              </w:rPr>
              <w:t xml:space="preserve">Hermigio </w:t>
            </w:r>
            <w:r w:rsidRPr="00834ECC">
              <w:rPr>
                <w:rFonts w:cs="Times New Roman"/>
                <w:b/>
                <w:szCs w:val="24"/>
              </w:rPr>
              <w:t>Peres</w:t>
            </w:r>
          </w:p>
        </w:tc>
        <w:tc>
          <w:tcPr>
            <w:tcW w:w="1729" w:type="dxa"/>
          </w:tcPr>
          <w:p w:rsidR="00CF23E3" w:rsidRPr="00834ECC" w:rsidRDefault="00CF23E3" w:rsidP="00DB7206">
            <w:pPr>
              <w:ind w:firstLine="0"/>
              <w:rPr>
                <w:rFonts w:cs="Times New Roman"/>
                <w:szCs w:val="24"/>
              </w:rPr>
            </w:pPr>
            <w:r w:rsidRPr="00834ECC">
              <w:rPr>
                <w:rFonts w:cs="Times New Roman"/>
                <w:szCs w:val="24"/>
              </w:rPr>
              <w:t>Bouçais</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1 Herdamento em Avelelas </w:t>
            </w:r>
          </w:p>
        </w:tc>
        <w:tc>
          <w:tcPr>
            <w:tcW w:w="1729" w:type="dxa"/>
          </w:tcPr>
          <w:p w:rsidR="00CF23E3" w:rsidRPr="00834ECC" w:rsidRDefault="00CF23E3" w:rsidP="00DB7206">
            <w:pPr>
              <w:ind w:firstLine="0"/>
              <w:rPr>
                <w:rFonts w:cs="Times New Roman"/>
                <w:szCs w:val="24"/>
              </w:rPr>
            </w:pPr>
            <w:r w:rsidRPr="00834ECC">
              <w:rPr>
                <w:rFonts w:cs="Times New Roman"/>
                <w:szCs w:val="24"/>
              </w:rPr>
              <w:t>Compra à força</w:t>
            </w:r>
          </w:p>
        </w:tc>
        <w:tc>
          <w:tcPr>
            <w:tcW w:w="1729" w:type="dxa"/>
          </w:tcPr>
          <w:p w:rsidR="00CF23E3" w:rsidRPr="00834ECC" w:rsidRDefault="00CF23E3" w:rsidP="00DB7206">
            <w:pPr>
              <w:ind w:firstLine="0"/>
              <w:rPr>
                <w:rFonts w:cs="Times New Roman"/>
                <w:szCs w:val="24"/>
              </w:rPr>
            </w:pPr>
            <w:r w:rsidRPr="00834ECC">
              <w:rPr>
                <w:rFonts w:cs="Times New Roman"/>
                <w:szCs w:val="24"/>
              </w:rPr>
              <w:t>p.1347</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João Aires</w:t>
            </w:r>
          </w:p>
        </w:tc>
        <w:tc>
          <w:tcPr>
            <w:tcW w:w="1729" w:type="dxa"/>
          </w:tcPr>
          <w:p w:rsidR="00CF23E3" w:rsidRPr="00834ECC" w:rsidRDefault="00CF23E3" w:rsidP="00DB7206">
            <w:pPr>
              <w:ind w:firstLine="0"/>
              <w:rPr>
                <w:rFonts w:cs="Times New Roman"/>
                <w:szCs w:val="24"/>
              </w:rPr>
            </w:pPr>
            <w:r w:rsidRPr="00834ECC">
              <w:rPr>
                <w:rFonts w:cs="Times New Roman"/>
                <w:szCs w:val="24"/>
              </w:rPr>
              <w:t>Águas Frias</w:t>
            </w:r>
          </w:p>
        </w:tc>
        <w:tc>
          <w:tcPr>
            <w:tcW w:w="1729" w:type="dxa"/>
          </w:tcPr>
          <w:p w:rsidR="00CF23E3" w:rsidRPr="00834ECC" w:rsidRDefault="00CF23E3" w:rsidP="00DB7206">
            <w:pPr>
              <w:ind w:firstLine="0"/>
              <w:rPr>
                <w:rFonts w:cs="Times New Roman"/>
                <w:szCs w:val="24"/>
              </w:rPr>
            </w:pPr>
            <w:r w:rsidRPr="00834ECC">
              <w:rPr>
                <w:rFonts w:cs="Times New Roman"/>
                <w:szCs w:val="24"/>
              </w:rPr>
              <w:t>1 Herdamento</w:t>
            </w:r>
          </w:p>
        </w:tc>
        <w:tc>
          <w:tcPr>
            <w:tcW w:w="1729" w:type="dxa"/>
          </w:tcPr>
          <w:p w:rsidR="00CF23E3" w:rsidRPr="00834ECC" w:rsidRDefault="00CF23E3" w:rsidP="00DB7206">
            <w:pPr>
              <w:ind w:firstLine="0"/>
              <w:rPr>
                <w:rFonts w:cs="Times New Roman"/>
                <w:szCs w:val="24"/>
              </w:rPr>
            </w:pPr>
            <w:r w:rsidRPr="00834ECC">
              <w:rPr>
                <w:rFonts w:cs="Times New Roman"/>
                <w:szCs w:val="24"/>
              </w:rPr>
              <w:t>Compra</w:t>
            </w:r>
          </w:p>
        </w:tc>
        <w:tc>
          <w:tcPr>
            <w:tcW w:w="1729" w:type="dxa"/>
          </w:tcPr>
          <w:p w:rsidR="00CF23E3" w:rsidRPr="00834ECC" w:rsidRDefault="00CF23E3" w:rsidP="00DB7206">
            <w:pPr>
              <w:ind w:firstLine="0"/>
              <w:rPr>
                <w:rFonts w:cs="Times New Roman"/>
                <w:szCs w:val="24"/>
              </w:rPr>
            </w:pPr>
            <w:r w:rsidRPr="00834ECC">
              <w:rPr>
                <w:rFonts w:cs="Times New Roman"/>
                <w:szCs w:val="24"/>
              </w:rPr>
              <w:t>p.1347</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szCs w:val="24"/>
              </w:rPr>
            </w:pPr>
            <w:r w:rsidRPr="00834ECC">
              <w:rPr>
                <w:rFonts w:cs="Times New Roman"/>
                <w:b/>
                <w:szCs w:val="24"/>
              </w:rPr>
              <w:t>Lopo Garcia</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Águas Frias </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1 Casal em Roriz </w:t>
            </w:r>
          </w:p>
        </w:tc>
        <w:tc>
          <w:tcPr>
            <w:tcW w:w="1729" w:type="dxa"/>
          </w:tcPr>
          <w:p w:rsidR="00CF23E3" w:rsidRPr="00834ECC" w:rsidRDefault="00CF23E3" w:rsidP="00DB7206">
            <w:pPr>
              <w:ind w:firstLine="0"/>
              <w:rPr>
                <w:rFonts w:cs="Times New Roman"/>
                <w:szCs w:val="24"/>
              </w:rPr>
            </w:pPr>
            <w:r w:rsidRPr="00834ECC">
              <w:rPr>
                <w:rFonts w:cs="Times New Roman"/>
                <w:szCs w:val="24"/>
              </w:rPr>
              <w:t>Compra</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 xml:space="preserve">Lopo Peres </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S. João da Castanheira </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Vilar da Castanheira </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Bouçais</w:t>
            </w:r>
          </w:p>
        </w:tc>
        <w:tc>
          <w:tcPr>
            <w:tcW w:w="1729" w:type="dxa"/>
          </w:tcPr>
          <w:p w:rsidR="00CF23E3" w:rsidRPr="00834ECC" w:rsidRDefault="00CF23E3" w:rsidP="00DB7206">
            <w:pPr>
              <w:ind w:firstLine="0"/>
              <w:rPr>
                <w:rFonts w:cs="Times New Roman"/>
                <w:szCs w:val="24"/>
              </w:rPr>
            </w:pPr>
            <w:r w:rsidRPr="00834ECC">
              <w:rPr>
                <w:rFonts w:cs="Times New Roman"/>
                <w:szCs w:val="24"/>
              </w:rPr>
              <w:t>1 Casal em Vilartão</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p.1345</w:t>
            </w:r>
          </w:p>
        </w:tc>
      </w:tr>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lastRenderedPageBreak/>
              <w:t>Lourenço Rodrigues (filhos de)</w:t>
            </w:r>
          </w:p>
        </w:tc>
        <w:tc>
          <w:tcPr>
            <w:tcW w:w="1729" w:type="dxa"/>
            <w:vMerge w:val="restart"/>
          </w:tcPr>
          <w:p w:rsidR="00CF23E3" w:rsidRPr="00834ECC" w:rsidRDefault="00CF23E3" w:rsidP="00DB7206">
            <w:pPr>
              <w:ind w:firstLine="0"/>
              <w:rPr>
                <w:rFonts w:cs="Times New Roman"/>
                <w:szCs w:val="24"/>
              </w:rPr>
            </w:pPr>
            <w:r w:rsidRPr="00834ECC">
              <w:rPr>
                <w:rFonts w:cs="Times New Roman"/>
                <w:szCs w:val="24"/>
              </w:rPr>
              <w:t>Bouçais</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Vila de Trotomir </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Vila de Rechousinho</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p.1345</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Vila de S. Pedro</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3 Casais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Fiães</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1 Herdamento em </w:t>
            </w:r>
            <w:r w:rsidRPr="00834ECC">
              <w:rPr>
                <w:rFonts w:cs="Times New Roman"/>
                <w:bCs/>
                <w:iCs/>
                <w:szCs w:val="24"/>
                <w:lang w:val="en-US"/>
              </w:rPr>
              <w:t>Sonin</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w:t>
            </w:r>
            <w:r w:rsidRPr="00834ECC">
              <w:rPr>
                <w:rFonts w:eastAsia="Times New Roman" w:cs="Times New Roman"/>
                <w:szCs w:val="24"/>
                <w:lang w:val="fr-FR" w:eastAsia="pt-PT"/>
              </w:rPr>
              <w:t>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Santa Valha</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 ¼ Vila de Oucidres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w:t>
            </w:r>
            <w:r w:rsidRPr="00834ECC">
              <w:rPr>
                <w:rFonts w:eastAsia="Times New Roman" w:cs="Times New Roman"/>
                <w:szCs w:val="24"/>
                <w:lang w:val="fr-FR" w:eastAsia="pt-PT"/>
              </w:rPr>
              <w:t>1348</w:t>
            </w:r>
          </w:p>
        </w:tc>
      </w:tr>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Martim Lourenço de Cerveira</w:t>
            </w:r>
          </w:p>
        </w:tc>
        <w:tc>
          <w:tcPr>
            <w:tcW w:w="1729" w:type="dxa"/>
            <w:vMerge w:val="restart"/>
          </w:tcPr>
          <w:p w:rsidR="00CF23E3" w:rsidRPr="00834ECC" w:rsidRDefault="00CF23E3" w:rsidP="00DB7206">
            <w:pPr>
              <w:ind w:firstLine="0"/>
              <w:rPr>
                <w:rFonts w:cs="Times New Roman"/>
                <w:szCs w:val="24"/>
              </w:rPr>
            </w:pPr>
            <w:r w:rsidRPr="00834ECC">
              <w:rPr>
                <w:rFonts w:cs="Times New Roman"/>
                <w:szCs w:val="24"/>
              </w:rPr>
              <w:t>Fiães</w:t>
            </w:r>
          </w:p>
        </w:tc>
        <w:tc>
          <w:tcPr>
            <w:tcW w:w="1729" w:type="dxa"/>
          </w:tcPr>
          <w:p w:rsidR="00CF23E3" w:rsidRPr="00834ECC" w:rsidRDefault="00CF23E3" w:rsidP="00DB7206">
            <w:pPr>
              <w:ind w:firstLine="0"/>
              <w:rPr>
                <w:rFonts w:cs="Times New Roman"/>
                <w:szCs w:val="24"/>
              </w:rPr>
            </w:pPr>
            <w:r w:rsidRPr="00834ECC">
              <w:rPr>
                <w:rFonts w:cs="Times New Roman"/>
                <w:szCs w:val="24"/>
              </w:rPr>
              <w:t>Vila de Sonim</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½ Vila de Fiães</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 xml:space="preserve">Miguel Fernandes </w:t>
            </w:r>
          </w:p>
        </w:tc>
        <w:tc>
          <w:tcPr>
            <w:tcW w:w="1729" w:type="dxa"/>
          </w:tcPr>
          <w:p w:rsidR="00CF23E3" w:rsidRPr="00834ECC" w:rsidRDefault="00CF23E3" w:rsidP="00DB7206">
            <w:pPr>
              <w:ind w:firstLine="0"/>
              <w:rPr>
                <w:rFonts w:cs="Times New Roman"/>
                <w:szCs w:val="24"/>
              </w:rPr>
            </w:pPr>
            <w:r w:rsidRPr="00834ECC">
              <w:rPr>
                <w:rFonts w:cs="Times New Roman"/>
                <w:szCs w:val="24"/>
              </w:rPr>
              <w:t>Fiães</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1 Herdamento </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 xml:space="preserve">Ordem do Hospital </w:t>
            </w:r>
          </w:p>
          <w:p w:rsidR="00CF23E3" w:rsidRPr="00834ECC" w:rsidRDefault="00CF23E3" w:rsidP="00DB7206">
            <w:pPr>
              <w:tabs>
                <w:tab w:val="left" w:pos="1410"/>
              </w:tabs>
              <w:ind w:firstLine="0"/>
              <w:rPr>
                <w:rFonts w:cs="Times New Roman"/>
                <w:b/>
                <w:szCs w:val="24"/>
              </w:rPr>
            </w:pPr>
            <w:r w:rsidRPr="00834ECC">
              <w:rPr>
                <w:rFonts w:cs="Times New Roman"/>
                <w:szCs w:val="24"/>
              </w:rPr>
              <w:tab/>
            </w:r>
          </w:p>
        </w:tc>
        <w:tc>
          <w:tcPr>
            <w:tcW w:w="1729" w:type="dxa"/>
            <w:vMerge w:val="restart"/>
          </w:tcPr>
          <w:p w:rsidR="00CF23E3" w:rsidRPr="00834ECC" w:rsidRDefault="00CF23E3" w:rsidP="00DB7206">
            <w:pPr>
              <w:ind w:firstLine="0"/>
              <w:rPr>
                <w:rFonts w:cs="Times New Roman"/>
                <w:szCs w:val="24"/>
              </w:rPr>
            </w:pPr>
            <w:r w:rsidRPr="00834ECC">
              <w:rPr>
                <w:rFonts w:cs="Times New Roman"/>
                <w:szCs w:val="24"/>
              </w:rPr>
              <w:t>Bouçais</w:t>
            </w:r>
          </w:p>
        </w:tc>
        <w:tc>
          <w:tcPr>
            <w:tcW w:w="1729" w:type="dxa"/>
          </w:tcPr>
          <w:p w:rsidR="00CF23E3" w:rsidRPr="00834ECC" w:rsidRDefault="00CF23E3" w:rsidP="00DB7206">
            <w:pPr>
              <w:ind w:firstLine="0"/>
              <w:rPr>
                <w:rFonts w:cs="Times New Roman"/>
                <w:szCs w:val="24"/>
              </w:rPr>
            </w:pPr>
            <w:r w:rsidRPr="00834ECC">
              <w:rPr>
                <w:rFonts w:cs="Times New Roman"/>
                <w:szCs w:val="24"/>
              </w:rPr>
              <w:t>¼ da Vila de Trotomir</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p.1345</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b/>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Vila de Alvarelhos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p.1345</w:t>
            </w:r>
          </w:p>
        </w:tc>
      </w:tr>
      <w:tr w:rsidR="00CF23E3" w:rsidRPr="00834ECC" w:rsidTr="00CF23E3">
        <w:tc>
          <w:tcPr>
            <w:tcW w:w="1728" w:type="dxa"/>
            <w:vMerge/>
            <w:shd w:val="clear" w:color="auto" w:fill="C4BC96" w:themeFill="background2" w:themeFillShade="BF"/>
          </w:tcPr>
          <w:p w:rsidR="00CF23E3" w:rsidRPr="00834ECC" w:rsidRDefault="00CF23E3" w:rsidP="00DB7206">
            <w:pPr>
              <w:tabs>
                <w:tab w:val="left" w:pos="1410"/>
              </w:tabs>
              <w:ind w:firstLine="0"/>
              <w:rPr>
                <w:rFonts w:cs="Times New Roman"/>
                <w:szCs w:val="24"/>
              </w:rPr>
            </w:pPr>
          </w:p>
        </w:tc>
        <w:tc>
          <w:tcPr>
            <w:tcW w:w="1729" w:type="dxa"/>
            <w:vMerge w:val="restart"/>
          </w:tcPr>
          <w:p w:rsidR="00CF23E3" w:rsidRPr="00834ECC" w:rsidRDefault="00CF23E3" w:rsidP="00DB7206">
            <w:pPr>
              <w:ind w:firstLine="0"/>
              <w:rPr>
                <w:rFonts w:cs="Times New Roman"/>
                <w:szCs w:val="24"/>
              </w:rPr>
            </w:pPr>
            <w:r w:rsidRPr="00834ECC">
              <w:rPr>
                <w:rFonts w:cs="Times New Roman"/>
                <w:szCs w:val="24"/>
              </w:rPr>
              <w:t xml:space="preserve">Tinhela </w:t>
            </w:r>
          </w:p>
        </w:tc>
        <w:tc>
          <w:tcPr>
            <w:tcW w:w="1729" w:type="dxa"/>
          </w:tcPr>
          <w:p w:rsidR="00CF23E3" w:rsidRPr="00834ECC" w:rsidRDefault="00CF23E3" w:rsidP="00DB7206">
            <w:pPr>
              <w:ind w:firstLine="0"/>
              <w:rPr>
                <w:rFonts w:cs="Times New Roman"/>
                <w:szCs w:val="24"/>
              </w:rPr>
            </w:pPr>
            <w:r w:rsidRPr="00834ECC">
              <w:rPr>
                <w:rFonts w:cs="Times New Roman"/>
                <w:szCs w:val="24"/>
              </w:rPr>
              <w:t>2 Casais em Tinhela</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vMerge/>
            <w:shd w:val="clear" w:color="auto" w:fill="C4BC96" w:themeFill="background2" w:themeFillShade="BF"/>
          </w:tcPr>
          <w:p w:rsidR="00CF23E3" w:rsidRPr="00834ECC" w:rsidRDefault="00CF23E3" w:rsidP="00DB7206">
            <w:pPr>
              <w:tabs>
                <w:tab w:val="left" w:pos="1410"/>
              </w:tabs>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2 Casais em Azares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vMerge/>
            <w:shd w:val="clear" w:color="auto" w:fill="C4BC96" w:themeFill="background2" w:themeFillShade="BF"/>
          </w:tcPr>
          <w:p w:rsidR="00CF23E3" w:rsidRPr="00834ECC" w:rsidRDefault="00CF23E3" w:rsidP="00DB7206">
            <w:pPr>
              <w:tabs>
                <w:tab w:val="left" w:pos="1410"/>
              </w:tabs>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Águas Frias</w:t>
            </w:r>
          </w:p>
        </w:tc>
        <w:tc>
          <w:tcPr>
            <w:tcW w:w="1729" w:type="dxa"/>
          </w:tcPr>
          <w:p w:rsidR="00CF23E3" w:rsidRPr="00834ECC" w:rsidRDefault="00CF23E3" w:rsidP="00DB7206">
            <w:pPr>
              <w:ind w:firstLine="0"/>
              <w:rPr>
                <w:rFonts w:cs="Times New Roman"/>
                <w:szCs w:val="24"/>
              </w:rPr>
            </w:pPr>
            <w:r w:rsidRPr="00834ECC">
              <w:rPr>
                <w:rFonts w:cs="Times New Roman"/>
                <w:szCs w:val="24"/>
              </w:rPr>
              <w:t>1 Casal</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Fiães</w:t>
            </w:r>
          </w:p>
        </w:tc>
        <w:tc>
          <w:tcPr>
            <w:tcW w:w="1729" w:type="dxa"/>
          </w:tcPr>
          <w:p w:rsidR="00CF23E3" w:rsidRPr="00834ECC" w:rsidRDefault="00CF23E3" w:rsidP="00DB7206">
            <w:pPr>
              <w:ind w:firstLine="0"/>
              <w:rPr>
                <w:rFonts w:cs="Times New Roman"/>
                <w:szCs w:val="24"/>
              </w:rPr>
            </w:pPr>
            <w:r w:rsidRPr="00834ECC">
              <w:rPr>
                <w:rFonts w:cs="Times New Roman"/>
                <w:szCs w:val="24"/>
              </w:rPr>
              <w:t>¼ da Vila de Santo Pedro de Pias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São João da Castanheira</w:t>
            </w:r>
          </w:p>
        </w:tc>
        <w:tc>
          <w:tcPr>
            <w:tcW w:w="1729" w:type="dxa"/>
          </w:tcPr>
          <w:p w:rsidR="00CF23E3" w:rsidRPr="00834ECC" w:rsidRDefault="00CF23E3" w:rsidP="00DB7206">
            <w:pPr>
              <w:ind w:firstLine="0"/>
              <w:rPr>
                <w:rFonts w:cs="Times New Roman"/>
                <w:szCs w:val="24"/>
              </w:rPr>
            </w:pPr>
            <w:r w:rsidRPr="00834ECC">
              <w:rPr>
                <w:rFonts w:cs="Times New Roman"/>
                <w:szCs w:val="24"/>
              </w:rPr>
              <w:t>½ do padroado da Igreja de São João da Castanheira</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w:t>
            </w:r>
            <w:r w:rsidRPr="00834ECC">
              <w:rPr>
                <w:rFonts w:eastAsia="Times New Roman" w:cs="Times New Roman"/>
                <w:szCs w:val="24"/>
                <w:lang w:val="fr-FR" w:eastAsia="pt-PT"/>
              </w:rPr>
              <w:t>1348</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Pedro Mendes</w:t>
            </w:r>
          </w:p>
        </w:tc>
        <w:tc>
          <w:tcPr>
            <w:tcW w:w="1729" w:type="dxa"/>
          </w:tcPr>
          <w:p w:rsidR="00CF23E3" w:rsidRPr="00834ECC" w:rsidRDefault="00CF23E3" w:rsidP="00DB7206">
            <w:pPr>
              <w:ind w:firstLine="0"/>
              <w:rPr>
                <w:rFonts w:cs="Times New Roman"/>
                <w:szCs w:val="24"/>
              </w:rPr>
            </w:pPr>
            <w:r w:rsidRPr="00834ECC">
              <w:rPr>
                <w:rFonts w:cs="Times New Roman"/>
                <w:szCs w:val="24"/>
              </w:rPr>
              <w:t>Santa Valha</w:t>
            </w:r>
          </w:p>
        </w:tc>
        <w:tc>
          <w:tcPr>
            <w:tcW w:w="1729" w:type="dxa"/>
          </w:tcPr>
          <w:p w:rsidR="00CF23E3" w:rsidRPr="00834ECC" w:rsidRDefault="00CF23E3" w:rsidP="00DB7206">
            <w:pPr>
              <w:ind w:firstLine="0"/>
              <w:rPr>
                <w:rFonts w:cs="Times New Roman"/>
                <w:szCs w:val="24"/>
              </w:rPr>
            </w:pPr>
            <w:r w:rsidRPr="00834ECC">
              <w:rPr>
                <w:rFonts w:cs="Times New Roman"/>
                <w:szCs w:val="24"/>
              </w:rPr>
              <w:t>1 Casal</w:t>
            </w:r>
          </w:p>
        </w:tc>
        <w:tc>
          <w:tcPr>
            <w:tcW w:w="1729" w:type="dxa"/>
          </w:tcPr>
          <w:p w:rsidR="00CF23E3" w:rsidRPr="00834ECC" w:rsidRDefault="00CF23E3" w:rsidP="00DB7206">
            <w:pPr>
              <w:ind w:firstLine="0"/>
              <w:rPr>
                <w:rFonts w:cs="Times New Roman"/>
                <w:szCs w:val="24"/>
              </w:rPr>
            </w:pPr>
            <w:r w:rsidRPr="00834ECC">
              <w:rPr>
                <w:rFonts w:cs="Times New Roman"/>
                <w:szCs w:val="24"/>
              </w:rPr>
              <w:t>Herança</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Pedro Lourenço de Cerveira</w:t>
            </w:r>
          </w:p>
        </w:tc>
        <w:tc>
          <w:tcPr>
            <w:tcW w:w="1729" w:type="dxa"/>
          </w:tcPr>
          <w:p w:rsidR="00CF23E3" w:rsidRPr="00834ECC" w:rsidRDefault="00CF23E3" w:rsidP="00DB7206">
            <w:pPr>
              <w:ind w:firstLine="0"/>
              <w:rPr>
                <w:rFonts w:cs="Times New Roman"/>
                <w:szCs w:val="24"/>
              </w:rPr>
            </w:pPr>
            <w:r w:rsidRPr="00834ECC">
              <w:rPr>
                <w:rFonts w:cs="Times New Roman"/>
                <w:szCs w:val="24"/>
              </w:rPr>
              <w:t>Santa Valha</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1 Casal em Oucidres </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Fiães</w:t>
            </w:r>
          </w:p>
        </w:tc>
        <w:tc>
          <w:tcPr>
            <w:tcW w:w="1729" w:type="dxa"/>
          </w:tcPr>
          <w:p w:rsidR="00CF23E3" w:rsidRPr="00834ECC" w:rsidRDefault="00CF23E3" w:rsidP="00DB7206">
            <w:pPr>
              <w:ind w:firstLine="0"/>
              <w:rPr>
                <w:rFonts w:cs="Times New Roman"/>
                <w:szCs w:val="24"/>
              </w:rPr>
            </w:pPr>
            <w:r w:rsidRPr="00834ECC">
              <w:rPr>
                <w:rFonts w:cs="Times New Roman"/>
                <w:szCs w:val="24"/>
              </w:rPr>
              <w:t>1 Casal em Barreiros</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1 Casal em Fiães</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Santa Valha</w:t>
            </w:r>
          </w:p>
        </w:tc>
        <w:tc>
          <w:tcPr>
            <w:tcW w:w="1729" w:type="dxa"/>
          </w:tcPr>
          <w:p w:rsidR="00CF23E3" w:rsidRPr="00834ECC" w:rsidRDefault="00CF23E3" w:rsidP="00DB7206">
            <w:pPr>
              <w:ind w:firstLine="0"/>
              <w:rPr>
                <w:rFonts w:cs="Times New Roman"/>
                <w:szCs w:val="24"/>
              </w:rPr>
            </w:pPr>
            <w:r w:rsidRPr="00834ECC">
              <w:rPr>
                <w:rFonts w:cs="Times New Roman"/>
                <w:szCs w:val="24"/>
              </w:rPr>
              <w:t>1 Casal em Felmir</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shd w:val="clear" w:color="auto" w:fill="C4BC96" w:themeFill="background2" w:themeFillShade="BF"/>
          </w:tcPr>
          <w:p w:rsidR="00CF23E3" w:rsidRPr="00834ECC" w:rsidRDefault="00CF23E3" w:rsidP="00DB7206">
            <w:pPr>
              <w:ind w:firstLine="0"/>
              <w:rPr>
                <w:rFonts w:cs="Times New Roman"/>
                <w:szCs w:val="24"/>
              </w:rPr>
            </w:pPr>
            <w:r w:rsidRPr="00834ECC">
              <w:rPr>
                <w:rFonts w:cs="Times New Roman"/>
                <w:b/>
                <w:szCs w:val="24"/>
              </w:rPr>
              <w:t>Pedro</w:t>
            </w:r>
          </w:p>
          <w:p w:rsidR="00CF23E3" w:rsidRPr="00834ECC" w:rsidRDefault="00CF23E3" w:rsidP="00DB7206">
            <w:pPr>
              <w:ind w:firstLine="0"/>
              <w:rPr>
                <w:rFonts w:cs="Times New Roman"/>
                <w:b/>
                <w:szCs w:val="24"/>
              </w:rPr>
            </w:pPr>
            <w:r w:rsidRPr="00834ECC">
              <w:rPr>
                <w:rFonts w:cs="Times New Roman"/>
                <w:b/>
                <w:szCs w:val="24"/>
              </w:rPr>
              <w:t>Fernandes de Bragança</w:t>
            </w:r>
          </w:p>
          <w:p w:rsidR="00CF23E3" w:rsidRPr="00834ECC" w:rsidRDefault="00CF23E3" w:rsidP="00DB7206">
            <w:pPr>
              <w:ind w:firstLine="0"/>
              <w:rPr>
                <w:rFonts w:cs="Times New Roman"/>
                <w:b/>
                <w:szCs w:val="24"/>
              </w:rPr>
            </w:pPr>
            <w:r w:rsidRPr="00834ECC">
              <w:rPr>
                <w:rFonts w:cs="Times New Roman"/>
                <w:b/>
                <w:szCs w:val="24"/>
              </w:rPr>
              <w:t>(netos de)</w:t>
            </w:r>
          </w:p>
        </w:tc>
        <w:tc>
          <w:tcPr>
            <w:tcW w:w="1729" w:type="dxa"/>
          </w:tcPr>
          <w:p w:rsidR="00CF23E3" w:rsidRPr="00834ECC" w:rsidRDefault="00CF23E3" w:rsidP="00DB7206">
            <w:pPr>
              <w:ind w:firstLine="0"/>
              <w:rPr>
                <w:rFonts w:cs="Times New Roman"/>
                <w:szCs w:val="24"/>
              </w:rPr>
            </w:pPr>
            <w:r w:rsidRPr="00834ECC">
              <w:rPr>
                <w:rFonts w:cs="Times New Roman"/>
                <w:szCs w:val="24"/>
              </w:rPr>
              <w:t>Bouçais</w:t>
            </w:r>
          </w:p>
        </w:tc>
        <w:tc>
          <w:tcPr>
            <w:tcW w:w="1729" w:type="dxa"/>
          </w:tcPr>
          <w:p w:rsidR="00CF23E3" w:rsidRPr="00834ECC" w:rsidRDefault="00CF23E3" w:rsidP="00DB7206">
            <w:pPr>
              <w:ind w:firstLine="0"/>
              <w:rPr>
                <w:rFonts w:cs="Times New Roman"/>
                <w:szCs w:val="24"/>
              </w:rPr>
            </w:pPr>
            <w:r w:rsidRPr="00834ECC">
              <w:rPr>
                <w:rFonts w:cs="Times New Roman"/>
                <w:szCs w:val="24"/>
              </w:rPr>
              <w:t>Vila de Algariz</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p.1345</w:t>
            </w:r>
          </w:p>
        </w:tc>
      </w:tr>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p>
          <w:p w:rsidR="00CF23E3" w:rsidRPr="00834ECC" w:rsidRDefault="00CF23E3" w:rsidP="00DB7206">
            <w:pPr>
              <w:ind w:firstLine="0"/>
              <w:rPr>
                <w:rFonts w:cs="Times New Roman"/>
                <w:b/>
                <w:szCs w:val="24"/>
              </w:rPr>
            </w:pPr>
          </w:p>
          <w:p w:rsidR="00CF23E3" w:rsidRPr="00834ECC" w:rsidRDefault="00CF23E3" w:rsidP="00DB7206">
            <w:pPr>
              <w:ind w:firstLine="0"/>
              <w:rPr>
                <w:rFonts w:cs="Times New Roman"/>
                <w:b/>
                <w:szCs w:val="24"/>
              </w:rPr>
            </w:pPr>
            <w:r w:rsidRPr="00834ECC">
              <w:rPr>
                <w:rFonts w:cs="Times New Roman"/>
                <w:b/>
                <w:szCs w:val="24"/>
              </w:rPr>
              <w:t>Rei (Reguengo)</w:t>
            </w:r>
          </w:p>
        </w:tc>
        <w:tc>
          <w:tcPr>
            <w:tcW w:w="1729" w:type="dxa"/>
            <w:vMerge w:val="restart"/>
          </w:tcPr>
          <w:p w:rsidR="00CF23E3" w:rsidRPr="00834ECC" w:rsidRDefault="00CF23E3" w:rsidP="00DB7206">
            <w:pPr>
              <w:ind w:firstLine="0"/>
              <w:rPr>
                <w:rFonts w:cs="Times New Roman"/>
                <w:szCs w:val="24"/>
              </w:rPr>
            </w:pPr>
            <w:r w:rsidRPr="00834ECC">
              <w:rPr>
                <w:rFonts w:cs="Times New Roman"/>
                <w:szCs w:val="24"/>
              </w:rPr>
              <w:t>Bouçais</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¼  do padroado da Igreja </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p.1345</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Vila de Picões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p.1345</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Tinhela</w:t>
            </w:r>
          </w:p>
        </w:tc>
        <w:tc>
          <w:tcPr>
            <w:tcW w:w="1729" w:type="dxa"/>
          </w:tcPr>
          <w:p w:rsidR="00CF23E3" w:rsidRPr="00834ECC" w:rsidRDefault="00CF23E3" w:rsidP="00DB7206">
            <w:pPr>
              <w:ind w:firstLine="0"/>
              <w:rPr>
                <w:rFonts w:cs="Times New Roman"/>
                <w:szCs w:val="24"/>
              </w:rPr>
            </w:pPr>
            <w:r w:rsidRPr="00834ECC">
              <w:rPr>
                <w:rFonts w:cs="Times New Roman"/>
                <w:szCs w:val="24"/>
              </w:rPr>
              <w:t>Padroado da Igreja de Tinhela</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p.1346</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Santa Valha</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½ da vila de </w:t>
            </w:r>
            <w:r w:rsidRPr="00834ECC">
              <w:rPr>
                <w:rFonts w:cs="Times New Roman"/>
                <w:bCs/>
                <w:iCs/>
                <w:szCs w:val="24"/>
              </w:rPr>
              <w:t>Oucidres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p.1344</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val="restart"/>
          </w:tcPr>
          <w:p w:rsidR="00CF23E3" w:rsidRPr="00834ECC" w:rsidRDefault="00CF23E3" w:rsidP="00DB7206">
            <w:pPr>
              <w:ind w:firstLine="0"/>
              <w:rPr>
                <w:rFonts w:cs="Times New Roman"/>
                <w:szCs w:val="24"/>
              </w:rPr>
            </w:pPr>
            <w:r w:rsidRPr="00834ECC">
              <w:rPr>
                <w:rFonts w:cs="Times New Roman"/>
                <w:szCs w:val="24"/>
              </w:rPr>
              <w:t>Águas Frias</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Vila de </w:t>
            </w:r>
            <w:r w:rsidRPr="00834ECC">
              <w:rPr>
                <w:rFonts w:cs="Times New Roman"/>
                <w:bCs/>
                <w:iCs/>
                <w:szCs w:val="24"/>
              </w:rPr>
              <w:t>Avelelas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p.1347</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19 Casais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p.1347</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val="restart"/>
          </w:tcPr>
          <w:p w:rsidR="00CF23E3" w:rsidRPr="00834ECC" w:rsidRDefault="00CF23E3" w:rsidP="00DB7206">
            <w:pPr>
              <w:ind w:firstLine="0"/>
              <w:rPr>
                <w:rFonts w:cs="Times New Roman"/>
                <w:szCs w:val="24"/>
              </w:rPr>
            </w:pPr>
            <w:r w:rsidRPr="00834ECC">
              <w:rPr>
                <w:rFonts w:cs="Times New Roman"/>
                <w:szCs w:val="24"/>
              </w:rPr>
              <w:t>Fiães</w:t>
            </w:r>
          </w:p>
        </w:tc>
        <w:tc>
          <w:tcPr>
            <w:tcW w:w="1729" w:type="dxa"/>
          </w:tcPr>
          <w:p w:rsidR="00CF23E3" w:rsidRPr="00834ECC" w:rsidRDefault="00CF23E3" w:rsidP="00DB7206">
            <w:pPr>
              <w:ind w:firstLine="0"/>
              <w:rPr>
                <w:rFonts w:cs="Times New Roman"/>
                <w:szCs w:val="24"/>
              </w:rPr>
            </w:pPr>
            <w:r w:rsidRPr="00834ECC">
              <w:rPr>
                <w:rFonts w:cs="Times New Roman"/>
                <w:szCs w:val="24"/>
              </w:rPr>
              <w:t>½ da vila de Fiães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Vila de Barreiros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val="restart"/>
          </w:tcPr>
          <w:p w:rsidR="00CF23E3" w:rsidRPr="00834ECC" w:rsidRDefault="00CF23E3" w:rsidP="00DB7206">
            <w:pPr>
              <w:ind w:firstLine="0"/>
              <w:rPr>
                <w:rFonts w:cs="Times New Roman"/>
                <w:szCs w:val="24"/>
              </w:rPr>
            </w:pPr>
            <w:r w:rsidRPr="00834ECC">
              <w:rPr>
                <w:rFonts w:cs="Times New Roman"/>
                <w:szCs w:val="24"/>
              </w:rPr>
              <w:t>S. João da Castanheira</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½ da vila da Castanheira </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Vila de Lebusão</w:t>
            </w:r>
          </w:p>
        </w:tc>
        <w:tc>
          <w:tcPr>
            <w:tcW w:w="1729" w:type="dxa"/>
            <w:tcBorders>
              <w:top w:val="nil"/>
            </w:tcBorders>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Vila de Roriz da Paradela</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Rodrigo Lourenço</w:t>
            </w:r>
          </w:p>
        </w:tc>
        <w:tc>
          <w:tcPr>
            <w:tcW w:w="1729" w:type="dxa"/>
            <w:vMerge w:val="restart"/>
          </w:tcPr>
          <w:p w:rsidR="00CF23E3" w:rsidRPr="00834ECC" w:rsidRDefault="00CF23E3" w:rsidP="00DB7206">
            <w:pPr>
              <w:ind w:firstLine="0"/>
              <w:rPr>
                <w:rFonts w:cs="Times New Roman"/>
                <w:szCs w:val="24"/>
              </w:rPr>
            </w:pPr>
            <w:r w:rsidRPr="00834ECC">
              <w:rPr>
                <w:rFonts w:cs="Times New Roman"/>
                <w:szCs w:val="24"/>
              </w:rPr>
              <w:t>Fiães</w:t>
            </w:r>
          </w:p>
        </w:tc>
        <w:tc>
          <w:tcPr>
            <w:tcW w:w="1729" w:type="dxa"/>
          </w:tcPr>
          <w:p w:rsidR="00CF23E3" w:rsidRPr="00834ECC" w:rsidRDefault="00CF23E3" w:rsidP="00DB7206">
            <w:pPr>
              <w:ind w:firstLine="0"/>
              <w:rPr>
                <w:rFonts w:cs="Times New Roman"/>
                <w:szCs w:val="24"/>
              </w:rPr>
            </w:pPr>
            <w:r w:rsidRPr="00834ECC">
              <w:rPr>
                <w:rFonts w:cs="Times New Roman"/>
                <w:szCs w:val="24"/>
              </w:rPr>
              <w:t>1 Herdamento em Santala</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1 Herdamento Vila de Barreiros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val="restart"/>
          </w:tcPr>
          <w:p w:rsidR="00CF23E3" w:rsidRPr="00834ECC" w:rsidRDefault="00CF23E3" w:rsidP="00DB7206">
            <w:pPr>
              <w:ind w:firstLine="0"/>
              <w:rPr>
                <w:rFonts w:cs="Times New Roman"/>
                <w:szCs w:val="24"/>
              </w:rPr>
            </w:pPr>
            <w:r w:rsidRPr="00834ECC">
              <w:rPr>
                <w:rFonts w:cs="Times New Roman"/>
                <w:szCs w:val="24"/>
              </w:rPr>
              <w:t xml:space="preserve">Águas Frias </w:t>
            </w:r>
          </w:p>
        </w:tc>
        <w:tc>
          <w:tcPr>
            <w:tcW w:w="1729" w:type="dxa"/>
          </w:tcPr>
          <w:p w:rsidR="00CF23E3" w:rsidRPr="00834ECC" w:rsidRDefault="00CF23E3" w:rsidP="00DB7206">
            <w:pPr>
              <w:ind w:firstLine="0"/>
              <w:rPr>
                <w:rFonts w:cs="Times New Roman"/>
                <w:szCs w:val="24"/>
              </w:rPr>
            </w:pPr>
            <w:r w:rsidRPr="00834ECC">
              <w:rPr>
                <w:rFonts w:cs="Times New Roman"/>
                <w:szCs w:val="24"/>
              </w:rPr>
              <w:t>1 Vinha</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Compra </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1 Vila</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1 Herdamento</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S. João da Castanheira</w:t>
            </w:r>
          </w:p>
        </w:tc>
        <w:tc>
          <w:tcPr>
            <w:tcW w:w="1729" w:type="dxa"/>
          </w:tcPr>
          <w:p w:rsidR="00CF23E3" w:rsidRPr="00834ECC" w:rsidRDefault="00CF23E3" w:rsidP="00DB7206">
            <w:pPr>
              <w:ind w:firstLine="0"/>
              <w:rPr>
                <w:rFonts w:cs="Times New Roman"/>
                <w:szCs w:val="24"/>
              </w:rPr>
            </w:pPr>
            <w:r w:rsidRPr="00834ECC">
              <w:rPr>
                <w:rFonts w:cs="Times New Roman"/>
                <w:szCs w:val="24"/>
              </w:rPr>
              <w:t>½ Casal</w:t>
            </w:r>
          </w:p>
        </w:tc>
        <w:tc>
          <w:tcPr>
            <w:tcW w:w="1729" w:type="dxa"/>
          </w:tcPr>
          <w:p w:rsidR="00CF23E3" w:rsidRPr="00834ECC" w:rsidRDefault="00CF23E3" w:rsidP="00DB7206">
            <w:pPr>
              <w:ind w:firstLine="0"/>
              <w:rPr>
                <w:rFonts w:cs="Times New Roman"/>
                <w:szCs w:val="24"/>
              </w:rPr>
            </w:pPr>
            <w:r w:rsidRPr="00834ECC">
              <w:rPr>
                <w:rFonts w:cs="Times New Roman"/>
                <w:szCs w:val="24"/>
              </w:rPr>
              <w:t>Compra</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Rui Lourenço</w:t>
            </w:r>
          </w:p>
          <w:p w:rsidR="00CF23E3" w:rsidRPr="00834ECC" w:rsidRDefault="00CF23E3" w:rsidP="00DB7206">
            <w:pPr>
              <w:ind w:firstLine="0"/>
              <w:rPr>
                <w:rFonts w:cs="Times New Roman"/>
                <w:b/>
                <w:szCs w:val="24"/>
              </w:rPr>
            </w:pPr>
            <w:r w:rsidRPr="00834ECC">
              <w:rPr>
                <w:rFonts w:cs="Times New Roman"/>
                <w:b/>
                <w:szCs w:val="24"/>
              </w:rPr>
              <w:t xml:space="preserve">De Cerveira </w:t>
            </w:r>
          </w:p>
        </w:tc>
        <w:tc>
          <w:tcPr>
            <w:tcW w:w="1729" w:type="dxa"/>
          </w:tcPr>
          <w:p w:rsidR="00CF23E3" w:rsidRPr="00834ECC" w:rsidRDefault="00CF23E3" w:rsidP="00DB7206">
            <w:pPr>
              <w:ind w:firstLine="0"/>
              <w:rPr>
                <w:rFonts w:cs="Times New Roman"/>
                <w:szCs w:val="24"/>
              </w:rPr>
            </w:pPr>
            <w:r w:rsidRPr="00834ECC">
              <w:rPr>
                <w:rFonts w:cs="Times New Roman"/>
                <w:szCs w:val="24"/>
              </w:rPr>
              <w:t>Santa Valha</w:t>
            </w:r>
          </w:p>
        </w:tc>
        <w:tc>
          <w:tcPr>
            <w:tcW w:w="1729" w:type="dxa"/>
          </w:tcPr>
          <w:p w:rsidR="00CF23E3" w:rsidRPr="00834ECC" w:rsidRDefault="00CF23E3" w:rsidP="00DB7206">
            <w:pPr>
              <w:ind w:firstLine="0"/>
              <w:rPr>
                <w:rFonts w:cs="Times New Roman"/>
                <w:szCs w:val="24"/>
              </w:rPr>
            </w:pPr>
            <w:r w:rsidRPr="00834ECC">
              <w:rPr>
                <w:rFonts w:cs="Times New Roman"/>
                <w:szCs w:val="24"/>
              </w:rPr>
              <w:t>¼ Vila de Oucidres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w:t>
            </w:r>
            <w:r w:rsidRPr="00834ECC">
              <w:rPr>
                <w:rFonts w:eastAsia="Times New Roman" w:cs="Times New Roman"/>
                <w:szCs w:val="24"/>
                <w:lang w:val="fr-FR" w:eastAsia="pt-PT"/>
              </w:rPr>
              <w:t>1347</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S. João da Castanheira </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1 Herdamento na Castanheira </w:t>
            </w:r>
          </w:p>
        </w:tc>
        <w:tc>
          <w:tcPr>
            <w:tcW w:w="1729" w:type="dxa"/>
          </w:tcPr>
          <w:p w:rsidR="00CF23E3" w:rsidRPr="00834ECC" w:rsidRDefault="00CF23E3" w:rsidP="00DB7206">
            <w:pPr>
              <w:ind w:firstLine="0"/>
              <w:rPr>
                <w:rFonts w:cs="Times New Roman"/>
                <w:szCs w:val="24"/>
              </w:rPr>
            </w:pPr>
            <w:r w:rsidRPr="00834ECC">
              <w:rPr>
                <w:rFonts w:cs="Times New Roman"/>
                <w:szCs w:val="24"/>
              </w:rPr>
              <w:t>Compra</w:t>
            </w:r>
          </w:p>
        </w:tc>
        <w:tc>
          <w:tcPr>
            <w:tcW w:w="1729" w:type="dxa"/>
          </w:tcPr>
          <w:p w:rsidR="00CF23E3" w:rsidRPr="00834ECC" w:rsidRDefault="00CF23E3" w:rsidP="00DB7206">
            <w:pPr>
              <w:ind w:firstLine="0"/>
              <w:rPr>
                <w:rFonts w:cs="Times New Roman"/>
                <w:szCs w:val="24"/>
              </w:rPr>
            </w:pPr>
            <w:r w:rsidRPr="00834ECC">
              <w:rPr>
                <w:rFonts w:cs="Times New Roman"/>
                <w:szCs w:val="24"/>
              </w:rPr>
              <w:t>p.</w:t>
            </w:r>
            <w:r w:rsidRPr="00834ECC">
              <w:rPr>
                <w:rFonts w:eastAsia="Times New Roman" w:cs="Times New Roman"/>
                <w:szCs w:val="24"/>
                <w:lang w:val="fr-FR" w:eastAsia="pt-PT"/>
              </w:rPr>
              <w:t>1348</w:t>
            </w:r>
          </w:p>
        </w:tc>
      </w:tr>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Sé de Braga</w:t>
            </w:r>
          </w:p>
        </w:tc>
        <w:tc>
          <w:tcPr>
            <w:tcW w:w="1729" w:type="dxa"/>
          </w:tcPr>
          <w:p w:rsidR="00CF23E3" w:rsidRPr="00834ECC" w:rsidRDefault="00CF23E3" w:rsidP="00DB7206">
            <w:pPr>
              <w:ind w:firstLine="0"/>
              <w:rPr>
                <w:rFonts w:cs="Times New Roman"/>
                <w:szCs w:val="24"/>
              </w:rPr>
            </w:pPr>
            <w:r w:rsidRPr="00834ECC">
              <w:rPr>
                <w:rFonts w:cs="Times New Roman"/>
                <w:szCs w:val="24"/>
              </w:rPr>
              <w:t>Santa Valha</w:t>
            </w:r>
          </w:p>
        </w:tc>
        <w:tc>
          <w:tcPr>
            <w:tcW w:w="1729" w:type="dxa"/>
          </w:tcPr>
          <w:p w:rsidR="00CF23E3" w:rsidRPr="00834ECC" w:rsidRDefault="00CF23E3" w:rsidP="00DB7206">
            <w:pPr>
              <w:ind w:firstLine="0"/>
              <w:rPr>
                <w:rFonts w:cs="Times New Roman"/>
                <w:szCs w:val="24"/>
              </w:rPr>
            </w:pPr>
            <w:r w:rsidRPr="00834ECC">
              <w:rPr>
                <w:rFonts w:cs="Times New Roman"/>
                <w:szCs w:val="24"/>
              </w:rPr>
              <w:t>Padroado da Igreja de Santa Valha</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p.1344</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Bouçais</w:t>
            </w:r>
          </w:p>
        </w:tc>
        <w:tc>
          <w:tcPr>
            <w:tcW w:w="1729" w:type="dxa"/>
          </w:tcPr>
          <w:p w:rsidR="00CF23E3" w:rsidRPr="00834ECC" w:rsidRDefault="00CF23E3" w:rsidP="00DB7206">
            <w:pPr>
              <w:ind w:firstLine="0"/>
              <w:rPr>
                <w:rFonts w:cs="Times New Roman"/>
                <w:szCs w:val="24"/>
              </w:rPr>
            </w:pPr>
            <w:r w:rsidRPr="00834ECC">
              <w:rPr>
                <w:rFonts w:cs="Times New Roman"/>
                <w:szCs w:val="24"/>
              </w:rPr>
              <w:t>Padroado da Igreja de Santa Maria de Riparia</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p.1345</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Tinhela</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½ do padroado da Igreja de Tinhela </w:t>
            </w:r>
          </w:p>
        </w:tc>
        <w:tc>
          <w:tcPr>
            <w:tcW w:w="1729" w:type="dxa"/>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p>
        </w:tc>
      </w:tr>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lastRenderedPageBreak/>
              <w:t>Urraca Ermiges</w:t>
            </w:r>
          </w:p>
          <w:p w:rsidR="00CF23E3" w:rsidRPr="00834ECC" w:rsidRDefault="00CF23E3" w:rsidP="00DB7206">
            <w:pPr>
              <w:ind w:firstLine="0"/>
              <w:rPr>
                <w:rFonts w:cs="Times New Roman"/>
                <w:szCs w:val="24"/>
              </w:rPr>
            </w:pPr>
            <w:r w:rsidRPr="00834ECC">
              <w:rPr>
                <w:rFonts w:cs="Times New Roman"/>
                <w:b/>
                <w:szCs w:val="24"/>
              </w:rPr>
              <w:t>(filhos de)</w:t>
            </w:r>
          </w:p>
        </w:tc>
        <w:tc>
          <w:tcPr>
            <w:tcW w:w="1729" w:type="dxa"/>
          </w:tcPr>
          <w:p w:rsidR="00CF23E3" w:rsidRPr="00834ECC" w:rsidRDefault="00CF23E3" w:rsidP="00DB7206">
            <w:pPr>
              <w:ind w:firstLine="0"/>
              <w:rPr>
                <w:rFonts w:cs="Times New Roman"/>
                <w:szCs w:val="24"/>
              </w:rPr>
            </w:pPr>
            <w:r w:rsidRPr="00834ECC">
              <w:rPr>
                <w:rFonts w:cs="Times New Roman"/>
                <w:szCs w:val="24"/>
              </w:rPr>
              <w:t>S. João da Castanheira</w:t>
            </w:r>
          </w:p>
        </w:tc>
        <w:tc>
          <w:tcPr>
            <w:tcW w:w="1729" w:type="dxa"/>
          </w:tcPr>
          <w:p w:rsidR="00CF23E3" w:rsidRPr="00834ECC" w:rsidRDefault="00CF23E3" w:rsidP="00DB7206">
            <w:pPr>
              <w:ind w:firstLine="0"/>
              <w:rPr>
                <w:rFonts w:cs="Times New Roman"/>
                <w:szCs w:val="24"/>
              </w:rPr>
            </w:pPr>
            <w:r w:rsidRPr="00834ECC">
              <w:rPr>
                <w:rFonts w:cs="Times New Roman"/>
                <w:szCs w:val="24"/>
              </w:rPr>
              <w:t>1 Casal</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p.1348</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Águas Frias </w:t>
            </w:r>
          </w:p>
        </w:tc>
        <w:tc>
          <w:tcPr>
            <w:tcW w:w="1729" w:type="dxa"/>
          </w:tcPr>
          <w:p w:rsidR="00CF23E3" w:rsidRPr="00834ECC" w:rsidRDefault="00CF23E3" w:rsidP="00DB7206">
            <w:pPr>
              <w:ind w:firstLine="0"/>
              <w:rPr>
                <w:rFonts w:cs="Times New Roman"/>
                <w:szCs w:val="24"/>
              </w:rPr>
            </w:pPr>
            <w:r w:rsidRPr="00834ECC">
              <w:rPr>
                <w:rFonts w:cs="Times New Roman"/>
                <w:szCs w:val="24"/>
              </w:rPr>
              <w:t>¼ do padroado da Igreja de S. Pedro de Batocas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p.1347</w:t>
            </w:r>
          </w:p>
        </w:tc>
      </w:tr>
      <w:tr w:rsidR="00CF23E3" w:rsidRPr="00834ECC" w:rsidTr="00CF23E3">
        <w:tc>
          <w:tcPr>
            <w:tcW w:w="1728" w:type="dxa"/>
            <w:vMerge w:val="restart"/>
            <w:shd w:val="clear" w:color="auto" w:fill="C4BC96" w:themeFill="background2" w:themeFillShade="BF"/>
          </w:tcPr>
          <w:p w:rsidR="00CF23E3" w:rsidRPr="00834ECC" w:rsidRDefault="00CF23E3" w:rsidP="00DB7206">
            <w:pPr>
              <w:ind w:firstLine="0"/>
              <w:rPr>
                <w:rFonts w:cs="Times New Roman"/>
                <w:b/>
                <w:szCs w:val="24"/>
              </w:rPr>
            </w:pPr>
            <w:r w:rsidRPr="00834ECC">
              <w:rPr>
                <w:rFonts w:cs="Times New Roman"/>
                <w:b/>
                <w:szCs w:val="24"/>
              </w:rPr>
              <w:t>Vasco Sanches de Barbosa (netos de)</w:t>
            </w:r>
          </w:p>
        </w:tc>
        <w:tc>
          <w:tcPr>
            <w:tcW w:w="1729" w:type="dxa"/>
            <w:vMerge w:val="restart"/>
          </w:tcPr>
          <w:p w:rsidR="00CF23E3" w:rsidRPr="00834ECC" w:rsidRDefault="00CF23E3" w:rsidP="00DB7206">
            <w:pPr>
              <w:ind w:firstLine="0"/>
              <w:rPr>
                <w:rFonts w:cs="Times New Roman"/>
                <w:szCs w:val="24"/>
              </w:rPr>
            </w:pPr>
            <w:r w:rsidRPr="00834ECC">
              <w:rPr>
                <w:rFonts w:cs="Times New Roman"/>
                <w:szCs w:val="24"/>
              </w:rPr>
              <w:t>Águas Frias</w:t>
            </w:r>
          </w:p>
        </w:tc>
        <w:tc>
          <w:tcPr>
            <w:tcW w:w="1729" w:type="dxa"/>
          </w:tcPr>
          <w:p w:rsidR="00CF23E3" w:rsidRPr="00834ECC" w:rsidRDefault="00CF23E3" w:rsidP="00DB7206">
            <w:pPr>
              <w:ind w:firstLine="0"/>
              <w:rPr>
                <w:rFonts w:cs="Times New Roman"/>
                <w:szCs w:val="24"/>
              </w:rPr>
            </w:pPr>
            <w:r w:rsidRPr="00834ECC">
              <w:rPr>
                <w:rFonts w:cs="Times New Roman"/>
                <w:szCs w:val="24"/>
              </w:rPr>
              <w:t>¼ do padroado da Igreja de S. Pedro de Batocas</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p.1347</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vMerge/>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1 Herdamento</w:t>
            </w:r>
          </w:p>
        </w:tc>
        <w:tc>
          <w:tcPr>
            <w:tcW w:w="1729" w:type="dxa"/>
          </w:tcPr>
          <w:p w:rsidR="00CF23E3" w:rsidRPr="00834ECC" w:rsidRDefault="00CF23E3" w:rsidP="00DB7206">
            <w:pPr>
              <w:ind w:firstLine="0"/>
              <w:rPr>
                <w:rFonts w:cs="Times New Roman"/>
                <w:szCs w:val="24"/>
              </w:rPr>
            </w:pPr>
            <w:r w:rsidRPr="00834ECC">
              <w:rPr>
                <w:rFonts w:cs="Times New Roman"/>
                <w:szCs w:val="24"/>
              </w:rPr>
              <w:t>X</w:t>
            </w:r>
          </w:p>
        </w:tc>
        <w:tc>
          <w:tcPr>
            <w:tcW w:w="1729" w:type="dxa"/>
          </w:tcPr>
          <w:p w:rsidR="00CF23E3" w:rsidRPr="00834ECC" w:rsidRDefault="00CF23E3" w:rsidP="00DB7206">
            <w:pPr>
              <w:ind w:firstLine="0"/>
              <w:rPr>
                <w:rFonts w:cs="Times New Roman"/>
                <w:szCs w:val="24"/>
              </w:rPr>
            </w:pPr>
            <w:r w:rsidRPr="00834ECC">
              <w:rPr>
                <w:rFonts w:cs="Times New Roman"/>
                <w:szCs w:val="24"/>
              </w:rPr>
              <w:t>p.1347</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Santa Valha</w:t>
            </w:r>
          </w:p>
        </w:tc>
        <w:tc>
          <w:tcPr>
            <w:tcW w:w="1729" w:type="dxa"/>
          </w:tcPr>
          <w:p w:rsidR="00CF23E3" w:rsidRPr="00834ECC" w:rsidRDefault="00CF23E3" w:rsidP="00DB7206">
            <w:pPr>
              <w:ind w:firstLine="0"/>
              <w:rPr>
                <w:rFonts w:cs="Times New Roman"/>
                <w:szCs w:val="24"/>
              </w:rPr>
            </w:pPr>
            <w:r w:rsidRPr="00834ECC">
              <w:rPr>
                <w:rFonts w:cs="Times New Roman"/>
                <w:szCs w:val="24"/>
              </w:rPr>
              <w:t>1 Herdamento em Oucidres</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p.1344</w:t>
            </w:r>
          </w:p>
        </w:tc>
      </w:tr>
      <w:tr w:rsidR="00CF23E3" w:rsidRPr="00834ECC" w:rsidTr="00CF23E3">
        <w:tc>
          <w:tcPr>
            <w:tcW w:w="1728" w:type="dxa"/>
            <w:vMerge/>
            <w:shd w:val="clear" w:color="auto" w:fill="C4BC96" w:themeFill="background2" w:themeFillShade="BF"/>
          </w:tcPr>
          <w:p w:rsidR="00CF23E3" w:rsidRPr="00834ECC" w:rsidRDefault="00CF23E3" w:rsidP="00DB7206">
            <w:pPr>
              <w:ind w:firstLine="0"/>
              <w:rPr>
                <w:rFonts w:cs="Times New Roman"/>
                <w:szCs w:val="24"/>
              </w:rPr>
            </w:pPr>
          </w:p>
        </w:tc>
        <w:tc>
          <w:tcPr>
            <w:tcW w:w="1729" w:type="dxa"/>
          </w:tcPr>
          <w:p w:rsidR="00CF23E3" w:rsidRPr="00834ECC" w:rsidRDefault="00CF23E3" w:rsidP="00DB7206">
            <w:pPr>
              <w:ind w:firstLine="0"/>
              <w:rPr>
                <w:rFonts w:cs="Times New Roman"/>
                <w:szCs w:val="24"/>
              </w:rPr>
            </w:pPr>
            <w:r w:rsidRPr="00834ECC">
              <w:rPr>
                <w:rFonts w:cs="Times New Roman"/>
                <w:szCs w:val="24"/>
              </w:rPr>
              <w:t>Bouçais</w:t>
            </w:r>
          </w:p>
        </w:tc>
        <w:tc>
          <w:tcPr>
            <w:tcW w:w="1729" w:type="dxa"/>
          </w:tcPr>
          <w:p w:rsidR="00CF23E3" w:rsidRPr="00834ECC" w:rsidRDefault="00CF23E3" w:rsidP="00DB7206">
            <w:pPr>
              <w:ind w:firstLine="0"/>
              <w:rPr>
                <w:rFonts w:cs="Times New Roman"/>
                <w:szCs w:val="24"/>
              </w:rPr>
            </w:pPr>
            <w:r w:rsidRPr="00834ECC">
              <w:rPr>
                <w:rFonts w:cs="Times New Roman"/>
                <w:szCs w:val="24"/>
              </w:rPr>
              <w:t xml:space="preserve">Vila de Batoca </w:t>
            </w:r>
          </w:p>
        </w:tc>
        <w:tc>
          <w:tcPr>
            <w:tcW w:w="1729" w:type="dxa"/>
          </w:tcPr>
          <w:p w:rsidR="00CF23E3" w:rsidRPr="00834ECC" w:rsidRDefault="00CF23E3" w:rsidP="00DB7206">
            <w:pPr>
              <w:ind w:firstLine="0"/>
              <w:rPr>
                <w:rFonts w:cs="Times New Roman"/>
                <w:szCs w:val="24"/>
              </w:rPr>
            </w:pPr>
            <w:r w:rsidRPr="00834ECC">
              <w:rPr>
                <w:rFonts w:cs="Times New Roman"/>
                <w:szCs w:val="24"/>
              </w:rPr>
              <w:t>Apropriação</w:t>
            </w:r>
          </w:p>
        </w:tc>
        <w:tc>
          <w:tcPr>
            <w:tcW w:w="1729" w:type="dxa"/>
          </w:tcPr>
          <w:p w:rsidR="00CF23E3" w:rsidRPr="00834ECC" w:rsidRDefault="00CF23E3" w:rsidP="00DB7206">
            <w:pPr>
              <w:ind w:firstLine="0"/>
              <w:rPr>
                <w:rFonts w:cs="Times New Roman"/>
                <w:szCs w:val="24"/>
              </w:rPr>
            </w:pPr>
            <w:r w:rsidRPr="00834ECC">
              <w:rPr>
                <w:rFonts w:cs="Times New Roman"/>
                <w:szCs w:val="24"/>
              </w:rPr>
              <w:t>p.1345</w:t>
            </w:r>
          </w:p>
        </w:tc>
      </w:tr>
    </w:tbl>
    <w:p w:rsidR="00CF23E3" w:rsidRDefault="00CF23E3" w:rsidP="0011294E">
      <w:pPr>
        <w:spacing w:line="360" w:lineRule="auto"/>
        <w:ind w:firstLine="624"/>
        <w:jc w:val="both"/>
        <w:rPr>
          <w:rFonts w:ascii="Times New Roman" w:hAnsi="Times New Roman"/>
          <w:b/>
          <w:bCs/>
          <w:iCs/>
          <w:sz w:val="24"/>
          <w:szCs w:val="24"/>
        </w:rPr>
      </w:pPr>
    </w:p>
    <w:p w:rsidR="0011294E" w:rsidRPr="0011294E" w:rsidRDefault="0011294E" w:rsidP="0011294E">
      <w:pPr>
        <w:spacing w:line="360" w:lineRule="auto"/>
        <w:ind w:firstLine="624"/>
        <w:jc w:val="both"/>
        <w:rPr>
          <w:rFonts w:ascii="Times New Roman" w:hAnsi="Times New Roman"/>
          <w:bCs/>
          <w:iCs/>
          <w:sz w:val="24"/>
          <w:szCs w:val="24"/>
        </w:rPr>
      </w:pPr>
      <w:r w:rsidRPr="0011294E">
        <w:rPr>
          <w:rFonts w:ascii="Times New Roman" w:hAnsi="Times New Roman"/>
          <w:b/>
          <w:bCs/>
          <w:iCs/>
          <w:sz w:val="24"/>
          <w:szCs w:val="24"/>
        </w:rPr>
        <w:t xml:space="preserve">Quadro 3: </w:t>
      </w:r>
      <w:r w:rsidRPr="0011294E">
        <w:rPr>
          <w:rFonts w:ascii="Times New Roman" w:hAnsi="Times New Roman"/>
          <w:bCs/>
          <w:iCs/>
          <w:sz w:val="24"/>
          <w:szCs w:val="24"/>
        </w:rPr>
        <w:t>Quadro dos donatários e propriedades na sua posse</w:t>
      </w:r>
    </w:p>
    <w:p w:rsidR="0011294E" w:rsidRPr="0011294E" w:rsidRDefault="0011294E" w:rsidP="0011294E">
      <w:pPr>
        <w:spacing w:line="360" w:lineRule="auto"/>
        <w:ind w:firstLine="624"/>
        <w:jc w:val="both"/>
        <w:rPr>
          <w:rFonts w:ascii="Times New Roman" w:hAnsi="Times New Roman"/>
          <w:bCs/>
          <w:iCs/>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bCs/>
          <w:iCs/>
          <w:sz w:val="24"/>
          <w:szCs w:val="24"/>
        </w:rPr>
        <w:t xml:space="preserve">Observando o quadro acima representado observamos que existe </w:t>
      </w:r>
      <w:r w:rsidRPr="0011294E">
        <w:rPr>
          <w:rFonts w:ascii="Times New Roman" w:hAnsi="Times New Roman"/>
          <w:sz w:val="24"/>
          <w:szCs w:val="24"/>
        </w:rPr>
        <w:t>um senhorialismo em associação, já que a posse, da maioria, tem uma pluralidade de proprietários. Havendo casos de posse desde antepassados (avós), o que indica que a posse era inamovível, naturalmente de acordo com a preponderância do possuidor. Tal é o caso de Vasco Sanches de Barbosa.</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bCs/>
          <w:iCs/>
          <w:sz w:val="24"/>
          <w:szCs w:val="24"/>
        </w:rPr>
        <w:t>Os direitos do padroado, qua</w:t>
      </w:r>
      <w:r w:rsidR="009D2BEB">
        <w:rPr>
          <w:rFonts w:ascii="Times New Roman" w:hAnsi="Times New Roman"/>
          <w:bCs/>
          <w:iCs/>
          <w:sz w:val="24"/>
          <w:szCs w:val="24"/>
        </w:rPr>
        <w:t>ndo repartidos, são às metades (</w:t>
      </w:r>
      <w:r w:rsidRPr="0011294E">
        <w:rPr>
          <w:rFonts w:ascii="Times New Roman" w:hAnsi="Times New Roman"/>
          <w:bCs/>
          <w:i/>
          <w:iCs/>
          <w:sz w:val="24"/>
          <w:szCs w:val="24"/>
        </w:rPr>
        <w:t>“medietas”</w:t>
      </w:r>
      <w:r w:rsidRPr="0011294E">
        <w:rPr>
          <w:rFonts w:ascii="Times New Roman" w:hAnsi="Times New Roman"/>
          <w:bCs/>
          <w:iCs/>
          <w:sz w:val="24"/>
          <w:szCs w:val="24"/>
        </w:rPr>
        <w:t xml:space="preserve">) e ou às </w:t>
      </w:r>
      <w:r w:rsidRPr="0011294E">
        <w:rPr>
          <w:rFonts w:ascii="Times New Roman" w:hAnsi="Times New Roman"/>
          <w:bCs/>
          <w:i/>
          <w:iCs/>
          <w:sz w:val="24"/>
          <w:szCs w:val="24"/>
        </w:rPr>
        <w:t>“terças”</w:t>
      </w:r>
      <w:r w:rsidRPr="0011294E">
        <w:rPr>
          <w:rFonts w:ascii="Times New Roman" w:hAnsi="Times New Roman"/>
          <w:bCs/>
          <w:iCs/>
          <w:sz w:val="24"/>
          <w:szCs w:val="24"/>
        </w:rPr>
        <w:t xml:space="preserve">, não se detectando porção menor, sendo a Arquidiocese de Braga a que detém a maioria e, em alguns casos, a totalidade. Veja-se o Padroado da Igreja de Santa Valha e ainda ½ dos direitos de povoado das Igrejas de Santa Maria de Riparia e de Bouçais (quadro 1). </w:t>
      </w:r>
      <w:r w:rsidRPr="0011294E">
        <w:rPr>
          <w:rFonts w:ascii="Times New Roman" w:hAnsi="Times New Roman"/>
          <w:sz w:val="24"/>
          <w:szCs w:val="24"/>
        </w:rPr>
        <w:t>À pergunta sobre a razão da posse de padroados por parte do Arcebispado de Braga é respondido</w:t>
      </w:r>
      <w:r w:rsidRPr="0011294E">
        <w:rPr>
          <w:rFonts w:ascii="Times New Roman" w:hAnsi="Times New Roman"/>
          <w:i/>
          <w:sz w:val="24"/>
          <w:szCs w:val="24"/>
        </w:rPr>
        <w:t>: “faciunt de consuetudine”</w:t>
      </w:r>
      <w:r w:rsidRPr="0011294E">
        <w:rPr>
          <w:rFonts w:ascii="Times New Roman" w:hAnsi="Times New Roman"/>
          <w:sz w:val="24"/>
          <w:szCs w:val="24"/>
        </w:rPr>
        <w:t>. Isto permite-nos concluir que o direito consuetudinário, em meados do século XIII, estava estabelecido e era respeitado e observado.</w:t>
      </w:r>
    </w:p>
    <w:p w:rsidR="0011294E" w:rsidRPr="0011294E" w:rsidRDefault="0011294E" w:rsidP="0011294E">
      <w:pPr>
        <w:spacing w:line="360" w:lineRule="auto"/>
        <w:ind w:firstLine="624"/>
        <w:jc w:val="both"/>
        <w:rPr>
          <w:rFonts w:ascii="Times New Roman" w:hAnsi="Times New Roman"/>
          <w:bCs/>
          <w:iCs/>
          <w:sz w:val="24"/>
          <w:szCs w:val="24"/>
        </w:rPr>
      </w:pPr>
      <w:r w:rsidRPr="0011294E">
        <w:rPr>
          <w:rFonts w:ascii="Times New Roman" w:hAnsi="Times New Roman"/>
          <w:bCs/>
          <w:iCs/>
          <w:sz w:val="24"/>
          <w:szCs w:val="24"/>
        </w:rPr>
        <w:t xml:space="preserve">Um outro aspeto importante que podemos avaliar pelas Inquirições são os foros e as rendas que o Arcebispo de Braga retirava das igrejas sufragadas à mitra. De facto, os proventos episcopais advinham das rendas das propriedades e igrejas às quais estava </w:t>
      </w:r>
      <w:r w:rsidRPr="0011294E">
        <w:rPr>
          <w:rFonts w:ascii="Times New Roman" w:hAnsi="Times New Roman"/>
          <w:bCs/>
          <w:iCs/>
          <w:sz w:val="24"/>
          <w:szCs w:val="24"/>
        </w:rPr>
        <w:lastRenderedPageBreak/>
        <w:t>inerente um múltiplo contributo dos paroquianos, nomeadamente os dízimos, primícias, apresentação, cera, pão, procuração, terças dos mortuários</w:t>
      </w:r>
      <w:r w:rsidRPr="0011294E">
        <w:rPr>
          <w:rFonts w:ascii="Times New Roman" w:hAnsi="Times New Roman"/>
          <w:bCs/>
          <w:iCs/>
          <w:sz w:val="24"/>
          <w:szCs w:val="24"/>
          <w:vertAlign w:val="superscript"/>
        </w:rPr>
        <w:footnoteReference w:id="152"/>
      </w:r>
      <w:r w:rsidRPr="0011294E">
        <w:rPr>
          <w:rFonts w:ascii="Times New Roman" w:hAnsi="Times New Roman"/>
          <w:bCs/>
          <w:iCs/>
          <w:sz w:val="24"/>
          <w:szCs w:val="24"/>
        </w:rPr>
        <w:t>.</w:t>
      </w:r>
    </w:p>
    <w:p w:rsidR="0011294E" w:rsidRPr="0011294E" w:rsidRDefault="0011294E" w:rsidP="0011294E">
      <w:pPr>
        <w:spacing w:line="360" w:lineRule="auto"/>
        <w:ind w:firstLine="624"/>
        <w:jc w:val="both"/>
        <w:rPr>
          <w:rFonts w:ascii="Times New Roman" w:hAnsi="Times New Roman"/>
          <w:bCs/>
          <w:iCs/>
          <w:sz w:val="24"/>
          <w:szCs w:val="24"/>
        </w:rPr>
      </w:pPr>
      <w:r w:rsidRPr="0011294E">
        <w:rPr>
          <w:rFonts w:ascii="Times New Roman" w:hAnsi="Times New Roman"/>
          <w:bCs/>
          <w:iCs/>
          <w:sz w:val="24"/>
          <w:szCs w:val="24"/>
        </w:rPr>
        <w:t xml:space="preserve">Neste sentido, podemos apontar a Igreja de Santa Valha, onde a mitra bracarense </w:t>
      </w:r>
      <w:r w:rsidRPr="0011294E">
        <w:rPr>
          <w:rFonts w:ascii="Times New Roman" w:hAnsi="Times New Roman"/>
          <w:bCs/>
          <w:i/>
          <w:iCs/>
          <w:sz w:val="24"/>
          <w:szCs w:val="24"/>
        </w:rPr>
        <w:t>levat inde V.modios de pane</w:t>
      </w:r>
      <w:r w:rsidRPr="0011294E">
        <w:rPr>
          <w:rStyle w:val="Refdenotaderodap"/>
          <w:rFonts w:ascii="Times New Roman" w:hAnsi="Times New Roman"/>
          <w:bCs/>
          <w:iCs/>
          <w:sz w:val="24"/>
          <w:szCs w:val="24"/>
        </w:rPr>
        <w:footnoteReference w:id="153"/>
      </w:r>
      <w:r w:rsidRPr="0011294E">
        <w:rPr>
          <w:rFonts w:ascii="Times New Roman" w:hAnsi="Times New Roman"/>
          <w:bCs/>
          <w:iCs/>
          <w:sz w:val="24"/>
          <w:szCs w:val="24"/>
        </w:rPr>
        <w:t>. Relativamente à Igreja de Santa Maria da Riparia</w:t>
      </w:r>
      <w:r w:rsidRPr="0011294E">
        <w:rPr>
          <w:rFonts w:ascii="Times New Roman" w:hAnsi="Times New Roman"/>
          <w:bCs/>
          <w:i/>
          <w:iCs/>
          <w:sz w:val="24"/>
          <w:szCs w:val="24"/>
        </w:rPr>
        <w:t xml:space="preserve">, </w:t>
      </w:r>
      <w:r w:rsidRPr="0011294E">
        <w:rPr>
          <w:rFonts w:ascii="Times New Roman" w:hAnsi="Times New Roman"/>
          <w:bCs/>
          <w:iCs/>
          <w:sz w:val="24"/>
          <w:szCs w:val="24"/>
        </w:rPr>
        <w:t>o arcebispo levava dela um quintão da colheita da qual se sustentava. A Igreja Santa Maria de Tinhela tinha também como patrono a mitra bracarense e o arcebispo não levava mais que dois soldos de sensória. Esta igreja estava sufragada em herdamentos foreiros do Rei</w:t>
      </w:r>
      <w:r w:rsidRPr="0011294E">
        <w:rPr>
          <w:rStyle w:val="Refdenotaderodap"/>
          <w:rFonts w:ascii="Times New Roman" w:hAnsi="Times New Roman"/>
          <w:bCs/>
          <w:iCs/>
          <w:sz w:val="24"/>
          <w:szCs w:val="24"/>
        </w:rPr>
        <w:footnoteReference w:id="154"/>
      </w:r>
      <w:r w:rsidRPr="0011294E">
        <w:rPr>
          <w:rFonts w:ascii="Times New Roman" w:hAnsi="Times New Roman"/>
          <w:bCs/>
          <w:iCs/>
          <w:sz w:val="24"/>
          <w:szCs w:val="24"/>
        </w:rPr>
        <w:t>.</w:t>
      </w:r>
    </w:p>
    <w:p w:rsidR="0011294E" w:rsidRPr="0011294E" w:rsidRDefault="0011294E" w:rsidP="0011294E">
      <w:pPr>
        <w:spacing w:line="360" w:lineRule="auto"/>
        <w:ind w:firstLine="624"/>
        <w:jc w:val="both"/>
        <w:rPr>
          <w:rFonts w:ascii="Times New Roman" w:hAnsi="Times New Roman"/>
          <w:bCs/>
          <w:iCs/>
          <w:sz w:val="24"/>
          <w:szCs w:val="24"/>
        </w:rPr>
      </w:pPr>
      <w:r w:rsidRPr="0011294E">
        <w:rPr>
          <w:rFonts w:ascii="Times New Roman" w:hAnsi="Times New Roman"/>
          <w:bCs/>
          <w:iCs/>
          <w:sz w:val="24"/>
          <w:szCs w:val="24"/>
        </w:rPr>
        <w:t xml:space="preserve">Observamos, igualmente, a posse das igrejas nas respetivas paróquias. A igreja da paróquia de Santa Maria de Tinhela estava edificada em herdamentos foreiros ao Rei e contava com as igrejas de Santa Maria de </w:t>
      </w:r>
      <w:r w:rsidRPr="0011294E">
        <w:rPr>
          <w:rFonts w:ascii="Times New Roman" w:hAnsi="Times New Roman"/>
          <w:iCs/>
          <w:sz w:val="24"/>
          <w:szCs w:val="24"/>
        </w:rPr>
        <w:t>Felmir</w:t>
      </w:r>
      <w:r w:rsidRPr="0011294E">
        <w:rPr>
          <w:rFonts w:ascii="Times New Roman" w:hAnsi="Times New Roman"/>
          <w:i/>
          <w:iCs/>
          <w:sz w:val="24"/>
          <w:szCs w:val="24"/>
        </w:rPr>
        <w:t xml:space="preserve">, </w:t>
      </w:r>
      <w:r w:rsidRPr="0011294E">
        <w:rPr>
          <w:rFonts w:ascii="Times New Roman" w:hAnsi="Times New Roman"/>
          <w:iCs/>
          <w:sz w:val="24"/>
          <w:szCs w:val="24"/>
        </w:rPr>
        <w:t xml:space="preserve">Santa Maria de Bouçais e de Santa Maria de Vilartão sufragadas à paróquia. </w:t>
      </w:r>
      <w:r w:rsidRPr="0011294E">
        <w:rPr>
          <w:rFonts w:ascii="Times New Roman" w:hAnsi="Times New Roman"/>
          <w:bCs/>
          <w:iCs/>
          <w:sz w:val="24"/>
          <w:szCs w:val="24"/>
        </w:rPr>
        <w:t>A paróquia de São Pedro de Batocas, para além da sua igreja, tinha ainda outra sufragada designadamente em Alvarelhos</w:t>
      </w:r>
      <w:r w:rsidRPr="0011294E">
        <w:rPr>
          <w:rStyle w:val="Refdenotaderodap"/>
          <w:rFonts w:ascii="Times New Roman" w:hAnsi="Times New Roman"/>
          <w:bCs/>
          <w:iCs/>
          <w:sz w:val="24"/>
          <w:szCs w:val="24"/>
        </w:rPr>
        <w:footnoteReference w:id="155"/>
      </w:r>
      <w:r w:rsidRPr="0011294E">
        <w:rPr>
          <w:rFonts w:ascii="Times New Roman" w:hAnsi="Times New Roman"/>
          <w:bCs/>
          <w:iCs/>
          <w:sz w:val="24"/>
          <w:szCs w:val="24"/>
        </w:rPr>
        <w:t>. A paróquia de São João da Castanheira estava edificada num herdamento foreiro ao rei, contava com as Igrejas de Lebução, Roriz e da Paradela</w:t>
      </w:r>
      <w:r w:rsidRPr="0011294E">
        <w:rPr>
          <w:rStyle w:val="Refdenotaderodap"/>
          <w:rFonts w:ascii="Times New Roman" w:hAnsi="Times New Roman"/>
          <w:bCs/>
          <w:iCs/>
          <w:sz w:val="24"/>
          <w:szCs w:val="24"/>
        </w:rPr>
        <w:footnoteReference w:id="156"/>
      </w:r>
      <w:r w:rsidRPr="0011294E">
        <w:rPr>
          <w:rFonts w:ascii="Times New Roman" w:hAnsi="Times New Roman"/>
          <w:bCs/>
          <w:iCs/>
          <w:sz w:val="24"/>
          <w:szCs w:val="24"/>
        </w:rPr>
        <w:t>. Por último, consideramos a paróquia de Fiães</w:t>
      </w:r>
      <w:r w:rsidRPr="0011294E">
        <w:rPr>
          <w:rFonts w:ascii="Times New Roman" w:hAnsi="Times New Roman"/>
          <w:bCs/>
          <w:i/>
          <w:iCs/>
          <w:sz w:val="24"/>
          <w:szCs w:val="24"/>
        </w:rPr>
        <w:t xml:space="preserve">, </w:t>
      </w:r>
      <w:r w:rsidRPr="0011294E">
        <w:rPr>
          <w:rFonts w:ascii="Times New Roman" w:hAnsi="Times New Roman"/>
          <w:bCs/>
          <w:iCs/>
          <w:sz w:val="24"/>
          <w:szCs w:val="24"/>
        </w:rPr>
        <w:t>a qual tinha como sufragadas as igrejas de Barreiros e de Sonin</w:t>
      </w:r>
      <w:r w:rsidRPr="0011294E">
        <w:rPr>
          <w:rStyle w:val="Refdenotaderodap"/>
          <w:rFonts w:ascii="Times New Roman" w:hAnsi="Times New Roman"/>
          <w:bCs/>
          <w:iCs/>
          <w:sz w:val="24"/>
          <w:szCs w:val="24"/>
        </w:rPr>
        <w:footnoteReference w:id="157"/>
      </w:r>
      <w:r w:rsidRPr="0011294E">
        <w:rPr>
          <w:rFonts w:ascii="Times New Roman" w:hAnsi="Times New Roman"/>
          <w:bCs/>
          <w:iCs/>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De acordo com a documentação em análise, a Ordem do Hospital encontrava-se presente neste Julgado. A figura desta instituição no território em estudo não é invulgar, uma vez que aquela Ordem tinha um património particularmente avultado e fragmentado no reino. Isto devia-se, por um lado, ao importante papel que desempenhou, durante o século XII, na assistência aos pobres e aos doentes, o que motivou uma diversidade de doações procedentes de todos os grupos sociais. Por outro lado, deve-se também à compra ou ao escambo de propriedades. Assim, este património foi adquirido, na sua maioria, através de doações, por motivos espirituais ou pela recompensa dos serviços prestados</w:t>
      </w:r>
      <w:r w:rsidRPr="0011294E">
        <w:rPr>
          <w:rFonts w:ascii="Times New Roman" w:hAnsi="Times New Roman"/>
          <w:sz w:val="24"/>
          <w:szCs w:val="24"/>
          <w:vertAlign w:val="superscript"/>
        </w:rPr>
        <w:footnoteReference w:id="158"/>
      </w:r>
      <w:r w:rsidRPr="0011294E">
        <w:rPr>
          <w:rFonts w:ascii="Times New Roman" w:hAnsi="Times New Roman"/>
          <w:sz w:val="24"/>
          <w:szCs w:val="24"/>
        </w:rPr>
        <w:t xml:space="preserve">. Com efeito, a Ordem do Hospital começou por desempenhar um importante papel no povoamento e defesa do noroeste peninsular, </w:t>
      </w:r>
      <w:r w:rsidRPr="0011294E">
        <w:rPr>
          <w:rFonts w:ascii="Times New Roman" w:hAnsi="Times New Roman"/>
          <w:sz w:val="24"/>
          <w:szCs w:val="24"/>
        </w:rPr>
        <w:lastRenderedPageBreak/>
        <w:t>entrando em Portugal durante o período final do governo condal de D. Teresa e os primeiros anos da monarquia, onde a sua presença é confirmada por alguns jurados destas Inquirições de 1258, no Julgado de Rio Livre</w:t>
      </w:r>
      <w:r w:rsidRPr="0011294E">
        <w:rPr>
          <w:rFonts w:ascii="Times New Roman" w:hAnsi="Times New Roman"/>
          <w:sz w:val="24"/>
          <w:szCs w:val="24"/>
          <w:vertAlign w:val="superscript"/>
        </w:rPr>
        <w:footnoteReference w:id="159"/>
      </w:r>
      <w:r w:rsidRPr="0011294E">
        <w:rPr>
          <w:rFonts w:ascii="Times New Roman" w:hAnsi="Times New Roman"/>
          <w:sz w:val="24"/>
          <w:szCs w:val="24"/>
        </w:rPr>
        <w:t xml:space="preserve">. No que toca às propriedades que a ordem possuía em Rio Livre, podemos mencionar uma parte da vila de </w:t>
      </w:r>
      <w:r w:rsidRPr="0011294E">
        <w:rPr>
          <w:rFonts w:ascii="Times New Roman" w:hAnsi="Times New Roman"/>
          <w:bCs/>
          <w:iCs/>
          <w:sz w:val="24"/>
          <w:szCs w:val="24"/>
        </w:rPr>
        <w:t>Tortomil</w:t>
      </w:r>
      <w:r w:rsidRPr="0011294E">
        <w:rPr>
          <w:rFonts w:ascii="Times New Roman" w:hAnsi="Times New Roman"/>
          <w:sz w:val="24"/>
          <w:szCs w:val="24"/>
        </w:rPr>
        <w:t>, na paróquia de Bouçais</w:t>
      </w:r>
      <w:r w:rsidRPr="0011294E">
        <w:rPr>
          <w:rFonts w:ascii="Times New Roman" w:hAnsi="Times New Roman"/>
          <w:sz w:val="24"/>
          <w:szCs w:val="24"/>
          <w:vertAlign w:val="superscript"/>
        </w:rPr>
        <w:footnoteReference w:id="160"/>
      </w:r>
      <w:r w:rsidRPr="0011294E">
        <w:rPr>
          <w:rFonts w:ascii="Times New Roman" w:hAnsi="Times New Roman"/>
          <w:sz w:val="24"/>
          <w:szCs w:val="24"/>
        </w:rPr>
        <w:t xml:space="preserve">. Na paróquia de Tinhela, possuíam dois casais, assim como dois casais em Azares e a vila de </w:t>
      </w:r>
      <w:r w:rsidRPr="0011294E">
        <w:rPr>
          <w:rFonts w:ascii="Times New Roman" w:hAnsi="Times New Roman"/>
          <w:bCs/>
          <w:iCs/>
          <w:sz w:val="24"/>
          <w:szCs w:val="24"/>
        </w:rPr>
        <w:t>Alvarelhos</w:t>
      </w:r>
      <w:r w:rsidRPr="0011294E">
        <w:rPr>
          <w:rFonts w:ascii="Times New Roman" w:hAnsi="Times New Roman"/>
          <w:bCs/>
          <w:i/>
          <w:iCs/>
          <w:sz w:val="24"/>
          <w:szCs w:val="24"/>
        </w:rPr>
        <w:t> </w:t>
      </w:r>
      <w:r w:rsidRPr="0011294E">
        <w:rPr>
          <w:rFonts w:ascii="Times New Roman" w:hAnsi="Times New Roman"/>
          <w:sz w:val="24"/>
          <w:szCs w:val="24"/>
          <w:vertAlign w:val="superscript"/>
        </w:rPr>
        <w:footnoteReference w:id="161"/>
      </w:r>
      <w:r w:rsidRPr="0011294E">
        <w:rPr>
          <w:rFonts w:ascii="Times New Roman" w:hAnsi="Times New Roman"/>
          <w:sz w:val="24"/>
          <w:szCs w:val="24"/>
        </w:rPr>
        <w:t>. Na Paróquia de São Pedro de Batocas, possuíam um casal na vila de Águas Frias</w:t>
      </w:r>
      <w:r w:rsidRPr="0011294E">
        <w:rPr>
          <w:rFonts w:ascii="Times New Roman" w:hAnsi="Times New Roman"/>
          <w:sz w:val="24"/>
          <w:szCs w:val="24"/>
          <w:vertAlign w:val="superscript"/>
        </w:rPr>
        <w:footnoteReference w:id="162"/>
      </w:r>
      <w:r w:rsidRPr="0011294E">
        <w:rPr>
          <w:rFonts w:ascii="Times New Roman" w:hAnsi="Times New Roman"/>
          <w:sz w:val="24"/>
          <w:szCs w:val="24"/>
        </w:rPr>
        <w:t>. Finalmente, na paróquia de Fiães, detinham parte da vila de São Pedro de Pia</w:t>
      </w:r>
      <w:r w:rsidRPr="0011294E">
        <w:rPr>
          <w:rFonts w:ascii="Times New Roman" w:hAnsi="Times New Roman"/>
          <w:sz w:val="24"/>
          <w:szCs w:val="24"/>
          <w:vertAlign w:val="superscript"/>
        </w:rPr>
        <w:footnoteReference w:id="163"/>
      </w:r>
      <w:r w:rsidRPr="0011294E">
        <w:rPr>
          <w:rFonts w:ascii="Times New Roman" w:hAnsi="Times New Roman"/>
          <w:sz w:val="24"/>
          <w:szCs w:val="24"/>
        </w:rPr>
        <w:t xml:space="preserve"> (Quadro 3).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 No que toca aos direitos de padroado detidos por leigos, o Rei possuía apenas os direitos de padroado das Igrejas de Fiães, ½ das Igrejas de S. João da Castanheira e ainda ½ do direito de povoado das Igrejas de Tinhela e de Bouçais (Quadro 1). A propriedade do rei, designada reguenga, sendo constituída quer por bens onde o monarca detém </w:t>
      </w:r>
      <w:r w:rsidRPr="0011294E">
        <w:rPr>
          <w:rFonts w:ascii="Times New Roman" w:hAnsi="Times New Roman"/>
          <w:i/>
          <w:sz w:val="24"/>
          <w:szCs w:val="24"/>
        </w:rPr>
        <w:t>“os domínios directos e útil, quer por outros onde apenas detinha o primeiro daqueles direitos”</w:t>
      </w:r>
      <w:r w:rsidRPr="0011294E">
        <w:rPr>
          <w:rFonts w:ascii="Times New Roman" w:hAnsi="Times New Roman"/>
          <w:sz w:val="24"/>
          <w:szCs w:val="24"/>
          <w:vertAlign w:val="superscript"/>
        </w:rPr>
        <w:footnoteReference w:id="164"/>
      </w:r>
      <w:r w:rsidRPr="0011294E">
        <w:rPr>
          <w:rFonts w:ascii="Times New Roman" w:hAnsi="Times New Roman"/>
          <w:sz w:val="24"/>
          <w:szCs w:val="24"/>
        </w:rPr>
        <w:t xml:space="preserve">. Como já referimos, a necessidade de povoar motivou em boa parte a transferência de propriedades da Coroa para a posse de particulares. Na região transmontana é essa a razão principal, daí que o quadro apurado pelas inquirições revela que a propriedade reguenga é menor em número, muito fragmentada, e disseminada por várias localidades, ao contrário da propriedade na posse de particulares. É frequente a menção de terem sido reguengos mas que foram </w:t>
      </w:r>
      <w:r w:rsidRPr="0011294E">
        <w:rPr>
          <w:rFonts w:ascii="Times New Roman" w:hAnsi="Times New Roman"/>
          <w:i/>
          <w:sz w:val="24"/>
          <w:szCs w:val="24"/>
        </w:rPr>
        <w:t>“filhados”</w:t>
      </w:r>
      <w:r w:rsidRPr="0011294E">
        <w:rPr>
          <w:rFonts w:ascii="Times New Roman" w:hAnsi="Times New Roman"/>
          <w:sz w:val="24"/>
          <w:szCs w:val="24"/>
        </w:rPr>
        <w:t xml:space="preserve"> e que, no momento, já “não tinha honra alguma”, porque estavam em posse alheia. Estas usurpações que falamos são na maioria das vezes cometidas pelos senhores nobres que andavam no Julgado.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Os abusos estão patentes nos testemunhos insertos das </w:t>
      </w:r>
      <w:r w:rsidRPr="0011294E">
        <w:rPr>
          <w:rFonts w:ascii="Times New Roman" w:hAnsi="Times New Roman"/>
          <w:iCs/>
          <w:sz w:val="24"/>
          <w:szCs w:val="24"/>
        </w:rPr>
        <w:t>Inquirições de 1258</w:t>
      </w:r>
      <w:r w:rsidRPr="0011294E">
        <w:rPr>
          <w:rFonts w:ascii="Times New Roman" w:hAnsi="Times New Roman"/>
          <w:sz w:val="24"/>
          <w:szCs w:val="24"/>
        </w:rPr>
        <w:t>. Há nomes que são uma constante em todos os testemunhos, não só no pequeno espaço do concelho raiano de Monforte de Rio Livre, mas em todo o território do distrito de Bragança.</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 xml:space="preserve">Este senhorialismo, em boa parte fruto de abusos e apropriação da propriedade régia, era bem o reflexo dos tempos conturbados que se viviam, especialmente no reinado de D. Sancho II.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Os primeiros senhores de Bragança (os Braganções) que se conhecem, parecem ter iniciado as suas aquisições a partir de Chaves, mas dominam em Bragança pelo menos desde o fim do século XI. Aí praticam violências que, por vezes, atingem bens pertencentes à arquidiocese de Braga, cujos arcebispos reagem, e um deles menciona tais abusos que não hesita em o excomungar</w:t>
      </w:r>
      <w:r w:rsidRPr="0011294E">
        <w:rPr>
          <w:rFonts w:ascii="Times New Roman" w:hAnsi="Times New Roman"/>
          <w:sz w:val="24"/>
          <w:szCs w:val="24"/>
          <w:vertAlign w:val="superscript"/>
        </w:rPr>
        <w:footnoteReference w:id="165"/>
      </w:r>
      <w:r w:rsidRPr="0011294E">
        <w:rPr>
          <w:rFonts w:ascii="Times New Roman" w:hAnsi="Times New Roman"/>
          <w:sz w:val="24"/>
          <w:szCs w:val="24"/>
        </w:rPr>
        <w:t>. São elementos poderosos com interesses transfronteiriços e obediência ao rei de Leão e ao rei de Portugal, obtendo favores ou suscitando vinganças, ora da parte de um, ora do outro.</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Com a assunção dos “mecanismos” do poder a nível local, os Braganções comportam-se como verdadeiros senhores nos seus domínios: doam bens, quer em função de uma política de defesa e colonização em regiões de densidade populacional mínima, quer em doações na maior parte das vezes constituídas por vilas e igrejas. Assim, a vila de Barreiros foi oferecida por D. Pero Garcia de Bragança a Lourenço Rodrigo, no tempo de D. Afonso II. Podemos acrescentar dois casais em Santa Valha pertencentes a cavaleiros </w:t>
      </w:r>
      <w:r w:rsidRPr="0011294E">
        <w:rPr>
          <w:rFonts w:ascii="Times New Roman" w:hAnsi="Times New Roman"/>
          <w:i/>
          <w:sz w:val="24"/>
          <w:szCs w:val="24"/>
        </w:rPr>
        <w:t>Bragancianos</w:t>
      </w:r>
      <w:r w:rsidRPr="0011294E">
        <w:rPr>
          <w:rFonts w:ascii="Times New Roman" w:hAnsi="Times New Roman"/>
          <w:sz w:val="24"/>
          <w:szCs w:val="24"/>
        </w:rPr>
        <w:t xml:space="preserve"> que lhe foram doados pelo seu avô D. Garcia Pero de Bragança, assim como a apropriação indevida das vilas de Albergaria e Ponte Domente</w:t>
      </w:r>
      <w:r w:rsidRPr="0011294E">
        <w:rPr>
          <w:rFonts w:ascii="Times New Roman" w:hAnsi="Times New Roman"/>
          <w:sz w:val="24"/>
          <w:szCs w:val="24"/>
          <w:vertAlign w:val="superscript"/>
        </w:rPr>
        <w:footnoteReference w:id="166"/>
      </w:r>
      <w:r w:rsidRPr="0011294E">
        <w:rPr>
          <w:rFonts w:ascii="Times New Roman" w:hAnsi="Times New Roman"/>
          <w:sz w:val="24"/>
          <w:szCs w:val="24"/>
        </w:rPr>
        <w:t xml:space="preserve"> (Quadro 3).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Com menor expressão existem, ainda, diversos senhores detentores de propriedades ou parcelas de povoações, como por exemplo Rui Lourenço de Cerveira, Martim Lourenço de Cerveira, Pedro Lourenço de Cerveira, Martim Lourenço de Cerveira, Rodrigo Lourenço, Pedro Mendes, Álvaro Pires, ou mesmo o galego Fernando Eanes da Galiza que detêm a Vila de Palácio em Bouçais</w:t>
      </w:r>
      <w:r w:rsidRPr="0011294E">
        <w:rPr>
          <w:rFonts w:ascii="Times New Roman" w:hAnsi="Times New Roman"/>
          <w:sz w:val="24"/>
          <w:szCs w:val="24"/>
          <w:vertAlign w:val="superscript"/>
        </w:rPr>
        <w:footnoteReference w:id="167"/>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Última referência para os </w:t>
      </w:r>
      <w:r w:rsidRPr="0011294E">
        <w:rPr>
          <w:rFonts w:ascii="Times New Roman" w:hAnsi="Times New Roman"/>
          <w:i/>
          <w:sz w:val="24"/>
          <w:szCs w:val="24"/>
        </w:rPr>
        <w:t>“Cavaleiros de São Estevão”</w:t>
      </w:r>
      <w:r w:rsidRPr="0011294E">
        <w:rPr>
          <w:rFonts w:ascii="Times New Roman" w:hAnsi="Times New Roman"/>
          <w:sz w:val="24"/>
          <w:szCs w:val="24"/>
        </w:rPr>
        <w:t xml:space="preserve"> e os </w:t>
      </w:r>
      <w:r w:rsidRPr="0011294E">
        <w:rPr>
          <w:rFonts w:ascii="Times New Roman" w:hAnsi="Times New Roman"/>
          <w:i/>
          <w:sz w:val="24"/>
          <w:szCs w:val="24"/>
        </w:rPr>
        <w:t xml:space="preserve">“Cavaleiros de </w:t>
      </w:r>
      <w:r w:rsidRPr="0011294E">
        <w:rPr>
          <w:rFonts w:ascii="Times New Roman" w:hAnsi="Times New Roman"/>
          <w:bCs/>
          <w:i/>
          <w:iCs/>
          <w:sz w:val="24"/>
          <w:szCs w:val="24"/>
        </w:rPr>
        <w:t>Tozeyros</w:t>
      </w:r>
      <w:r w:rsidRPr="0011294E">
        <w:rPr>
          <w:rFonts w:ascii="Times New Roman" w:hAnsi="Times New Roman"/>
          <w:i/>
          <w:sz w:val="24"/>
          <w:szCs w:val="24"/>
        </w:rPr>
        <w:t>”</w:t>
      </w:r>
      <w:r w:rsidRPr="0011294E">
        <w:rPr>
          <w:rFonts w:ascii="Times New Roman" w:hAnsi="Times New Roman"/>
          <w:sz w:val="24"/>
          <w:szCs w:val="24"/>
        </w:rPr>
        <w:t>, com posse, respectivamente, de sete casais em Águas Frias e ½ da vila de Oucidres, em Fiães</w:t>
      </w:r>
      <w:r w:rsidRPr="0011294E">
        <w:rPr>
          <w:rFonts w:ascii="Times New Roman" w:hAnsi="Times New Roman"/>
          <w:sz w:val="24"/>
          <w:szCs w:val="24"/>
          <w:vertAlign w:val="superscript"/>
        </w:rPr>
        <w:footnoteReference w:id="168"/>
      </w:r>
      <w:r w:rsidRPr="0011294E">
        <w:rPr>
          <w:rFonts w:ascii="Times New Roman" w:hAnsi="Times New Roman"/>
          <w:sz w:val="24"/>
          <w:szCs w:val="24"/>
        </w:rPr>
        <w:t xml:space="preserve"> (Quadro 3).</w:t>
      </w:r>
    </w:p>
    <w:p w:rsidR="0011294E" w:rsidRPr="0011294E" w:rsidRDefault="0011294E" w:rsidP="0011294E">
      <w:pPr>
        <w:spacing w:line="360" w:lineRule="auto"/>
        <w:ind w:firstLine="360"/>
        <w:jc w:val="both"/>
        <w:rPr>
          <w:rFonts w:ascii="Times New Roman" w:hAnsi="Times New Roman"/>
          <w:sz w:val="24"/>
          <w:szCs w:val="24"/>
        </w:rPr>
      </w:pPr>
      <w:r w:rsidRPr="0011294E">
        <w:rPr>
          <w:rFonts w:ascii="Times New Roman" w:hAnsi="Times New Roman"/>
          <w:sz w:val="24"/>
          <w:szCs w:val="24"/>
        </w:rPr>
        <w:lastRenderedPageBreak/>
        <w:t>Neste sentido, o poder dos senhores locais suplanta o régio daí que, a usurpação da propriedade reguenga tenha sido imensa. A autoridade régia, distante, não se debateu com revoltas ou conflitos de interesses, que atribuímos às ligações ou proteções familiares entre os senhores da região.</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Pela análise destes inquéritos régios podemos indagar um pouco a economia local. De facto, é possível detetar a referência a produtos cerealíferos, que eram a base da alimentação medieval. Na paróquia de Santa Valha observamos que o arcebispo de Braga levava dela cinco moios de pão da igreja de Santa Valha</w:t>
      </w:r>
      <w:r w:rsidRPr="0011294E">
        <w:rPr>
          <w:rStyle w:val="Refdenotaderodap"/>
          <w:rFonts w:ascii="Times New Roman" w:hAnsi="Times New Roman"/>
          <w:sz w:val="24"/>
          <w:szCs w:val="24"/>
        </w:rPr>
        <w:footnoteReference w:id="169"/>
      </w:r>
      <w:r w:rsidRPr="0011294E">
        <w:rPr>
          <w:rFonts w:ascii="Times New Roman" w:hAnsi="Times New Roman"/>
          <w:sz w:val="24"/>
          <w:szCs w:val="24"/>
        </w:rPr>
        <w:t xml:space="preserve">. Na paróquia de São João da Castanheira é dito que os homens do rei recolhiam pão e castanhas em Vilar de </w:t>
      </w:r>
      <w:r w:rsidRPr="0011294E">
        <w:rPr>
          <w:rFonts w:ascii="Times New Roman" w:hAnsi="Times New Roman"/>
          <w:bCs/>
          <w:iCs/>
          <w:sz w:val="24"/>
          <w:szCs w:val="24"/>
        </w:rPr>
        <w:t>Tortomil</w:t>
      </w:r>
      <w:r w:rsidRPr="0011294E">
        <w:rPr>
          <w:rStyle w:val="Refdenotaderodap"/>
          <w:rFonts w:ascii="Times New Roman" w:hAnsi="Times New Roman"/>
          <w:sz w:val="24"/>
          <w:szCs w:val="24"/>
        </w:rPr>
        <w:footnoteReference w:id="170"/>
      </w:r>
      <w:r w:rsidRPr="0011294E">
        <w:rPr>
          <w:rFonts w:ascii="Times New Roman" w:hAnsi="Times New Roman"/>
          <w:sz w:val="24"/>
          <w:szCs w:val="24"/>
        </w:rPr>
        <w:t>. Na paróquia de Santa Maria da Riparia, metade da vila de Picões, pagava uma teiga de castanhas ao rei, por ano</w:t>
      </w:r>
      <w:r w:rsidRPr="0011294E">
        <w:rPr>
          <w:rStyle w:val="Refdenotaderodap"/>
          <w:rFonts w:ascii="Times New Roman" w:hAnsi="Times New Roman"/>
          <w:sz w:val="24"/>
          <w:szCs w:val="24"/>
        </w:rPr>
        <w:footnoteReference w:id="171"/>
      </w:r>
      <w:r w:rsidRPr="0011294E">
        <w:rPr>
          <w:rFonts w:ascii="Times New Roman" w:hAnsi="Times New Roman"/>
          <w:sz w:val="24"/>
          <w:szCs w:val="24"/>
        </w:rPr>
        <w:t xml:space="preserve">. Sabemos, ainda, que na vila de </w:t>
      </w:r>
      <w:r w:rsidRPr="0011294E">
        <w:rPr>
          <w:rFonts w:ascii="Times New Roman" w:hAnsi="Times New Roman"/>
          <w:bCs/>
          <w:iCs/>
          <w:sz w:val="24"/>
          <w:szCs w:val="24"/>
        </w:rPr>
        <w:t>Alvarelhos</w:t>
      </w:r>
      <w:r w:rsidRPr="0011294E">
        <w:rPr>
          <w:rFonts w:ascii="Times New Roman" w:hAnsi="Times New Roman"/>
          <w:bCs/>
          <w:i/>
          <w:iCs/>
          <w:sz w:val="24"/>
          <w:szCs w:val="24"/>
        </w:rPr>
        <w:t> </w:t>
      </w:r>
      <w:r w:rsidRPr="0011294E">
        <w:rPr>
          <w:rFonts w:ascii="Times New Roman" w:hAnsi="Times New Roman"/>
          <w:sz w:val="24"/>
          <w:szCs w:val="24"/>
        </w:rPr>
        <w:t xml:space="preserve"> era costume dar cevada aos ricos-homens e ao prestameiro</w:t>
      </w:r>
      <w:r w:rsidRPr="0011294E">
        <w:rPr>
          <w:rStyle w:val="Refdenotaderodap"/>
          <w:rFonts w:ascii="Times New Roman" w:hAnsi="Times New Roman"/>
          <w:sz w:val="24"/>
          <w:szCs w:val="24"/>
        </w:rPr>
        <w:footnoteReference w:id="172"/>
      </w:r>
      <w:r w:rsidRPr="0011294E">
        <w:rPr>
          <w:rFonts w:ascii="Times New Roman" w:hAnsi="Times New Roman"/>
          <w:sz w:val="24"/>
          <w:szCs w:val="24"/>
        </w:rPr>
        <w:t>. As últimas referências que detivemos dizem respeito a uma vinha que Rodrigo Lourenço tinha comprado ao rei, na paróquia de São Miguel de Fiães</w:t>
      </w:r>
      <w:r w:rsidRPr="0011294E">
        <w:rPr>
          <w:rStyle w:val="Refdenotaderodap"/>
          <w:rFonts w:ascii="Times New Roman" w:hAnsi="Times New Roman"/>
          <w:sz w:val="24"/>
          <w:szCs w:val="24"/>
        </w:rPr>
        <w:footnoteReference w:id="173"/>
      </w:r>
      <w:r w:rsidRPr="0011294E">
        <w:rPr>
          <w:rFonts w:ascii="Times New Roman" w:hAnsi="Times New Roman"/>
          <w:sz w:val="24"/>
          <w:szCs w:val="24"/>
        </w:rPr>
        <w:t>.</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Assim, nas Inquirições deste Julgado temos menção ao pão, à cevada, às castanhas e à vinha. Pelo facto de aparecerem mencionados como forma de pagamento de foros ao rei ou a outros senhores podemos considerar que estes produtos eram aqui produzidos. No entanto, a informação que nos chega é bastante escassa para desenhar com precisão o nível da produção local. Por outro lado, pode ser revelador de uma região pobre em culturas. Verdadeiramente, nunca a região de Trás-os-Montes desempenhou um papel de relevo na produção cerealífera, sendo mesmo obrigada a importar de regiões vizinhas, leonesas, como forma de se abastecer em altura de crise. Esta situação era provocada pelo despovoamento e pelo pouco aproveitamento de terra, aliado às péssimas condições dos seus solos</w:t>
      </w:r>
      <w:r w:rsidRPr="0011294E">
        <w:rPr>
          <w:rStyle w:val="Refdenotaderodap"/>
          <w:rFonts w:ascii="Times New Roman" w:hAnsi="Times New Roman"/>
          <w:sz w:val="24"/>
          <w:szCs w:val="24"/>
        </w:rPr>
        <w:footnoteReference w:id="174"/>
      </w:r>
      <w:r w:rsidRPr="0011294E">
        <w:rPr>
          <w:rFonts w:ascii="Times New Roman" w:hAnsi="Times New Roman"/>
          <w:sz w:val="24"/>
          <w:szCs w:val="24"/>
        </w:rPr>
        <w:t xml:space="preserve">. Apesar da falta de produtos cerealíferos, a castanha tinha uma forte produção no Julgado de Rio Livre, pois era um produto que se adaptava relativamente bem nos terrenos silicosos, e que desempenhava um papel </w:t>
      </w:r>
      <w:r w:rsidRPr="0011294E">
        <w:rPr>
          <w:rFonts w:ascii="Times New Roman" w:hAnsi="Times New Roman"/>
          <w:sz w:val="24"/>
          <w:szCs w:val="24"/>
        </w:rPr>
        <w:lastRenderedPageBreak/>
        <w:t>importante na alimentação, suprindo a falta de cereais em épocas de crise</w:t>
      </w:r>
      <w:r w:rsidRPr="0011294E">
        <w:rPr>
          <w:rStyle w:val="Refdenotaderodap"/>
          <w:rFonts w:ascii="Times New Roman" w:hAnsi="Times New Roman"/>
          <w:sz w:val="24"/>
          <w:szCs w:val="24"/>
        </w:rPr>
        <w:footnoteReference w:id="175"/>
      </w:r>
      <w:r w:rsidRPr="0011294E">
        <w:rPr>
          <w:rFonts w:ascii="Times New Roman" w:hAnsi="Times New Roman"/>
          <w:sz w:val="24"/>
          <w:szCs w:val="24"/>
        </w:rPr>
        <w:t>. De igual modo, a cultura de vinha merece da nossa parte um tratamento especial, pela grande incidência que desempenhava na região. Com efeito, o território deveria reunir as condições favoráveis ao seu desenvolvimento, pois a vinha apresenta uma enorme capacidade de adaptação a vários tipos de solos e clima</w:t>
      </w:r>
      <w:r w:rsidRPr="0011294E">
        <w:rPr>
          <w:rStyle w:val="Refdenotaderodap"/>
          <w:rFonts w:ascii="Times New Roman" w:hAnsi="Times New Roman"/>
          <w:sz w:val="24"/>
          <w:szCs w:val="24"/>
        </w:rPr>
        <w:footnoteReference w:id="176"/>
      </w:r>
      <w:r w:rsidRPr="0011294E">
        <w:rPr>
          <w:rFonts w:ascii="Times New Roman" w:hAnsi="Times New Roman"/>
          <w:sz w:val="24"/>
          <w:szCs w:val="24"/>
        </w:rPr>
        <w:t>. Como nos diz Vergílio Taborda “</w:t>
      </w:r>
      <w:r w:rsidR="009D2BEB" w:rsidRPr="0011294E">
        <w:rPr>
          <w:rFonts w:ascii="Times New Roman" w:hAnsi="Times New Roman"/>
          <w:sz w:val="24"/>
          <w:szCs w:val="24"/>
        </w:rPr>
        <w:t>excluindo</w:t>
      </w:r>
      <w:r w:rsidRPr="0011294E">
        <w:rPr>
          <w:rFonts w:ascii="Times New Roman" w:hAnsi="Times New Roman"/>
          <w:sz w:val="24"/>
          <w:szCs w:val="24"/>
        </w:rPr>
        <w:t xml:space="preserve"> os planaltos da Padrela e do Alvão, bem como todo o alto barroso, a vinha adapta-se em toda a parte. A variedade de condições climáticas, de altitude e exposição, contribui para uma extraordinária riqueza de tipos de vinho, como talvez não possua outra região portuguesa”</w:t>
      </w:r>
      <w:r w:rsidRPr="0011294E">
        <w:rPr>
          <w:rStyle w:val="Refdenotaderodap"/>
          <w:rFonts w:ascii="Times New Roman" w:hAnsi="Times New Roman"/>
          <w:sz w:val="24"/>
          <w:szCs w:val="24"/>
        </w:rPr>
        <w:footnoteReference w:id="177"/>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Neste sentido, os inquéritos instruídos neste Julgado encerram, como vimos, muitas limitações à sua interpretação. Contêm referências obscuras e incompletas, para além de o encadeamento dos inquéritos régios apresentarem uma certa desorganização. As propriedades fundiárias e respetivos senhorios são enunciados repetidamente e de diferentes maneiras, sendo declaradas várias designações e confundidos os senhorios, bem como o modo de aquisição da referida propriedade e os foros que deviam pagar ao rei.</w:t>
      </w:r>
    </w:p>
    <w:p w:rsidR="0011294E" w:rsidRPr="0011294E" w:rsidRDefault="0011294E" w:rsidP="0011294E">
      <w:pPr>
        <w:spacing w:line="360" w:lineRule="auto"/>
        <w:ind w:firstLine="624"/>
        <w:jc w:val="both"/>
        <w:rPr>
          <w:rFonts w:ascii="Times New Roman" w:hAnsi="Times New Roman"/>
          <w:b/>
          <w:sz w:val="24"/>
          <w:szCs w:val="24"/>
        </w:rPr>
      </w:pPr>
    </w:p>
    <w:p w:rsidR="0011294E" w:rsidRPr="0011294E" w:rsidRDefault="0011294E" w:rsidP="0011294E">
      <w:pPr>
        <w:pStyle w:val="Ttulo2"/>
        <w:rPr>
          <w:rFonts w:ascii="Times New Roman" w:hAnsi="Times New Roman" w:cs="Times New Roman"/>
          <w:sz w:val="24"/>
          <w:szCs w:val="24"/>
        </w:rPr>
      </w:pPr>
      <w:bookmarkStart w:id="18" w:name="_Toc430358531"/>
      <w:bookmarkStart w:id="19" w:name="_Toc441612274"/>
      <w:r w:rsidRPr="0011294E">
        <w:rPr>
          <w:rFonts w:ascii="Times New Roman" w:hAnsi="Times New Roman" w:cs="Times New Roman"/>
          <w:sz w:val="24"/>
          <w:szCs w:val="24"/>
        </w:rPr>
        <w:t>3.3.Conflitos com Castela</w:t>
      </w:r>
      <w:bookmarkEnd w:id="18"/>
      <w:bookmarkEnd w:id="19"/>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 fluidez das fronteiras no espaço medieval da Península Ibérica esteve sempre sujeita aos acasos da fortuna das armas e à vigência dos tratados. As barreiras naturais e a rede viária constituíam aspetos a ter e conta no relacionamento, nem sempre amistoso, nem sempre hostil, das populações fronteiriças colocadas de ambos os lados, divididas entre as razias e a complementaridade. Com o decorrer do tempo, o espaço de Reconquista viera traçar fronteiras no espaço árabe e foram surgindo novas realidades políticas e sociais</w:t>
      </w:r>
      <w:r w:rsidRPr="0011294E">
        <w:rPr>
          <w:rStyle w:val="Refdenotaderodap"/>
          <w:rFonts w:ascii="Times New Roman" w:hAnsi="Times New Roman"/>
          <w:sz w:val="24"/>
          <w:szCs w:val="24"/>
        </w:rPr>
        <w:footnoteReference w:id="178"/>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A zona ocidental de Trás-os-Montes sofreu nos inícios do século XII, um conflito violento com o vizinho reino leonês. Este conflito enquadra-se no âmbito da guerra civil entre o monarca português, D. Afonso II, e as suas irmãs D. Teresa e D. Sancha. As divergências giraram em torno do testamento de D. Sancho I, redigido em 1210. De facto, D. Sancho I nos últimos meses de vida procedeu às disposições finais, tendo sido bastante generoso nas suas doações</w:t>
      </w:r>
      <w:r w:rsidRPr="0011294E">
        <w:rPr>
          <w:rStyle w:val="Refdenotaderodap"/>
          <w:rFonts w:ascii="Times New Roman" w:hAnsi="Times New Roman"/>
          <w:sz w:val="24"/>
          <w:szCs w:val="24"/>
        </w:rPr>
        <w:footnoteReference w:id="179"/>
      </w:r>
      <w:r w:rsidRPr="0011294E">
        <w:rPr>
          <w:rFonts w:ascii="Times New Roman" w:hAnsi="Times New Roman"/>
          <w:sz w:val="24"/>
          <w:szCs w:val="24"/>
        </w:rPr>
        <w:t>. Mas o principal problema centrou-se na entrega de castelos e estruturas amuralhadas às duas Infantas. Adivinhando a possibilidade de se gerar alguma polémica, D. Sancho I pediu expressamente que seu filho, e herdeiro, jurasse fazer cumprir o testamento. Esse juramento foi realizado em suas mãos e nas mãos do Arcebispo de Braga, D. Pedro, do bispo de Coimbra e do Abade de Alcobaça. Nomeou sete testamenteiros, com poderes para resolver dúvidas que houvesse. Designou, ainda, alguns ricos-homens de sua confiança, como Gonçalo Mendes (de Sousa), Lourenço e Gomes Soares. E, paralelamente, pediu ao papa Inocêncio III que aprovasse e confirmasse o testamento</w:t>
      </w:r>
      <w:r w:rsidRPr="0011294E">
        <w:rPr>
          <w:rStyle w:val="Refdenotaderodap"/>
          <w:rFonts w:ascii="Times New Roman" w:hAnsi="Times New Roman"/>
          <w:sz w:val="24"/>
          <w:szCs w:val="24"/>
        </w:rPr>
        <w:footnoteReference w:id="180"/>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Depois da morte de D. Sancho I e de ter sido coroado, D. Afonso II recusou-se a cumprir o testamento de seu pai relativamente às cláusulas respeitantes a suas irmãs, D. Teresa e D. Sancha. Com efeito, no que toca às propriedades deixadas em testamento por D. Sancho I às suas filhas, podemos referir que à sua filha mais velha, D. Teresa, o monarca deixou o Castelo de Montemor-o-Velho e a vila de Esgueira; a D. Sancha, o Castelo de Alenquer; e a D. Mafalda os mosteiros de Bouças e de Arouca e uma herdade em Seia. Às três deixou, ainda, avultadas quantias em ouro e prata. Para além das irmãs, também D. Pedro e D. Fernando, irmãos de D. Afonso II, foram contemplados em testamento, mas o novo monarca não cumpriu as vontades de seu pai e os dois optaram por abandonar o reino. D. Pedro partiu para a corte de Castela, enquanto D. Fernando partiu para França</w:t>
      </w:r>
      <w:r w:rsidRPr="0011294E">
        <w:rPr>
          <w:rStyle w:val="Refdenotaderodap"/>
          <w:rFonts w:ascii="Times New Roman" w:hAnsi="Times New Roman"/>
          <w:sz w:val="24"/>
          <w:szCs w:val="24"/>
        </w:rPr>
        <w:footnoteReference w:id="181"/>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 Sabendo da intenção de Afonso II de não fazer cumprir as disposições do testamento de seu pai, as Infantas solicitaram ao papa Inocêncio III que lhes confirmasse as partes do testamento respeitantes a essas terras. O pedido foi aceite pelo </w:t>
      </w:r>
      <w:r w:rsidRPr="0011294E">
        <w:rPr>
          <w:rFonts w:ascii="Times New Roman" w:hAnsi="Times New Roman"/>
          <w:sz w:val="24"/>
          <w:szCs w:val="24"/>
        </w:rPr>
        <w:lastRenderedPageBreak/>
        <w:t>Papa ainda em 1211, tendo encarregado o arcebispo de Santiago de Compostela e os bispos de Lisboa e da Guarda de defenderem os interesses de D. Mafalda. O mesmo arcebispo, acompanhado pelos bispos de Astorga e Zamora, deveria defender os interesses de D. Teresa e de D. Sancha, se necessário fosse com recurso a censuras eclesiásticas</w:t>
      </w:r>
      <w:r w:rsidRPr="0011294E">
        <w:rPr>
          <w:rStyle w:val="Refdenotaderodap"/>
          <w:rFonts w:ascii="Times New Roman" w:hAnsi="Times New Roman"/>
          <w:sz w:val="24"/>
          <w:szCs w:val="24"/>
        </w:rPr>
        <w:footnoteReference w:id="182"/>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Apesar destas diligências, D. Afonso II não deixou de apresentar as suas revindicações sobre os bens das suas irmãs. A primeira a ser atingida pela sua ação foi D. Mafalda. A questão com D. Mafalda teve contornos diferentes, uma vez que a situação foi resolvida diplomaticamente. D. Mafalda, pouco tempo depois da morte de seu pai e a confirmação do seu testamento, intercedeu junto do papa para que a posse dos bens lhe fosse confirmada, o que obtém a 7 de Outubro de 1211. Contudo, a 22 de Julho de 1212, a infanta outorgou à Ordem do Hospital, Bouças e uma outra vila não identificada, doação que desencadeou o início das hostilidades entres as duas partes</w:t>
      </w:r>
      <w:r w:rsidRPr="0011294E">
        <w:rPr>
          <w:rStyle w:val="Refdenotaderodap"/>
          <w:rFonts w:ascii="Times New Roman" w:hAnsi="Times New Roman"/>
          <w:sz w:val="24"/>
          <w:szCs w:val="24"/>
        </w:rPr>
        <w:footnoteReference w:id="183"/>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No entanto, o conflito com as duas outras irmãs, D. Teresa e D. Sancha, processou-se de maneira diferente. Sob os mesmos pretextos, o monarca não lhes reconheceu os senhorios das vilas e castelos de Montemor-o-Velho, Esgueira e Alenquer, que tinham sido legadas </w:t>
      </w:r>
      <w:r w:rsidRPr="0011294E">
        <w:rPr>
          <w:rFonts w:ascii="Times New Roman" w:hAnsi="Times New Roman"/>
          <w:i/>
          <w:sz w:val="24"/>
          <w:szCs w:val="24"/>
        </w:rPr>
        <w:t>pro hereditate</w:t>
      </w:r>
      <w:r w:rsidRPr="0011294E">
        <w:rPr>
          <w:rFonts w:ascii="Times New Roman" w:hAnsi="Times New Roman"/>
          <w:sz w:val="24"/>
          <w:szCs w:val="24"/>
        </w:rPr>
        <w:t>. O monarca exigia para si a nomeação dos alcaides, a obrigatoriedade de participação na guerra sob o comando do rei, bem como na reparação das fortaleza e o privilégio da cunhagem da moeda, tendo sido recusadas pelas infantas. Por sua vez, as infantas pretendiam, para além da posse destas terras, o direito a toda a sua jurisdição. De facto, a essência deste conflito seria pois, um conflito senhorial, ou melhor, um conflito entre o poder senhorial, representado pelas infantas, e o poder real em expansão. Foi neste contexto que Afonso VIII de Castela, que se encontrava a preparar uma expedição contra os muçulmanos, instigou o seu genro, D. Afonso II, a participar nela.</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 Neste contexto, o monarca português tentou resolver pacificamente o conflito com as irmãs, chamando-lhes a atenção para a exortação feita por Afonso VIII e para a situação do reino. Mas, perante a recusa das infantas em aceitarem uma solução que não passasse pelo reconhecimento dos seus direitos, o monarca fez três advertências para </w:t>
      </w:r>
      <w:r w:rsidRPr="0011294E">
        <w:rPr>
          <w:rFonts w:ascii="Times New Roman" w:hAnsi="Times New Roman"/>
          <w:sz w:val="24"/>
          <w:szCs w:val="24"/>
        </w:rPr>
        <w:lastRenderedPageBreak/>
        <w:t>que obedecessem às ordens régias, com um intervalo de oito dias. Durante esse tempo as infantas aproveitaram para se recolher nos castelos de Montemor-o-Velho e de Alenquer, fortificando-os e preparando-se com armas, alimentos e homens de Portugal e de Leão, para a sua defesa, concedendo, inclusive em 1212, cartas de foral para tentarem ganhar apoios</w:t>
      </w:r>
      <w:r w:rsidRPr="0011294E">
        <w:rPr>
          <w:rStyle w:val="Refdenotaderodap"/>
          <w:rFonts w:ascii="Times New Roman" w:hAnsi="Times New Roman"/>
          <w:sz w:val="24"/>
          <w:szCs w:val="24"/>
        </w:rPr>
        <w:footnoteReference w:id="184"/>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Com efeito, em Maio de 1212, as infantas outorgam cartas de foral às suas vilas de Montemor-o-Velho e de Alenquer. Esta concessão revelou-se uma estratégia que procurou, por um lado, captar o apoio das populações, e sobretudo das elites concelhias, para as novas senhoras. Mas por outro lado, e não menos importante, evidenciar, através da outorga dos forais, a posse efetiva destas duas vilas, apesar da contestação do rei. A doação destes forais seria uma representação externa do poder por parte das infantas, à qual estarão presentes os seus apoiantes</w:t>
      </w:r>
      <w:r w:rsidRPr="0011294E">
        <w:rPr>
          <w:rStyle w:val="Refdenotaderodap"/>
          <w:rFonts w:ascii="Times New Roman" w:hAnsi="Times New Roman"/>
          <w:sz w:val="24"/>
          <w:szCs w:val="24"/>
        </w:rPr>
        <w:footnoteReference w:id="185"/>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 Afonso II propõe ainda que a vila de Montemor-o-Velho fosse entregue a um fidalgo de confiança dos dois, que seria pago pelo rei e se encarregaria de entregar a devidas rendas a D. Teresa. De nada adiantou, pois a infanta não aceita, visto que teria seguramente a proteção de D. Afonso IX de Leão e de algumas figuras da nobreza como D. Pedro, irmão do rei português que se encontra na corte leonesa, e D. Gonçalo Mendes de Sousa.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Face a esta recusa o monarca português viu-se obrigado a recorrer à força das armas e mandou cercar o castelo de Montemor-o-Velho, provocando desde logo a prisão de pessoas, devastação nos campos agrícolas, vinhas, rebanhos, a fim de enfraquecer os partidários das infantas</w:t>
      </w:r>
      <w:r w:rsidRPr="0011294E">
        <w:rPr>
          <w:rStyle w:val="Refdenotaderodap"/>
          <w:rFonts w:ascii="Times New Roman" w:hAnsi="Times New Roman"/>
          <w:sz w:val="24"/>
          <w:szCs w:val="24"/>
        </w:rPr>
        <w:footnoteReference w:id="186"/>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 Gonçalo Mendes de Sousa, que se encontra no Castelo de Torafe dirigiu-se com os seus homens de armas para Montemor-o-Velho, após o início do cerco, com o </w:t>
      </w:r>
      <w:r w:rsidR="009D2BEB" w:rsidRPr="0011294E">
        <w:rPr>
          <w:rFonts w:ascii="Times New Roman" w:hAnsi="Times New Roman"/>
          <w:sz w:val="24"/>
          <w:szCs w:val="24"/>
        </w:rPr>
        <w:t>intuito</w:t>
      </w:r>
      <w:r w:rsidRPr="0011294E">
        <w:rPr>
          <w:rFonts w:ascii="Times New Roman" w:hAnsi="Times New Roman"/>
          <w:sz w:val="24"/>
          <w:szCs w:val="24"/>
        </w:rPr>
        <w:t xml:space="preserve"> de socorrer as infantas contra as forças de Afonso II, antes ainda da invasão de Afonso IX</w:t>
      </w:r>
      <w:r w:rsidRPr="0011294E">
        <w:rPr>
          <w:rStyle w:val="Refdenotaderodap"/>
          <w:rFonts w:ascii="Times New Roman" w:hAnsi="Times New Roman"/>
          <w:sz w:val="24"/>
          <w:szCs w:val="24"/>
        </w:rPr>
        <w:footnoteReference w:id="187"/>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D. Teresa apela a Afonso IX de Leão, que invade o reino português, muito provavelmente em Março de 1212, socorrendo assim a sua primeira mulher</w:t>
      </w:r>
      <w:r w:rsidRPr="0011294E">
        <w:rPr>
          <w:rStyle w:val="Refdenotaderodap"/>
          <w:rFonts w:ascii="Times New Roman" w:hAnsi="Times New Roman"/>
          <w:sz w:val="24"/>
          <w:szCs w:val="24"/>
        </w:rPr>
        <w:footnoteReference w:id="188"/>
      </w:r>
      <w:r w:rsidRPr="0011294E">
        <w:rPr>
          <w:rFonts w:ascii="Times New Roman" w:hAnsi="Times New Roman"/>
          <w:sz w:val="24"/>
          <w:szCs w:val="24"/>
        </w:rPr>
        <w:t>. Neste sentido os invasores entraram em Portugal pelo Minho e Trás-os-Montes tomando Contrasta, que foi destruída, apoderando-se e espoliaram Melgaço, Lanhoso, Ulgoso, Balsemão, Freixo, Urrós, Mós, Alvito, Sicoto. Tendo a invasão seguido para a terra de Barroso, Vinhais, Ledra, Lampaças, Miranda, Chaves, Aguiar e Panóias. Foi, pois, uma extensa e vital área, aquela que foi sujeita às correrias e à ocupação do exército leonês, na qual se incluía a região de Trás-os-Montes, parte da Beira e uma parte substancial do Alto Minho. O exército leonês socorreu, depois, os defensores de Montemor-o-Velho</w:t>
      </w:r>
      <w:r w:rsidRPr="0011294E">
        <w:rPr>
          <w:rStyle w:val="Refdenotaderodap"/>
          <w:rFonts w:ascii="Times New Roman" w:hAnsi="Times New Roman"/>
          <w:sz w:val="24"/>
          <w:szCs w:val="24"/>
        </w:rPr>
        <w:footnoteReference w:id="189"/>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Derrotado por Leão e incapaz de fazer frente ao poderio militar de Afonso IX, às infantas e aos nobres portugueses, a única esperança de D. Afonso II residia na ação papal como forma de inverter o processo que implicaria a perda do reino. Desta forma, D. Afonso II refugia-se dentro das muralhas de Guimarães. Dois acontecimentos vão acabar por ter consequência no desfecho deste episódio: a intervenção papal e a intervenção de Afonso VIII de Castela.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 ação D. Afonso VIII revelou-se de uma enorme importância, na medida em que regressando vitorioso da batalha de Navas de Tolosa, convidou o rei de Leão a assinatura de um tratado de paz. Em troca teria de devolver a D. Afonso II todos os castelos que ocupara em Portugal, a fim de poderem voltar a concentrar na luta contra os muçulmanos. As tréguas entre os três reinos foram assinadas em Coimbra no dia 11 de Novembro de 1212 e deviam durar até 1 de Maio de 1213, data em que se assinaria o tratado de paz definitiva, onde D. Afonso II e suas irmãs deveriam entrar em Coimbra, com os seus vassalos e bens já apaziguados.</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Devemos ainda assinalar a intervenção do papa Inocêncio III. No início de 1212, em Março e Abril, Inocêncio III confirma a Afonso II o padroado das igrejas detida pelos seus antepassados e em Abril confirma a bula </w:t>
      </w:r>
      <w:r w:rsidRPr="0011294E">
        <w:rPr>
          <w:rFonts w:ascii="Times New Roman" w:hAnsi="Times New Roman"/>
          <w:i/>
          <w:sz w:val="24"/>
          <w:szCs w:val="24"/>
        </w:rPr>
        <w:t>Manifestis Probatum</w:t>
      </w:r>
      <w:r w:rsidRPr="0011294E">
        <w:rPr>
          <w:rFonts w:ascii="Times New Roman" w:hAnsi="Times New Roman"/>
          <w:sz w:val="24"/>
          <w:szCs w:val="24"/>
        </w:rPr>
        <w:t xml:space="preserve">. Para além </w:t>
      </w:r>
      <w:r w:rsidRPr="0011294E">
        <w:rPr>
          <w:rFonts w:ascii="Times New Roman" w:hAnsi="Times New Roman"/>
          <w:sz w:val="24"/>
          <w:szCs w:val="24"/>
        </w:rPr>
        <w:lastRenderedPageBreak/>
        <w:t>disso, encarregou os abades de Espina (Diocese de Palença) e Osseira (Diocese de Orense) de levantarem as penas eclesiásticas, obrigando o rei ao juramento de que obedeceria a todas as determinações pontifícias. Para além disso, as irmãs deveriam retirar dos castelos as pessoas inimigas do rei, devendo as duas partes chegar a um acordo amigável</w:t>
      </w:r>
      <w:r w:rsidRPr="0011294E">
        <w:rPr>
          <w:rStyle w:val="Refdenotaderodap"/>
          <w:rFonts w:ascii="Times New Roman" w:hAnsi="Times New Roman"/>
          <w:sz w:val="24"/>
          <w:szCs w:val="24"/>
        </w:rPr>
        <w:footnoteReference w:id="190"/>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Apesar desta tentativa de apaziguamento, quer por ação de D. Afonso VIII de Castela quer do Papa Inocêncio III, o conflito entre D. Afonso II e as suas irmãs não termina. É que D. Afonso II, face ao desmantelamento de Afonso IX e após a recuperação de algum espaço militar, enceta uma nova ofensiva contra as suas irmãs, desde o Inverno de 1212-1213 até à bula Papal de 21 de Maio de 1213</w:t>
      </w:r>
      <w:r w:rsidRPr="0011294E">
        <w:rPr>
          <w:rStyle w:val="Refdenotaderodap"/>
          <w:rFonts w:ascii="Times New Roman" w:hAnsi="Times New Roman"/>
          <w:sz w:val="24"/>
          <w:szCs w:val="24"/>
        </w:rPr>
        <w:footnoteReference w:id="191"/>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Com efeito, o papa mandou de novo os abades de Espina e Osseira que levantassem as censuras, depois da renovação do juramento do rei e obrigassem os contenciosos, sob pena de excomunhão, a tréguas. E por isso não obstante a anterior recomendação papal dirigida a estes abades, no sentido de procurarem fomentar a paz entre Afonso II e suas irmãs, estas teriam reivindicado algum tempo para provarem a falsidade das argumentações aduzidas pelos procuradores do rei. Facto que, em conjunto com a intervenção de Afonso VIII e a nova ofensiva militar desencadeada por Afonso II, teria obstado à imposição de uma concórdia tal como pretendia o Papa</w:t>
      </w:r>
      <w:r w:rsidRPr="0011294E">
        <w:rPr>
          <w:rStyle w:val="Refdenotaderodap"/>
          <w:rFonts w:ascii="Times New Roman" w:hAnsi="Times New Roman"/>
          <w:sz w:val="24"/>
          <w:szCs w:val="24"/>
        </w:rPr>
        <w:footnoteReference w:id="192"/>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Mandados de novo em Maio de 1213, os abades receberam a obrigação de levantar a excomunhão e o interdito que entretanto se mantinha, com a condição de que o rei jurasse de antemão cumprir o disposto, e de proceder ao estabelecimento de tréguas, sob pena de ser novamente excomungado. O Papa dispunha ainda que a causa deveria ser instruída e enviada para a cúria para que fosse discutida e resolvida.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 conflito estava agora limitado ao nível diplomático. Os apelos das infantas e do rei português vão manter-se ao longo dos vários anos seguintes e várias bulas lançadas sobre este conflito, no período que estende até quase ao final do reinado de D. Afonso II. Assim, nos inícios dos primeiros meses de 1214, os esforços de D. Afonso II foram </w:t>
      </w:r>
      <w:r w:rsidRPr="0011294E">
        <w:rPr>
          <w:rFonts w:ascii="Times New Roman" w:hAnsi="Times New Roman"/>
          <w:sz w:val="24"/>
          <w:szCs w:val="24"/>
        </w:rPr>
        <w:lastRenderedPageBreak/>
        <w:t>recompensados pelo levantamento da excomunhão e do interdito, pelo afastamento da ameaça militar do reino de Leão e pela secundarização das pretensões das infantas</w:t>
      </w:r>
      <w:r w:rsidRPr="0011294E">
        <w:rPr>
          <w:rStyle w:val="Refdenotaderodap"/>
          <w:rFonts w:ascii="Times New Roman" w:hAnsi="Times New Roman"/>
          <w:sz w:val="24"/>
          <w:szCs w:val="24"/>
        </w:rPr>
        <w:footnoteReference w:id="193"/>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Contudo, entre os anos de 1219 e 1223, após um curto interregno, assistimos novamente a mais conflitualidades. Estes conflitos centraram-se preferencialmente em torno das relações entre o rei e o clero episcopal, atingindo, contudo, outros níveis do corpo social refletindo o mal-estar que era abrangente a toda a sociedade medieval portuguesa.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Um dos primeiros conflitos que ressaltam neste período, e que marca, de certa forma, o seu início, foi o que opôs Soeiro Viegas e o mestre Vicente. Tendo Soeiro Viegas, bispo de Lisboa, participado na expedição de Alcácer do Sal, contra os muçulmanos, o Deão mestre Vicente ficara a substituir o bispo. No entanto, o deão teria abusado do poder, tendo tomado medidas que desagradaram o Bispo. Este conflito assume um papel central na política de D. Afonso, na medida em que é a primeira vez que o monarca assume uma posição favorável por uma das partes envolvidas. Efetivamente, a intenção o monarca seria atenuar o aumento da influência eclesiástica diminuindo a sua proteção e o apoio a alguns intervenientes, favorecendo os mais próximos do rei</w:t>
      </w:r>
      <w:r w:rsidRPr="0011294E">
        <w:rPr>
          <w:rStyle w:val="Refdenotaderodap"/>
          <w:rFonts w:ascii="Times New Roman" w:hAnsi="Times New Roman"/>
          <w:sz w:val="24"/>
          <w:szCs w:val="24"/>
        </w:rPr>
        <w:footnoteReference w:id="194"/>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Um outro conflito, agora entre D. Afonso II e D. Pedro Sores, bispo de Coimbra, foi desencadeado. Alexandre Herculano considera que este conflito deveria ter ocorrido pouco depois do concílio de Latrão, reunida em 1215. Aprisionado pelo rei no seu paço episcopal, onde se teria refugiado, seria aí mantido vários meses, resolvendo acatar e a submeter-se à vontade do rei. Com efeito, não conhecemos na documentação, as verdadeiras motivações desta perseguição a D. Pedro Soares. A verdade é que Pedro Soares surgirá como o único prelado português ao qual o Papa Honório III dirigirá em 23 de Dezembro de 1220 uma violenta bula de crítica sobre o abandono a que tinha o sujeito Arcebispo de Braga</w:t>
      </w:r>
      <w:r w:rsidRPr="0011294E">
        <w:rPr>
          <w:rStyle w:val="Refdenotaderodap"/>
          <w:rFonts w:ascii="Times New Roman" w:hAnsi="Times New Roman"/>
          <w:sz w:val="24"/>
          <w:szCs w:val="24"/>
        </w:rPr>
        <w:footnoteReference w:id="195"/>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Sendo assim, as leis que reconhecem as imunidades ao clero começam a ser violadas pelo poder central. É neste contexto que a figura do Arcebispo de Braga, D. </w:t>
      </w:r>
      <w:r w:rsidRPr="0011294E">
        <w:rPr>
          <w:rFonts w:ascii="Times New Roman" w:hAnsi="Times New Roman"/>
          <w:sz w:val="24"/>
          <w:szCs w:val="24"/>
        </w:rPr>
        <w:lastRenderedPageBreak/>
        <w:t>Estêvão Soares da Silva, terá um papel à frente da defesa dos direitos da igreja. O que estava em causa era a defesa das liberdades eclesiásticas e a recusa, por parte do arcebispo, de aceitar as várias e diferentes injustiças cometidas pelo rei contra a igreja, ao lançar tributos e contribuições indevidas às catedrais, igrejas, mosteiros, hospitais, casas da Ordem do Templo e outros locais religiosos. Face a esta situação, D. Estêvão Soares da Silva reuniu com os seus sufragâneos e os clérigos numa assembleia, com o intuito de admoestar o rei para revogar os tributos entretanto lançados e corrigir as anteriores práticas.</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O monarca não ficou agradado com estas disposições e reagiu, mandando os homens do concelho de Guimarães e de Coimbra assaltar e destruir os bens que possuía o arcebispo de Braga. Este, por sua vez, lançou a excomunhão sobre os conselheiros do rei, do próprio rei e de todo o reino. Face a esta atitude D. Estêvão Soares da Silva teve que abandonar o reino fugindo em direção a Roma. O Papa Honório III, tomando conhecimento, lançou um conjunto de bulas, procurando convencer Afonso II a respeitar não só as liberdades, regalias e privilégios do clero, obrigando igualmente, os sufragâneos de Braga a contribuírem com um subsídio adicional para a manutenção do arcebispo obrigado a viver fora da suas diocese e do reino.</w:t>
      </w:r>
    </w:p>
    <w:p w:rsidR="0011294E" w:rsidRPr="0011294E" w:rsidRDefault="0005741D" w:rsidP="0011294E">
      <w:pPr>
        <w:spacing w:line="360" w:lineRule="auto"/>
        <w:ind w:firstLine="624"/>
        <w:jc w:val="both"/>
        <w:rPr>
          <w:rFonts w:ascii="Times New Roman" w:hAnsi="Times New Roman"/>
          <w:sz w:val="24"/>
          <w:szCs w:val="24"/>
        </w:rPr>
      </w:pPr>
      <w:r>
        <w:rPr>
          <w:rFonts w:ascii="Times New Roman" w:hAnsi="Times New Roman"/>
          <w:sz w:val="24"/>
          <w:szCs w:val="24"/>
        </w:rPr>
        <w:t>Ainda em</w:t>
      </w:r>
      <w:r w:rsidR="0011294E" w:rsidRPr="0011294E">
        <w:rPr>
          <w:rFonts w:ascii="Times New Roman" w:hAnsi="Times New Roman"/>
          <w:sz w:val="24"/>
          <w:szCs w:val="24"/>
        </w:rPr>
        <w:t xml:space="preserve"> 1220, exorta Afonso IX de Leão </w:t>
      </w:r>
      <w:r>
        <w:rPr>
          <w:rFonts w:ascii="Times New Roman" w:hAnsi="Times New Roman"/>
          <w:sz w:val="24"/>
          <w:szCs w:val="24"/>
        </w:rPr>
        <w:t xml:space="preserve">a </w:t>
      </w:r>
      <w:r w:rsidR="0011294E" w:rsidRPr="0011294E">
        <w:rPr>
          <w:rFonts w:ascii="Times New Roman" w:hAnsi="Times New Roman"/>
          <w:sz w:val="24"/>
          <w:szCs w:val="24"/>
        </w:rPr>
        <w:t xml:space="preserve">proteger D. Estêvão Soares da Silva, que se encontra a caminho de Roma, ao mesmo tempo que informa os bispos de Astorga, Orense e Tuí dos abusos praticados por Afonso II. </w:t>
      </w:r>
      <w:r>
        <w:rPr>
          <w:rFonts w:ascii="Times New Roman" w:hAnsi="Times New Roman"/>
          <w:sz w:val="24"/>
          <w:szCs w:val="24"/>
        </w:rPr>
        <w:t>Neste sentido</w:t>
      </w:r>
      <w:r w:rsidR="0011294E" w:rsidRPr="0011294E">
        <w:rPr>
          <w:rFonts w:ascii="Times New Roman" w:hAnsi="Times New Roman"/>
          <w:sz w:val="24"/>
          <w:szCs w:val="24"/>
        </w:rPr>
        <w:t>, o Papa exige aos bispos de Astorga, de Palença e de Tuí a renovação das sentenças de excomunhão e de interdito a Afonso IX com a abertura do reino à conquista pelos seus vizinhos</w:t>
      </w:r>
      <w:r w:rsidR="0011294E" w:rsidRPr="0011294E">
        <w:rPr>
          <w:rStyle w:val="Refdenotaderodap"/>
          <w:rFonts w:ascii="Times New Roman" w:hAnsi="Times New Roman"/>
          <w:sz w:val="24"/>
          <w:szCs w:val="24"/>
        </w:rPr>
        <w:footnoteReference w:id="196"/>
      </w:r>
      <w:r w:rsidR="0011294E"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É neste contexto de conflito aberto entre Estêvão Soares da Silva e o rei português que, Afonso IX de Castela invade novamente o território português, pela zona norte do território, a pretexto do não cumprimento, por parte de D. Afonso II, das disposições papais referentes aos bens detidos por D. Teresa. Com efeito, D. Afonso IX teria de novo invadido a região norte de Chaves e conquistado esta praça no ano de 1219 aproveitando, de alguma forma, o ambiente de distúrbio causado pelo conflito entre o Arcebispo de Braga e o D. Afonso II. Assim, depois desta invasão, os dois </w:t>
      </w:r>
      <w:r w:rsidRPr="0011294E">
        <w:rPr>
          <w:rFonts w:ascii="Times New Roman" w:hAnsi="Times New Roman"/>
          <w:sz w:val="24"/>
          <w:szCs w:val="24"/>
        </w:rPr>
        <w:lastRenderedPageBreak/>
        <w:t>monarcas vão assinar um tratado de paz, o tratado de Boronal, assinado a 13 de Junho de 1219. O tratado consagra uma nova aliança entre os dois monarcas contra os muçulmanos e um reconhecimento implícito de D. Afonso II nos direitos sucessórios das infantas suas irmãs. Apesar da assinatura do tratado, o castelo de Chaves apenas é entregue novamente à coroa portuguesa no tempo de D. Fernando III, rei de Leão e Castela, e de D. Sancho II em 1231</w:t>
      </w:r>
      <w:r w:rsidRPr="0011294E">
        <w:rPr>
          <w:rStyle w:val="Refdenotaderodap"/>
          <w:rFonts w:ascii="Times New Roman" w:hAnsi="Times New Roman"/>
          <w:sz w:val="24"/>
          <w:szCs w:val="24"/>
        </w:rPr>
        <w:footnoteReference w:id="197"/>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Com efeito, as incursões no vale de Chaves não seriam tão estranhas, na medida em que esta zona da raia era uma região propícia às corridas militares e às incursões esporádicas de cavaleiros, caracterizada por fronteiras mal definidas e sujeitas aos vaivéns militares de ambas as partes, sendo possível que Afonso IX aproveitasse as sucessivas conjunturas de crise, que caraterizavam estes anos para efetuar incursões consecutivas. De facto, esta zona da veiga de Chaves, centrada no Alto do Vale do Tâmega, constituía um corredor natural de circulação, já antes materializado na rede viária romana. No reinado de D. Afonso II, esta zona teve uma ocupação leonesa de treze anos, desde de guerra civil de 1211-1212 e depois de 1219 a 1231. Todo este período foi marcado por perturbações, saques e instabilidade na fronteira com uma especial incidência na zona de Chaves e de Monforte de Rio Livre, que tiveram uma longa ocupação leonesa. A presença leonesa em Monforte de Rio Livre é um facto, tanto mais que, nas Inquirições de 1258, na vila de Alvarelhos havia uma igreja sufragada da de Batocas cuja construção teria sido feita em tempo de guerra: </w:t>
      </w:r>
      <w:r w:rsidRPr="0011294E">
        <w:rPr>
          <w:rFonts w:ascii="Times New Roman" w:hAnsi="Times New Roman"/>
          <w:i/>
          <w:sz w:val="24"/>
          <w:szCs w:val="24"/>
        </w:rPr>
        <w:t xml:space="preserve">“racione quod ipsi homines fecerunt illam in sua parrochia in tempore de guerras”. </w:t>
      </w:r>
      <w:r w:rsidRPr="0011294E">
        <w:rPr>
          <w:rFonts w:ascii="Times New Roman" w:hAnsi="Times New Roman"/>
          <w:sz w:val="24"/>
          <w:szCs w:val="24"/>
        </w:rPr>
        <w:t>Pensamos que as guerras referidas nas Inquirições dizem respeito à ocupação do julgado em 1212 pelo monarca leonês</w:t>
      </w:r>
      <w:r w:rsidRPr="0011294E">
        <w:rPr>
          <w:rStyle w:val="Refdenotaderodap"/>
          <w:rFonts w:ascii="Times New Roman" w:hAnsi="Times New Roman"/>
          <w:sz w:val="24"/>
          <w:szCs w:val="24"/>
        </w:rPr>
        <w:footnoteReference w:id="198"/>
      </w:r>
      <w:r w:rsidRPr="0011294E">
        <w:rPr>
          <w:rFonts w:ascii="Times New Roman" w:hAnsi="Times New Roman"/>
          <w:sz w:val="24"/>
          <w:szCs w:val="24"/>
        </w:rPr>
        <w:t>.</w:t>
      </w:r>
    </w:p>
    <w:p w:rsidR="0011294E" w:rsidRDefault="0011294E" w:rsidP="0011294E">
      <w:pPr>
        <w:spacing w:line="360" w:lineRule="auto"/>
        <w:ind w:firstLine="624"/>
        <w:jc w:val="both"/>
        <w:rPr>
          <w:rFonts w:ascii="Times New Roman" w:hAnsi="Times New Roman"/>
          <w:b/>
          <w:sz w:val="24"/>
          <w:szCs w:val="24"/>
        </w:rPr>
      </w:pPr>
    </w:p>
    <w:p w:rsidR="00FB5448" w:rsidRPr="0011294E" w:rsidRDefault="00FB5448" w:rsidP="0011294E">
      <w:pPr>
        <w:spacing w:line="360" w:lineRule="auto"/>
        <w:ind w:firstLine="624"/>
        <w:jc w:val="both"/>
        <w:rPr>
          <w:rFonts w:ascii="Times New Roman" w:hAnsi="Times New Roman"/>
          <w:b/>
          <w:sz w:val="24"/>
          <w:szCs w:val="24"/>
        </w:rPr>
      </w:pPr>
    </w:p>
    <w:p w:rsidR="0011294E" w:rsidRPr="0011294E" w:rsidRDefault="0011294E" w:rsidP="0011294E">
      <w:pPr>
        <w:pStyle w:val="Ttulo2"/>
        <w:rPr>
          <w:rFonts w:ascii="Times New Roman" w:hAnsi="Times New Roman" w:cs="Times New Roman"/>
          <w:sz w:val="24"/>
          <w:szCs w:val="24"/>
        </w:rPr>
      </w:pPr>
      <w:bookmarkStart w:id="20" w:name="_Toc430358532"/>
      <w:bookmarkStart w:id="21" w:name="_Toc441612275"/>
      <w:r w:rsidRPr="0011294E">
        <w:rPr>
          <w:rFonts w:ascii="Times New Roman" w:hAnsi="Times New Roman" w:cs="Times New Roman"/>
          <w:sz w:val="24"/>
          <w:szCs w:val="24"/>
        </w:rPr>
        <w:t>3.4. O Concelho de Monforte de Rio Livre: Uma perspetiva do Século XIII ao Século XVI.</w:t>
      </w:r>
      <w:bookmarkEnd w:id="20"/>
      <w:bookmarkEnd w:id="21"/>
      <w:r w:rsidRPr="0011294E">
        <w:rPr>
          <w:rFonts w:ascii="Times New Roman" w:hAnsi="Times New Roman" w:cs="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Como já fizemos referência anteriormente, no reinado de D. Afonso III assistimos a uma intenção clara de criar novos núcleos urbanos, com uma especial incidência na região de Trás-os-Montes. Esta vontade ficou demonstrada na outorga de forais em 1272 às povoações de Vila Real, Mogadouro e Penas Róias e, em 1273, a Freixo de Espada-à-Cinta, Montalegre e Monforte de Rio Livre, procurando dinamizar o povoamento e fixar populações e, consequentemente potenciar o rendimento destas terras</w:t>
      </w:r>
      <w:r w:rsidRPr="0011294E">
        <w:rPr>
          <w:rStyle w:val="Refdenotaderodap"/>
          <w:rFonts w:ascii="Times New Roman" w:hAnsi="Times New Roman"/>
          <w:sz w:val="24"/>
          <w:szCs w:val="24"/>
        </w:rPr>
        <w:footnoteReference w:id="199"/>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 Neste sentido, o concelho de Monforte de Rio Livre foi criado em 1273 pela carta de foral de D. Afonso III. A fundação do concelho enquadra-se, portanto, no seu projeto repovoador que delineou para a região transmontana.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Na carta de Foral dada a Monforte de Rio Livre em 1273, o monarca concedeu “ </w:t>
      </w:r>
      <w:r w:rsidRPr="0011294E">
        <w:rPr>
          <w:rFonts w:ascii="Times New Roman" w:hAnsi="Times New Roman"/>
          <w:i/>
          <w:sz w:val="24"/>
          <w:szCs w:val="24"/>
        </w:rPr>
        <w:t>a todos os povoadores da minha vila de Monforte de rio livre todas as minhas heranças forarias e realengas que tenho em rio livre e nos seus termos novos e antigos a saber: daqueles termos que aí tenho e poderdes alcançar por direitos, excetuando a minha hoste e dos direitos dos padroados</w:t>
      </w:r>
      <w:r w:rsidRPr="0011294E">
        <w:rPr>
          <w:rFonts w:ascii="Times New Roman" w:hAnsi="Times New Roman"/>
          <w:sz w:val="24"/>
          <w:szCs w:val="24"/>
        </w:rPr>
        <w:t>”</w:t>
      </w:r>
      <w:r w:rsidRPr="0011294E">
        <w:rPr>
          <w:rStyle w:val="Refdenotaderodap"/>
          <w:rFonts w:ascii="Times New Roman" w:hAnsi="Times New Roman"/>
          <w:sz w:val="24"/>
          <w:szCs w:val="24"/>
        </w:rPr>
        <w:footnoteReference w:id="200"/>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O monarca obrigava os moradores a pagar a ele “</w:t>
      </w:r>
      <w:r w:rsidRPr="0011294E">
        <w:rPr>
          <w:rFonts w:ascii="Times New Roman" w:hAnsi="Times New Roman"/>
          <w:i/>
          <w:sz w:val="24"/>
          <w:szCs w:val="24"/>
        </w:rPr>
        <w:t>e a todos os meus sucessores anualmente e às terças no ano, seiscentos morabitinos velhos por inteiro, a saber: terça pela festa de São Martinho, e outra terça no primeiro dia de Março, e outra terça no primeiro dia de Julho</w:t>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De modo a garantir a proteção dos moradores perante a prepotência dos ricos-homens na vila, o rei garante que “</w:t>
      </w:r>
      <w:r w:rsidRPr="0011294E">
        <w:rPr>
          <w:rFonts w:ascii="Times New Roman" w:hAnsi="Times New Roman"/>
          <w:i/>
          <w:sz w:val="24"/>
          <w:szCs w:val="24"/>
        </w:rPr>
        <w:t xml:space="preserve"> quando o meu rico homem for a essa terra deve comer com o seu dinheiro, e não vos deve filhar nada à força, nem fazer mal algum, nem deve pousar nas aldeias dessa terra, nem fazer aí força, exceto se tiver de passar pela terra pode aí pousar não deve filhar nada à força, nem fazer aí mal algum: e aquilo que o rico homem aí comer, deve comprá-lo com o seu dinheiro</w:t>
      </w:r>
      <w:r w:rsidRPr="0011294E">
        <w:rPr>
          <w:rFonts w:ascii="Times New Roman" w:hAnsi="Times New Roman"/>
          <w:sz w:val="24"/>
          <w:szCs w:val="24"/>
        </w:rPr>
        <w:t>”</w:t>
      </w:r>
      <w:r w:rsidRPr="0011294E">
        <w:rPr>
          <w:rStyle w:val="Refdenotaderodap"/>
          <w:rFonts w:ascii="Times New Roman" w:hAnsi="Times New Roman"/>
          <w:sz w:val="24"/>
          <w:szCs w:val="24"/>
        </w:rPr>
        <w:footnoteReference w:id="201"/>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De igual modo, o rei estabeleceu uma feira, a ter início no dia oito de cada mês, com a duração de dois dias, garantindo ainda a imunidade aos vendedores e compradores nos quatro dias anteriores à sua realização assim como nos quatro dias </w:t>
      </w:r>
      <w:r w:rsidRPr="0011294E">
        <w:rPr>
          <w:rFonts w:ascii="Times New Roman" w:hAnsi="Times New Roman"/>
          <w:sz w:val="24"/>
          <w:szCs w:val="24"/>
        </w:rPr>
        <w:lastRenderedPageBreak/>
        <w:t xml:space="preserve">subsequentes ao seu encerramento: </w:t>
      </w:r>
      <w:r w:rsidRPr="0011294E">
        <w:rPr>
          <w:rFonts w:ascii="Times New Roman" w:hAnsi="Times New Roman"/>
          <w:i/>
          <w:sz w:val="24"/>
          <w:szCs w:val="24"/>
        </w:rPr>
        <w:t xml:space="preserve">“mando e concedo que tenhais feira e façais em qualquer mês, e comece a fazer-se a oito desse mês e dure oito dias. E nenhum ouse fazer mal ou a penhorar alguém que venha á feira, para vender ou comprar, por qualquer débito, nos quatros dias antes da mesma feira ou nos quatro dias depois dela se retirar. E todo aquele que fizer mal aos homens que vierem à mesma feira, para vender ou comprar, pagar-me-á seis mil soldos, e pagará em dobro que filhar ao seu senhor, exceto se por qualquer débito deito na própria feira”. </w:t>
      </w:r>
      <w:r w:rsidRPr="0011294E">
        <w:rPr>
          <w:rFonts w:ascii="Times New Roman" w:hAnsi="Times New Roman"/>
          <w:sz w:val="24"/>
          <w:szCs w:val="24"/>
        </w:rPr>
        <w:t>Isenta, ainda os moradores de Monforte de Rio Livre do pagamento de portagens em todo o reino e do serviço de anúduva</w:t>
      </w:r>
      <w:r w:rsidRPr="0011294E">
        <w:rPr>
          <w:rStyle w:val="Refdenotaderodap"/>
          <w:rFonts w:ascii="Times New Roman" w:hAnsi="Times New Roman"/>
          <w:sz w:val="24"/>
          <w:szCs w:val="24"/>
        </w:rPr>
        <w:footnoteReference w:id="202"/>
      </w:r>
      <w:r w:rsidRPr="0011294E">
        <w:rPr>
          <w:rFonts w:ascii="Times New Roman" w:hAnsi="Times New Roman"/>
          <w:sz w:val="24"/>
          <w:szCs w:val="24"/>
        </w:rPr>
        <w:t>. Esta isenção é particularmente atraente para os moradores do concelho, uma vez que o serviço da anúduva constituía um encargo que obrigava a todos os que para eles eram constrangidos ao abandono temporário das suas atividades profissionais. Pensamos que esta isenção teria como objetivo atrair um maior número de povoadores para este concelho raiano recém-criado.</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Uma das últimas informações que podemos retirar da análise deste foral diz respeito às elites concelhias: “</w:t>
      </w:r>
      <w:r w:rsidRPr="0011294E">
        <w:rPr>
          <w:rFonts w:ascii="Times New Roman" w:hAnsi="Times New Roman"/>
          <w:i/>
          <w:sz w:val="24"/>
          <w:szCs w:val="24"/>
        </w:rPr>
        <w:t>e vós moradores deveis dar-me um cavaleiro fidalgo português de meu grado que vencerá quinhentos soldos, que me preste homenagem da minha alcáçova, quando eu aí construir. E o mesmo cavaleiro deve ser aí vosso pretor deve fazer justiça com os juízes da própria vila. Deveis anualmente aí colocar dos juízes naturais de Portugal dentre vossos vizinhos. E se quiserdes mudar o mesmo pretor, eu devo receber de vós outro no seu lugar, em qualquer momento que queirais mudar”</w:t>
      </w:r>
      <w:r w:rsidRPr="0011294E">
        <w:rPr>
          <w:rStyle w:val="Refdenotaderodap"/>
          <w:rFonts w:ascii="Times New Roman" w:hAnsi="Times New Roman"/>
          <w:i/>
          <w:sz w:val="24"/>
          <w:szCs w:val="24"/>
        </w:rPr>
        <w:footnoteReference w:id="203"/>
      </w:r>
      <w:r w:rsidRPr="0011294E">
        <w:rPr>
          <w:rFonts w:ascii="Times New Roman" w:hAnsi="Times New Roman"/>
          <w:i/>
          <w:sz w:val="24"/>
          <w:szCs w:val="24"/>
        </w:rPr>
        <w:t xml:space="preserve">. </w:t>
      </w:r>
      <w:r w:rsidRPr="0011294E">
        <w:rPr>
          <w:rFonts w:ascii="Times New Roman" w:hAnsi="Times New Roman"/>
          <w:sz w:val="24"/>
          <w:szCs w:val="24"/>
        </w:rPr>
        <w:t>Assim, a vila tinha como obrigação apresentar perante o monarca um cavaleiro fidalgo português para alcaide do castelo. Este alcaide, por sua vez, tinha o direito de intervir na administração da justiça em conjunto com os dois juízes portugueses de eleição popular. Para além disso, esta última informação é bastante importante para o nosso trabalho, na medida e que nos mostra a intenção do monarca em construir o futuro castelo de Monforte de Rio Livre: “</w:t>
      </w:r>
      <w:r w:rsidRPr="0011294E">
        <w:rPr>
          <w:rFonts w:ascii="Times New Roman" w:hAnsi="Times New Roman"/>
          <w:i/>
          <w:sz w:val="24"/>
          <w:szCs w:val="24"/>
        </w:rPr>
        <w:t>que me preste homenagem da minha alcáçova, quando eu aí construir”</w:t>
      </w:r>
      <w:r w:rsidRPr="0011294E">
        <w:rPr>
          <w:rStyle w:val="Refdenotaderodap"/>
          <w:rFonts w:ascii="Times New Roman" w:hAnsi="Times New Roman"/>
          <w:i/>
          <w:sz w:val="24"/>
          <w:szCs w:val="24"/>
        </w:rPr>
        <w:footnoteReference w:id="204"/>
      </w:r>
      <w:r w:rsidRPr="0011294E">
        <w:rPr>
          <w:rFonts w:ascii="Times New Roman" w:hAnsi="Times New Roman"/>
          <w:i/>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 xml:space="preserve">Um outro aspeto que observarmos a partir da análise aos aspetos económicos é a alusão a uma economia agrícola, quando se indica os foros e se menciona implicitamente as atividades desenvolvidas na feira anual criada por Afonso III. Paralelamente, estamos perante uma comunidade fronteiriça, pouca povoada e de fracos recursos económicos, pelo que se entende a criação da feira em Monforte como um fator de desenvolvimento económico e social da região.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Devemos, igualmente salientar a intervenção do âmbito judicial no concelho, no reinado de D. Dinis. Através de uma carta da sua chancelaria observamos a dificuldade da coroa por cobro à criminalidade nos concelhos transmontanos. No dia 28 de Maio de 1283, o juiz de Rio Livre apresenta uma exposição a D. Dinis, queixando-se que perdera muitos dos seus direitos na região e não era possível cumprir a justiça. E do receio que tinha de </w:t>
      </w:r>
      <w:r w:rsidRPr="0011294E">
        <w:rPr>
          <w:rFonts w:ascii="Times New Roman" w:hAnsi="Times New Roman"/>
          <w:i/>
          <w:sz w:val="24"/>
          <w:szCs w:val="24"/>
        </w:rPr>
        <w:t>Rooy Lourenço e de sseus filhos</w:t>
      </w:r>
      <w:r w:rsidRPr="0011294E">
        <w:rPr>
          <w:rFonts w:ascii="Times New Roman" w:hAnsi="Times New Roman"/>
          <w:sz w:val="24"/>
          <w:szCs w:val="24"/>
        </w:rPr>
        <w:t xml:space="preserve">. O monarca chamou então à sua presença </w:t>
      </w:r>
      <w:r w:rsidRPr="0011294E">
        <w:rPr>
          <w:rFonts w:ascii="Times New Roman" w:hAnsi="Times New Roman"/>
          <w:i/>
          <w:sz w:val="24"/>
          <w:szCs w:val="24"/>
        </w:rPr>
        <w:t>Rooy Lourenço e Lourenço nodigiz e Alvaro martijs</w:t>
      </w:r>
      <w:r w:rsidRPr="0011294E">
        <w:rPr>
          <w:rFonts w:ascii="Times New Roman" w:hAnsi="Times New Roman"/>
          <w:sz w:val="24"/>
          <w:szCs w:val="24"/>
        </w:rPr>
        <w:t xml:space="preserve"> exigindo que prometessem que não fariam mal ao juiz do concelho. No entanto, a promessa não foi cumprida tendo o juiz sido morto. Neste sentido, o rei ordena que esse </w:t>
      </w:r>
      <w:r w:rsidRPr="0011294E">
        <w:rPr>
          <w:rFonts w:ascii="Times New Roman" w:hAnsi="Times New Roman"/>
          <w:i/>
          <w:sz w:val="24"/>
          <w:szCs w:val="24"/>
        </w:rPr>
        <w:t>Lourenço Rrodrigiz e Nuno rrodrigiz e Aluaro martijs e todos aqueles que com les for en morte desse juiz ame n meu reyno aiam-nas perduda pera todo sempre. (…) e mando que eles nunca metam pee en meu reyno e neguum non seia ousado de os colher nem de os defender nem de os encobrir y a furto nem a paadinho e mando que quem quer que os colha ou defenda ou os encobra (…) que que fique ende por eleyuoso e que perca porende quanto ouuer e sseia todo geytado en meu regeengo  e que as justiça da terra lhy filhem o corpo e façam ell justiça en aeituoso.</w:t>
      </w:r>
      <w:r w:rsidRPr="0011294E">
        <w:rPr>
          <w:rFonts w:ascii="Times New Roman" w:hAnsi="Times New Roman"/>
          <w:sz w:val="24"/>
          <w:szCs w:val="24"/>
        </w:rPr>
        <w:t xml:space="preserve"> Assim, o rei decide que não só os seus descendentes, como também os intervenientes nesta morte, sejam expropriados dos seus bens, que reverterão para a coroa, expulsando-os igualmente do reino</w:t>
      </w:r>
      <w:r w:rsidRPr="0011294E">
        <w:rPr>
          <w:rStyle w:val="Refdenotaderodap"/>
          <w:rFonts w:ascii="Times New Roman" w:hAnsi="Times New Roman"/>
          <w:sz w:val="24"/>
          <w:szCs w:val="24"/>
        </w:rPr>
        <w:footnoteReference w:id="205"/>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De máxima importância salientamos, na segunda metade do século XIV o</w:t>
      </w:r>
      <w:r w:rsidRPr="0011294E">
        <w:rPr>
          <w:rFonts w:ascii="Times New Roman" w:hAnsi="Times New Roman"/>
          <w:i/>
          <w:sz w:val="24"/>
          <w:szCs w:val="24"/>
        </w:rPr>
        <w:t>” Catálogo de todas as Igrejas, comendas e Mosteiros que havia nos Reinos de Portugal e Algarves, pelos anos 1320 e 1321, com a lotação de cada uma delas”</w:t>
      </w:r>
      <w:r w:rsidRPr="0011294E">
        <w:rPr>
          <w:rFonts w:ascii="Times New Roman" w:hAnsi="Times New Roman"/>
          <w:sz w:val="24"/>
          <w:szCs w:val="24"/>
        </w:rPr>
        <w:t>.</w:t>
      </w:r>
      <w:r w:rsidR="009D2BEB">
        <w:rPr>
          <w:rFonts w:ascii="Times New Roman" w:hAnsi="Times New Roman"/>
          <w:sz w:val="24"/>
          <w:szCs w:val="24"/>
        </w:rPr>
        <w:t xml:space="preserve"> </w:t>
      </w:r>
      <w:r w:rsidRPr="0011294E">
        <w:rPr>
          <w:rFonts w:ascii="Times New Roman" w:hAnsi="Times New Roman"/>
          <w:sz w:val="24"/>
          <w:szCs w:val="24"/>
        </w:rPr>
        <w:t xml:space="preserve">Como se depreende pelo título, trata-se de um rol das igrejas existentes em 1320-1321, onde se englobam as de Monforte de Rio Livre e do seu termo de influência o que nos permite </w:t>
      </w:r>
      <w:r w:rsidRPr="0011294E">
        <w:rPr>
          <w:rFonts w:ascii="Times New Roman" w:hAnsi="Times New Roman"/>
          <w:sz w:val="24"/>
          <w:szCs w:val="24"/>
        </w:rPr>
        <w:lastRenderedPageBreak/>
        <w:t>ter uma noção da distribuição destes edifícios religiosos. Antes de passarmos a enumerar as igrejas e o seu respetivo imposto, devemos, atentar na designação de Terra de Frieira, pois esta designação é usada para enquadrar as respetivas igrejas</w:t>
      </w:r>
      <w:r w:rsidRPr="0011294E">
        <w:rPr>
          <w:rFonts w:ascii="Times New Roman" w:hAnsi="Times New Roman"/>
          <w:sz w:val="24"/>
          <w:szCs w:val="24"/>
          <w:vertAlign w:val="superscript"/>
        </w:rPr>
        <w:footnoteReference w:id="206"/>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Uma parte das igrejas mencionadas na margem esquerda do Tâmega inserem-se já no Julgado de Rio Livre em 1258 e a partir de 1273, com a fundação da vila de Monforte, passam a ficar integradas no seu termo. Em rigor, não sabemos se o nome Frieira corresponde a uma unidade eclesiástica, ou representa então apenas um nome genérico utilizado para designar as igrejas situadas a Norte. Numa zona fronteiriça cuja posse teria alternado entre Portugal e Leão</w:t>
      </w:r>
      <w:r w:rsidRPr="0011294E">
        <w:rPr>
          <w:rStyle w:val="Refdenotaderodap"/>
          <w:rFonts w:ascii="Times New Roman" w:hAnsi="Times New Roman"/>
          <w:sz w:val="24"/>
          <w:szCs w:val="24"/>
        </w:rPr>
        <w:footnoteReference w:id="207"/>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São referidas as Igrejas de S. Miguel de Fiães, taxada em 140 libras; a Igreja de Santa Olaia em 90 libras; a Igreja do Oço em 200 libras; a Igreja de Vila Seca era taxada em 40 libras; as Igrejas do Calvão e de Santa Olaia taxadas em 80 libras; a Igreja de Feces em 15 libras; as igrejas de Vilar de Perdizes e de S. Julião em taxadas em 60 libras; a Igreja de São Pedro de Batocas era taxada em 250 libras; a igreja de Tinhela era taxada em 10 libras. Por último, com uma taxa de 650 libras, surge a Igreja da Castanheira.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Depois do foral de 1273, assistimos no reinado de D. Afonso IV à outorga de uma carta de foro, em 1340, em resposta a uma petição dos moradores de Monforte de Rio Livre, que pediam ao rei uma diminuição do imposto exigido no foral de D. Afonso III. Os moradores argumentavam: “</w:t>
      </w:r>
      <w:r w:rsidRPr="0011294E">
        <w:rPr>
          <w:rFonts w:ascii="Times New Roman" w:hAnsi="Times New Roman"/>
          <w:i/>
          <w:sz w:val="24"/>
          <w:szCs w:val="24"/>
        </w:rPr>
        <w:t xml:space="preserve"> a dicta terra estava estragada per razom de demandas que antre eles ouve. Outrossi da guerra que recreçeu antre mim e El Rei de Castela de que receberom muito dano. E diziam que eles me aviam a dar da dicta terra de foro, en cada hum ano, sexçentos maravedis velhos e çento ao alcaide do castelo dessa vila. E diziam que ficarom tam pobres que nom poderian pagar o dicto foro. E que se lhis sobre esto nom fezesse merçe que se despobraria porem a dicta terra”</w:t>
      </w:r>
      <w:r w:rsidRPr="0011294E">
        <w:rPr>
          <w:rStyle w:val="Refdenotaderodap"/>
          <w:rFonts w:ascii="Times New Roman" w:hAnsi="Times New Roman"/>
          <w:i/>
          <w:sz w:val="24"/>
          <w:szCs w:val="24"/>
        </w:rPr>
        <w:footnoteReference w:id="208"/>
      </w:r>
      <w:r w:rsidRPr="0011294E">
        <w:rPr>
          <w:rFonts w:ascii="Times New Roman" w:hAnsi="Times New Roman"/>
          <w:i/>
          <w:sz w:val="24"/>
          <w:szCs w:val="24"/>
        </w:rPr>
        <w:t xml:space="preserve">. </w:t>
      </w:r>
      <w:r w:rsidRPr="0011294E">
        <w:rPr>
          <w:rFonts w:ascii="Times New Roman" w:hAnsi="Times New Roman"/>
          <w:sz w:val="24"/>
          <w:szCs w:val="24"/>
        </w:rPr>
        <w:t xml:space="preserve">Ou seja, os moradores comunicaram ao rei que o seu concelho estava danificado, quer por desavenças entre os moradores, quer pela guerra com Castela. Neste sentido </w:t>
      </w:r>
      <w:r w:rsidRPr="0011294E">
        <w:rPr>
          <w:rFonts w:ascii="Times New Roman" w:hAnsi="Times New Roman"/>
          <w:sz w:val="24"/>
          <w:szCs w:val="24"/>
        </w:rPr>
        <w:lastRenderedPageBreak/>
        <w:t>tornava-se difícil cumprir o pagamento de seiscentos maravedis velhos à coroa e cem ao alcaide segundo o foral de D. Afonso III.</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Desta forma o monarca mostra-se atencioso ao pedindo dos moradores respondendo: “… </w:t>
      </w:r>
      <w:r w:rsidRPr="0011294E">
        <w:rPr>
          <w:rFonts w:ascii="Times New Roman" w:hAnsi="Times New Roman"/>
          <w:i/>
          <w:sz w:val="24"/>
          <w:szCs w:val="24"/>
        </w:rPr>
        <w:t xml:space="preserve">tenho por bem que todolos os moradores e vezinhos da dicta terra de Momforte que ouverem valor de dez libras ou mais me pague, en cada hum anno, vinte vinte [sic] soldos de foro, e di a fundo cada hum deve pagar segundo a quantea que ouver”. </w:t>
      </w:r>
      <w:r w:rsidRPr="0011294E">
        <w:rPr>
          <w:rFonts w:ascii="Times New Roman" w:hAnsi="Times New Roman"/>
          <w:sz w:val="24"/>
          <w:szCs w:val="24"/>
        </w:rPr>
        <w:t>Para além disso, focavam obrigados a “</w:t>
      </w:r>
      <w:r w:rsidRPr="0011294E">
        <w:rPr>
          <w:rFonts w:ascii="Times New Roman" w:hAnsi="Times New Roman"/>
          <w:i/>
          <w:sz w:val="24"/>
          <w:szCs w:val="24"/>
        </w:rPr>
        <w:t>pagar ao alcaide do castelo dessa villa os dictos cen maravedis velhos que há d´aver da tença desse castelo, assim como sempre foi husado e acostumado no dicto logar de lhos pagarem ata aqui. E esse alcaide deve husaar com eles en fecto da justiça, como hé conteúdo en seu foro, e assi</w:t>
      </w:r>
      <w:r w:rsidR="009D2BEB">
        <w:rPr>
          <w:rFonts w:ascii="Times New Roman" w:hAnsi="Times New Roman"/>
          <w:i/>
          <w:sz w:val="24"/>
          <w:szCs w:val="24"/>
        </w:rPr>
        <w:t xml:space="preserve"> </w:t>
      </w:r>
      <w:r w:rsidRPr="0011294E">
        <w:rPr>
          <w:rFonts w:ascii="Times New Roman" w:hAnsi="Times New Roman"/>
          <w:i/>
          <w:sz w:val="24"/>
          <w:szCs w:val="24"/>
        </w:rPr>
        <w:t xml:space="preserve">como sempre husou e acostumou ata aqui”. </w:t>
      </w:r>
      <w:r w:rsidRPr="0011294E">
        <w:rPr>
          <w:rFonts w:ascii="Times New Roman" w:hAnsi="Times New Roman"/>
          <w:sz w:val="24"/>
          <w:szCs w:val="24"/>
        </w:rPr>
        <w:t>Os moradores ficavam obrigados a</w:t>
      </w:r>
      <w:r w:rsidRPr="0011294E">
        <w:rPr>
          <w:rFonts w:ascii="Times New Roman" w:hAnsi="Times New Roman"/>
          <w:i/>
          <w:sz w:val="24"/>
          <w:szCs w:val="24"/>
        </w:rPr>
        <w:t xml:space="preserve"> qual foro que eu deles ei d´aver pela guisa que o dicto hé devem pagar a mim e a todolos meus susçessores en cada hum ano pera todo o sempre dia de San Martinho.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Assim, o rei baixou consideravelmente a tributação da coroa, mantendo, no entanto, a quantia a pagar ao alcaide. O pedido da vila era justificável, quer pela escassa densidade populacional, quer consequentemente a uma economia débil, como era caracterizado estas povoações da raia transmontana. Com efeito, a isenção e de determinados encargos fiscais podiam ser, na teoria, uma forma de evitar o despovoamento, e em última análise, de fomentar o repovoamento do concelho de Monforte de Rio Livre.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 xml:space="preserve">Esta carta de foro emanada do poder central faz parte de uma iniciativa de D. Afonso IV, que ficou conhecido como o “Chamamento Geral”. Esta inquirição geral tinha como objetivo obrigar todos os titulares de terra isenta a apresentarem os seus títulos, a fim de lhes serem julgados favoravelmente ou devassados, conforme comprovassem ou não a legitimidade da posse em que estavam. Tratou-se assim, de uma a ação de verificação da legitimidade da posse de jurisdições </w:t>
      </w:r>
      <w:r w:rsidRPr="0011294E">
        <w:rPr>
          <w:rFonts w:ascii="Times New Roman" w:hAnsi="Times New Roman"/>
          <w:bCs/>
          <w:iCs/>
          <w:sz w:val="24"/>
          <w:szCs w:val="24"/>
        </w:rPr>
        <w:t xml:space="preserve">e </w:t>
      </w:r>
      <w:r w:rsidRPr="0011294E">
        <w:rPr>
          <w:rFonts w:ascii="Times New Roman" w:hAnsi="Times New Roman"/>
          <w:sz w:val="24"/>
          <w:szCs w:val="24"/>
        </w:rPr>
        <w:t xml:space="preserve">outros direitos senhoriais. No fundo, os objetivos eram os mesmos que as inquirições ordenadas nos reinados anteriores, ou seja, serviriam para reprimir os abusos senhoriais, atualizar os rendimentos agrários e estabelecer novas obrigações fiscais para os concelhos e </w:t>
      </w:r>
      <w:r w:rsidRPr="0011294E">
        <w:rPr>
          <w:rFonts w:ascii="Times New Roman" w:hAnsi="Times New Roman"/>
          <w:sz w:val="24"/>
          <w:szCs w:val="24"/>
        </w:rPr>
        <w:lastRenderedPageBreak/>
        <w:t>donatários</w:t>
      </w:r>
      <w:r w:rsidRPr="0011294E">
        <w:rPr>
          <w:rStyle w:val="Refdenotaderodap"/>
          <w:rFonts w:ascii="Times New Roman" w:hAnsi="Times New Roman"/>
          <w:sz w:val="24"/>
          <w:szCs w:val="24"/>
        </w:rPr>
        <w:footnoteReference w:id="209"/>
      </w:r>
      <w:r w:rsidRPr="0011294E">
        <w:rPr>
          <w:rFonts w:ascii="Times New Roman" w:hAnsi="Times New Roman"/>
          <w:sz w:val="24"/>
          <w:szCs w:val="24"/>
        </w:rPr>
        <w:t xml:space="preserve">. Na nossa perspetiva este “Chamamento Geral” irá ter muita influência, na outorga de em 1510, do foral novo outorgado por D. Manuel ao concelho de Monforte de Rio Livre.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No decurso do século XIV surge uma carta do monarca D. Pedro I, datada de 5 de Maio de 1364, que confirma os privilégios atribuídos a Monforte de Rio Livre</w:t>
      </w:r>
      <w:r w:rsidRPr="0011294E">
        <w:rPr>
          <w:rStyle w:val="Refdenotaderodap"/>
          <w:rFonts w:ascii="Times New Roman" w:hAnsi="Times New Roman"/>
          <w:sz w:val="24"/>
          <w:szCs w:val="24"/>
        </w:rPr>
        <w:footnoteReference w:id="210"/>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Em 1383, após a morte de D. Fernando, perfilaram-se vários pretendentes ao trono, entre os quais D. Juan I de Castela, marido de D. Beatriz, e D. João Mestre de Avis, irmão bastardo de D. Fernando. A batalha de Aljubarrota, ganha pelos portugueses em 14 de Agosto de 1385, acabou de consolidar no trono o Mestre de Avis, meses antes aclamado rei, desvanecendo por completo as pretensões do castelhano. Ainda assim, depois da grande batalha algumas praças ao norte de Portugal continuaram fiéis aos monarcas castelhanos, nomeadamente Chaves, Vinhais, Bragança, Outeiro, Mogadouro, Alfândega da Fé, Mirandela, Lamas de Orelhão, Monforte de Rio Livre e Montalegre, enquanto, no distrito de Bragança, as vilas de Miranda do Douro, Moncorvo, Freixo de Espada-à-Cinta e Vila Flor se declararam pelo Mestre de Avis logo desde o princípio</w:t>
      </w:r>
      <w:r w:rsidRPr="0011294E">
        <w:rPr>
          <w:rStyle w:val="Refdenotaderodap"/>
          <w:rFonts w:ascii="Times New Roman" w:hAnsi="Times New Roman"/>
          <w:sz w:val="24"/>
          <w:szCs w:val="24"/>
        </w:rPr>
        <w:footnoteReference w:id="211"/>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Assim, após a Batalha de Aljubarrota, podemos refletir sobre as suas implicações para o Concelho de Monforte de Rio Livre. Uma das primeiras alterações é efetivamente, a alteração do alcaide do concelho, uma vez que Monforte de Rio Livre tomou partido castelhano na crise dinástica de 1383-1385.</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No dia 25 de Janeiro de 1386, alguns meses depois da batalha, o mestre de Avis, doou a “</w:t>
      </w:r>
      <w:r w:rsidRPr="0011294E">
        <w:rPr>
          <w:rFonts w:ascii="Times New Roman" w:hAnsi="Times New Roman"/>
          <w:i/>
          <w:sz w:val="24"/>
          <w:szCs w:val="24"/>
        </w:rPr>
        <w:t xml:space="preserve">Ruy meendez d ambra alcaide do castelo de moonforte de Rio livre vontade nos ofereceo o dicto lugar de Monforte e se veo pera nosso serviço”. </w:t>
      </w:r>
      <w:r w:rsidRPr="0011294E">
        <w:rPr>
          <w:rFonts w:ascii="Times New Roman" w:hAnsi="Times New Roman"/>
          <w:sz w:val="24"/>
          <w:szCs w:val="24"/>
        </w:rPr>
        <w:t>O mestre é inequívoco na sua doação e acrescenta: “</w:t>
      </w:r>
      <w:r w:rsidRPr="0011294E">
        <w:rPr>
          <w:rFonts w:ascii="Times New Roman" w:hAnsi="Times New Roman"/>
          <w:i/>
          <w:sz w:val="24"/>
          <w:szCs w:val="24"/>
        </w:rPr>
        <w:t xml:space="preserve">porem querendo lho nos conhecer e galardoar com mercees o que cada huu rey deve fazer aaqueles que o bem e lealmente servem E querendo lhe nos fazer graça e mercee de nossa livre vontade e vera scientia e poder absoluto lhe damos e doamos e lhe fazemos livre e pura doaçam antre vivos valedoira deste dia pera todo sempre pera ele e pera todos seus filhos e netos e descendentes </w:t>
      </w:r>
      <w:r w:rsidRPr="0011294E">
        <w:rPr>
          <w:rFonts w:ascii="Times New Roman" w:hAnsi="Times New Roman"/>
          <w:i/>
          <w:sz w:val="24"/>
          <w:szCs w:val="24"/>
        </w:rPr>
        <w:lastRenderedPageBreak/>
        <w:t xml:space="preserve">lídimos que delle descenderem per linha direita da dicta villa de Monforte de Rio Livre com o seu termo e com todas suas rendas direitos e pertenças e foros e com toda sua Jurdiçam cível e // criminal mero e misto Imperio pella guisa que anos avemos e de direito devemos d aver reservando pera nos a correiçam e alçadas”. </w:t>
      </w:r>
      <w:r w:rsidRPr="0011294E">
        <w:rPr>
          <w:rFonts w:ascii="Times New Roman" w:hAnsi="Times New Roman"/>
          <w:sz w:val="24"/>
          <w:szCs w:val="24"/>
        </w:rPr>
        <w:t>Efetivamente, Rui Mendes de Ambra, alcaide do castelo de Monforte de Rio Livre, foi agraciado pelo rei D. João I, por ter entregado o castelo voluntariamente</w:t>
      </w:r>
      <w:r w:rsidRPr="0011294E">
        <w:rPr>
          <w:rStyle w:val="Refdenotaderodap"/>
          <w:rFonts w:ascii="Times New Roman" w:hAnsi="Times New Roman"/>
          <w:sz w:val="24"/>
          <w:szCs w:val="24"/>
        </w:rPr>
        <w:footnoteReference w:id="212"/>
      </w:r>
      <w:r w:rsidRPr="0011294E">
        <w:rPr>
          <w:rFonts w:ascii="Times New Roman" w:hAnsi="Times New Roman"/>
          <w:sz w:val="24"/>
          <w:szCs w:val="24"/>
        </w:rPr>
        <w:t>. Para além desta doação, o monarca concede ainda a “</w:t>
      </w:r>
      <w:r w:rsidRPr="0011294E">
        <w:rPr>
          <w:rFonts w:ascii="Times New Roman" w:hAnsi="Times New Roman"/>
          <w:i/>
          <w:sz w:val="24"/>
          <w:szCs w:val="24"/>
        </w:rPr>
        <w:t>Ruy meendez d mbia seu vassalo alcaide do castello de Monforte de Rio Livre das dizimas de todolos panos que ao dicto lugar vierem dos regnos de castella”</w:t>
      </w:r>
      <w:r w:rsidRPr="0011294E">
        <w:rPr>
          <w:rStyle w:val="Refdenotaderodap"/>
          <w:rFonts w:ascii="Times New Roman" w:hAnsi="Times New Roman"/>
          <w:i/>
          <w:sz w:val="24"/>
          <w:szCs w:val="24"/>
        </w:rPr>
        <w:footnoteReference w:id="213"/>
      </w:r>
      <w:r w:rsidRPr="0011294E">
        <w:rPr>
          <w:rFonts w:ascii="Times New Roman" w:hAnsi="Times New Roman"/>
          <w:i/>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Já no ano anterior, a 24 de Agosto de 1385, D. João I ordenara aos juízes de Monforte de Rio Livre que entregassem a “</w:t>
      </w:r>
      <w:r w:rsidRPr="0011294E">
        <w:rPr>
          <w:rFonts w:ascii="Times New Roman" w:hAnsi="Times New Roman"/>
          <w:i/>
          <w:sz w:val="24"/>
          <w:szCs w:val="24"/>
        </w:rPr>
        <w:t xml:space="preserve">Vaasco martinz de mello nosso vassalo e do nosso conselho nos disse que nos lhe fizéramos mercee e lhe déramos em doaçam todollos bens assy movees como de raiz que dom pedro”, </w:t>
      </w:r>
      <w:r w:rsidRPr="0011294E">
        <w:rPr>
          <w:rFonts w:ascii="Times New Roman" w:hAnsi="Times New Roman"/>
          <w:sz w:val="24"/>
          <w:szCs w:val="24"/>
        </w:rPr>
        <w:t>entre os quais a Quinta de Palma. O monarca português entregara assim a Vasco Martim de Melo todos os bens móveis e de raiz de D. Pedro, de sua mãe e dos bens do Conde D. Pedro Nunes de Lara</w:t>
      </w:r>
      <w:r w:rsidRPr="0011294E">
        <w:rPr>
          <w:rStyle w:val="Refdenotaderodap"/>
          <w:rFonts w:ascii="Times New Roman" w:hAnsi="Times New Roman"/>
          <w:sz w:val="24"/>
          <w:szCs w:val="24"/>
        </w:rPr>
        <w:footnoteReference w:id="214"/>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No mês seguinte, o monarca português confirma uma “</w:t>
      </w:r>
      <w:r w:rsidRPr="0011294E">
        <w:rPr>
          <w:rFonts w:ascii="Times New Roman" w:hAnsi="Times New Roman"/>
          <w:i/>
          <w:sz w:val="24"/>
          <w:szCs w:val="24"/>
        </w:rPr>
        <w:t>doçam que fez em sendo regedor destes regnos a Joham scrivam de todolos foros que o dicto Senhor/ avia em moonforte de Rio”</w:t>
      </w:r>
      <w:r w:rsidRPr="0011294E">
        <w:rPr>
          <w:rFonts w:ascii="Times New Roman" w:hAnsi="Times New Roman"/>
          <w:sz w:val="24"/>
          <w:szCs w:val="24"/>
        </w:rPr>
        <w:t>. Assim é confirmada uma doação a João Escrivão, das terras que possuía em Monforte de Rio Livre</w:t>
      </w:r>
      <w:r w:rsidRPr="0011294E">
        <w:rPr>
          <w:rStyle w:val="Refdenotaderodap"/>
          <w:rFonts w:ascii="Times New Roman" w:hAnsi="Times New Roman"/>
          <w:sz w:val="24"/>
          <w:szCs w:val="24"/>
        </w:rPr>
        <w:footnoteReference w:id="215"/>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No decorrer da segunda metade do século XIV surgem duas cartas com o propósito idêntico: o de confirmar os privilégios atribuídos a Monforte de Rio Livre. Temos,</w:t>
      </w:r>
      <w:r w:rsidR="009D2BEB">
        <w:rPr>
          <w:rFonts w:ascii="Times New Roman" w:hAnsi="Times New Roman"/>
          <w:sz w:val="24"/>
          <w:szCs w:val="24"/>
        </w:rPr>
        <w:t xml:space="preserve"> </w:t>
      </w:r>
      <w:r w:rsidRPr="0011294E">
        <w:rPr>
          <w:rFonts w:ascii="Times New Roman" w:hAnsi="Times New Roman"/>
          <w:sz w:val="24"/>
          <w:szCs w:val="24"/>
        </w:rPr>
        <w:t>efetivamente,</w:t>
      </w:r>
      <w:r w:rsidR="009D2BEB">
        <w:rPr>
          <w:rFonts w:ascii="Times New Roman" w:hAnsi="Times New Roman"/>
          <w:sz w:val="24"/>
          <w:szCs w:val="24"/>
        </w:rPr>
        <w:t xml:space="preserve"> </w:t>
      </w:r>
      <w:r w:rsidRPr="0011294E">
        <w:rPr>
          <w:rFonts w:ascii="Times New Roman" w:hAnsi="Times New Roman"/>
          <w:sz w:val="24"/>
          <w:szCs w:val="24"/>
        </w:rPr>
        <w:t>duas cartas da Chancelaria de D. João I, a primeira datada de 4 de Abril de 1386</w:t>
      </w:r>
      <w:r w:rsidRPr="0011294E">
        <w:rPr>
          <w:rStyle w:val="Refdenotaderodap"/>
          <w:rFonts w:ascii="Times New Roman" w:hAnsi="Times New Roman"/>
          <w:sz w:val="24"/>
          <w:szCs w:val="24"/>
        </w:rPr>
        <w:footnoteReference w:id="216"/>
      </w:r>
      <w:r w:rsidRPr="0011294E">
        <w:rPr>
          <w:rFonts w:ascii="Times New Roman" w:hAnsi="Times New Roman"/>
          <w:sz w:val="24"/>
          <w:szCs w:val="24"/>
        </w:rPr>
        <w:t xml:space="preserve"> e a segunda de 1 de Agosto de 1394</w:t>
      </w:r>
      <w:r w:rsidRPr="0011294E">
        <w:rPr>
          <w:rStyle w:val="Refdenotaderodap"/>
          <w:rFonts w:ascii="Times New Roman" w:hAnsi="Times New Roman"/>
          <w:sz w:val="24"/>
          <w:szCs w:val="24"/>
        </w:rPr>
        <w:footnoteReference w:id="217"/>
      </w:r>
      <w:r w:rsidRPr="0011294E">
        <w:rPr>
          <w:rFonts w:ascii="Times New Roman" w:hAnsi="Times New Roman"/>
          <w:sz w:val="24"/>
          <w:szCs w:val="24"/>
        </w:rPr>
        <w:t>.</w:t>
      </w:r>
      <w:r w:rsidR="009D2BEB">
        <w:rPr>
          <w:rFonts w:ascii="Times New Roman" w:hAnsi="Times New Roman"/>
          <w:sz w:val="24"/>
          <w:szCs w:val="24"/>
        </w:rPr>
        <w:t xml:space="preserve"> </w:t>
      </w:r>
      <w:r w:rsidR="009D2BEB" w:rsidRPr="0011294E">
        <w:rPr>
          <w:rFonts w:ascii="Times New Roman" w:hAnsi="Times New Roman"/>
          <w:sz w:val="24"/>
          <w:szCs w:val="24"/>
        </w:rPr>
        <w:t>Estes documentos pretendiam, acima de tudo, manter estas localidades sobre o controlo do reino de Portugal sem exercer uma forte pressão senhorial, e, si</w:t>
      </w:r>
      <w:r w:rsidR="009D2BEB">
        <w:rPr>
          <w:rFonts w:ascii="Times New Roman" w:hAnsi="Times New Roman"/>
          <w:sz w:val="24"/>
          <w:szCs w:val="24"/>
        </w:rPr>
        <w:t>multaneamente</w:t>
      </w:r>
      <w:r w:rsidR="009D2BEB" w:rsidRPr="0011294E">
        <w:rPr>
          <w:rFonts w:ascii="Times New Roman" w:hAnsi="Times New Roman"/>
          <w:sz w:val="24"/>
          <w:szCs w:val="24"/>
        </w:rPr>
        <w:t xml:space="preserve"> promover a fixação de gente </w:t>
      </w:r>
      <w:r w:rsidR="009D2BEB" w:rsidRPr="0011294E">
        <w:rPr>
          <w:rFonts w:ascii="Times New Roman" w:hAnsi="Times New Roman"/>
          <w:sz w:val="24"/>
          <w:szCs w:val="24"/>
        </w:rPr>
        <w:lastRenderedPageBreak/>
        <w:t xml:space="preserve">nestas terras marginalizadas. </w:t>
      </w:r>
      <w:r w:rsidRPr="0011294E">
        <w:rPr>
          <w:rFonts w:ascii="Times New Roman" w:hAnsi="Times New Roman"/>
          <w:sz w:val="24"/>
          <w:szCs w:val="24"/>
        </w:rPr>
        <w:t>Contudo, a intervenção da coroa não se esgota nestas cartas de privilégios.</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ab/>
        <w:t>A 10 de Outubro de 1420 D. João I institui um couto de Homiziados em Monforte de Rio Livre. O alcaide do Castelo de Rio Livre</w:t>
      </w:r>
      <w:r w:rsidRPr="0011294E">
        <w:rPr>
          <w:rFonts w:ascii="Times New Roman" w:hAnsi="Times New Roman"/>
          <w:i/>
          <w:sz w:val="24"/>
          <w:szCs w:val="24"/>
        </w:rPr>
        <w:t xml:space="preserve"> “aluaro gonçalluez de taide do nosso conselho e gouernador da casa do Jffante do pedro meu filho </w:t>
      </w:r>
      <w:r w:rsidRPr="0011294E">
        <w:rPr>
          <w:rFonts w:ascii="Times New Roman" w:hAnsi="Times New Roman"/>
          <w:sz w:val="24"/>
          <w:szCs w:val="24"/>
        </w:rPr>
        <w:t xml:space="preserve">diz ao rei que a </w:t>
      </w:r>
      <w:r w:rsidRPr="0011294E">
        <w:rPr>
          <w:rFonts w:ascii="Times New Roman" w:hAnsi="Times New Roman"/>
          <w:i/>
          <w:sz w:val="24"/>
          <w:szCs w:val="24"/>
        </w:rPr>
        <w:t xml:space="preserve">dicta uilla he muy desafraugada por seer mujto no stremo e por razam das guerras passadas, em tanto que vijndo guerra o dicto lugar nom podia seer guardado nem defeso per os moradores”. </w:t>
      </w:r>
      <w:r w:rsidRPr="0011294E">
        <w:rPr>
          <w:rFonts w:ascii="Times New Roman" w:hAnsi="Times New Roman"/>
          <w:sz w:val="24"/>
          <w:szCs w:val="24"/>
        </w:rPr>
        <w:t>Neste sentido, o alcaide pede ao monarca que lhe dê “</w:t>
      </w:r>
      <w:r w:rsidRPr="0011294E">
        <w:rPr>
          <w:rFonts w:ascii="Times New Roman" w:hAnsi="Times New Roman"/>
          <w:i/>
          <w:sz w:val="24"/>
          <w:szCs w:val="24"/>
        </w:rPr>
        <w:t xml:space="preserve">mercee que desemos nossa carta aa dicta villa per que certos omeziados que se pera hi viessem morar e pobrar fossem hi coutados”. </w:t>
      </w:r>
      <w:r w:rsidRPr="0011294E">
        <w:rPr>
          <w:rFonts w:ascii="Times New Roman" w:hAnsi="Times New Roman"/>
          <w:sz w:val="24"/>
          <w:szCs w:val="24"/>
        </w:rPr>
        <w:t>D. João I atendendo à exposição de Álvaro Gonçalves de Ataíde, alcaide de Monforte de Rio Livre e membro do conselho régio e governador da casa do Infante D. Pedro, “</w:t>
      </w:r>
      <w:r w:rsidRPr="0011294E">
        <w:rPr>
          <w:rFonts w:ascii="Times New Roman" w:hAnsi="Times New Roman"/>
          <w:i/>
          <w:sz w:val="24"/>
          <w:szCs w:val="24"/>
        </w:rPr>
        <w:t xml:space="preserve">ordena cinquoenta homens e mais nom que forem homjziados de quaeesquer erros e malefícios que tenham fectos ou os culpem e se vierem morar e pobrar ao dicto lugar de Monforte [sic] seiam hi coutados”. </w:t>
      </w:r>
      <w:r w:rsidRPr="0011294E">
        <w:rPr>
          <w:rFonts w:ascii="Times New Roman" w:hAnsi="Times New Roman"/>
          <w:sz w:val="24"/>
          <w:szCs w:val="24"/>
        </w:rPr>
        <w:t>Estes homens homiziados não deviam ser “</w:t>
      </w:r>
      <w:r w:rsidRPr="0011294E">
        <w:rPr>
          <w:rFonts w:ascii="Times New Roman" w:hAnsi="Times New Roman"/>
          <w:i/>
          <w:sz w:val="24"/>
          <w:szCs w:val="24"/>
        </w:rPr>
        <w:t xml:space="preserve">presos em o dicto lugar e em seu termo nem lhe seia fecto outro nehuu mal nem desaguisado comtanto que os dictos erros e malefícios nom seiam d aleiue ou de treyçom”. </w:t>
      </w:r>
      <w:r w:rsidRPr="0011294E">
        <w:rPr>
          <w:rFonts w:ascii="Times New Roman" w:hAnsi="Times New Roman"/>
          <w:sz w:val="24"/>
          <w:szCs w:val="24"/>
        </w:rPr>
        <w:t>Acrescenta ainda o monarca que os “</w:t>
      </w:r>
      <w:r w:rsidRPr="0011294E">
        <w:rPr>
          <w:rFonts w:ascii="Times New Roman" w:hAnsi="Times New Roman"/>
          <w:i/>
          <w:sz w:val="24"/>
          <w:szCs w:val="24"/>
        </w:rPr>
        <w:t xml:space="preserve">dictos omeziados nom seyam da dicta villa nem de seu termo saluo o tempo que lhes for dado per os Juizes da dicta villa per suas cartas em cada huu anno hua uez e mais nom licença de três meses per suas cartas ou aluaraaes signadas per suas maãos e seladas do seello do concelho pera birem recadar per nossos regnos seus mantijmentos e as outras cousas que lhe fizerem mester”. </w:t>
      </w:r>
      <w:r w:rsidRPr="0011294E">
        <w:rPr>
          <w:rFonts w:ascii="Times New Roman" w:hAnsi="Times New Roman"/>
          <w:sz w:val="24"/>
          <w:szCs w:val="24"/>
        </w:rPr>
        <w:t>E manda todas as “</w:t>
      </w:r>
      <w:r w:rsidRPr="0011294E">
        <w:rPr>
          <w:rFonts w:ascii="Times New Roman" w:hAnsi="Times New Roman"/>
          <w:i/>
          <w:sz w:val="24"/>
          <w:szCs w:val="24"/>
        </w:rPr>
        <w:t>justiças e meirinhos e corregedores e nossos officiaães que os nom prendem nem mandem prender nem lhes façam nem consentem fazer outro nehuu mal nem desaguisado quanto he polos dictos erros e malefícios e lhe compram e guardem o dicto couto e nom lhes uaão contra el em nemhua maneira</w:t>
      </w:r>
      <w:r w:rsidRPr="0011294E">
        <w:rPr>
          <w:rFonts w:ascii="Times New Roman" w:hAnsi="Times New Roman"/>
          <w:sz w:val="24"/>
          <w:szCs w:val="24"/>
        </w:rPr>
        <w:t xml:space="preserve">, se eles </w:t>
      </w:r>
      <w:r w:rsidRPr="0011294E">
        <w:rPr>
          <w:rFonts w:ascii="Times New Roman" w:hAnsi="Times New Roman"/>
          <w:i/>
          <w:sz w:val="24"/>
          <w:szCs w:val="24"/>
        </w:rPr>
        <w:t>pella dicta licença ou vierem ou andarem per o dicto lugar de Monforte ou em seu termo”</w:t>
      </w:r>
      <w:r w:rsidRPr="0011294E">
        <w:rPr>
          <w:rStyle w:val="Refdenotaderodap"/>
          <w:rFonts w:ascii="Times New Roman" w:hAnsi="Times New Roman"/>
          <w:i/>
          <w:sz w:val="24"/>
          <w:szCs w:val="24"/>
        </w:rPr>
        <w:footnoteReference w:id="218"/>
      </w:r>
      <w:r w:rsidRPr="0011294E">
        <w:rPr>
          <w:rFonts w:ascii="Times New Roman" w:hAnsi="Times New Roman"/>
          <w:i/>
          <w:sz w:val="24"/>
          <w:szCs w:val="24"/>
        </w:rPr>
        <w:t>.</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Assim, podemos retirar algumas conclusões decorrentes da intenção da coroa. Os coutos de homiziados, instituídos pela coroa, tinham o propósito de aumentar o </w:t>
      </w:r>
      <w:r w:rsidRPr="0011294E">
        <w:rPr>
          <w:rFonts w:ascii="Times New Roman" w:hAnsi="Times New Roman"/>
          <w:sz w:val="24"/>
          <w:szCs w:val="24"/>
        </w:rPr>
        <w:lastRenderedPageBreak/>
        <w:t>povoamento e garantir a defesa do território à custa de criminosos que, em contrapartida, logravam alcançar o perdão. Paralelamente, o facto do concelho de Monforte de Rio Livre se situar junto à fronteira com Castela, confere-lhe um papel importante na fixação e defesa da integridade territorial. Com efeito, o despovoamento das zonas raianas do reino levou D. João I a tomar esta solução: “</w:t>
      </w:r>
      <w:r w:rsidRPr="0011294E">
        <w:rPr>
          <w:rFonts w:ascii="Times New Roman" w:hAnsi="Times New Roman"/>
          <w:i/>
          <w:sz w:val="24"/>
          <w:szCs w:val="24"/>
        </w:rPr>
        <w:t>que todolos que ora som homiziados por quaisquer malefícios que sejão, per qualquer guisa que fossem feitos e cometidos ataa o dia da feitura desta nossa Ley, fóra aleive, ou treiçom, vaão seguramente, e sem temor das nossas justiças, morar e povoar os lugares suso ditos”</w:t>
      </w:r>
      <w:r w:rsidRPr="0011294E">
        <w:rPr>
          <w:rStyle w:val="Refdenotaderodap"/>
          <w:rFonts w:ascii="Times New Roman" w:hAnsi="Times New Roman"/>
          <w:i/>
          <w:sz w:val="24"/>
          <w:szCs w:val="24"/>
        </w:rPr>
        <w:footnoteReference w:id="219"/>
      </w:r>
      <w:r w:rsidRPr="0011294E">
        <w:rPr>
          <w:rFonts w:ascii="Times New Roman" w:hAnsi="Times New Roman"/>
          <w:i/>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Analisemos, agora, os besteiros do conto. Como o nome indica, eram soldados armados com besta, cujo nome era arrolado num </w:t>
      </w:r>
      <w:r w:rsidRPr="0011294E">
        <w:rPr>
          <w:rFonts w:ascii="Times New Roman" w:hAnsi="Times New Roman"/>
          <w:i/>
          <w:sz w:val="24"/>
          <w:szCs w:val="24"/>
        </w:rPr>
        <w:t xml:space="preserve">conto </w:t>
      </w:r>
      <w:r w:rsidRPr="0011294E">
        <w:rPr>
          <w:rFonts w:ascii="Times New Roman" w:hAnsi="Times New Roman"/>
          <w:sz w:val="24"/>
          <w:szCs w:val="24"/>
        </w:rPr>
        <w:t>ou rol. Como o serviço e a conservação das bestas exigiam cuidados e despesas, os besteiros eram indivíduos que tinham um certo rendimento, sendo oriundos, essencialmente, ao grupo dos mesteirais. Entende-se que a coroa pretendesse manter um número fixo de besteiros: possibilitava um melhor planeamento das ações militares, permitindo saber, de antemão, o número de soldados com que podia contar, para mais equipados com a mais eficaz e mortífera arma conhecida então. Para atrair o número necessário de besteiros, estes recebiam diversos benefícios fiscais e judiciais. O controlo do recrutamento e do treino dos besteiros era tarefa dos anadéis, oficiais também responsáveis pelo seu comando no campo de batalha</w:t>
      </w:r>
      <w:r w:rsidRPr="0011294E">
        <w:rPr>
          <w:rStyle w:val="Refdenotaderodap"/>
          <w:rFonts w:ascii="Times New Roman" w:hAnsi="Times New Roman"/>
          <w:sz w:val="24"/>
          <w:szCs w:val="24"/>
        </w:rPr>
        <w:footnoteReference w:id="220"/>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Se analisarmos a distribuição dos besteiros do conto pelo território nacional verificamos que eles variavam de acordo com a importância dos centros urbanos. A título de exemplo podemos referir o cerco que D. João I levantou a Chaves, a cidade de Lisboa auxiliou com 250 besteiros do conto. Santarém, por seu turno, auxiliou com um contingente de 100 besteiros</w:t>
      </w:r>
      <w:r w:rsidRPr="0011294E">
        <w:rPr>
          <w:rStyle w:val="Refdenotaderodap"/>
          <w:rFonts w:ascii="Times New Roman" w:hAnsi="Times New Roman"/>
          <w:sz w:val="24"/>
          <w:szCs w:val="24"/>
        </w:rPr>
        <w:footnoteReference w:id="221"/>
      </w:r>
      <w:r w:rsidRPr="0011294E">
        <w:rPr>
          <w:rFonts w:ascii="Times New Roman" w:hAnsi="Times New Roman"/>
          <w:sz w:val="24"/>
          <w:szCs w:val="24"/>
        </w:rPr>
        <w:t xml:space="preserve">. Efetivamente, o número de besteiros estava condicionado ao número de habitantes das localidades cujas milícias eram convocadas. </w:t>
      </w:r>
      <w:r w:rsidRPr="0011294E">
        <w:rPr>
          <w:rFonts w:ascii="Times New Roman" w:hAnsi="Times New Roman"/>
          <w:sz w:val="24"/>
          <w:szCs w:val="24"/>
        </w:rPr>
        <w:lastRenderedPageBreak/>
        <w:t>Em teoria, quanto mais populosas fossem, maiores seriam os contingentes que forneciam</w:t>
      </w:r>
      <w:r w:rsidRPr="0011294E">
        <w:rPr>
          <w:rStyle w:val="Refdenotaderodap"/>
          <w:rFonts w:ascii="Times New Roman" w:hAnsi="Times New Roman"/>
          <w:sz w:val="24"/>
          <w:szCs w:val="24"/>
        </w:rPr>
        <w:footnoteReference w:id="222"/>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De acordo com as Ordenações Afonsinas, o concelho de Monforte de Rio Livre contribuía com o total de 10 besteiros do conto</w:t>
      </w:r>
      <w:r w:rsidRPr="0011294E">
        <w:rPr>
          <w:rStyle w:val="Refdenotaderodap"/>
          <w:rFonts w:ascii="Times New Roman" w:hAnsi="Times New Roman"/>
          <w:sz w:val="24"/>
          <w:szCs w:val="24"/>
        </w:rPr>
        <w:footnoteReference w:id="223"/>
      </w:r>
      <w:r w:rsidRPr="0011294E">
        <w:rPr>
          <w:rFonts w:ascii="Times New Roman" w:hAnsi="Times New Roman"/>
          <w:sz w:val="24"/>
          <w:szCs w:val="24"/>
        </w:rPr>
        <w:t>. Tendo em conta esta cifra, podemos afirmar que o número de habitantes no concelho seria diminuto. Fazendo uma análise comparativa com os concelhos vizinhos, verificamos que o concelho de Chaves apresentava 30 besteiros do conto e o concelho de Montalegre e Barroso apresentava 20 besteiros. Esta situação vem demonstrar e reafirmar a fraca densidade populacional do concelho de Monforte de Rio Livre</w:t>
      </w:r>
      <w:r w:rsidRPr="0011294E">
        <w:rPr>
          <w:rStyle w:val="Refdenotaderodap"/>
          <w:rFonts w:ascii="Times New Roman" w:hAnsi="Times New Roman"/>
          <w:sz w:val="24"/>
          <w:szCs w:val="24"/>
        </w:rPr>
        <w:footnoteReference w:id="224"/>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O contributo destes centros urbanos de menor dimensão, sobretudo dos que se situam em zonas raianas, tinha um papel importante para a coroa, na medida em que auxiliava na defesa e integridade territorial da fronteira portuguesa na Idade Média</w:t>
      </w:r>
      <w:r w:rsidRPr="0011294E">
        <w:rPr>
          <w:rStyle w:val="Refdenotaderodap"/>
          <w:rFonts w:ascii="Times New Roman" w:hAnsi="Times New Roman"/>
          <w:sz w:val="24"/>
          <w:szCs w:val="24"/>
        </w:rPr>
        <w:footnoteReference w:id="225"/>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Antes do reinado de D. Manuel, e consequentemente da outorga do foral novo ao concelho de Monforte de Rio Livre, em 1510, encontramos alguns documentos que referem Monforte no decurso do tempo designadamente, em 1435, uma carta de legitimação do rei D. Duarte ao abade e criado do alcaide de Monforte, Álvaro Gonçalo de Ataíde</w:t>
      </w:r>
      <w:r w:rsidRPr="0011294E">
        <w:rPr>
          <w:rStyle w:val="Refdenotaderodap"/>
          <w:rFonts w:ascii="Times New Roman" w:hAnsi="Times New Roman"/>
          <w:sz w:val="24"/>
          <w:szCs w:val="24"/>
        </w:rPr>
        <w:footnoteReference w:id="226"/>
      </w:r>
      <w:r w:rsidRPr="0011294E">
        <w:rPr>
          <w:rFonts w:ascii="Times New Roman" w:hAnsi="Times New Roman"/>
          <w:sz w:val="24"/>
          <w:szCs w:val="24"/>
        </w:rPr>
        <w:t>; em 1445, do regente D. Pedro, a conceder carta de perdão a Vasco Lourenço, morador em Monforte de Rio Livre, livrando-o de parte do degredo a que tinha sido condenado</w:t>
      </w:r>
      <w:r w:rsidRPr="0011294E">
        <w:rPr>
          <w:rStyle w:val="Refdenotaderodap"/>
          <w:rFonts w:ascii="Times New Roman" w:hAnsi="Times New Roman"/>
          <w:sz w:val="24"/>
          <w:szCs w:val="24"/>
        </w:rPr>
        <w:footnoteReference w:id="227"/>
      </w:r>
      <w:r w:rsidRPr="0011294E">
        <w:rPr>
          <w:rFonts w:ascii="Times New Roman" w:hAnsi="Times New Roman"/>
          <w:sz w:val="24"/>
          <w:szCs w:val="24"/>
        </w:rPr>
        <w:t>; em 1446 uma carta referente a um besteiro, que morava no termo do nosso concelho</w:t>
      </w:r>
      <w:r w:rsidRPr="0011294E">
        <w:rPr>
          <w:rStyle w:val="Refdenotaderodap"/>
          <w:rFonts w:ascii="Times New Roman" w:hAnsi="Times New Roman"/>
          <w:sz w:val="24"/>
          <w:szCs w:val="24"/>
        </w:rPr>
        <w:footnoteReference w:id="228"/>
      </w:r>
      <w:r w:rsidRPr="0011294E">
        <w:rPr>
          <w:rFonts w:ascii="Times New Roman" w:hAnsi="Times New Roman"/>
          <w:sz w:val="24"/>
          <w:szCs w:val="24"/>
        </w:rPr>
        <w:t>; e em 1450 uma carta de perdão a Vasco Fernandes, que tinha estado na guerra contra o infante D. Pedro</w:t>
      </w:r>
      <w:r w:rsidRPr="0011294E">
        <w:rPr>
          <w:rStyle w:val="Refdenotaderodap"/>
          <w:rFonts w:ascii="Times New Roman" w:hAnsi="Times New Roman"/>
          <w:sz w:val="24"/>
          <w:szCs w:val="24"/>
        </w:rPr>
        <w:footnoteReference w:id="229"/>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Ainda em 1462, D. Afonso V fez a doação da Terra e do Castelo de Monforte de Rio Livre ao Conde de Atouguia, D. Martinho de Ataíde, filho de D. Álvaro de Ataíde, </w:t>
      </w:r>
      <w:r w:rsidRPr="0011294E">
        <w:rPr>
          <w:rFonts w:ascii="Times New Roman" w:hAnsi="Times New Roman"/>
          <w:sz w:val="24"/>
          <w:szCs w:val="24"/>
        </w:rPr>
        <w:lastRenderedPageBreak/>
        <w:t>juntamente com outras terras trasmontanas, designadamente Vinhais, Vilar Seco e Vale do Paço</w:t>
      </w:r>
      <w:r w:rsidRPr="0011294E">
        <w:rPr>
          <w:rStyle w:val="Refdenotaderodap"/>
          <w:rFonts w:ascii="Times New Roman" w:hAnsi="Times New Roman"/>
          <w:sz w:val="24"/>
          <w:szCs w:val="24"/>
        </w:rPr>
        <w:footnoteReference w:id="230"/>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 xml:space="preserve">Em 1483, em pleno reinado de D. João II, a vila encontrava-se em decadência, pelo que o monarca tratou de aumentar a população do povoado e promover alterações e melhoramentos nas fortificações. Em carta de 16 de </w:t>
      </w:r>
      <w:r w:rsidR="009D2BEB" w:rsidRPr="0011294E">
        <w:rPr>
          <w:rFonts w:ascii="Times New Roman" w:hAnsi="Times New Roman"/>
          <w:sz w:val="24"/>
          <w:szCs w:val="24"/>
        </w:rPr>
        <w:t>Dezembro</w:t>
      </w:r>
      <w:r w:rsidRPr="0011294E">
        <w:rPr>
          <w:rFonts w:ascii="Times New Roman" w:hAnsi="Times New Roman"/>
          <w:sz w:val="24"/>
          <w:szCs w:val="24"/>
        </w:rPr>
        <w:t xml:space="preserve"> deste ano, ordenou a alcaide-mor de Bragança que mandasse fazer obras no castelo e na muralha de Monforte de Rio Livre. Relativamente ao povoamento da vila, D. João II ordenou aos moradores das aldeias e casais que habitassem a uma légua de distância que viessem morar dentro dos muros da vila, tendo apenas um ano para efetuar a mudança, sob pena de perderem os seus bens. Para quem morasse além de uma légua, a imposição era tudo igual se o maior número dos seus prédios estivesse a menos de uma légua. O monarca determinou, ainda, que as pessoas com residência contígua à vila não pagariam os maravedis estabelecidos no antigo foral, estando apenas obrigados a esse encargo os moradores de todo o termo, ainda que habitassem a uma distância superior a uma légua. Paralelamente o monarca confirmou todos os privilégios e liberdades consagradas no antigo foral</w:t>
      </w:r>
      <w:r w:rsidRPr="0011294E">
        <w:rPr>
          <w:rStyle w:val="Refdenotaderodap"/>
          <w:rFonts w:ascii="Times New Roman" w:hAnsi="Times New Roman"/>
          <w:sz w:val="24"/>
          <w:szCs w:val="24"/>
        </w:rPr>
        <w:footnoteReference w:id="231"/>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Com intuito de atrair população para a vila, o monarca estabeleceu que os homiziados naturais do reino que fossem para Monforte de Rio Livre teriam todas as imunidades e liberalidades, que era costume gozar no concelho. Uma outra medida, na tentativa de aumentar a população do concelho, foi a instituição de um prémio de mil reais às primeiras cinquenta pessoas que viessem habitar na vila</w:t>
      </w:r>
      <w:r w:rsidRPr="0011294E">
        <w:rPr>
          <w:rStyle w:val="Refdenotaderodap"/>
          <w:rFonts w:ascii="Times New Roman" w:hAnsi="Times New Roman"/>
          <w:sz w:val="24"/>
          <w:szCs w:val="24"/>
        </w:rPr>
        <w:footnoteReference w:id="232"/>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 xml:space="preserve">Pese embora estas alterações introduzidas por D. João II, apenas no reinado de D. Manuel é que será efetuada uma profunda reforma aos forais antigos do reino português. Efetivamente, a partir dos finais do século XV, os forais antigos foram perdendo a sua força político-jurídica, muito por culpa das usurpações praticadas pelos altos funcionários e pelos concelhos, a juntar à incompreensão da língua arcaica (latim) em que estavam escritos, a falta de uniformização da moeda, dos pesos, e a cobrança indevida de impostos. Neste sentido, as populações concelhias aspiravam a ver os seus </w:t>
      </w:r>
      <w:r w:rsidRPr="0011294E">
        <w:rPr>
          <w:rFonts w:ascii="Times New Roman" w:hAnsi="Times New Roman"/>
          <w:sz w:val="24"/>
          <w:szCs w:val="24"/>
        </w:rPr>
        <w:lastRenderedPageBreak/>
        <w:t>forais atualizados uma vez que, há muito, estes se mostravam afastados das novas realidades sociais e económicas do reino</w:t>
      </w:r>
      <w:r w:rsidRPr="0011294E">
        <w:rPr>
          <w:rStyle w:val="Refdenotaderodap"/>
          <w:rFonts w:ascii="Times New Roman" w:hAnsi="Times New Roman"/>
          <w:sz w:val="24"/>
          <w:szCs w:val="24"/>
        </w:rPr>
        <w:footnoteReference w:id="233"/>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Em 1510 assistimos à outorga do foral novo ao Concelho de Monforte de Rio Livre, por D. Manuel. O foral outorgado ao Concelho não apresenta uma introdução, que justifique a concessão do foral, entrado imediatamente no conteúdo propriamente dito. Uma das primeiras alterações introduzidas foi a atualização da renda fixa a pagar pelos habitantes da vila e termo, que passou “</w:t>
      </w:r>
      <w:r w:rsidRPr="0011294E">
        <w:rPr>
          <w:rFonts w:ascii="Times New Roman" w:hAnsi="Times New Roman"/>
          <w:i/>
          <w:sz w:val="24"/>
          <w:szCs w:val="24"/>
        </w:rPr>
        <w:t xml:space="preserve">pellos seiscentos maraujdys de moeda amtiga </w:t>
      </w:r>
      <w:r w:rsidRPr="0011294E">
        <w:rPr>
          <w:rFonts w:ascii="Times New Roman" w:hAnsi="Times New Roman"/>
          <w:sz w:val="24"/>
          <w:szCs w:val="24"/>
        </w:rPr>
        <w:t xml:space="preserve">para </w:t>
      </w:r>
      <w:r w:rsidRPr="0011294E">
        <w:rPr>
          <w:rFonts w:ascii="Times New Roman" w:hAnsi="Times New Roman"/>
          <w:i/>
          <w:sz w:val="24"/>
          <w:szCs w:val="24"/>
        </w:rPr>
        <w:t xml:space="preserve">vinte e nove mjl e cento e sesenta reaes”. </w:t>
      </w:r>
      <w:r w:rsidRPr="0011294E">
        <w:rPr>
          <w:rFonts w:ascii="Times New Roman" w:hAnsi="Times New Roman"/>
          <w:sz w:val="24"/>
          <w:szCs w:val="24"/>
        </w:rPr>
        <w:t>Este tributo teria que ser pago em três prestações “</w:t>
      </w:r>
      <w:r w:rsidRPr="0011294E">
        <w:rPr>
          <w:rFonts w:ascii="Times New Roman" w:hAnsi="Times New Roman"/>
          <w:i/>
          <w:sz w:val="24"/>
          <w:szCs w:val="24"/>
        </w:rPr>
        <w:t xml:space="preserve">a saber. por dia de Sam Martinho. E primeiro dia de Março E primeiro dia de Julho”. </w:t>
      </w:r>
      <w:r w:rsidRPr="0011294E">
        <w:rPr>
          <w:rFonts w:ascii="Times New Roman" w:hAnsi="Times New Roman"/>
          <w:sz w:val="24"/>
          <w:szCs w:val="24"/>
        </w:rPr>
        <w:t>Caso não fosse possível pagar, “</w:t>
      </w:r>
      <w:r w:rsidRPr="0011294E">
        <w:rPr>
          <w:rFonts w:ascii="Times New Roman" w:hAnsi="Times New Roman"/>
          <w:i/>
          <w:sz w:val="24"/>
          <w:szCs w:val="24"/>
        </w:rPr>
        <w:t>a Repartiçam será feita com comsentimento de todo o povoo O qual juntamente escolheram as pesoas que pera jsso ouuerem por de mjlhor conçiemcia e desqueriçam. Por que sse nom faça agravo dos proues”</w:t>
      </w:r>
      <w:r w:rsidRPr="0011294E">
        <w:rPr>
          <w:rStyle w:val="Refdenotaderodap"/>
          <w:rFonts w:ascii="Times New Roman" w:hAnsi="Times New Roman"/>
          <w:i/>
          <w:sz w:val="24"/>
          <w:szCs w:val="24"/>
        </w:rPr>
        <w:footnoteReference w:id="234"/>
      </w:r>
      <w:r w:rsidRPr="0011294E">
        <w:rPr>
          <w:rFonts w:ascii="Times New Roman" w:hAnsi="Times New Roman"/>
          <w:i/>
          <w:sz w:val="24"/>
          <w:szCs w:val="24"/>
        </w:rPr>
        <w:t>.</w:t>
      </w:r>
    </w:p>
    <w:p w:rsidR="0011294E" w:rsidRPr="0011294E" w:rsidRDefault="0011294E" w:rsidP="0011294E">
      <w:pPr>
        <w:spacing w:line="360" w:lineRule="auto"/>
        <w:ind w:firstLine="624"/>
        <w:jc w:val="both"/>
        <w:rPr>
          <w:rFonts w:ascii="Times New Roman" w:hAnsi="Times New Roman"/>
          <w:sz w:val="24"/>
          <w:szCs w:val="24"/>
          <w:shd w:val="clear" w:color="auto" w:fill="FFFFFF" w:themeFill="background1"/>
        </w:rPr>
      </w:pPr>
      <w:r w:rsidRPr="0011294E">
        <w:rPr>
          <w:rFonts w:ascii="Times New Roman" w:hAnsi="Times New Roman"/>
          <w:sz w:val="24"/>
          <w:szCs w:val="24"/>
        </w:rPr>
        <w:t xml:space="preserve">No que respeita ao alcaide do castelo, tal como estava exposto nos forais antigos, continuava a ter direito à </w:t>
      </w:r>
      <w:r w:rsidRPr="0011294E">
        <w:rPr>
          <w:rFonts w:ascii="Times New Roman" w:hAnsi="Times New Roman"/>
          <w:i/>
          <w:sz w:val="24"/>
          <w:szCs w:val="24"/>
        </w:rPr>
        <w:t>C</w:t>
      </w:r>
      <w:r w:rsidRPr="0011294E">
        <w:rPr>
          <w:rFonts w:ascii="Times New Roman" w:hAnsi="Times New Roman"/>
          <w:i/>
          <w:sz w:val="24"/>
          <w:szCs w:val="24"/>
          <w:shd w:val="clear" w:color="auto" w:fill="FFFFFF" w:themeFill="background1"/>
        </w:rPr>
        <w:t>penssam de dous tabaliaens”</w:t>
      </w:r>
      <w:r w:rsidRPr="0011294E">
        <w:rPr>
          <w:rFonts w:ascii="Times New Roman" w:hAnsi="Times New Roman"/>
          <w:sz w:val="24"/>
          <w:szCs w:val="24"/>
          <w:shd w:val="clear" w:color="auto" w:fill="FFFFFF" w:themeFill="background1"/>
        </w:rPr>
        <w:t xml:space="preserve"> da vila. No entanto, no foral não é mencionado o montante a receber pelo alcaide</w:t>
      </w:r>
      <w:r w:rsidRPr="0011294E">
        <w:rPr>
          <w:rStyle w:val="Refdenotaderodap"/>
          <w:rFonts w:ascii="Times New Roman" w:hAnsi="Times New Roman"/>
          <w:sz w:val="24"/>
          <w:szCs w:val="24"/>
          <w:shd w:val="clear" w:color="auto" w:fill="FFFFFF" w:themeFill="background1"/>
        </w:rPr>
        <w:footnoteReference w:id="235"/>
      </w:r>
      <w:r w:rsidRPr="0011294E">
        <w:rPr>
          <w:rFonts w:ascii="Times New Roman" w:hAnsi="Times New Roman"/>
          <w:sz w:val="24"/>
          <w:szCs w:val="24"/>
          <w:shd w:val="clear" w:color="auto" w:fill="FFFFFF" w:themeFill="background1"/>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shd w:val="clear" w:color="auto" w:fill="FFFFFF" w:themeFill="background1"/>
        </w:rPr>
        <w:t>O povoamento de Monforte de Rio Livre foi uma das preocupações centrais do foral de D. Manuel, uma vez que concede o privilégio a cinquenta moradores “</w:t>
      </w:r>
      <w:r w:rsidRPr="0011294E">
        <w:rPr>
          <w:rFonts w:ascii="Times New Roman" w:hAnsi="Times New Roman"/>
          <w:i/>
          <w:sz w:val="24"/>
          <w:szCs w:val="24"/>
        </w:rPr>
        <w:t xml:space="preserve">da dicta terra pera pouoarem e estarem com suas casas e fazendas e famjlia de molheres e filhos demtro da çerqua da dicta Villa sem pagarem o tributo se suas fazendas a que os outros sam obrigados”. </w:t>
      </w:r>
      <w:r w:rsidRPr="0011294E">
        <w:rPr>
          <w:rFonts w:ascii="Times New Roman" w:hAnsi="Times New Roman"/>
          <w:sz w:val="24"/>
          <w:szCs w:val="24"/>
        </w:rPr>
        <w:t xml:space="preserve">No entanto, a maioria destes moradores tinham saído do centro da vila, pelo que o monarca ordenou que </w:t>
      </w:r>
      <w:r w:rsidRPr="0011294E">
        <w:rPr>
          <w:rFonts w:ascii="Times New Roman" w:hAnsi="Times New Roman"/>
          <w:sz w:val="24"/>
          <w:szCs w:val="24"/>
          <w:shd w:val="clear" w:color="auto" w:fill="FFFFFF" w:themeFill="background1"/>
        </w:rPr>
        <w:t>“</w:t>
      </w:r>
      <w:r w:rsidRPr="0011294E">
        <w:rPr>
          <w:rFonts w:ascii="Times New Roman" w:hAnsi="Times New Roman"/>
          <w:i/>
          <w:sz w:val="24"/>
          <w:szCs w:val="24"/>
        </w:rPr>
        <w:t xml:space="preserve">dictos Çinquoenta homens tornem a morar como sempre fezeram demtro do çerquo da dicta Villa da notificaçam deste a dous meses”, </w:t>
      </w:r>
      <w:r w:rsidRPr="0011294E">
        <w:rPr>
          <w:rFonts w:ascii="Times New Roman" w:hAnsi="Times New Roman"/>
          <w:sz w:val="24"/>
          <w:szCs w:val="24"/>
        </w:rPr>
        <w:t>ordenando igualmente que “</w:t>
      </w:r>
      <w:r w:rsidRPr="0011294E">
        <w:rPr>
          <w:rFonts w:ascii="Times New Roman" w:hAnsi="Times New Roman"/>
          <w:i/>
          <w:sz w:val="24"/>
          <w:szCs w:val="24"/>
        </w:rPr>
        <w:t xml:space="preserve">nom o fazemdo paguem soldo aaliura segundo os beens que trouxerem. Assi como os outros moradores da terra pagam. E damos lugar e licença a quaens quer outras çinquoemtas passoas dos vizinhos e moradores do termo da dicta Villa que passado o termo que ora damos aos sobre dictos pera virem pouoar e viuer </w:t>
      </w:r>
      <w:r w:rsidRPr="0011294E">
        <w:rPr>
          <w:rFonts w:ascii="Times New Roman" w:hAnsi="Times New Roman"/>
          <w:i/>
          <w:sz w:val="24"/>
          <w:szCs w:val="24"/>
        </w:rPr>
        <w:lastRenderedPageBreak/>
        <w:t>nella com os mesmos priujlegios e liberdades que aos outros damtes eram outorgados”</w:t>
      </w:r>
      <w:r w:rsidRPr="0011294E">
        <w:rPr>
          <w:rStyle w:val="Refdenotaderodap"/>
          <w:rFonts w:ascii="Times New Roman" w:hAnsi="Times New Roman"/>
          <w:i/>
          <w:sz w:val="24"/>
          <w:szCs w:val="24"/>
        </w:rPr>
        <w:footnoteReference w:id="236"/>
      </w:r>
      <w:r w:rsidRPr="0011294E">
        <w:rPr>
          <w:rFonts w:ascii="Times New Roman" w:hAnsi="Times New Roman"/>
          <w:i/>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Sobre o título da </w:t>
      </w:r>
      <w:r w:rsidRPr="0011294E">
        <w:rPr>
          <w:rFonts w:ascii="Times New Roman" w:hAnsi="Times New Roman"/>
          <w:i/>
          <w:sz w:val="24"/>
          <w:szCs w:val="24"/>
        </w:rPr>
        <w:t xml:space="preserve">portagem </w:t>
      </w:r>
      <w:r w:rsidRPr="0011294E">
        <w:rPr>
          <w:rFonts w:ascii="Times New Roman" w:hAnsi="Times New Roman"/>
          <w:sz w:val="24"/>
          <w:szCs w:val="24"/>
        </w:rPr>
        <w:t xml:space="preserve">é acrescentado o título </w:t>
      </w:r>
      <w:r w:rsidRPr="0011294E">
        <w:rPr>
          <w:rFonts w:ascii="Times New Roman" w:hAnsi="Times New Roman"/>
          <w:sz w:val="24"/>
          <w:szCs w:val="24"/>
          <w:shd w:val="clear" w:color="auto" w:fill="FFFFFF" w:themeFill="background1"/>
        </w:rPr>
        <w:t>“</w:t>
      </w:r>
      <w:r w:rsidRPr="0011294E">
        <w:rPr>
          <w:rFonts w:ascii="Times New Roman" w:hAnsi="Times New Roman"/>
          <w:i/>
          <w:sz w:val="24"/>
          <w:szCs w:val="24"/>
        </w:rPr>
        <w:t xml:space="preserve">sacada carga por carga”, </w:t>
      </w:r>
      <w:r w:rsidRPr="0011294E">
        <w:rPr>
          <w:rFonts w:ascii="Times New Roman" w:hAnsi="Times New Roman"/>
          <w:sz w:val="24"/>
          <w:szCs w:val="24"/>
        </w:rPr>
        <w:t xml:space="preserve">o que significa que </w:t>
      </w:r>
      <w:r w:rsidRPr="0011294E">
        <w:rPr>
          <w:rFonts w:ascii="Times New Roman" w:hAnsi="Times New Roman"/>
          <w:sz w:val="24"/>
          <w:szCs w:val="24"/>
          <w:shd w:val="clear" w:color="auto" w:fill="FFFFFF" w:themeFill="background1"/>
        </w:rPr>
        <w:t>“</w:t>
      </w:r>
      <w:r w:rsidRPr="0011294E">
        <w:rPr>
          <w:rFonts w:ascii="Times New Roman" w:hAnsi="Times New Roman"/>
          <w:i/>
          <w:sz w:val="24"/>
          <w:szCs w:val="24"/>
        </w:rPr>
        <w:t xml:space="preserve">as pessoas que algumas mercadorias trouxerem a uender a dicta Villa e lugar de que pagarem portagem poderam tirar outras tantas e taaes sem delas mais pagarem portagem. posto que seiam doutra localidade”. </w:t>
      </w:r>
      <w:r w:rsidRPr="0011294E">
        <w:rPr>
          <w:rFonts w:ascii="Times New Roman" w:hAnsi="Times New Roman"/>
          <w:sz w:val="24"/>
          <w:szCs w:val="24"/>
        </w:rPr>
        <w:t>Assim, as pessoas que</w:t>
      </w:r>
      <w:r w:rsidR="009D2BEB">
        <w:rPr>
          <w:rFonts w:ascii="Times New Roman" w:hAnsi="Times New Roman"/>
          <w:sz w:val="24"/>
          <w:szCs w:val="24"/>
        </w:rPr>
        <w:t xml:space="preserve"> </w:t>
      </w:r>
      <w:r w:rsidRPr="0011294E">
        <w:rPr>
          <w:rFonts w:ascii="Times New Roman" w:hAnsi="Times New Roman"/>
          <w:sz w:val="24"/>
          <w:szCs w:val="24"/>
        </w:rPr>
        <w:t>desejassem vender algumas mercadorias na vila, se já tivessem pago portagem pelas mesmas quantidades de mercadoria doutra qualidade não pagaria outra portagem, se tivessem pago por quantidades menores teriam de pagar o que faltasse</w:t>
      </w:r>
      <w:r w:rsidRPr="0011294E">
        <w:rPr>
          <w:rStyle w:val="Refdenotaderodap"/>
          <w:rFonts w:ascii="Times New Roman" w:hAnsi="Times New Roman"/>
          <w:sz w:val="24"/>
          <w:szCs w:val="24"/>
        </w:rPr>
        <w:footnoteReference w:id="237"/>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As mercadorias que chegavam ao concelho tinham de ser </w:t>
      </w:r>
      <w:r w:rsidRPr="0011294E">
        <w:rPr>
          <w:rFonts w:ascii="Times New Roman" w:hAnsi="Times New Roman"/>
          <w:sz w:val="24"/>
          <w:szCs w:val="24"/>
          <w:shd w:val="clear" w:color="auto" w:fill="FFFFFF" w:themeFill="background1"/>
        </w:rPr>
        <w:t xml:space="preserve">notificadas “ </w:t>
      </w:r>
      <w:r w:rsidRPr="0011294E">
        <w:rPr>
          <w:rFonts w:ascii="Times New Roman" w:hAnsi="Times New Roman"/>
          <w:i/>
          <w:sz w:val="24"/>
          <w:szCs w:val="24"/>
        </w:rPr>
        <w:t xml:space="preserve">aos Rendeiros ou </w:t>
      </w:r>
      <w:r w:rsidRPr="0011294E">
        <w:rPr>
          <w:rFonts w:ascii="Times New Roman" w:hAnsi="Times New Roman"/>
          <w:i/>
          <w:iCs/>
          <w:sz w:val="24"/>
          <w:szCs w:val="24"/>
        </w:rPr>
        <w:t>offiçiaaes</w:t>
      </w:r>
      <w:r w:rsidRPr="0011294E">
        <w:rPr>
          <w:rFonts w:ascii="Times New Roman" w:hAnsi="Times New Roman"/>
          <w:i/>
          <w:sz w:val="24"/>
          <w:szCs w:val="24"/>
        </w:rPr>
        <w:t> da portagem so pena de as </w:t>
      </w:r>
      <w:r w:rsidRPr="0011294E">
        <w:rPr>
          <w:rFonts w:ascii="Times New Roman" w:hAnsi="Times New Roman"/>
          <w:i/>
          <w:iCs/>
          <w:sz w:val="24"/>
          <w:szCs w:val="24"/>
        </w:rPr>
        <w:t>perderem </w:t>
      </w:r>
      <w:r w:rsidRPr="0011294E">
        <w:rPr>
          <w:rFonts w:ascii="Times New Roman" w:hAnsi="Times New Roman"/>
          <w:i/>
          <w:sz w:val="24"/>
          <w:szCs w:val="24"/>
        </w:rPr>
        <w:t>aquellas que somente tirarem e sonegarem e nam as bestas nem outras cousas. Caso nom houuver notifiquemno ao juiz</w:t>
      </w:r>
      <w:r w:rsidRPr="0011294E">
        <w:rPr>
          <w:rFonts w:ascii="Times New Roman" w:hAnsi="Times New Roman"/>
          <w:sz w:val="24"/>
          <w:szCs w:val="24"/>
        </w:rPr>
        <w:t xml:space="preserve"> (…) </w:t>
      </w:r>
      <w:r w:rsidRPr="0011294E">
        <w:rPr>
          <w:rFonts w:ascii="Times New Roman" w:hAnsi="Times New Roman"/>
          <w:i/>
          <w:sz w:val="24"/>
          <w:szCs w:val="24"/>
        </w:rPr>
        <w:t>quaaes arrecadara ou pagara sem ser mais obrigado a buscar os ofiçiaaes nem Rendeiros nem encorrerem por jsso em alguuma pena”</w:t>
      </w:r>
      <w:r w:rsidRPr="0011294E">
        <w:rPr>
          <w:rStyle w:val="Refdenotaderodap"/>
          <w:rFonts w:ascii="Times New Roman" w:hAnsi="Times New Roman"/>
          <w:i/>
          <w:sz w:val="24"/>
          <w:szCs w:val="24"/>
        </w:rPr>
        <w:footnoteReference w:id="238"/>
      </w:r>
      <w:r w:rsidRPr="0011294E">
        <w:rPr>
          <w:rFonts w:ascii="Times New Roman" w:hAnsi="Times New Roman"/>
          <w:i/>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Já os moradores </w:t>
      </w:r>
      <w:r w:rsidRPr="0011294E">
        <w:rPr>
          <w:rFonts w:ascii="Times New Roman" w:hAnsi="Times New Roman"/>
          <w:sz w:val="24"/>
          <w:szCs w:val="24"/>
          <w:shd w:val="clear" w:color="auto" w:fill="FFFFFF" w:themeFill="background1"/>
        </w:rPr>
        <w:t>“</w:t>
      </w:r>
      <w:r w:rsidRPr="0011294E">
        <w:rPr>
          <w:rFonts w:ascii="Times New Roman" w:hAnsi="Times New Roman"/>
          <w:i/>
          <w:sz w:val="24"/>
          <w:szCs w:val="24"/>
        </w:rPr>
        <w:t>que ouuerem de tirar mercadorias pera fora podelasam comprar liurememte sem nemhuuma obrigaçam nem cautella e seram somente obrigados as amostrar aos ofiçiaaes ou rrendeiros quando as qujserem tirar e nom em outro tempo”</w:t>
      </w:r>
      <w:r w:rsidRPr="0011294E">
        <w:rPr>
          <w:rStyle w:val="Refdenotaderodap"/>
          <w:rFonts w:ascii="Times New Roman" w:hAnsi="Times New Roman"/>
          <w:i/>
          <w:sz w:val="24"/>
          <w:szCs w:val="24"/>
        </w:rPr>
        <w:footnoteReference w:id="239"/>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No que toca às mercadorias que as pessoas traziam de Castela ou as mercadorias que </w:t>
      </w:r>
      <w:r w:rsidRPr="0011294E">
        <w:rPr>
          <w:rFonts w:ascii="Times New Roman" w:hAnsi="Times New Roman"/>
          <w:sz w:val="24"/>
          <w:szCs w:val="24"/>
          <w:shd w:val="clear" w:color="auto" w:fill="FFFFFF" w:themeFill="background1"/>
        </w:rPr>
        <w:t>“</w:t>
      </w:r>
      <w:r w:rsidRPr="0011294E">
        <w:rPr>
          <w:rFonts w:ascii="Times New Roman" w:hAnsi="Times New Roman"/>
          <w:i/>
          <w:sz w:val="24"/>
          <w:szCs w:val="24"/>
        </w:rPr>
        <w:t>meterem de castella per hy posto que as hy nom comprem nem vendam por ser o derradeiro lugar do estremo”</w:t>
      </w:r>
      <w:r w:rsidRPr="0011294E">
        <w:rPr>
          <w:rFonts w:ascii="Times New Roman" w:hAnsi="Times New Roman"/>
          <w:sz w:val="24"/>
          <w:szCs w:val="24"/>
        </w:rPr>
        <w:t xml:space="preserve">. E mais acrescenta que </w:t>
      </w:r>
      <w:r w:rsidRPr="0011294E">
        <w:rPr>
          <w:rFonts w:ascii="Times New Roman" w:hAnsi="Times New Roman"/>
          <w:sz w:val="24"/>
          <w:szCs w:val="24"/>
          <w:shd w:val="clear" w:color="auto" w:fill="FFFFFF" w:themeFill="background1"/>
        </w:rPr>
        <w:t>“</w:t>
      </w:r>
      <w:r w:rsidRPr="0011294E">
        <w:rPr>
          <w:rFonts w:ascii="Times New Roman" w:hAnsi="Times New Roman"/>
          <w:i/>
          <w:sz w:val="24"/>
          <w:szCs w:val="24"/>
        </w:rPr>
        <w:t>emtramdo ou saindo como das taaes cousas no dicto lugar se manda da compra ou venda por este foral a qual portagem de passaiem hi mais nom pagaram das dictas cousas sse ahi dellas pagarem de compra ou venda no dicto lugar”</w:t>
      </w:r>
      <w:r w:rsidRPr="0011294E">
        <w:rPr>
          <w:rStyle w:val="Refdenotaderodap"/>
          <w:rFonts w:ascii="Times New Roman" w:hAnsi="Times New Roman"/>
          <w:i/>
          <w:sz w:val="24"/>
          <w:szCs w:val="24"/>
        </w:rPr>
        <w:footnoteReference w:id="240"/>
      </w:r>
      <w:r w:rsidRPr="0011294E">
        <w:rPr>
          <w:rFonts w:ascii="Times New Roman" w:hAnsi="Times New Roman"/>
          <w:i/>
          <w:sz w:val="24"/>
          <w:szCs w:val="24"/>
        </w:rPr>
        <w:t>.</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No foral é igualmente definido o que se entende pelos privilegiados. Assim, para o outorgante as pessoas privilegiadas eram </w:t>
      </w:r>
      <w:r w:rsidRPr="0011294E">
        <w:rPr>
          <w:rFonts w:ascii="Times New Roman" w:hAnsi="Times New Roman"/>
          <w:sz w:val="24"/>
          <w:szCs w:val="24"/>
          <w:shd w:val="clear" w:color="auto" w:fill="FFFFFF" w:themeFill="background1"/>
        </w:rPr>
        <w:t>“</w:t>
      </w:r>
      <w:r w:rsidRPr="0011294E">
        <w:rPr>
          <w:rFonts w:ascii="Times New Roman" w:hAnsi="Times New Roman"/>
          <w:i/>
          <w:sz w:val="24"/>
          <w:szCs w:val="24"/>
        </w:rPr>
        <w:t xml:space="preserve">as pessoas Eclesiasticas de todallas Igreias e mosteyros asi de homens como de molheres e as proujncias e mosteyros em que há </w:t>
      </w:r>
      <w:r w:rsidRPr="0011294E">
        <w:rPr>
          <w:rFonts w:ascii="Times New Roman" w:hAnsi="Times New Roman"/>
          <w:i/>
          <w:sz w:val="24"/>
          <w:szCs w:val="24"/>
        </w:rPr>
        <w:lastRenderedPageBreak/>
        <w:t xml:space="preserve">frades e freiras Irmitaens que fazem voto de profissam e os clérigos dordeens sacras E os beneficiados en ordeens menores que posto que nom seiam dordeens sacras vivem como clérigos e por taes sam avjdos”. </w:t>
      </w:r>
      <w:r w:rsidRPr="0011294E">
        <w:rPr>
          <w:rFonts w:ascii="Times New Roman" w:hAnsi="Times New Roman"/>
          <w:sz w:val="24"/>
          <w:szCs w:val="24"/>
        </w:rPr>
        <w:t xml:space="preserve">Estas </w:t>
      </w:r>
      <w:r w:rsidRPr="0011294E">
        <w:rPr>
          <w:rFonts w:ascii="Times New Roman" w:hAnsi="Times New Roman"/>
          <w:sz w:val="24"/>
          <w:szCs w:val="24"/>
          <w:shd w:val="clear" w:color="auto" w:fill="FFFFFF" w:themeFill="background1"/>
        </w:rPr>
        <w:t>“</w:t>
      </w:r>
      <w:r w:rsidRPr="0011294E">
        <w:rPr>
          <w:rFonts w:ascii="Times New Roman" w:hAnsi="Times New Roman"/>
          <w:i/>
          <w:sz w:val="24"/>
          <w:szCs w:val="24"/>
        </w:rPr>
        <w:t xml:space="preserve">estavam isentas e priujligiados de todo direito de portagem nem usajem nem custumajem per qualquer nome que a possam chamar asi das cousas que venderem de seus beens e benefiçios como das que comprarem trouxerem ou levarem pera seus usos ou de seus benefiçios e casas e famjliares”. </w:t>
      </w:r>
      <w:r w:rsidRPr="0011294E">
        <w:rPr>
          <w:rFonts w:ascii="Times New Roman" w:hAnsi="Times New Roman"/>
          <w:sz w:val="24"/>
          <w:szCs w:val="24"/>
        </w:rPr>
        <w:t xml:space="preserve">Quer por mar como por terra. Para além destes grupos sociais, também eram considerados privilegiados alguns lugares como </w:t>
      </w:r>
      <w:r w:rsidRPr="0011294E">
        <w:rPr>
          <w:rFonts w:ascii="Times New Roman" w:hAnsi="Times New Roman"/>
          <w:sz w:val="24"/>
          <w:szCs w:val="24"/>
          <w:shd w:val="clear" w:color="auto" w:fill="FFFFFF" w:themeFill="background1"/>
        </w:rPr>
        <w:t>“</w:t>
      </w:r>
      <w:r w:rsidRPr="0011294E">
        <w:rPr>
          <w:rFonts w:ascii="Times New Roman" w:hAnsi="Times New Roman"/>
          <w:i/>
          <w:sz w:val="24"/>
          <w:szCs w:val="24"/>
        </w:rPr>
        <w:t xml:space="preserve">Monsaraz. Covilhaam. Pinhel. Castelmendo. Sortelha. Aguarda. Euora. Valemça. Monçam. Prado. Hodemjra. Viana de camjnha. Crastoleboreiro. Mogadouro. Bragança”. </w:t>
      </w:r>
      <w:r w:rsidRPr="0011294E">
        <w:rPr>
          <w:rFonts w:ascii="Times New Roman" w:hAnsi="Times New Roman"/>
          <w:sz w:val="24"/>
          <w:szCs w:val="24"/>
        </w:rPr>
        <w:t xml:space="preserve">Monforte de Rio Livre foi considerado, também, um privilegiado, pelo seu foral de 1273, pelo pagamento de </w:t>
      </w:r>
      <w:r w:rsidRPr="0011294E">
        <w:rPr>
          <w:rFonts w:ascii="Times New Roman" w:hAnsi="Times New Roman"/>
          <w:i/>
          <w:sz w:val="24"/>
          <w:szCs w:val="24"/>
        </w:rPr>
        <w:t>vinte e noue mjl cemto e sesemta reaaes”</w:t>
      </w:r>
      <w:r w:rsidRPr="0011294E">
        <w:rPr>
          <w:rStyle w:val="Refdenotaderodap"/>
          <w:rFonts w:ascii="Times New Roman" w:hAnsi="Times New Roman"/>
          <w:i/>
          <w:sz w:val="24"/>
          <w:szCs w:val="24"/>
        </w:rPr>
        <w:footnoteReference w:id="241"/>
      </w:r>
      <w:r w:rsidRPr="0011294E">
        <w:rPr>
          <w:rFonts w:ascii="Times New Roman" w:hAnsi="Times New Roman"/>
          <w:i/>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No capitulo </w:t>
      </w:r>
      <w:r w:rsidRPr="0011294E">
        <w:rPr>
          <w:rFonts w:ascii="Times New Roman" w:hAnsi="Times New Roman"/>
          <w:i/>
          <w:sz w:val="24"/>
          <w:szCs w:val="24"/>
        </w:rPr>
        <w:t>Vizinhança</w:t>
      </w:r>
      <w:r w:rsidRPr="0011294E">
        <w:rPr>
          <w:rFonts w:ascii="Times New Roman" w:hAnsi="Times New Roman"/>
          <w:sz w:val="24"/>
          <w:szCs w:val="24"/>
        </w:rPr>
        <w:t xml:space="preserve">, é fornecida a definição de vizinho, nomeadamente </w:t>
      </w:r>
      <w:r w:rsidRPr="0011294E">
        <w:rPr>
          <w:rFonts w:ascii="Times New Roman" w:hAnsi="Times New Roman"/>
          <w:sz w:val="24"/>
          <w:szCs w:val="24"/>
          <w:shd w:val="clear" w:color="auto" w:fill="FFFFFF" w:themeFill="background1"/>
        </w:rPr>
        <w:t>“</w:t>
      </w:r>
      <w:r w:rsidRPr="0011294E">
        <w:rPr>
          <w:rFonts w:ascii="Times New Roman" w:hAnsi="Times New Roman"/>
          <w:i/>
          <w:sz w:val="24"/>
          <w:szCs w:val="24"/>
        </w:rPr>
        <w:t xml:space="preserve">emtenda dalgum lugar o que for nelle natural ou tever nelle alguua dinjdade ou oficio nosso ou do senhorio da terra per que rrazoadamemte viua e more no tal lugar. ou se no tal lugar alguum for feito liure da servjdam em que era posto” </w:t>
      </w:r>
      <w:r w:rsidRPr="0011294E">
        <w:rPr>
          <w:rFonts w:ascii="Times New Roman" w:hAnsi="Times New Roman"/>
          <w:sz w:val="24"/>
          <w:szCs w:val="24"/>
        </w:rPr>
        <w:t>Ou ainda se “</w:t>
      </w:r>
      <w:r w:rsidRPr="0011294E">
        <w:rPr>
          <w:rFonts w:ascii="Times New Roman" w:hAnsi="Times New Roman"/>
          <w:i/>
          <w:sz w:val="24"/>
          <w:szCs w:val="24"/>
        </w:rPr>
        <w:t xml:space="preserve">teer hy seu domjçilio ou a mayor parte de seus beens com preposito de alli morar ( …) </w:t>
      </w:r>
      <w:r w:rsidRPr="0011294E">
        <w:rPr>
          <w:rFonts w:ascii="Times New Roman" w:hAnsi="Times New Roman"/>
          <w:sz w:val="24"/>
          <w:szCs w:val="24"/>
        </w:rPr>
        <w:t xml:space="preserve">. </w:t>
      </w:r>
      <w:r w:rsidRPr="0011294E">
        <w:rPr>
          <w:rFonts w:ascii="Times New Roman" w:hAnsi="Times New Roman"/>
          <w:i/>
          <w:sz w:val="24"/>
          <w:szCs w:val="24"/>
        </w:rPr>
        <w:t xml:space="preserve">E o dito domjçilio se emtendera omde cada huum casar emquanto hi morar E mudandosse a outra parte com sua molher e fazemda com tençam de se para la mudar tornandosse hy depois nom sera avjdo por vizinho salluo moramdo hy quatro annoos comtinuadamemte com sua molher e fazenda e emtam sera aujdo por vizinho”. </w:t>
      </w:r>
      <w:r w:rsidRPr="0011294E">
        <w:rPr>
          <w:rFonts w:ascii="Times New Roman" w:hAnsi="Times New Roman"/>
          <w:sz w:val="24"/>
          <w:szCs w:val="24"/>
        </w:rPr>
        <w:t xml:space="preserve">De facto, também, os escravos que aí ficassem livres ou os que aí fossem perfilhados cassassem e morassem com suas famílias pelo menos quatro anos.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 Assim, ao analisar o foral de D. Manuel podemos retirar algumas conclusões sobre as relações comerciais de fronteira. Estas eram de modo geral bastante animadas, quer pelo comércio interno quer externo. De facto, todo o comércio raiano assentava, num vivo intercâmbio entre transmontano e galegos. A feira instituída no foral de 1273, por Afonso III, era animada pelas trocas entre homens de ambos os lados</w:t>
      </w:r>
      <w:r w:rsidRPr="0011294E">
        <w:rPr>
          <w:rStyle w:val="Refdenotaderodap"/>
          <w:rFonts w:ascii="Times New Roman" w:hAnsi="Times New Roman"/>
          <w:sz w:val="24"/>
          <w:szCs w:val="24"/>
        </w:rPr>
        <w:footnoteReference w:id="242"/>
      </w:r>
      <w:r w:rsidRPr="0011294E">
        <w:rPr>
          <w:rFonts w:ascii="Times New Roman" w:hAnsi="Times New Roman"/>
          <w:sz w:val="24"/>
          <w:szCs w:val="24"/>
        </w:rPr>
        <w:t xml:space="preserve">. Paralelamente, podemos apontar um outro aspeto que nos merece uma atenção especial: </w:t>
      </w:r>
      <w:r w:rsidRPr="0011294E">
        <w:rPr>
          <w:rFonts w:ascii="Times New Roman" w:hAnsi="Times New Roman"/>
          <w:sz w:val="24"/>
          <w:szCs w:val="24"/>
        </w:rPr>
        <w:lastRenderedPageBreak/>
        <w:t xml:space="preserve">o contrabando. As </w:t>
      </w:r>
      <w:r w:rsidRPr="0011294E">
        <w:rPr>
          <w:rFonts w:ascii="Times New Roman" w:hAnsi="Times New Roman"/>
          <w:sz w:val="24"/>
          <w:szCs w:val="24"/>
          <w:shd w:val="clear" w:color="auto" w:fill="FFFFFF" w:themeFill="background1"/>
        </w:rPr>
        <w:t>“</w:t>
      </w:r>
      <w:r w:rsidRPr="0011294E">
        <w:rPr>
          <w:rFonts w:ascii="Times New Roman" w:hAnsi="Times New Roman"/>
          <w:i/>
          <w:iCs/>
          <w:sz w:val="24"/>
          <w:szCs w:val="24"/>
        </w:rPr>
        <w:t>cousas defesas</w:t>
      </w:r>
      <w:r w:rsidRPr="0011294E">
        <w:rPr>
          <w:rFonts w:ascii="Times New Roman" w:hAnsi="Times New Roman"/>
          <w:i/>
          <w:sz w:val="24"/>
          <w:szCs w:val="24"/>
        </w:rPr>
        <w:t>”</w:t>
      </w:r>
      <w:r w:rsidRPr="0011294E">
        <w:rPr>
          <w:rFonts w:ascii="Times New Roman" w:hAnsi="Times New Roman"/>
          <w:sz w:val="24"/>
          <w:szCs w:val="24"/>
        </w:rPr>
        <w:t>eram bens que não podiam sair do reino em circunstância alguma, pagando ou não os direitos de fronteira, pelo que o contrabando era algo bastante frequente nas zonas fronteiriças</w:t>
      </w:r>
      <w:r w:rsidRPr="0011294E">
        <w:rPr>
          <w:rStyle w:val="Refdenotaderodap"/>
          <w:rFonts w:ascii="Times New Roman" w:hAnsi="Times New Roman"/>
          <w:sz w:val="24"/>
          <w:szCs w:val="24"/>
        </w:rPr>
        <w:footnoteReference w:id="243"/>
      </w:r>
      <w:r w:rsidRPr="0011294E">
        <w:rPr>
          <w:rFonts w:ascii="Times New Roman" w:hAnsi="Times New Roman"/>
          <w:sz w:val="24"/>
          <w:szCs w:val="24"/>
        </w:rPr>
        <w:t>. Em Portugal, a legislação medieval que se conhece sobre esta prática era bastante leve comprovada por uma carta régia de 1254 ou 1255</w:t>
      </w:r>
      <w:r w:rsidRPr="0011294E">
        <w:rPr>
          <w:rStyle w:val="Refdenotaderodap"/>
          <w:rFonts w:ascii="Times New Roman" w:hAnsi="Times New Roman"/>
          <w:sz w:val="24"/>
          <w:szCs w:val="24"/>
        </w:rPr>
        <w:footnoteReference w:id="244"/>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iCs/>
          <w:sz w:val="24"/>
          <w:szCs w:val="24"/>
        </w:rPr>
      </w:pPr>
      <w:r w:rsidRPr="0011294E">
        <w:rPr>
          <w:rFonts w:ascii="Times New Roman" w:hAnsi="Times New Roman"/>
          <w:sz w:val="24"/>
          <w:szCs w:val="24"/>
        </w:rPr>
        <w:t xml:space="preserve">Ao mesmo tempo a fronteira de Trás-os-Montes parece que estava menos vigiada, tanto pelos oficiais portugueses como pelos castelhanos, que controlavam o tráfico comercial e limitavam as atividades ilegais. Neste sentido, a fronteira galaico-portuguesa apresentava uma diferenciação do resto da raia portuguesa. Desde logo, as relações de amizade e proximidade dos povos galegos, a convivência entre os habitantes dos dois reinos vizinhos eram mais intensas pelo que facilitava o contrabando de produtos vedados. De facto, como afirma Maria de Helena de Cruz Coelho </w:t>
      </w:r>
      <w:r w:rsidRPr="0011294E">
        <w:rPr>
          <w:rFonts w:ascii="Times New Roman" w:hAnsi="Times New Roman"/>
          <w:iCs/>
          <w:sz w:val="24"/>
          <w:szCs w:val="24"/>
        </w:rPr>
        <w:t>“ no seu conjunto esta fronteira apresenta-se-nos altamente permeável à circulação de homens e bens. Ela é sem dúvida, uma barreira fiscal, um marco definidor de soberanias, mas no quotidiano ela é sobretudo um espaço de conveniência pela afinidade ponderação será de aceitar esse viver como irmão, conversando, comercializando e matrimoniando-se entre si”</w:t>
      </w:r>
      <w:r w:rsidRPr="0011294E">
        <w:rPr>
          <w:rFonts w:ascii="Times New Roman" w:hAnsi="Times New Roman"/>
          <w:iCs/>
          <w:sz w:val="24"/>
          <w:szCs w:val="24"/>
          <w:vertAlign w:val="superscript"/>
        </w:rPr>
        <w:footnoteReference w:id="245"/>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Na realidade, existiam situações que explicam a estabilização das relações estreitas, onde o comércio e o contrabando desempenhavam um papel essencial. Especialmente, o comércio transfronteiriço era fundamental para as populações da fronteira luso-galega.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Para além deste relacionamento de reconhecida base económica e comercial, havia situações mais profundas que a atuação da fiscalização dos alcaides das sacas e outros oficiais dificultava, de forma incompreensível, como os moradores da vila transmontana de Monforte de Rio Livre manifestaram a D. Afonso V, quando, em 1467, se encontrava em Évora, dizendo-lhe: </w:t>
      </w:r>
      <w:r w:rsidRPr="0011294E">
        <w:rPr>
          <w:rFonts w:ascii="Times New Roman" w:hAnsi="Times New Roman"/>
          <w:i/>
          <w:iCs/>
          <w:sz w:val="24"/>
          <w:szCs w:val="24"/>
        </w:rPr>
        <w:t xml:space="preserve">“casavam seus filhos e filhas com outros dos moradores dos dietas lugares de Galiza e davam boys e vacas e outros guados e cousas em casamento aos dietas seus filhos e assy recebiam das outras partes e asy o tinham </w:t>
      </w:r>
      <w:r w:rsidRPr="0011294E">
        <w:rPr>
          <w:rFonts w:ascii="Times New Roman" w:hAnsi="Times New Roman"/>
          <w:i/>
          <w:iCs/>
          <w:sz w:val="24"/>
          <w:szCs w:val="24"/>
        </w:rPr>
        <w:lastRenderedPageBreak/>
        <w:t>de custume de o fazerem sempre e bem assi trocavam boys e vacas velhas por outros novos com os dietas vezinhos de Galiza e os de Galiza com elles e que ora os nossos (do rei) oficiais que tem carrego das sacas em a dieta comarca os demanda vam e traziam em demanda por os dietas boys e vacas e guados que assi trocavam e cousas que assi davam em casamento aos dietas seus filhos e filhas no que lhes era feito agravo”</w:t>
      </w:r>
      <w:r w:rsidRPr="0011294E">
        <w:rPr>
          <w:rFonts w:ascii="Times New Roman" w:hAnsi="Times New Roman"/>
          <w:i/>
          <w:iCs/>
          <w:sz w:val="24"/>
          <w:szCs w:val="24"/>
          <w:vertAlign w:val="superscript"/>
        </w:rPr>
        <w:footnoteReference w:id="246"/>
      </w:r>
      <w:r w:rsidRPr="0011294E">
        <w:rPr>
          <w:rFonts w:ascii="Times New Roman" w:hAnsi="Times New Roman"/>
          <w:i/>
          <w:iCs/>
          <w:sz w:val="24"/>
          <w:szCs w:val="24"/>
        </w:rPr>
        <w:t xml:space="preserve">. </w:t>
      </w:r>
      <w:r w:rsidRPr="0011294E">
        <w:rPr>
          <w:rFonts w:ascii="Times New Roman" w:hAnsi="Times New Roman"/>
          <w:sz w:val="24"/>
          <w:szCs w:val="24"/>
        </w:rPr>
        <w:t xml:space="preserve">Repare-se como, mais uma vez, são invocados os laços familiares como elementos determinantes neste tipo de relações sociais, que, naturalmente, a partir deles, tenderiam a ampliar-se.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Observamos a partir do século XV que o alcaide do concelho de Monforte de Rio Livre recebe bens confiscados a um </w:t>
      </w:r>
      <w:r w:rsidRPr="0011294E">
        <w:rPr>
          <w:rFonts w:ascii="Times New Roman" w:hAnsi="Times New Roman"/>
          <w:i/>
          <w:iCs/>
          <w:sz w:val="24"/>
          <w:szCs w:val="24"/>
        </w:rPr>
        <w:t xml:space="preserve">"passador de coisas defesas". Fernand 'Álvares </w:t>
      </w:r>
      <w:r w:rsidRPr="0011294E">
        <w:rPr>
          <w:rFonts w:ascii="Times New Roman" w:hAnsi="Times New Roman"/>
          <w:sz w:val="24"/>
          <w:szCs w:val="24"/>
        </w:rPr>
        <w:t>recebe em 20 de Julho de 1464 os bens confiscados a um homem que foi viver para Castela</w:t>
      </w:r>
      <w:r w:rsidRPr="0011294E">
        <w:rPr>
          <w:rFonts w:ascii="Times New Roman" w:hAnsi="Times New Roman"/>
          <w:sz w:val="24"/>
          <w:szCs w:val="24"/>
          <w:vertAlign w:val="superscript"/>
        </w:rPr>
        <w:footnoteReference w:id="247"/>
      </w:r>
      <w:r w:rsidRPr="0011294E">
        <w:rPr>
          <w:rFonts w:ascii="Times New Roman" w:hAnsi="Times New Roman"/>
          <w:sz w:val="24"/>
          <w:szCs w:val="24"/>
        </w:rPr>
        <w:t xml:space="preserve">. Em 5 de Dezembro de 1471, são-lhe doados os bens confiscados a um </w:t>
      </w:r>
      <w:r w:rsidRPr="0011294E">
        <w:rPr>
          <w:rFonts w:ascii="Times New Roman" w:hAnsi="Times New Roman"/>
          <w:i/>
          <w:iCs/>
          <w:sz w:val="24"/>
          <w:szCs w:val="24"/>
        </w:rPr>
        <w:t>"passador de coisas defesas"</w:t>
      </w:r>
      <w:r w:rsidRPr="0011294E">
        <w:rPr>
          <w:rFonts w:ascii="Times New Roman" w:hAnsi="Times New Roman"/>
          <w:i/>
          <w:iCs/>
          <w:sz w:val="24"/>
          <w:szCs w:val="24"/>
          <w:vertAlign w:val="superscript"/>
        </w:rPr>
        <w:footnoteReference w:id="248"/>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Apesar de não possuirmos qualquer documento sobre a prática do contrabando em Monforte de Rio Livre, não quer dizer que esta prática não fosse realizada, uma vez que era prática usual o contrabando nas zonas fronteiriças do Portugal medievo. Se observarmos a sociedade medieval, chegamos à conclusão que existe um conjunto de proibições e entraves fiscais a sobrecarregar o comércio internoe por causa destes, as várias proibições, as diferenças de preços e os desequilíbrios entre procura e oferta estimularam um contrabando inevitável</w:t>
      </w:r>
      <w:r w:rsidRPr="0011294E">
        <w:rPr>
          <w:rStyle w:val="Refdenotaderodap"/>
          <w:rFonts w:ascii="Times New Roman" w:hAnsi="Times New Roman"/>
          <w:sz w:val="24"/>
          <w:szCs w:val="24"/>
        </w:rPr>
        <w:footnoteReference w:id="249"/>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Ao analisarmos o foral novo de D. Manuel vemos uma preocupação com os produtos transacionados com o vizinho Castela, designadamente as mercadorias que vinham de Castela tinham de ser notificadas aos Rendeiros ou aos oficiais da portagem. Caso estes funcionários não fossem notificados da entrada das mercadorias, era aplicada uma multa. Já os moradores do concelho de Monforte estavam autorizados a comprar mercadorias e produtos em Castela, desde que os mostrassem aos oficiais acima referidos. Com efeito, uma outra medida importante era as mercadorias de Monforte de Rio Livre não poderem ser vendidas em Castela, pois podiam fazer falta ao concelho. </w:t>
      </w:r>
      <w:r w:rsidRPr="0011294E">
        <w:rPr>
          <w:rFonts w:ascii="Times New Roman" w:hAnsi="Times New Roman"/>
          <w:sz w:val="24"/>
          <w:szCs w:val="24"/>
        </w:rPr>
        <w:lastRenderedPageBreak/>
        <w:t>Para além disso, os produtos que vinham da Galiza não deviam pagar portagem, pelo que era uma medida que visava promover a atração de produtos para a zona de Monforte de Rio Livre</w:t>
      </w:r>
      <w:r w:rsidRPr="0011294E">
        <w:rPr>
          <w:rStyle w:val="Refdenotaderodap"/>
          <w:rFonts w:ascii="Times New Roman" w:hAnsi="Times New Roman"/>
          <w:sz w:val="24"/>
          <w:szCs w:val="24"/>
        </w:rPr>
        <w:footnoteReference w:id="250"/>
      </w:r>
      <w:r w:rsidRPr="0011294E">
        <w:rPr>
          <w:rFonts w:ascii="Times New Roman" w:hAnsi="Times New Roman"/>
          <w:sz w:val="24"/>
          <w:szCs w:val="24"/>
        </w:rPr>
        <w:t xml:space="preserve">. Com estas medidas introduzidas no foral novo de D. Manuel em 1510 a Monforte de Rio Livre, assistimos a uma tentativa de controlar as transações comerciais na raia transmontana. No entanto, o contrabando é mais que provável. Como sublinhou Luís Miguel Duarte </w:t>
      </w:r>
      <w:r w:rsidRPr="0011294E">
        <w:rPr>
          <w:rFonts w:ascii="Times New Roman" w:hAnsi="Times New Roman"/>
          <w:sz w:val="24"/>
          <w:szCs w:val="24"/>
          <w:shd w:val="clear" w:color="auto" w:fill="FFFFFF" w:themeFill="background1"/>
        </w:rPr>
        <w:t>“</w:t>
      </w:r>
      <w:r w:rsidRPr="0011294E">
        <w:rPr>
          <w:rFonts w:ascii="Times New Roman" w:hAnsi="Times New Roman"/>
          <w:sz w:val="24"/>
          <w:szCs w:val="24"/>
        </w:rPr>
        <w:t>quem tem mais algo para vender (gado, algumas moedas mais valiosas, um embarcação, armas, uns moios de trigo) procurará sempre fazê-lo às pessoas e nos locais onde obtiver mais ganhos”</w:t>
      </w:r>
      <w:r w:rsidRPr="0011294E">
        <w:rPr>
          <w:rStyle w:val="Refdenotaderodap"/>
          <w:rFonts w:ascii="Times New Roman" w:hAnsi="Times New Roman"/>
          <w:sz w:val="24"/>
          <w:szCs w:val="24"/>
        </w:rPr>
        <w:footnoteReference w:id="251"/>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Toda esta reforma manuelina foi um importante processo de atualização dos forais antigos, de direitos e obrigações dos concelhos, facultando o desenvolvimento do comércio e das suas economias, permitindo neste sentido uma modernização da sociedade em geral. </w:t>
      </w:r>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pStyle w:val="Ttulo2"/>
        <w:rPr>
          <w:rFonts w:ascii="Times New Roman" w:hAnsi="Times New Roman" w:cs="Times New Roman"/>
          <w:sz w:val="24"/>
          <w:szCs w:val="24"/>
        </w:rPr>
      </w:pPr>
      <w:bookmarkStart w:id="22" w:name="_Toc430358533"/>
      <w:bookmarkStart w:id="23" w:name="_Toc441612276"/>
      <w:r w:rsidRPr="0011294E">
        <w:rPr>
          <w:rFonts w:ascii="Times New Roman" w:hAnsi="Times New Roman" w:cs="Times New Roman"/>
          <w:sz w:val="24"/>
          <w:szCs w:val="24"/>
        </w:rPr>
        <w:t>3.5. Um ocaso do Poder Concelhio: Do século XVI à extinção do Concelho</w:t>
      </w:r>
      <w:bookmarkEnd w:id="22"/>
      <w:bookmarkEnd w:id="23"/>
    </w:p>
    <w:p w:rsidR="0011294E" w:rsidRPr="0011294E" w:rsidRDefault="0011294E" w:rsidP="0011294E">
      <w:pPr>
        <w:pStyle w:val="Ttulo2"/>
        <w:rPr>
          <w:rFonts w:ascii="Times New Roman" w:hAnsi="Times New Roman" w:cs="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No recenseamento ou como ficou conhecido no Numeramento de 1527-1532, ordenado pelo Rei D. João III e iniciado em 1527, observamos a fraca densidade populacional no concelho de Monforte de Rio Livre, que contava apenas com 862 moradores dos quais apenas 30 moradores moravam dentro da muralha. Nas restantes aldeias pertencentes ao concelho a situação não era melhor: Oucidres contava com 21 moradores, Vila Nova com 10 moradores, Avelelas com 14 moradores, Sobreira com 9, Alvarelhos com 28 moradores, Lama do Ouriço com 12 moradores, Tinhela com 22 moradores, Monte de Arcas com 6 moradores, Santa Valha com 38 moradores, Fornos com 27 moradores, Barreiros com 11 moradores, Sonim com 24 moradores, Bouça com 8 moradores, Aguieiras com 21 moradores, Bouçais com 15 moradores, Picões com 8 moradores, Vilartão com 20 moradores, Tortomil com 4 moradores, Fiães com 41 moradores, Nozelos com 28 moradores, Lebução com 45 moradores, Ferreiros com 4 </w:t>
      </w:r>
      <w:r w:rsidRPr="0011294E">
        <w:rPr>
          <w:rFonts w:ascii="Times New Roman" w:hAnsi="Times New Roman"/>
          <w:sz w:val="24"/>
          <w:szCs w:val="24"/>
        </w:rPr>
        <w:lastRenderedPageBreak/>
        <w:t>moradores, Tronco com 54 moradores, Mosteiró com 15 moradores, Olide com 3 moradores, Paradela com 5 moradores, Santa Cruz com 19 moradores, Sanfins com 23 moradores, Cimo da Vila com 29 moradores, Roriz com 24 moradores, Oriães com 3 moradores, Aveleda com 7 moradores, São Vicente com 22 moradores, Oriomil com 20 moradores, Travancas com 25 moradores, Mairos com 25 moradores, Paradela com 26 moradores, Curral de Vacas com 8 moradores, São Cornélio com 11 moradores, Dadim com 13 moradores, Casas com 26 moradores, Águas Frias com 13 moradores, Bobadela com 25 moradores e, finalmente, Vilar do Iseu apresentava 7 moradores</w:t>
      </w:r>
      <w:r w:rsidRPr="0011294E">
        <w:rPr>
          <w:rStyle w:val="Refdenotaderodap"/>
          <w:rFonts w:ascii="Times New Roman" w:hAnsi="Times New Roman"/>
          <w:sz w:val="24"/>
          <w:szCs w:val="24"/>
        </w:rPr>
        <w:footnoteReference w:id="252"/>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Se compararmos com concelhos adjacentes, como o de Chaves, que contava com 3389 habitantes, e Vinhais, que contava com 1161, chegamos à conclusão que a baixa densidade populacional no concelho de Rio Livre se mantinha. No entanto, a sua importância era ainda significativa no século XVI, na medida em que contava com todos os foros e privilégios reais comprovados no último foral de D. Manuel em 1510 e pelas recentes ações de melhoramento da fortificação no reinado anterior, de D. João II</w:t>
      </w:r>
      <w:r w:rsidRPr="0011294E">
        <w:rPr>
          <w:rStyle w:val="Refdenotaderodap"/>
          <w:rFonts w:ascii="Times New Roman" w:hAnsi="Times New Roman"/>
          <w:sz w:val="24"/>
          <w:szCs w:val="24"/>
        </w:rPr>
        <w:footnoteReference w:id="253"/>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Para além da incumbência da realização do numeramento de 1527-1532, D. João III mandou igualmente a realização da delimitação da fronteira entre Portugal e Castela.</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Estas demarcações apresentam-se como uma medida fundamental para um melhor conhecimento das fronteiras por parte do poder central. Através destes inquéritos podemos observar com exatidão e a par e passo as terras raianas, os seus modos de vida, os seus conflitos, a atividade económica, a localização dos marcos e divisores, o estado do património, fauna e flora, os itinerários que faziam a ligação entre os povoados e outros aspetos mais específicos.</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No inquérito referente a Monforte de Rio Livre, a 6 de Julho de 1538, estando presentes os juízes ordinários do concelho, Pero Vaz, Vasco Eanes e João Vaz, reunidos com o emissário da coroa na pousada de João Fernandes, começaram o inquérito sobre a demarcação com a Castela, registando que, começando pelo lugar </w:t>
      </w:r>
      <w:r w:rsidRPr="0011294E">
        <w:rPr>
          <w:rFonts w:ascii="Times New Roman" w:hAnsi="Times New Roman"/>
          <w:i/>
          <w:sz w:val="24"/>
          <w:szCs w:val="24"/>
        </w:rPr>
        <w:t xml:space="preserve">Antas de Seixede que he lugar onde se acabo o termo da terra </w:t>
      </w:r>
      <w:r w:rsidRPr="0011294E">
        <w:rPr>
          <w:rFonts w:ascii="Times New Roman" w:hAnsi="Times New Roman"/>
          <w:sz w:val="24"/>
          <w:szCs w:val="24"/>
        </w:rPr>
        <w:t xml:space="preserve">e daí </w:t>
      </w:r>
      <w:r w:rsidRPr="0011294E">
        <w:rPr>
          <w:rFonts w:ascii="Times New Roman" w:hAnsi="Times New Roman"/>
          <w:i/>
          <w:sz w:val="24"/>
          <w:szCs w:val="24"/>
        </w:rPr>
        <w:t>partyndo esta villa com Galyza e vem ter dahy a hum penedo que se chama o Penedo Negro.</w:t>
      </w:r>
      <w:r w:rsidRPr="0011294E">
        <w:rPr>
          <w:rFonts w:ascii="Times New Roman" w:hAnsi="Times New Roman"/>
          <w:sz w:val="24"/>
          <w:szCs w:val="24"/>
        </w:rPr>
        <w:t xml:space="preserve"> Depois de Penedo Negro </w:t>
      </w:r>
      <w:r w:rsidRPr="0011294E">
        <w:rPr>
          <w:rFonts w:ascii="Times New Roman" w:hAnsi="Times New Roman"/>
          <w:i/>
          <w:sz w:val="24"/>
          <w:szCs w:val="24"/>
        </w:rPr>
        <w:t xml:space="preserve">vay ter as </w:t>
      </w:r>
      <w:r w:rsidRPr="0011294E">
        <w:rPr>
          <w:rFonts w:ascii="Times New Roman" w:hAnsi="Times New Roman"/>
          <w:i/>
          <w:sz w:val="24"/>
          <w:szCs w:val="24"/>
        </w:rPr>
        <w:lastRenderedPageBreak/>
        <w:t xml:space="preserve">Pedras de Gallo e day vay ter ao morouço e cabeço de Brulhos e dahy ao Lombeiro de Lampaços e dahy ao lombo de Valle de Gargalho acyma. </w:t>
      </w:r>
      <w:r w:rsidRPr="0011294E">
        <w:rPr>
          <w:rFonts w:ascii="Times New Roman" w:hAnsi="Times New Roman"/>
          <w:sz w:val="24"/>
          <w:szCs w:val="24"/>
        </w:rPr>
        <w:t xml:space="preserve">Confina estes termos com as aldeias galegas de alldea de Soutochaom e </w:t>
      </w:r>
      <w:r w:rsidRPr="0011294E">
        <w:rPr>
          <w:rFonts w:ascii="Times New Roman" w:hAnsi="Times New Roman"/>
          <w:i/>
          <w:sz w:val="24"/>
          <w:szCs w:val="24"/>
        </w:rPr>
        <w:t>duas legoas e mea e dahy da raia</w:t>
      </w:r>
      <w:r w:rsidRPr="0011294E">
        <w:rPr>
          <w:rFonts w:ascii="Times New Roman" w:hAnsi="Times New Roman"/>
          <w:sz w:val="24"/>
          <w:szCs w:val="24"/>
        </w:rPr>
        <w:t xml:space="preserve"> têm a aldeia de </w:t>
      </w:r>
      <w:r w:rsidRPr="0011294E">
        <w:rPr>
          <w:rFonts w:ascii="Times New Roman" w:hAnsi="Times New Roman"/>
          <w:i/>
          <w:sz w:val="24"/>
          <w:szCs w:val="24"/>
        </w:rPr>
        <w:t xml:space="preserve">Avelleda e dahy per adyante utra alldea de Saom Vicente que vem partyind de Galyza. </w:t>
      </w:r>
      <w:r w:rsidRPr="0011294E">
        <w:rPr>
          <w:rFonts w:ascii="Times New Roman" w:hAnsi="Times New Roman"/>
          <w:sz w:val="24"/>
          <w:szCs w:val="24"/>
        </w:rPr>
        <w:t xml:space="preserve">Segue-se a aldeia de </w:t>
      </w:r>
      <w:r w:rsidRPr="0011294E">
        <w:rPr>
          <w:rFonts w:ascii="Times New Roman" w:hAnsi="Times New Roman"/>
          <w:i/>
          <w:sz w:val="24"/>
          <w:szCs w:val="24"/>
        </w:rPr>
        <w:t xml:space="preserve">Villar de Ysea que estará dous tyros de besta pouco mais da raia e (…) vay corendo a dar ao Moinho de Concello. </w:t>
      </w:r>
      <w:r w:rsidRPr="0011294E">
        <w:rPr>
          <w:rFonts w:ascii="Times New Roman" w:hAnsi="Times New Roman"/>
          <w:sz w:val="24"/>
          <w:szCs w:val="24"/>
        </w:rPr>
        <w:t xml:space="preserve">Corre o Ribeiro de </w:t>
      </w:r>
      <w:r w:rsidRPr="0011294E">
        <w:rPr>
          <w:rFonts w:ascii="Times New Roman" w:hAnsi="Times New Roman"/>
          <w:i/>
          <w:sz w:val="24"/>
          <w:szCs w:val="24"/>
        </w:rPr>
        <w:t xml:space="preserve">Teoroso </w:t>
      </w:r>
      <w:r w:rsidRPr="0011294E">
        <w:rPr>
          <w:rFonts w:ascii="Times New Roman" w:hAnsi="Times New Roman"/>
          <w:sz w:val="24"/>
          <w:szCs w:val="24"/>
        </w:rPr>
        <w:t xml:space="preserve">e daí vem </w:t>
      </w:r>
      <w:r w:rsidRPr="0011294E">
        <w:rPr>
          <w:rFonts w:ascii="Times New Roman" w:hAnsi="Times New Roman"/>
          <w:i/>
          <w:sz w:val="24"/>
          <w:szCs w:val="24"/>
        </w:rPr>
        <w:t xml:space="preserve">dar aos valles de Rematens. </w:t>
      </w:r>
      <w:r w:rsidRPr="0011294E">
        <w:rPr>
          <w:rFonts w:ascii="Times New Roman" w:hAnsi="Times New Roman"/>
          <w:sz w:val="24"/>
          <w:szCs w:val="24"/>
        </w:rPr>
        <w:t xml:space="preserve">E daí chega-se </w:t>
      </w:r>
      <w:r w:rsidRPr="0011294E">
        <w:rPr>
          <w:rFonts w:ascii="Times New Roman" w:hAnsi="Times New Roman"/>
          <w:i/>
          <w:sz w:val="24"/>
          <w:szCs w:val="24"/>
        </w:rPr>
        <w:t xml:space="preserve">dahy ao Rygueyro de Mouram e dahy agoa arryba ao Porto da Rybeiro de Mouram </w:t>
      </w:r>
      <w:r w:rsidRPr="0011294E">
        <w:rPr>
          <w:rFonts w:ascii="Times New Roman" w:hAnsi="Times New Roman"/>
          <w:sz w:val="24"/>
          <w:szCs w:val="24"/>
        </w:rPr>
        <w:t xml:space="preserve">e à aldeia de </w:t>
      </w:r>
      <w:r w:rsidRPr="0011294E">
        <w:rPr>
          <w:rFonts w:ascii="Times New Roman" w:hAnsi="Times New Roman"/>
          <w:i/>
          <w:sz w:val="24"/>
          <w:szCs w:val="24"/>
        </w:rPr>
        <w:t xml:space="preserve">Arçadegs que he de Galiza. </w:t>
      </w:r>
      <w:r w:rsidRPr="0011294E">
        <w:rPr>
          <w:rFonts w:ascii="Times New Roman" w:hAnsi="Times New Roman"/>
          <w:sz w:val="24"/>
          <w:szCs w:val="24"/>
        </w:rPr>
        <w:t xml:space="preserve">Depois segue para </w:t>
      </w:r>
      <w:r w:rsidRPr="0011294E">
        <w:rPr>
          <w:rFonts w:ascii="Times New Roman" w:hAnsi="Times New Roman"/>
          <w:i/>
          <w:sz w:val="24"/>
          <w:szCs w:val="24"/>
        </w:rPr>
        <w:t xml:space="preserve">Portella que esta entre alldea de Mayres do termo desta villa e alldea de Vylarinho de Cota </w:t>
      </w:r>
      <w:r w:rsidRPr="0011294E">
        <w:rPr>
          <w:rFonts w:ascii="Times New Roman" w:hAnsi="Times New Roman"/>
          <w:sz w:val="24"/>
          <w:szCs w:val="24"/>
        </w:rPr>
        <w:t xml:space="preserve">pertencentes à Ordem de São João no território galego. A travessa-se o </w:t>
      </w:r>
      <w:r w:rsidRPr="0011294E">
        <w:rPr>
          <w:rFonts w:ascii="Times New Roman" w:hAnsi="Times New Roman"/>
          <w:i/>
          <w:sz w:val="24"/>
          <w:szCs w:val="24"/>
        </w:rPr>
        <w:t xml:space="preserve">valle das Avellairas </w:t>
      </w:r>
      <w:r w:rsidRPr="0011294E">
        <w:rPr>
          <w:rFonts w:ascii="Times New Roman" w:hAnsi="Times New Roman"/>
          <w:sz w:val="24"/>
          <w:szCs w:val="24"/>
        </w:rPr>
        <w:t xml:space="preserve">e chega-se a </w:t>
      </w:r>
      <w:r w:rsidRPr="0011294E">
        <w:rPr>
          <w:rFonts w:ascii="Times New Roman" w:hAnsi="Times New Roman"/>
          <w:i/>
          <w:sz w:val="24"/>
          <w:szCs w:val="24"/>
        </w:rPr>
        <w:t xml:space="preserve">hum marco que esta na Sallgueira. </w:t>
      </w:r>
      <w:r w:rsidRPr="0011294E">
        <w:rPr>
          <w:rFonts w:ascii="Times New Roman" w:hAnsi="Times New Roman"/>
          <w:sz w:val="24"/>
          <w:szCs w:val="24"/>
        </w:rPr>
        <w:t xml:space="preserve">Partindo da Salgueira, vai </w:t>
      </w:r>
      <w:r w:rsidRPr="0011294E">
        <w:rPr>
          <w:rFonts w:ascii="Times New Roman" w:hAnsi="Times New Roman"/>
          <w:i/>
          <w:sz w:val="24"/>
          <w:szCs w:val="24"/>
        </w:rPr>
        <w:t>dar a os marcos que estaom</w:t>
      </w:r>
      <w:r w:rsidRPr="0011294E">
        <w:rPr>
          <w:rFonts w:ascii="Times New Roman" w:hAnsi="Times New Roman"/>
          <w:sz w:val="24"/>
          <w:szCs w:val="24"/>
        </w:rPr>
        <w:t xml:space="preserve"> que estão </w:t>
      </w:r>
      <w:r w:rsidRPr="0011294E">
        <w:rPr>
          <w:rFonts w:ascii="Times New Roman" w:hAnsi="Times New Roman"/>
          <w:i/>
          <w:sz w:val="24"/>
          <w:szCs w:val="24"/>
        </w:rPr>
        <w:t xml:space="preserve">em Carvalhal da Moeda e estaom os marcos em hum cabeço e outeiro mais perto contra Lamadarços os quaes marcos saom grandes penedos </w:t>
      </w:r>
      <w:r w:rsidRPr="0011294E">
        <w:rPr>
          <w:rFonts w:ascii="Times New Roman" w:hAnsi="Times New Roman"/>
          <w:sz w:val="24"/>
          <w:szCs w:val="24"/>
        </w:rPr>
        <w:t xml:space="preserve">e </w:t>
      </w:r>
      <w:r w:rsidRPr="0011294E">
        <w:rPr>
          <w:rFonts w:ascii="Times New Roman" w:hAnsi="Times New Roman"/>
          <w:i/>
          <w:sz w:val="24"/>
          <w:szCs w:val="24"/>
        </w:rPr>
        <w:t>onde estes marcos onde em hum deles estam as dictas armas ahy s’acaba ho termo desta villa de partyr com Galiza e dahy per adiante vay partyndo a villa de Chaves</w:t>
      </w:r>
      <w:r w:rsidRPr="0011294E">
        <w:rPr>
          <w:rStyle w:val="Refdenotaderodap"/>
          <w:rFonts w:ascii="Times New Roman" w:hAnsi="Times New Roman"/>
          <w:i/>
          <w:sz w:val="24"/>
          <w:szCs w:val="24"/>
        </w:rPr>
        <w:footnoteReference w:id="254"/>
      </w:r>
      <w:r w:rsidRPr="0011294E">
        <w:rPr>
          <w:rFonts w:ascii="Times New Roman" w:hAnsi="Times New Roman"/>
          <w:i/>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i/>
          <w:sz w:val="24"/>
          <w:szCs w:val="24"/>
        </w:rPr>
        <w:tab/>
      </w:r>
      <w:r w:rsidRPr="0011294E">
        <w:rPr>
          <w:rFonts w:ascii="Times New Roman" w:hAnsi="Times New Roman"/>
          <w:sz w:val="24"/>
          <w:szCs w:val="24"/>
        </w:rPr>
        <w:t xml:space="preserve">Para além da demarcação da fronteira com Castela foi possível averiguar uma usurpação entre os habitantes do concelho e de uns habitantes da Galiza. É relatado por </w:t>
      </w:r>
      <w:r w:rsidRPr="0011294E">
        <w:rPr>
          <w:rFonts w:ascii="Times New Roman" w:hAnsi="Times New Roman"/>
          <w:i/>
          <w:sz w:val="24"/>
          <w:szCs w:val="24"/>
        </w:rPr>
        <w:t xml:space="preserve">Pero da Varzea, Joaom Piriz Preçado e Francisco Pereto </w:t>
      </w:r>
      <w:r w:rsidRPr="0011294E">
        <w:rPr>
          <w:rFonts w:ascii="Times New Roman" w:hAnsi="Times New Roman"/>
          <w:sz w:val="24"/>
          <w:szCs w:val="24"/>
        </w:rPr>
        <w:t xml:space="preserve">que os da Galiza, designadamente os </w:t>
      </w:r>
      <w:r w:rsidRPr="0011294E">
        <w:rPr>
          <w:rFonts w:ascii="Times New Roman" w:hAnsi="Times New Roman"/>
          <w:i/>
          <w:sz w:val="24"/>
          <w:szCs w:val="24"/>
        </w:rPr>
        <w:t xml:space="preserve">da alldea de Villarelho de Cota e d’alldea de Lamadarços </w:t>
      </w:r>
      <w:r w:rsidRPr="0011294E">
        <w:rPr>
          <w:rFonts w:ascii="Times New Roman" w:hAnsi="Times New Roman"/>
          <w:sz w:val="24"/>
          <w:szCs w:val="24"/>
        </w:rPr>
        <w:t>(pertencente a Monterey)</w:t>
      </w:r>
      <w:r w:rsidRPr="0011294E">
        <w:rPr>
          <w:rFonts w:ascii="Times New Roman" w:hAnsi="Times New Roman"/>
          <w:i/>
          <w:sz w:val="24"/>
          <w:szCs w:val="24"/>
        </w:rPr>
        <w:t xml:space="preserve"> que confinam com ho lymite de Mairos lhe tem tomado certa terá que tynham rota e semado avya mais de trynda anos, </w:t>
      </w:r>
      <w:r w:rsidRPr="0011294E">
        <w:rPr>
          <w:rFonts w:ascii="Times New Roman" w:hAnsi="Times New Roman"/>
          <w:sz w:val="24"/>
          <w:szCs w:val="24"/>
        </w:rPr>
        <w:t xml:space="preserve">e que levavam mais de </w:t>
      </w:r>
      <w:r w:rsidRPr="0011294E">
        <w:rPr>
          <w:rFonts w:ascii="Times New Roman" w:hAnsi="Times New Roman"/>
          <w:i/>
          <w:sz w:val="24"/>
          <w:szCs w:val="24"/>
        </w:rPr>
        <w:t xml:space="preserve">dozentos alqueires de pao </w:t>
      </w:r>
      <w:r w:rsidRPr="0011294E">
        <w:rPr>
          <w:rFonts w:ascii="Times New Roman" w:hAnsi="Times New Roman"/>
          <w:sz w:val="24"/>
          <w:szCs w:val="24"/>
        </w:rPr>
        <w:t>da sua residência em Mairos</w:t>
      </w:r>
      <w:r w:rsidRPr="0011294E">
        <w:rPr>
          <w:rStyle w:val="Refdenotaderodap"/>
          <w:rFonts w:ascii="Times New Roman" w:hAnsi="Times New Roman"/>
          <w:sz w:val="24"/>
          <w:szCs w:val="24"/>
        </w:rPr>
        <w:footnoteReference w:id="255"/>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 xml:space="preserve">A partir dos finais do séc. XVI os documentos vão sendo mais raros, mas não foi aqui alvo do nosso estudo a documentação e a análise do povoamento durante o período moderno. Contudo, é pertinente debruçar-nos sobre os principais acontecimentos dignos de relevo que acompanham a evolução histórica do concelho até à sua extinção.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 xml:space="preserve"> Um dos principais eventos que marcaram o século XVII no concelho de Monforte de Rio Livre, foram os acontecimentos resultantes da emancipação portuguesa </w:t>
      </w:r>
      <w:r w:rsidRPr="0011294E">
        <w:rPr>
          <w:rFonts w:ascii="Times New Roman" w:hAnsi="Times New Roman"/>
          <w:sz w:val="24"/>
          <w:szCs w:val="24"/>
        </w:rPr>
        <w:lastRenderedPageBreak/>
        <w:t>da soberania espanhola no 1º de Dezembro de 1640. O monarca D. João IV tratou de levantar a fortificações em todas as praças e províncias, tanto mais que os povos tomando o partido da coroa portuguesa trataram também eles de levantar fortificações, organizar tropas, comprar cavalos e conduzir armas. Com efeito, a fortaleza da fronteira transmontana encontra</w:t>
      </w:r>
      <w:r w:rsidR="00BF5C61">
        <w:rPr>
          <w:rFonts w:ascii="Times New Roman" w:hAnsi="Times New Roman"/>
          <w:sz w:val="24"/>
          <w:szCs w:val="24"/>
        </w:rPr>
        <w:t>va-se em ruínas, devido à intenç</w:t>
      </w:r>
      <w:r w:rsidRPr="0011294E">
        <w:rPr>
          <w:rFonts w:ascii="Times New Roman" w:hAnsi="Times New Roman"/>
          <w:sz w:val="24"/>
          <w:szCs w:val="24"/>
        </w:rPr>
        <w:t>ão do governo espanhol de retirar os meios de defesa do reino, durante a sua governação</w:t>
      </w:r>
      <w:r w:rsidRPr="0011294E">
        <w:rPr>
          <w:rStyle w:val="Refdenotaderodap"/>
          <w:rFonts w:ascii="Times New Roman" w:hAnsi="Times New Roman"/>
          <w:sz w:val="24"/>
          <w:szCs w:val="24"/>
        </w:rPr>
        <w:footnoteReference w:id="256"/>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Neste sentido, rompidas as hostilidades, Rodrigo de Figueiredo de Alarcão organizou dez mil homens, que dividiu em quatro troços a fim de, por diversos pontos, entrar no reino vizinho. Um destes troços organizados fez a sua incursão por Monforte de Rio Livre, pelo que entraram na Galiza e entraram em treze lugares, conquistando-os.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Entretanto, os galegos entraram por Monforte de Rio Livre, incendiando seis lugares, fazendo pilhagens, provocando, assim diversas atrocidades. Em resposta, os habitantes do concelho fizeram incursão no território inimigo pelo vale de Chaves e queimaram as suas habitações. Estas situações foram comuns nestes conflitos, contudo um destas desforras, aconteceu no lugar de Mairos em Monforte de Rio Livre. A vila foi incendiada pelos galegos. No entanto, com a chegada de soldados da coroa portuguesa, foi extinto o fogo e perseguido o inimigo, matando um capitão, um sargento-mor e quarenta soldados, sendo um deles sobrinho do Marques de Tarazona, governador de armas da Galiza</w:t>
      </w:r>
      <w:r w:rsidRPr="0011294E">
        <w:rPr>
          <w:rStyle w:val="Refdenotaderodap"/>
          <w:rFonts w:ascii="Times New Roman" w:hAnsi="Times New Roman"/>
          <w:sz w:val="24"/>
          <w:szCs w:val="24"/>
        </w:rPr>
        <w:footnoteReference w:id="257"/>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Para além de Mairos, os galegos saquearam e queimaram os lugares de Travancas, Argemil e S. Vicente, freguesia do concelho de Rio Livre. Para fazer frente a estes ataques as tropas portuguesas avançaram em direção a Monforte de Rio Livre, onde se reuniram para se organizar e posteriormente marchar em direção às povoações fronteiriças inimigas, onde nos finais de Agosto de 1641, incendiaram saquearam as populações de Flor de Rei, Enxames e Terroso. Esta ação finalizou as hospitalidades entre os trasmontanos e os galegos durante este conflito</w:t>
      </w:r>
      <w:r w:rsidRPr="0011294E">
        <w:rPr>
          <w:rStyle w:val="Refdenotaderodap"/>
          <w:rFonts w:ascii="Times New Roman" w:hAnsi="Times New Roman"/>
          <w:sz w:val="24"/>
          <w:szCs w:val="24"/>
        </w:rPr>
        <w:footnoteReference w:id="258"/>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Referimos igualmente a título de interesse, e de forma muito sucinta, um outro episódio curioso. Em 1808, na ressaca da primeira invasão francesa a Portugal, observa-</w:t>
      </w:r>
      <w:r w:rsidRPr="0011294E">
        <w:rPr>
          <w:rFonts w:ascii="Times New Roman" w:hAnsi="Times New Roman"/>
          <w:sz w:val="24"/>
          <w:szCs w:val="24"/>
        </w:rPr>
        <w:lastRenderedPageBreak/>
        <w:t>se o levantamento de um movimento popular de revolta contra o invasor. Pelo que o Tenente-General Sepúlveda tomou a iniciativa de encabeçar a revolta popular de Chaves, Torre de Moncorvo, Miranda, Ruivães e Vila Real</w:t>
      </w:r>
      <w:r w:rsidRPr="0011294E">
        <w:rPr>
          <w:rStyle w:val="Refdenotaderodap"/>
          <w:rFonts w:ascii="Times New Roman" w:hAnsi="Times New Roman"/>
          <w:sz w:val="24"/>
          <w:szCs w:val="24"/>
        </w:rPr>
        <w:footnoteReference w:id="259"/>
      </w:r>
      <w:r w:rsidRPr="0011294E">
        <w:rPr>
          <w:rFonts w:ascii="Times New Roman" w:hAnsi="Times New Roman"/>
          <w:sz w:val="24"/>
          <w:szCs w:val="24"/>
        </w:rPr>
        <w:t>. Neste contexto de organização militar das forças, as tropas portuguesas, foram a 21 de Junho de 1808, organizar forças em Monforte de Rio Livre</w:t>
      </w:r>
      <w:r w:rsidRPr="0011294E">
        <w:rPr>
          <w:rStyle w:val="Refdenotaderodap"/>
          <w:rFonts w:ascii="Times New Roman" w:hAnsi="Times New Roman"/>
          <w:sz w:val="24"/>
          <w:szCs w:val="24"/>
        </w:rPr>
        <w:footnoteReference w:id="260"/>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Analisando as Memórias Paroquiais de 1758, temos a possibilidade de observar o século XVIII no concelho. Com efeito, pela análise dos inquéritos, podemos mencionar os aspetos político-administrativos, designadamente o concelho encontra-se na Comarca de Torre de Moncorvo, sendo a sua jurisdição pertencente ao Conde de Atouguia. Para além disso, dá-nos conta de um elenco abrangente de funcionários do concelho: 2 juízes ordinários, 3 vereadores, procuradores, almotacés, 4 escrivães do geral, escrivão da câmara, escrivão das sisas e alfândega, meirinho, alcaide, juiz dos órfãos, escrivão dos órfãos e meirinho dos órfãos. Para além destes dados, conseguimos observar o rendimento do concelho que entre </w:t>
      </w:r>
      <w:r w:rsidRPr="0011294E">
        <w:rPr>
          <w:rFonts w:ascii="Times New Roman" w:hAnsi="Times New Roman"/>
          <w:i/>
          <w:sz w:val="24"/>
          <w:szCs w:val="24"/>
        </w:rPr>
        <w:t>foros certos, terras que arrenda, coimas e condenações que tudo chega ordinariamente a 74.000 réis</w:t>
      </w:r>
      <w:r w:rsidRPr="0011294E">
        <w:rPr>
          <w:rFonts w:ascii="Times New Roman" w:hAnsi="Times New Roman"/>
          <w:sz w:val="24"/>
          <w:szCs w:val="24"/>
        </w:rPr>
        <w:t xml:space="preserve">. Convém relembrar que no foral novo de D. Manuel o tributo a apagar ascendia aos </w:t>
      </w:r>
      <w:r w:rsidRPr="0011294E">
        <w:rPr>
          <w:rFonts w:ascii="Times New Roman" w:hAnsi="Times New Roman"/>
          <w:i/>
          <w:sz w:val="24"/>
          <w:szCs w:val="24"/>
        </w:rPr>
        <w:t>29.160 réis</w:t>
      </w:r>
      <w:r w:rsidRPr="0011294E">
        <w:rPr>
          <w:rStyle w:val="Refdenotaderodap"/>
          <w:rFonts w:ascii="Times New Roman" w:hAnsi="Times New Roman"/>
          <w:i/>
          <w:sz w:val="24"/>
          <w:szCs w:val="24"/>
        </w:rPr>
        <w:footnoteReference w:id="261"/>
      </w:r>
      <w:r w:rsidRPr="0011294E">
        <w:rPr>
          <w:rFonts w:ascii="Times New Roman" w:hAnsi="Times New Roman"/>
          <w:i/>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i/>
          <w:sz w:val="24"/>
          <w:szCs w:val="24"/>
        </w:rPr>
        <w:tab/>
      </w:r>
      <w:r w:rsidRPr="0011294E">
        <w:rPr>
          <w:rFonts w:ascii="Times New Roman" w:hAnsi="Times New Roman"/>
          <w:sz w:val="24"/>
          <w:szCs w:val="24"/>
        </w:rPr>
        <w:t>No que toca aos dados sobre a economia local de Monforte de Rio Livre no século XVIII, podemos observar que se cultivava o centeio em bastante quantidade e que a vinha tinha uma forte implantação. No entanto, a maior produção a que alude o inquérito é à castanha de Monforte de Rio Livre. Paralelamente, António Carvalho da Costa defendia que aqui também se produzia gado bovino, que proporcionava o fabrico de manteiga</w:t>
      </w:r>
      <w:r w:rsidRPr="0011294E">
        <w:rPr>
          <w:rStyle w:val="Refdenotaderodap"/>
          <w:rFonts w:ascii="Times New Roman" w:hAnsi="Times New Roman"/>
          <w:sz w:val="24"/>
          <w:szCs w:val="24"/>
        </w:rPr>
        <w:footnoteReference w:id="262"/>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Em 1796 a vila encontrava-se "</w:t>
      </w:r>
      <w:r w:rsidRPr="0011294E">
        <w:rPr>
          <w:rFonts w:ascii="Times New Roman" w:hAnsi="Times New Roman"/>
          <w:i/>
          <w:iCs/>
          <w:sz w:val="24"/>
          <w:szCs w:val="24"/>
        </w:rPr>
        <w:t>quasi despovoada e arruinada, pois não tem mais doque cinco moradores, tres dentro dos demolidos muros e dous da parte de fora</w:t>
      </w:r>
      <w:r w:rsidRPr="0011294E">
        <w:rPr>
          <w:rFonts w:ascii="Times New Roman" w:hAnsi="Times New Roman"/>
          <w:sz w:val="24"/>
          <w:szCs w:val="24"/>
        </w:rPr>
        <w:t>"</w:t>
      </w:r>
      <w:r w:rsidRPr="0011294E">
        <w:rPr>
          <w:rStyle w:val="Refdenotaderodap"/>
          <w:rFonts w:ascii="Times New Roman" w:hAnsi="Times New Roman"/>
          <w:sz w:val="24"/>
          <w:szCs w:val="24"/>
        </w:rPr>
        <w:footnoteReference w:id="263"/>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revolução de 1820 e a consequente expansão do liberalismo arrastaram a administração liberal através da reforma de Mouzinho da Silveira implementada pelo decreto de 16 de Maio de 1832. A reforma de Mouzinho da Silveira trouxe consigo uma </w:t>
      </w:r>
      <w:r w:rsidRPr="0011294E">
        <w:rPr>
          <w:rFonts w:ascii="Times New Roman" w:hAnsi="Times New Roman"/>
          <w:sz w:val="24"/>
          <w:szCs w:val="24"/>
        </w:rPr>
        <w:lastRenderedPageBreak/>
        <w:t>nova divisão administrativa do país, dividindo o país em oito províncias, administradas por um prefeito, em quarenta comarcas, geridas por subprefeitos, e em 796 concelhos coordenados por provedores. Ligados a esses órgãos estavam as juntas gerais da província, as juntas de comarca e as câmaras municipais. Os três tipos de magistrados eram de nomeação régia, as juntas eram eleitas, mas na realidade quem mandava eram os funcionários régios. Contudo, a evolução setembrista viria a favorecer novos concertos no sistema administrativo e levar à reforma de Passos Manuel em 1836. Esta nova reorganização territorial viria a ter um papel fundamental, no desfecho no nosso concelho</w:t>
      </w:r>
      <w:r w:rsidRPr="0011294E">
        <w:rPr>
          <w:rStyle w:val="Refdenotaderodap"/>
          <w:rFonts w:ascii="Times New Roman" w:hAnsi="Times New Roman"/>
          <w:sz w:val="24"/>
          <w:szCs w:val="24"/>
        </w:rPr>
        <w:footnoteReference w:id="264"/>
      </w:r>
      <w:r w:rsidRPr="0011294E">
        <w:rPr>
          <w:rFonts w:ascii="Times New Roman" w:hAnsi="Times New Roman"/>
          <w:sz w:val="24"/>
          <w:szCs w:val="24"/>
        </w:rPr>
        <w:t xml:space="preserve">.  </w:t>
      </w:r>
    </w:p>
    <w:p w:rsidR="0011294E" w:rsidRPr="0011294E" w:rsidRDefault="0011294E" w:rsidP="0011294E">
      <w:pPr>
        <w:spacing w:line="360" w:lineRule="auto"/>
        <w:ind w:firstLine="567"/>
        <w:jc w:val="both"/>
        <w:rPr>
          <w:rFonts w:ascii="Times New Roman" w:hAnsi="Times New Roman"/>
          <w:sz w:val="24"/>
          <w:szCs w:val="24"/>
        </w:rPr>
      </w:pPr>
      <w:r w:rsidRPr="0011294E">
        <w:rPr>
          <w:rFonts w:ascii="Times New Roman" w:hAnsi="Times New Roman"/>
          <w:sz w:val="24"/>
          <w:szCs w:val="24"/>
        </w:rPr>
        <w:t xml:space="preserve"> Com efeito, as dificuldades de manutenção e povoamento do Concelho de Monforte de Rio Livre ao longo dos séculos de existência sempre foram um problema difícil de ultrapassar. Esta situação levou a que em, 1836 a sede do concelho fosse transferida para a freguesia de Lebução, uma das mais populosas aldeias do termo. Antes, já a sede da sua paróquia tinha sido transferida pra a freguesia de Águas Frias. </w:t>
      </w:r>
    </w:p>
    <w:p w:rsidR="0011294E" w:rsidRPr="0011294E" w:rsidRDefault="0011294E" w:rsidP="0011294E">
      <w:pPr>
        <w:spacing w:line="360" w:lineRule="auto"/>
        <w:ind w:firstLine="567"/>
        <w:jc w:val="both"/>
        <w:rPr>
          <w:rFonts w:ascii="Times New Roman" w:hAnsi="Times New Roman"/>
          <w:sz w:val="24"/>
          <w:szCs w:val="24"/>
        </w:rPr>
      </w:pPr>
      <w:r w:rsidRPr="0011294E">
        <w:rPr>
          <w:rFonts w:ascii="Times New Roman" w:hAnsi="Times New Roman"/>
          <w:sz w:val="24"/>
          <w:szCs w:val="24"/>
        </w:rPr>
        <w:t>Por decreto/lei de 31 de Dezembro de 1853 Monforte de Rio Livre foi extinto, sendo as suas freguesias divididas por dois concelhos anexos, designadamente, Chaves e Valpaços. Assim, as freguesias de S. Vicente, Roriz, Travancas, Mairos, Paradela, Sanfins, Castanheira, Águas Frias, Tronco, Bobadela e Oucidres passaram administrativamente para o Concelho de Chaves; as de Lebução, Bouçais, Fiães, Tinhela, Alvarelhos, Sonin, Barreiros, Santa Valha e Fornos do Pinhal passaram a integrar o Concelho de Valpaços.</w:t>
      </w:r>
    </w:p>
    <w:p w:rsidR="0011294E" w:rsidRDefault="0011294E" w:rsidP="0011294E">
      <w:pPr>
        <w:spacing w:line="360" w:lineRule="auto"/>
        <w:ind w:firstLine="567"/>
        <w:jc w:val="both"/>
        <w:rPr>
          <w:rFonts w:ascii="Times New Roman" w:hAnsi="Times New Roman"/>
          <w:sz w:val="24"/>
          <w:szCs w:val="24"/>
        </w:rPr>
      </w:pPr>
    </w:p>
    <w:p w:rsidR="003B23C4" w:rsidRDefault="003B23C4" w:rsidP="0011294E">
      <w:pPr>
        <w:spacing w:line="360" w:lineRule="auto"/>
        <w:ind w:firstLine="567"/>
        <w:jc w:val="both"/>
        <w:rPr>
          <w:rFonts w:ascii="Times New Roman" w:hAnsi="Times New Roman"/>
          <w:sz w:val="24"/>
          <w:szCs w:val="24"/>
        </w:rPr>
      </w:pPr>
    </w:p>
    <w:p w:rsidR="003B23C4" w:rsidRDefault="003B23C4" w:rsidP="0011294E">
      <w:pPr>
        <w:spacing w:line="360" w:lineRule="auto"/>
        <w:ind w:firstLine="567"/>
        <w:jc w:val="both"/>
        <w:rPr>
          <w:rFonts w:ascii="Times New Roman" w:hAnsi="Times New Roman"/>
          <w:sz w:val="24"/>
          <w:szCs w:val="24"/>
        </w:rPr>
      </w:pPr>
    </w:p>
    <w:p w:rsidR="003B23C4" w:rsidRPr="0011294E" w:rsidRDefault="003B23C4" w:rsidP="0011294E">
      <w:pPr>
        <w:spacing w:line="360" w:lineRule="auto"/>
        <w:ind w:firstLine="567"/>
        <w:jc w:val="both"/>
        <w:rPr>
          <w:rFonts w:ascii="Times New Roman" w:hAnsi="Times New Roman"/>
          <w:sz w:val="24"/>
          <w:szCs w:val="24"/>
        </w:rPr>
      </w:pPr>
    </w:p>
    <w:p w:rsidR="003B23C4" w:rsidRPr="00FB5448" w:rsidRDefault="0011294E" w:rsidP="003B23C4">
      <w:pPr>
        <w:pStyle w:val="Ttulo2"/>
        <w:rPr>
          <w:rFonts w:ascii="Times New Roman" w:hAnsi="Times New Roman" w:cs="Times New Roman"/>
          <w:sz w:val="32"/>
          <w:szCs w:val="32"/>
        </w:rPr>
      </w:pPr>
      <w:bookmarkStart w:id="24" w:name="_Toc430358534"/>
      <w:bookmarkStart w:id="25" w:name="_Toc441612277"/>
      <w:r w:rsidRPr="00FB5448">
        <w:rPr>
          <w:rFonts w:ascii="Times New Roman" w:hAnsi="Times New Roman" w:cs="Times New Roman"/>
          <w:sz w:val="32"/>
          <w:szCs w:val="32"/>
        </w:rPr>
        <w:lastRenderedPageBreak/>
        <w:t>4. O castelo</w:t>
      </w:r>
      <w:bookmarkEnd w:id="24"/>
      <w:bookmarkEnd w:id="25"/>
    </w:p>
    <w:p w:rsidR="0011294E" w:rsidRPr="0011294E" w:rsidRDefault="0011294E" w:rsidP="0011294E">
      <w:pPr>
        <w:pStyle w:val="Ttulo2"/>
        <w:rPr>
          <w:rFonts w:ascii="Times New Roman" w:hAnsi="Times New Roman" w:cs="Times New Roman"/>
          <w:sz w:val="24"/>
          <w:szCs w:val="24"/>
        </w:rPr>
      </w:pPr>
      <w:bookmarkStart w:id="26" w:name="_Toc430358535"/>
      <w:bookmarkStart w:id="27" w:name="_Toc441612278"/>
      <w:r w:rsidRPr="0011294E">
        <w:rPr>
          <w:rFonts w:ascii="Times New Roman" w:hAnsi="Times New Roman" w:cs="Times New Roman"/>
          <w:sz w:val="24"/>
          <w:szCs w:val="24"/>
        </w:rPr>
        <w:t>4.1. Evolução Arquitetónica do castelo</w:t>
      </w:r>
      <w:bookmarkEnd w:id="26"/>
      <w:bookmarkEnd w:id="27"/>
      <w:r w:rsidRPr="0011294E">
        <w:rPr>
          <w:rFonts w:ascii="Times New Roman" w:hAnsi="Times New Roman" w:cs="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Neste capítulo será do nosso interesse meditar sobre o cerne do nosso estudo, designadamente o estudo arqueológico, refletindo sobre a evolução arquitetónica da estrutura militar do castelo de Monforte de Rio Livre. Com efeito, consideramos pertinente traçar aqui um panorama da evolução desta estrutura castelar desde a sua fundação, em meados do século XII - inícios do século XIII, a inovação do gótico, em meados do século XIII – XIV, e a reforma tardo-gótica, dos séculos XV-XVI, acompanhada pelo advento da pirobalística. É de facto importante debruçar-nos sobre algumas questões como a origem do castelo, as razões que levaram a estas construções, a sua funcionalidade, a simbologia e o impacto destas construções na paisagem medieval.</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Devemos, contudo, realçar que este trabalho, como estudo de investigação, trata-se de um estudo em aberto. De facto, só com a realização de escavações no interior do Castelo e em torno do povoado, é que serão postas a descoberto estruturas essenciais para uma melhor compreensão do processo de ocupação e construção no monte do castelo. Estas escavações poderiam pôr em evidência as estruturas, desenhadas no século XVI por Duarte de Armas, que compunham esta edificação. De facto, estas representações gráficas foram de grande importância, uma vez que, foram dos documentos que forneceram mais informação.</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Em relação ao panorama da evolução do castelo medieval em terras portuguesas, podemos dizer que a primeira referência na documentação medieval a castelos remonta ao último quartel do séc. IX. De facto, o aparecimento do castelo no território nacional não pode ser dissociado do movimento crucial do processo de Reconquista quando Afonso III das Astúrias (866-910) promoveu as presúrias do Porto (868), de Chaves (872) e de Coimbra (878)</w:t>
      </w:r>
      <w:r w:rsidRPr="0011294E">
        <w:rPr>
          <w:rFonts w:ascii="Times New Roman" w:hAnsi="Times New Roman"/>
          <w:sz w:val="24"/>
          <w:szCs w:val="24"/>
          <w:vertAlign w:val="superscript"/>
        </w:rPr>
        <w:footnoteReference w:id="265"/>
      </w:r>
      <w:r w:rsidRPr="0011294E">
        <w:rPr>
          <w:rFonts w:ascii="Times New Roman" w:hAnsi="Times New Roman"/>
          <w:sz w:val="24"/>
          <w:szCs w:val="24"/>
        </w:rPr>
        <w:t xml:space="preserve">.Até essa data, a necessidade de proteção da população tinha levado à edificação de muralhas e cercas que albergavam no seu interior todo o </w:t>
      </w:r>
      <w:r w:rsidRPr="0011294E">
        <w:rPr>
          <w:rFonts w:ascii="Times New Roman" w:hAnsi="Times New Roman"/>
          <w:sz w:val="24"/>
          <w:szCs w:val="24"/>
        </w:rPr>
        <w:lastRenderedPageBreak/>
        <w:t>povoado, mas com o início deste processo moroso de reconquista cristã encontramos povoados em que houve necessidade de criar um espaço dentro da cerca urbana que servisse de proteção à população e que reunisse, no seu interior, uma área destinada aos soldados e ao armamento, para fazer frente às constantes ameaças. Esta realidade vai-se impor nas diferentes localidades dependendo de vários condicionalismos</w:t>
      </w:r>
      <w:r w:rsidRPr="0011294E">
        <w:rPr>
          <w:rFonts w:ascii="Times New Roman" w:hAnsi="Times New Roman"/>
          <w:sz w:val="24"/>
          <w:szCs w:val="24"/>
          <w:vertAlign w:val="superscript"/>
        </w:rPr>
        <w:footnoteReference w:id="266"/>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Esta ocupação do território foi acompanhada por uma importante reorganização político-militar do espaço conquistado. Apesar de não conhecermos todos os pormenores desta reorganização, as fontes revelam que se apoiou em </w:t>
      </w:r>
      <w:r w:rsidRPr="0011294E">
        <w:rPr>
          <w:rFonts w:ascii="Times New Roman" w:hAnsi="Times New Roman"/>
          <w:i/>
          <w:iCs/>
          <w:sz w:val="24"/>
          <w:szCs w:val="24"/>
        </w:rPr>
        <w:t>civitates</w:t>
      </w:r>
      <w:r w:rsidRPr="0011294E">
        <w:rPr>
          <w:rFonts w:ascii="Times New Roman" w:hAnsi="Times New Roman"/>
          <w:sz w:val="24"/>
          <w:szCs w:val="24"/>
        </w:rPr>
        <w:t xml:space="preserve">, à frente das quais se encontravam condes ou delegados régios situados na dependência direta de Afonso III, um pouco à semelhança das </w:t>
      </w:r>
      <w:r w:rsidRPr="0011294E">
        <w:rPr>
          <w:rFonts w:ascii="Times New Roman" w:hAnsi="Times New Roman"/>
          <w:i/>
          <w:iCs/>
          <w:sz w:val="24"/>
          <w:szCs w:val="24"/>
        </w:rPr>
        <w:t xml:space="preserve">commissiones </w:t>
      </w:r>
      <w:r w:rsidRPr="0011294E">
        <w:rPr>
          <w:rFonts w:ascii="Times New Roman" w:hAnsi="Times New Roman"/>
          <w:sz w:val="24"/>
          <w:szCs w:val="24"/>
        </w:rPr>
        <w:t>asturianas e galegas, e equivalente às marcas muçulmanas implantadas pelo califado nas regiões fronteiriças</w:t>
      </w:r>
      <w:r w:rsidRPr="0011294E">
        <w:rPr>
          <w:rFonts w:ascii="Times New Roman" w:hAnsi="Times New Roman"/>
          <w:sz w:val="24"/>
          <w:szCs w:val="24"/>
          <w:vertAlign w:val="superscript"/>
        </w:rPr>
        <w:footnoteReference w:id="267"/>
      </w:r>
      <w:r w:rsidRPr="0011294E">
        <w:rPr>
          <w:rFonts w:ascii="Times New Roman" w:hAnsi="Times New Roman"/>
          <w:sz w:val="24"/>
          <w:szCs w:val="24"/>
        </w:rPr>
        <w:t xml:space="preserve">. Assim se terão estabelecido as </w:t>
      </w:r>
      <w:r w:rsidRPr="0011294E">
        <w:rPr>
          <w:rFonts w:ascii="Times New Roman" w:hAnsi="Times New Roman"/>
          <w:i/>
          <w:iCs/>
          <w:sz w:val="24"/>
          <w:szCs w:val="24"/>
        </w:rPr>
        <w:t xml:space="preserve">civitates </w:t>
      </w:r>
      <w:r w:rsidRPr="0011294E">
        <w:rPr>
          <w:rFonts w:ascii="Times New Roman" w:hAnsi="Times New Roman"/>
          <w:sz w:val="24"/>
          <w:szCs w:val="24"/>
        </w:rPr>
        <w:t xml:space="preserve">de Tui, Braga, Guimarães, Portucale, Eja, Santa Maria da Feira, Lamego, Viseu, Seia, Coimbra e também a de </w:t>
      </w:r>
      <w:r w:rsidRPr="0011294E">
        <w:rPr>
          <w:rFonts w:ascii="Times New Roman" w:hAnsi="Times New Roman"/>
          <w:i/>
          <w:iCs/>
          <w:sz w:val="24"/>
          <w:szCs w:val="24"/>
        </w:rPr>
        <w:t>Flavias</w:t>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Na segunda metade do Séc. IX, </w:t>
      </w:r>
      <w:r w:rsidRPr="0011294E">
        <w:rPr>
          <w:rFonts w:ascii="Times New Roman" w:hAnsi="Times New Roman"/>
          <w:i/>
          <w:sz w:val="24"/>
          <w:szCs w:val="24"/>
        </w:rPr>
        <w:t>Flavias</w:t>
      </w:r>
      <w:r w:rsidRPr="0011294E">
        <w:rPr>
          <w:rFonts w:ascii="Times New Roman" w:hAnsi="Times New Roman"/>
          <w:sz w:val="24"/>
          <w:szCs w:val="24"/>
        </w:rPr>
        <w:t xml:space="preserve"> foi o centro da importante ação repovoadora pelo Conde Odoário. No ano de 872, o Conde Odoário foi encarregue de reorganizar e repovoar a comarca flaviense, ao longo do rio Tâmega, tendo então distribuído terras a colonos e mandado erguer castelos nas principais </w:t>
      </w:r>
      <w:r w:rsidRPr="0011294E">
        <w:rPr>
          <w:rFonts w:ascii="Times New Roman" w:hAnsi="Times New Roman"/>
          <w:i/>
          <w:sz w:val="24"/>
          <w:szCs w:val="24"/>
        </w:rPr>
        <w:t>civitates</w:t>
      </w:r>
      <w:r w:rsidRPr="0011294E">
        <w:rPr>
          <w:rFonts w:ascii="Times New Roman" w:hAnsi="Times New Roman"/>
          <w:sz w:val="24"/>
          <w:szCs w:val="24"/>
        </w:rPr>
        <w:t xml:space="preserve">, um dos quais em </w:t>
      </w:r>
      <w:r w:rsidRPr="0011294E">
        <w:rPr>
          <w:rFonts w:ascii="Times New Roman" w:hAnsi="Times New Roman"/>
          <w:i/>
          <w:sz w:val="24"/>
          <w:szCs w:val="24"/>
        </w:rPr>
        <w:t>Flavias</w:t>
      </w:r>
      <w:r w:rsidRPr="0011294E">
        <w:rPr>
          <w:rFonts w:ascii="Times New Roman" w:hAnsi="Times New Roman"/>
          <w:sz w:val="24"/>
          <w:szCs w:val="24"/>
        </w:rPr>
        <w:t xml:space="preserve">. Um conhecido documento datado de 982 faz referência à ação repovoadora do Conde, constituindo também a primeira referência à </w:t>
      </w:r>
      <w:r w:rsidRPr="0011294E">
        <w:rPr>
          <w:rFonts w:ascii="Times New Roman" w:hAnsi="Times New Roman"/>
          <w:i/>
          <w:sz w:val="24"/>
          <w:szCs w:val="24"/>
        </w:rPr>
        <w:t>civitas Flavias</w:t>
      </w:r>
      <w:r w:rsidRPr="0011294E">
        <w:rPr>
          <w:rFonts w:ascii="Times New Roman" w:hAnsi="Times New Roman"/>
          <w:i/>
          <w:sz w:val="24"/>
          <w:szCs w:val="24"/>
          <w:vertAlign w:val="superscript"/>
        </w:rPr>
        <w:footnoteReference w:id="268"/>
      </w:r>
      <w:r w:rsidRPr="0011294E">
        <w:rPr>
          <w:rFonts w:ascii="Times New Roman" w:hAnsi="Times New Roman"/>
          <w:i/>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iCs/>
          <w:sz w:val="24"/>
          <w:szCs w:val="24"/>
        </w:rPr>
        <w:t xml:space="preserve">Esta ação desenvolvida pelo </w:t>
      </w:r>
      <w:r w:rsidRPr="0011294E">
        <w:rPr>
          <w:rFonts w:ascii="Times New Roman" w:hAnsi="Times New Roman"/>
          <w:sz w:val="24"/>
          <w:szCs w:val="24"/>
        </w:rPr>
        <w:t xml:space="preserve">conde Odoário evidencia uma preocupação de ordem administrativa que consistiu em promover e enquadrar as populações distribuídas pelos diversos tipos de habitats, atribuindo-lhes estatutos e limites. Além da referência aos </w:t>
      </w:r>
      <w:r w:rsidRPr="0011294E">
        <w:rPr>
          <w:rFonts w:ascii="Times New Roman" w:hAnsi="Times New Roman"/>
          <w:i/>
          <w:iCs/>
          <w:sz w:val="24"/>
          <w:szCs w:val="24"/>
        </w:rPr>
        <w:t>vici</w:t>
      </w:r>
      <w:r w:rsidRPr="0011294E">
        <w:rPr>
          <w:rFonts w:ascii="Times New Roman" w:hAnsi="Times New Roman"/>
          <w:sz w:val="24"/>
          <w:szCs w:val="24"/>
        </w:rPr>
        <w:t xml:space="preserve">, </w:t>
      </w:r>
      <w:r w:rsidRPr="0011294E">
        <w:rPr>
          <w:rFonts w:ascii="Times New Roman" w:hAnsi="Times New Roman"/>
          <w:i/>
          <w:iCs/>
          <w:sz w:val="24"/>
          <w:szCs w:val="24"/>
        </w:rPr>
        <w:t xml:space="preserve">civitates </w:t>
      </w:r>
      <w:r w:rsidRPr="0011294E">
        <w:rPr>
          <w:rFonts w:ascii="Times New Roman" w:hAnsi="Times New Roman"/>
          <w:sz w:val="24"/>
          <w:szCs w:val="24"/>
        </w:rPr>
        <w:t xml:space="preserve">e </w:t>
      </w:r>
      <w:r w:rsidRPr="0011294E">
        <w:rPr>
          <w:rFonts w:ascii="Times New Roman" w:hAnsi="Times New Roman"/>
          <w:i/>
          <w:iCs/>
          <w:sz w:val="24"/>
          <w:szCs w:val="24"/>
        </w:rPr>
        <w:t>villae</w:t>
      </w:r>
      <w:r w:rsidRPr="0011294E">
        <w:rPr>
          <w:rFonts w:ascii="Times New Roman" w:hAnsi="Times New Roman"/>
          <w:sz w:val="24"/>
          <w:szCs w:val="24"/>
        </w:rPr>
        <w:t xml:space="preserve">, importa-nos referir o habitat designado por </w:t>
      </w:r>
      <w:r w:rsidRPr="0011294E">
        <w:rPr>
          <w:rFonts w:ascii="Times New Roman" w:hAnsi="Times New Roman"/>
          <w:i/>
          <w:iCs/>
          <w:sz w:val="24"/>
          <w:szCs w:val="24"/>
        </w:rPr>
        <w:t>castella</w:t>
      </w:r>
      <w:r w:rsidRPr="0011294E">
        <w:rPr>
          <w:rFonts w:ascii="Times New Roman" w:hAnsi="Times New Roman"/>
          <w:sz w:val="24"/>
          <w:szCs w:val="24"/>
        </w:rPr>
        <w:t>. É provável que nesta categoria se inscrevessem também alguns dos antigos castros com ocupação tardo-romana e suevo-visigoda que ou nunca chegaram a ser totalmente abandonados ou conheceram uma reocupação mais intensa neste período de insegurança</w:t>
      </w:r>
      <w:r w:rsidRPr="0011294E">
        <w:rPr>
          <w:rFonts w:ascii="Times New Roman" w:hAnsi="Times New Roman"/>
          <w:sz w:val="24"/>
          <w:szCs w:val="24"/>
          <w:vertAlign w:val="superscript"/>
        </w:rPr>
        <w:footnoteReference w:id="269"/>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Na segunda metade do século XI, com o avançar das forças cristãs resultante das campanhas de Fernando Magno, anuncia-se uma nova fase da Castelologia pautada por </w:t>
      </w:r>
      <w:r w:rsidRPr="0011294E">
        <w:rPr>
          <w:rFonts w:ascii="Times New Roman" w:hAnsi="Times New Roman"/>
          <w:sz w:val="24"/>
          <w:szCs w:val="24"/>
        </w:rPr>
        <w:lastRenderedPageBreak/>
        <w:t>introduções e novas adaptações na construção destas fortificações militares que anteviam o aparecimento do castelo romântico. Com este novo modelo foram introduzidas novas adaptações na construção destas fortificações, especificamente ao nível do aparelho de construção. A grande inovação do castelo românico foi claramente a Torre de Menagem. Esta estava estabelecida num dos pontos de cota mais altos do castelo, elevando-se em altura, permitindo o tiro direto para o exterior, sem constituir um problema para o pano da muralha. A torre situava-se no centro da praça de armas e exibia plantas quadrangulares e retangulares. Possuía, ainda, um andar térreo sem aberturas e uma porta rasgada no primeiro andar. Outras novidades passaram pela difusão de torreões, a cerca coroada pelo adarve, ostentando torreões adossados. As muralhas do castelo definiam um pátio com um perímetro relativamente pequeno. Uma outra inovação foi o aparecimento de duas portas, nomeadamente, a porta principal e a “porta da traição”, uma porta secundária dissimilada nas muralhas, conduzindo para o exterior</w:t>
      </w:r>
      <w:r w:rsidRPr="0011294E">
        <w:rPr>
          <w:rStyle w:val="Refdenotaderodap"/>
          <w:rFonts w:ascii="Times New Roman" w:hAnsi="Times New Roman"/>
          <w:sz w:val="24"/>
          <w:szCs w:val="24"/>
        </w:rPr>
        <w:footnoteReference w:id="270"/>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Do ponto de vista administrativo ressaltamos o facto de estas inovações estarem claramente ligadas ao processo de declínio do sistema das </w:t>
      </w:r>
      <w:r w:rsidRPr="0011294E">
        <w:rPr>
          <w:rFonts w:ascii="Times New Roman" w:hAnsi="Times New Roman"/>
          <w:i/>
          <w:iCs/>
          <w:sz w:val="24"/>
          <w:szCs w:val="24"/>
        </w:rPr>
        <w:t>civitates</w:t>
      </w:r>
      <w:r w:rsidRPr="0011294E">
        <w:rPr>
          <w:rFonts w:ascii="Times New Roman" w:hAnsi="Times New Roman"/>
          <w:sz w:val="24"/>
          <w:szCs w:val="24"/>
        </w:rPr>
        <w:t xml:space="preserve"> e ao surgimento das </w:t>
      </w:r>
      <w:r w:rsidRPr="0011294E">
        <w:rPr>
          <w:rFonts w:ascii="Times New Roman" w:hAnsi="Times New Roman"/>
          <w:i/>
          <w:iCs/>
          <w:sz w:val="24"/>
          <w:szCs w:val="24"/>
        </w:rPr>
        <w:t>terras</w:t>
      </w:r>
      <w:r w:rsidRPr="0011294E">
        <w:rPr>
          <w:rFonts w:ascii="Times New Roman" w:hAnsi="Times New Roman"/>
          <w:iCs/>
          <w:sz w:val="24"/>
          <w:szCs w:val="24"/>
        </w:rPr>
        <w:t xml:space="preserve">, </w:t>
      </w:r>
      <w:r w:rsidRPr="0011294E">
        <w:rPr>
          <w:rFonts w:ascii="Times New Roman" w:hAnsi="Times New Roman"/>
          <w:sz w:val="24"/>
          <w:szCs w:val="24"/>
        </w:rPr>
        <w:t xml:space="preserve">com o seu </w:t>
      </w:r>
      <w:r w:rsidRPr="0011294E">
        <w:rPr>
          <w:rFonts w:ascii="Times New Roman" w:hAnsi="Times New Roman"/>
          <w:i/>
          <w:iCs/>
          <w:sz w:val="24"/>
          <w:szCs w:val="24"/>
        </w:rPr>
        <w:t>castelo cabeça-de-terra</w:t>
      </w:r>
      <w:r w:rsidRPr="0011294E">
        <w:rPr>
          <w:rFonts w:ascii="Times New Roman" w:hAnsi="Times New Roman"/>
          <w:sz w:val="24"/>
          <w:szCs w:val="24"/>
        </w:rPr>
        <w:t>, primeiros ensaios do que viria a ser o autêntico castelo românico.</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De facto, assiste-se a partir da segunda metade do século XI, a importantes transformações sociais, traduzidas na ascensão de determinados elementos da nobreza local, e a mudanças administrativas e militares. A antiga organização territorial baseada nas </w:t>
      </w:r>
      <w:r w:rsidRPr="0011294E">
        <w:rPr>
          <w:rFonts w:ascii="Times New Roman" w:hAnsi="Times New Roman"/>
          <w:i/>
          <w:iCs/>
          <w:sz w:val="24"/>
          <w:szCs w:val="24"/>
        </w:rPr>
        <w:t xml:space="preserve">civitates </w:t>
      </w:r>
      <w:r w:rsidRPr="0011294E">
        <w:rPr>
          <w:rFonts w:ascii="Times New Roman" w:hAnsi="Times New Roman"/>
          <w:sz w:val="24"/>
          <w:szCs w:val="24"/>
        </w:rPr>
        <w:t xml:space="preserve">vai progressivamente dando lugar a unidades administrativas de menor extensão - a </w:t>
      </w:r>
      <w:r w:rsidRPr="0011294E">
        <w:rPr>
          <w:rFonts w:ascii="Times New Roman" w:hAnsi="Times New Roman"/>
          <w:i/>
          <w:iCs/>
          <w:sz w:val="24"/>
          <w:szCs w:val="24"/>
        </w:rPr>
        <w:t xml:space="preserve">civitas </w:t>
      </w:r>
      <w:r w:rsidRPr="0011294E">
        <w:rPr>
          <w:rFonts w:ascii="Times New Roman" w:hAnsi="Times New Roman"/>
          <w:sz w:val="24"/>
          <w:szCs w:val="24"/>
        </w:rPr>
        <w:t xml:space="preserve">tende a desagregar-se em várias destas unidades –as </w:t>
      </w:r>
      <w:r w:rsidRPr="0011294E">
        <w:rPr>
          <w:rFonts w:ascii="Times New Roman" w:hAnsi="Times New Roman"/>
          <w:i/>
          <w:sz w:val="24"/>
          <w:szCs w:val="24"/>
        </w:rPr>
        <w:t>terras</w:t>
      </w:r>
      <w:r w:rsidRPr="0011294E">
        <w:rPr>
          <w:rFonts w:ascii="Times New Roman" w:hAnsi="Times New Roman"/>
          <w:sz w:val="24"/>
          <w:szCs w:val="24"/>
        </w:rPr>
        <w:t>, que passam também a ser capitaneadas por um castelo. Estas novas unidades adaptam-se melhor às novas condições geo-estratégicas da Reconquista. O processo não foi imediato e deu certamente lugar a um processo de competição entre castelos, alguns conseguindo ascender a cabeças de terra, enquanto outros entraram definitivamente em declínio, acabando mesmo por desaparecer</w:t>
      </w:r>
      <w:r w:rsidRPr="0011294E">
        <w:rPr>
          <w:rStyle w:val="Refdenotaderodap"/>
          <w:rFonts w:ascii="Times New Roman" w:hAnsi="Times New Roman"/>
          <w:sz w:val="24"/>
          <w:szCs w:val="24"/>
        </w:rPr>
        <w:footnoteReference w:id="271"/>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Este processo do encastelamento, próprio da época, traduziu-se numa consolidação do regime senhorial em que os detentores de castelos e terras, designados por "tenentes", passaram a exercer aí uma autoridade suprema, sendo os seus poderes senhoriais sancionados pelo próprio rei. Este processo representa também o declínio das famílias condais e a emergência dos infanções que passaram a exercer funções fiscais, judiciais e militares nos territórios que controlavam</w:t>
      </w:r>
      <w:r w:rsidRPr="0011294E">
        <w:rPr>
          <w:rStyle w:val="Refdenotaderodap"/>
          <w:rFonts w:ascii="Times New Roman" w:hAnsi="Times New Roman"/>
          <w:sz w:val="24"/>
          <w:szCs w:val="24"/>
        </w:rPr>
        <w:footnoteReference w:id="272"/>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Não dispomos de séries documentais tão completas para esta zona do território como as que permitem conhecer com certo detalhe o processo de desagregação da </w:t>
      </w:r>
      <w:r w:rsidRPr="0011294E">
        <w:rPr>
          <w:rFonts w:ascii="Times New Roman" w:hAnsi="Times New Roman"/>
          <w:i/>
          <w:iCs/>
          <w:sz w:val="24"/>
          <w:szCs w:val="24"/>
        </w:rPr>
        <w:t xml:space="preserve">civitas </w:t>
      </w:r>
      <w:r w:rsidRPr="0011294E">
        <w:rPr>
          <w:rFonts w:ascii="Times New Roman" w:hAnsi="Times New Roman"/>
          <w:sz w:val="24"/>
          <w:szCs w:val="24"/>
        </w:rPr>
        <w:t xml:space="preserve">Anégia e a formação de várias </w:t>
      </w:r>
      <w:r w:rsidRPr="0011294E">
        <w:rPr>
          <w:rFonts w:ascii="Times New Roman" w:hAnsi="Times New Roman"/>
          <w:i/>
          <w:iCs/>
          <w:sz w:val="24"/>
          <w:szCs w:val="24"/>
        </w:rPr>
        <w:t>Terras</w:t>
      </w:r>
      <w:r w:rsidRPr="0011294E">
        <w:rPr>
          <w:rFonts w:ascii="Times New Roman" w:hAnsi="Times New Roman"/>
          <w:sz w:val="24"/>
          <w:szCs w:val="24"/>
        </w:rPr>
        <w:t xml:space="preserve">, ao longo da segunda metade do Séc. XI. Contudo, os elementos que possuímos sobre a </w:t>
      </w:r>
      <w:r w:rsidRPr="0011294E">
        <w:rPr>
          <w:rFonts w:ascii="Times New Roman" w:hAnsi="Times New Roman"/>
          <w:i/>
          <w:sz w:val="24"/>
          <w:szCs w:val="24"/>
        </w:rPr>
        <w:t xml:space="preserve">civitas Flavias </w:t>
      </w:r>
      <w:r w:rsidRPr="0011294E">
        <w:rPr>
          <w:rFonts w:ascii="Times New Roman" w:hAnsi="Times New Roman"/>
          <w:sz w:val="24"/>
          <w:szCs w:val="24"/>
        </w:rPr>
        <w:t xml:space="preserve">permitem que se aponte para um processo semelhante à da região do vale médio do Douro. Ao longo do Séc. XI e, sobretudo, do Séc. XII, em que o número de diplomas aumenta, multiplicam-se as referências que permitem identificar um número significativo de </w:t>
      </w:r>
      <w:r w:rsidRPr="0011294E">
        <w:rPr>
          <w:rFonts w:ascii="Times New Roman" w:hAnsi="Times New Roman"/>
          <w:i/>
          <w:iCs/>
          <w:sz w:val="24"/>
          <w:szCs w:val="24"/>
        </w:rPr>
        <w:t xml:space="preserve">Terras </w:t>
      </w:r>
      <w:r w:rsidRPr="0011294E">
        <w:rPr>
          <w:rFonts w:ascii="Times New Roman" w:hAnsi="Times New Roman"/>
          <w:sz w:val="24"/>
          <w:szCs w:val="24"/>
        </w:rPr>
        <w:t xml:space="preserve">que substituem a anterior organização estruturada em </w:t>
      </w:r>
      <w:r w:rsidRPr="0011294E">
        <w:rPr>
          <w:rFonts w:ascii="Times New Roman" w:hAnsi="Times New Roman"/>
          <w:i/>
          <w:iCs/>
          <w:sz w:val="24"/>
          <w:szCs w:val="24"/>
        </w:rPr>
        <w:t>civitates</w:t>
      </w:r>
      <w:r w:rsidRPr="0011294E">
        <w:rPr>
          <w:rStyle w:val="Refdenotaderodap"/>
          <w:rFonts w:ascii="Times New Roman" w:hAnsi="Times New Roman"/>
          <w:i/>
          <w:iCs/>
          <w:sz w:val="24"/>
          <w:szCs w:val="24"/>
        </w:rPr>
        <w:footnoteReference w:id="273"/>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Os progressos na arquitetura militar não cessaram e foram-se progressivamente adaptando às novas exigências militares, em grande parte pautadas pela mudança de estratégias de guerrear e com a introdução de novo armamento. Os finais do séc. XIII e, sobretudo, o séc. XIV albergaram a chegada a Portugal do gótico, associado a D. Dinis e às influências francesas que já tinham recaído sobre D. Afonso III.</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Após Alcañices e com o território do reinado ampliado, o monarca português inicia um processo de transformação e adaptação das construções militares. Efetuaram-se uma série de aperfeiçoamentos arquitetónicos que permitiam que o castelo adotasse uma nova atitude de defesa, tornando-se uma estrutura mais ativa na sua função de defesa da população. Os grandes progressos pautaram-se na deslocação da Torre de Menagem, adossando-a à muralha do castelo e dotando-a de novas estruturas que permitiam o tiro vertical – os </w:t>
      </w:r>
      <w:r w:rsidRPr="0011294E">
        <w:rPr>
          <w:rFonts w:ascii="Times New Roman" w:hAnsi="Times New Roman"/>
          <w:i/>
          <w:iCs/>
          <w:sz w:val="24"/>
          <w:szCs w:val="24"/>
        </w:rPr>
        <w:t xml:space="preserve">machicoulis </w:t>
      </w:r>
      <w:r w:rsidRPr="0011294E">
        <w:rPr>
          <w:rFonts w:ascii="Times New Roman" w:hAnsi="Times New Roman"/>
          <w:sz w:val="24"/>
          <w:szCs w:val="24"/>
        </w:rPr>
        <w:t>e os balcões com matacães simples</w:t>
      </w:r>
      <w:r w:rsidRPr="0011294E">
        <w:rPr>
          <w:rStyle w:val="Refdenotaderodap"/>
          <w:rFonts w:ascii="Times New Roman" w:hAnsi="Times New Roman"/>
          <w:sz w:val="24"/>
          <w:szCs w:val="24"/>
        </w:rPr>
        <w:footnoteReference w:id="274"/>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Paralelamente, D. Dinis foi responsável pela colocação do brasão régio nestas torres, numa clara intenção de afirmar o poder do senhorio. Com estas reformas </w:t>
      </w:r>
      <w:r w:rsidRPr="0011294E">
        <w:rPr>
          <w:rFonts w:ascii="Times New Roman" w:hAnsi="Times New Roman"/>
          <w:sz w:val="24"/>
          <w:szCs w:val="24"/>
        </w:rPr>
        <w:lastRenderedPageBreak/>
        <w:t>difundem-se as portas de entrada enquadradas por dois torreões, abrem-se novas seteiras, alarga-se o espaço do adarve, melhoram-se as condições de acesso a este, e colocam-se manteletes para a defesa dos atiradores. De facto, o alargamento do adarve traduziu-se numa maior espessura das muralhas, o que facilitava a movimentação das guarnições em caso de cerco. Este passa, assim, a ser coroado com ameias que possuem a apetência para serem mais largas, sendo constituídas por seteiras adaptadas ao tiro vertical e de besta. As portas de acesso principal passam a estar protegidas por balcões munidos de matacães, permitindo, assim, o tiro vertical</w:t>
      </w:r>
      <w:r w:rsidRPr="0011294E">
        <w:rPr>
          <w:rStyle w:val="Refdenotaderodap"/>
          <w:rFonts w:ascii="Times New Roman" w:hAnsi="Times New Roman"/>
          <w:sz w:val="24"/>
          <w:szCs w:val="24"/>
        </w:rPr>
        <w:footnoteReference w:id="275"/>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Surgem igualmente dois tipos de barbacãs: as parciais, cobrindo um ponto de acesso delicado, como a porta ou a Torre de Menagem; e as extensas, que cobriam toda ou grande parte da fortaleza. Assim, os Castelos começam a ser protegidos um pouco à distância, através de muros mais baixos, que ofereciam um primeiro obstáculo ao inimigo</w:t>
      </w:r>
      <w:r w:rsidRPr="0011294E">
        <w:rPr>
          <w:rFonts w:ascii="Times New Roman" w:hAnsi="Times New Roman"/>
          <w:sz w:val="24"/>
          <w:szCs w:val="24"/>
          <w:vertAlign w:val="superscript"/>
        </w:rPr>
        <w:footnoteReference w:id="276"/>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As Torres de Menagens góticas, para além de se encontrarem adossadas às muralhas, apresentam também tendência para alargar, passando a ocupar áreas destinadas à habitação. Nos andares superiores surgem janelas nobres e amplas. No coroamento destas torres passam a existir balcões munidos de matacães e, ainda, pequenos balcões de ângulo para tiro vertical</w:t>
      </w:r>
      <w:r w:rsidRPr="0011294E">
        <w:rPr>
          <w:rStyle w:val="Refdenotaderodap"/>
          <w:rFonts w:ascii="Times New Roman" w:hAnsi="Times New Roman"/>
          <w:sz w:val="24"/>
          <w:szCs w:val="24"/>
        </w:rPr>
        <w:footnoteReference w:id="277"/>
      </w:r>
      <w:r w:rsidRPr="0011294E">
        <w:rPr>
          <w:rFonts w:ascii="Times New Roman" w:hAnsi="Times New Roman"/>
          <w:sz w:val="24"/>
          <w:szCs w:val="24"/>
        </w:rPr>
        <w:t>.</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No que diz respeito à organização administrativa e militar, o sistema tendo por base as </w:t>
      </w:r>
      <w:r w:rsidRPr="0011294E">
        <w:rPr>
          <w:rFonts w:ascii="Times New Roman" w:hAnsi="Times New Roman"/>
          <w:i/>
          <w:sz w:val="24"/>
          <w:szCs w:val="24"/>
        </w:rPr>
        <w:t xml:space="preserve">Terras </w:t>
      </w:r>
      <w:r w:rsidRPr="0011294E">
        <w:rPr>
          <w:rFonts w:ascii="Times New Roman" w:hAnsi="Times New Roman"/>
          <w:sz w:val="24"/>
          <w:szCs w:val="24"/>
        </w:rPr>
        <w:t>entrou em decadência. No século XIII, com a progressiva afirmação e centralização régia, este sistema começa a cair por terra ao mesmo tempo que os tenentes ficam esvaziados nas suas funções. Progressivamente, este cargo, ocupado pela nobreza, começa a desaparecer e há referência aos julgados, espaços civis e judiciais confiados a juízes de nomeação régia. Estes julgados correspondem à afirmação da centralização do poder régio</w:t>
      </w:r>
      <w:r w:rsidRPr="0011294E">
        <w:rPr>
          <w:rStyle w:val="Refdenotaderodap"/>
          <w:rFonts w:ascii="Times New Roman" w:hAnsi="Times New Roman"/>
          <w:sz w:val="24"/>
          <w:szCs w:val="24"/>
        </w:rPr>
        <w:footnoteReference w:id="278"/>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Posteriormente, a partir dos finais do século XIV e inícios do século XV, a adaptação à pirobalística nos castelos de raiz gótica vai começar a intensificar-se num processo marcado, numa primeira fase pela remodelação de antigos castelos e, </w:t>
      </w:r>
      <w:r w:rsidRPr="0011294E">
        <w:rPr>
          <w:rFonts w:ascii="Times New Roman" w:hAnsi="Times New Roman"/>
          <w:sz w:val="24"/>
          <w:szCs w:val="24"/>
        </w:rPr>
        <w:lastRenderedPageBreak/>
        <w:t>posteriormente, pela construção das primeiras fortificações dedicadas à defesa contra a artilharia e o seu aproveitamento como mecanismo de ataque</w:t>
      </w:r>
      <w:r w:rsidRPr="0011294E">
        <w:rPr>
          <w:rFonts w:ascii="Times New Roman" w:hAnsi="Times New Roman"/>
          <w:sz w:val="24"/>
          <w:szCs w:val="24"/>
          <w:vertAlign w:val="superscript"/>
        </w:rPr>
        <w:footnoteReference w:id="279"/>
      </w:r>
      <w:r w:rsidRPr="0011294E">
        <w:rPr>
          <w:rFonts w:ascii="Times New Roman" w:hAnsi="Times New Roman"/>
          <w:sz w:val="24"/>
          <w:szCs w:val="24"/>
        </w:rPr>
        <w:t>. De facto, a arquitetura militar portuguesa do século XV vai ser pautada não por um grande ímpeto construtivo, mas pelo aperfeiçoamento de uma boa parte dos castelos do reino, de forma a adaptá-los à lógica das armas de pólvora. Esta preparação foi iniciada pela introdução de troneiras nas fortalezas.</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As troneiras encontram-se colocadas em várias posições, aparecendo tanto em cotas altas da muralha do castelo, como em cotas baixas, onde eram mais eficazes, estando dispostas também nas barbacãs e nas suas torres, posicionadas muitas vezes nos cantos de forma a praticar tiro cruzado paralelo à muralha. Este é o mais antigo sinal de adaptação à pirobalística nos castelos de tradição medieval, anunciando o início de uma fase de transição da lógica medieval de fortificar para uma nova lógica influenciada pela adaptação às armas de fogo, tanto do ponto de vista defensivo como ofensivo</w:t>
      </w:r>
      <w:r w:rsidRPr="0011294E">
        <w:rPr>
          <w:rFonts w:ascii="Times New Roman" w:hAnsi="Times New Roman"/>
          <w:sz w:val="24"/>
          <w:szCs w:val="24"/>
          <w:vertAlign w:val="superscript"/>
        </w:rPr>
        <w:footnoteReference w:id="280"/>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 partir do século XVI começam a surgir, cada vez mais, as fortificações de vocação artilheira. Os primeiros exemplos abaluartados convivem com uma certa permanência de uma morfologia castelar baixo-medieval, atestada na manutenção das torres cilíndricas, na presença de matacães e na permanência de um certo cariz funcional da Torre de Menagem</w:t>
      </w:r>
      <w:r w:rsidRPr="0011294E">
        <w:rPr>
          <w:rFonts w:ascii="Times New Roman" w:hAnsi="Times New Roman"/>
          <w:sz w:val="24"/>
          <w:szCs w:val="24"/>
          <w:vertAlign w:val="superscript"/>
        </w:rPr>
        <w:footnoteReference w:id="281"/>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Neste período podemos destacar, de um modo geral, algumas novidades arquitetónicas, designadamente, os muros dos castelos vão passar a ser mais baixos e espessos, generalizando-se o alambor em todo o seu perímetro para resistir a eventuais trabalhos de sapa e para resistir melh</w:t>
      </w:r>
      <w:r w:rsidR="009D2BEB">
        <w:rPr>
          <w:rFonts w:ascii="Times New Roman" w:hAnsi="Times New Roman"/>
          <w:sz w:val="24"/>
          <w:szCs w:val="24"/>
        </w:rPr>
        <w:t>or ao bombardeio. Paralelamente</w:t>
      </w:r>
      <w:r w:rsidRPr="0011294E">
        <w:rPr>
          <w:rFonts w:ascii="Times New Roman" w:hAnsi="Times New Roman"/>
          <w:sz w:val="24"/>
          <w:szCs w:val="24"/>
        </w:rPr>
        <w:t xml:space="preserve"> procede-se ao arredondamento dos seus parapeitos para agudizar o ângulo de incidência dos projéteis de modo a favorecer mais uma vez o seu ricochete. A barbacã, para além de servir como a primeira barreira contra os invasores, é dotada de troneiras, normalmente em cotas mais baixas, de forma a arquitetar a primeira bateria de contra-ataque, dotada de peças de artilharia assentes em câmaras para as receber.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A arquitetura militar dos finais da Idade Média viria, também,</w:t>
      </w:r>
      <w:r w:rsidR="009D2BEB">
        <w:rPr>
          <w:rFonts w:ascii="Times New Roman" w:hAnsi="Times New Roman"/>
          <w:sz w:val="24"/>
          <w:szCs w:val="24"/>
        </w:rPr>
        <w:t xml:space="preserve"> </w:t>
      </w:r>
      <w:r w:rsidRPr="0011294E">
        <w:rPr>
          <w:rFonts w:ascii="Times New Roman" w:hAnsi="Times New Roman"/>
          <w:sz w:val="24"/>
          <w:szCs w:val="24"/>
        </w:rPr>
        <w:t>a tornar populares a abertura de grandes fossos que circundavam toda a fortaleza. Desta forma, permitia esconder o seu perfil ao mesmo tempo que dificultava a abordagem ao Castelo e o protegiam de disparos inimigos, estando equipados com amplas galerias intramuros, que desciam à cota do fosso possibilitando a cobertura deste espaço pelo tiro da artilharia</w:t>
      </w:r>
      <w:r w:rsidRPr="0011294E">
        <w:rPr>
          <w:rFonts w:ascii="Times New Roman" w:hAnsi="Times New Roman"/>
          <w:sz w:val="24"/>
          <w:szCs w:val="24"/>
          <w:vertAlign w:val="superscript"/>
        </w:rPr>
        <w:footnoteReference w:id="282"/>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Ao mesmo tempo assistimos, igualmente, à transformação de torres albarrãs e barbacãs nos primeiros revelins ou baluartes, redutos a céu aberto colocados à frente da muralha de forma a proteger certos locais mais sensíveis de tiro direto, possibilitando, simultaneamente, a cobertura dos flancos com recurso a artilharia</w:t>
      </w:r>
      <w:r w:rsidRPr="0011294E">
        <w:rPr>
          <w:rFonts w:ascii="Times New Roman" w:hAnsi="Times New Roman"/>
          <w:sz w:val="24"/>
          <w:szCs w:val="24"/>
          <w:vertAlign w:val="superscript"/>
        </w:rPr>
        <w:footnoteReference w:id="283"/>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Estas modificações nos castelos medievais portugueses foram registadas pelo escudeiro quinhentista Duarte de Armas, sendo neste sentido uma fonte primordial para o estudo dos castelos medievais portugueses</w:t>
      </w:r>
      <w:r w:rsidRPr="0011294E">
        <w:rPr>
          <w:rFonts w:ascii="Times New Roman" w:hAnsi="Times New Roman"/>
          <w:sz w:val="24"/>
          <w:szCs w:val="24"/>
          <w:vertAlign w:val="superscript"/>
        </w:rPr>
        <w:footnoteReference w:id="284"/>
      </w:r>
      <w:r w:rsidRPr="0011294E">
        <w:rPr>
          <w:rFonts w:ascii="Times New Roman" w:hAnsi="Times New Roman"/>
          <w:sz w:val="24"/>
          <w:szCs w:val="24"/>
        </w:rPr>
        <w:t>.</w:t>
      </w:r>
    </w:p>
    <w:p w:rsidR="003B23C4" w:rsidRPr="0011294E" w:rsidRDefault="003B23C4" w:rsidP="0011294E">
      <w:pPr>
        <w:autoSpaceDE w:val="0"/>
        <w:autoSpaceDN w:val="0"/>
        <w:adjustRightInd w:val="0"/>
        <w:spacing w:line="360" w:lineRule="auto"/>
        <w:jc w:val="both"/>
        <w:rPr>
          <w:rFonts w:ascii="Times New Roman" w:hAnsi="Times New Roman"/>
          <w:sz w:val="24"/>
          <w:szCs w:val="24"/>
        </w:rPr>
      </w:pPr>
    </w:p>
    <w:p w:rsidR="0011294E" w:rsidRPr="0011294E" w:rsidRDefault="0011294E" w:rsidP="0011294E">
      <w:pPr>
        <w:pStyle w:val="Ttulo2"/>
        <w:rPr>
          <w:rFonts w:ascii="Times New Roman" w:hAnsi="Times New Roman" w:cs="Times New Roman"/>
          <w:sz w:val="24"/>
          <w:szCs w:val="24"/>
        </w:rPr>
      </w:pPr>
      <w:bookmarkStart w:id="28" w:name="_Toc430358536"/>
      <w:bookmarkStart w:id="29" w:name="_Toc441612279"/>
      <w:r w:rsidRPr="0011294E">
        <w:rPr>
          <w:rFonts w:ascii="Times New Roman" w:hAnsi="Times New Roman" w:cs="Times New Roman"/>
          <w:sz w:val="24"/>
          <w:szCs w:val="24"/>
        </w:rPr>
        <w:t>4.2 Castelo de Monforte de Rio Livre</w:t>
      </w:r>
      <w:bookmarkEnd w:id="28"/>
      <w:bookmarkEnd w:id="29"/>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b/>
        <w:t>Depois de delineada, muito sinteticamente, a evolução arquitetónica que as estruturas militares sofreram durante a Idade Média, passamos para a observação do castelo de Monforte de Rio Livre.</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A fundação do Castelo foi promovida por D. Afonso III em 1273, quando outorga o primeiro foral ao concelho. Não obstante, a ocupação do monte do castelo remonta a outros períodos, como já vimos nos capítulos anteriores.</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Com efeito, D. Afonso III, no foral de 1273, mostra vontade de criar uma estrutura castelar em Monforte de Rio Livre, quando obriga os moradores do concelho a prestar “</w:t>
      </w:r>
      <w:r w:rsidRPr="0011294E">
        <w:rPr>
          <w:rFonts w:ascii="Times New Roman" w:hAnsi="Times New Roman"/>
          <w:i/>
          <w:sz w:val="24"/>
          <w:szCs w:val="24"/>
        </w:rPr>
        <w:t>homenagem da minha alcáçova, quando eu aí construir”</w:t>
      </w:r>
      <w:r w:rsidRPr="0011294E">
        <w:rPr>
          <w:rStyle w:val="Refdenotaderodap"/>
          <w:rFonts w:ascii="Times New Roman" w:hAnsi="Times New Roman"/>
          <w:i/>
          <w:sz w:val="24"/>
          <w:szCs w:val="24"/>
        </w:rPr>
        <w:footnoteReference w:id="285"/>
      </w:r>
      <w:r w:rsidRPr="0011294E">
        <w:rPr>
          <w:rFonts w:ascii="Times New Roman" w:hAnsi="Times New Roman"/>
          <w:i/>
          <w:sz w:val="24"/>
          <w:szCs w:val="24"/>
        </w:rPr>
        <w:t xml:space="preserve">. </w:t>
      </w:r>
      <w:r w:rsidRPr="0011294E">
        <w:rPr>
          <w:rFonts w:ascii="Times New Roman" w:hAnsi="Times New Roman"/>
          <w:sz w:val="24"/>
          <w:szCs w:val="24"/>
        </w:rPr>
        <w:t xml:space="preserve">Assim, a decisão de construir o castelo de Monforte de Rio Livre deve ser atribuída a D. Afonso III. Contudo, não nos parece verosímil que a obra tenha sido concluída ainda no seu </w:t>
      </w:r>
      <w:r w:rsidRPr="0011294E">
        <w:rPr>
          <w:rFonts w:ascii="Times New Roman" w:hAnsi="Times New Roman"/>
          <w:sz w:val="24"/>
          <w:szCs w:val="24"/>
        </w:rPr>
        <w:lastRenderedPageBreak/>
        <w:t xml:space="preserve">reinado, uma vez que este monarca faleceu seis anos depois, em 1279. Com efeito, D. Dinis aparece como o responsável pela construção da estrutura fortificada, como nos demonstra a </w:t>
      </w:r>
      <w:r w:rsidRPr="0011294E">
        <w:rPr>
          <w:rFonts w:ascii="Times New Roman" w:hAnsi="Times New Roman"/>
          <w:i/>
          <w:sz w:val="24"/>
          <w:szCs w:val="24"/>
        </w:rPr>
        <w:t>Crónica Geral de Espanha de 1344</w:t>
      </w:r>
      <w:r w:rsidRPr="0011294E">
        <w:rPr>
          <w:rStyle w:val="Refdenotaderodap"/>
          <w:rFonts w:ascii="Times New Roman" w:hAnsi="Times New Roman"/>
          <w:i/>
          <w:sz w:val="24"/>
          <w:szCs w:val="24"/>
        </w:rPr>
        <w:footnoteReference w:id="286"/>
      </w:r>
      <w:r w:rsidRPr="0011294E">
        <w:rPr>
          <w:rFonts w:ascii="Times New Roman" w:hAnsi="Times New Roman"/>
          <w:sz w:val="24"/>
          <w:szCs w:val="24"/>
        </w:rPr>
        <w:t xml:space="preserve"> e pela análise dos aspetos arquitetónicos do castelo de Monforte de Rio livre. A ação destes dois monarcas foi decisiva para a edificação desta estrutura castelar na raia portuguesa. Contudo, a primeira referência explícita ao castelo de Monforte de Rio Livre encontra-se numa carta de foro emanada pelo poder central, no reinado de D. Afonso IV, no ano de 1340: </w:t>
      </w:r>
      <w:r w:rsidRPr="0011294E">
        <w:rPr>
          <w:rFonts w:ascii="Times New Roman" w:hAnsi="Times New Roman"/>
          <w:i/>
          <w:sz w:val="24"/>
          <w:szCs w:val="24"/>
        </w:rPr>
        <w:t>ao alcaide do castelo dessa vila</w:t>
      </w:r>
      <w:r w:rsidRPr="0011294E">
        <w:rPr>
          <w:rStyle w:val="Refdenotaderodap"/>
          <w:rFonts w:ascii="Times New Roman" w:hAnsi="Times New Roman"/>
          <w:sz w:val="24"/>
          <w:szCs w:val="24"/>
        </w:rPr>
        <w:footnoteReference w:id="287"/>
      </w:r>
      <w:r w:rsidRPr="0011294E">
        <w:rPr>
          <w:rFonts w:ascii="Times New Roman" w:hAnsi="Times New Roman"/>
          <w:sz w:val="24"/>
          <w:szCs w:val="24"/>
        </w:rPr>
        <w:t>. Neste sentido, podemos afirmar que a construção do castelo pode ser fixada entre os finais do século XIII e princípios do século XIV, estando já edificado no reinado de D. Afonso IV.</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O castelo encontra-se implantado no planalto que constituí o prolongamento Norte da Serra da Padrela, estando limitado a Este pelos rios Rabaçal e Mente, a Sul e a Oeste pelo território de Chaves, fazendo fronteira a Norte com a Galiza. Tendo em conta as fontes documentais e os aspetos da arquitetura militar do Castelo de Monforte de Rio Livre, podemos afirmar que se trata de um exemplar da arquitetura militar gótica. As estruturas do castelo foram construídas para uma defesa “ativa” do território. Com efeito, a crescente estabilidade da fronteira portuguesa, que se iniciou no reinado de D. Afonso III e culminou na assinatura do</w:t>
      </w:r>
      <w:r w:rsidR="009D2BEB">
        <w:rPr>
          <w:rFonts w:ascii="Times New Roman" w:hAnsi="Times New Roman"/>
          <w:sz w:val="24"/>
          <w:szCs w:val="24"/>
        </w:rPr>
        <w:t xml:space="preserve"> </w:t>
      </w:r>
      <w:r w:rsidRPr="0011294E">
        <w:rPr>
          <w:rFonts w:ascii="Times New Roman" w:hAnsi="Times New Roman"/>
          <w:sz w:val="24"/>
          <w:szCs w:val="24"/>
        </w:rPr>
        <w:t>tratado de Alcañices no reinado de D. Dinis, permitiu criar um clima de paz propício à efetivação de reformas nos castelos de raia.</w:t>
      </w:r>
    </w:p>
    <w:p w:rsidR="0011294E" w:rsidRPr="0011294E" w:rsidRDefault="0011294E" w:rsidP="0011294E">
      <w:pPr>
        <w:autoSpaceDE w:val="0"/>
        <w:autoSpaceDN w:val="0"/>
        <w:adjustRightInd w:val="0"/>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Passando para a análise arquitetónica do castelo propriamente dita, podemos observar que o acesso ao interior do Castelo faz-se através de uma porta virada a Sul, em arco de volta perfeita de aduelas simples, sobre impostas salientes, com volantes de madeira, apresentando externamente uma largura de 1,34 m e de altura 2,45 m. No interior do pátio de armas encontra-se uma outra porta, larga, de arco perfeito e exteriormente de arco quebrado sobre impostas salientes, que ligava diretamente o pátio de armas à antiga vila. A porta apresenta uma largura de 2 m e de altura 3,05 m. Esta porta, conhecida como a «Porta da Vila», estabelecia a ligação direta com os arrabaldes. No interior da vila existiam mais duas portas, designadas «porta da Galiza» e «porta de </w:t>
      </w:r>
      <w:r w:rsidRPr="0011294E">
        <w:rPr>
          <w:rFonts w:ascii="Times New Roman" w:hAnsi="Times New Roman"/>
          <w:sz w:val="24"/>
          <w:szCs w:val="24"/>
        </w:rPr>
        <w:lastRenderedPageBreak/>
        <w:t>Bragança», junto da qual se localizava a Igreja Matriz, existindo ainda alguns postigos, dos quais apenas restam as aberturas no pano de muralhas</w:t>
      </w:r>
      <w:r w:rsidR="009D2BEB">
        <w:rPr>
          <w:rFonts w:ascii="Times New Roman" w:hAnsi="Times New Roman"/>
          <w:sz w:val="24"/>
          <w:szCs w:val="24"/>
        </w:rPr>
        <w:t xml:space="preserve"> </w:t>
      </w:r>
      <w:r w:rsidRPr="0011294E">
        <w:rPr>
          <w:rFonts w:ascii="Times New Roman" w:hAnsi="Times New Roman"/>
          <w:sz w:val="24"/>
          <w:szCs w:val="24"/>
        </w:rPr>
        <w:t xml:space="preserve">– como é exemplo do postigo de Galeão virado a norte, representado </w:t>
      </w:r>
      <w:r w:rsidRPr="0011294E">
        <w:rPr>
          <w:rFonts w:ascii="Times New Roman" w:hAnsi="Times New Roman"/>
          <w:i/>
          <w:sz w:val="24"/>
          <w:szCs w:val="24"/>
        </w:rPr>
        <w:t>no Livro das Fortalezas</w:t>
      </w:r>
      <w:r w:rsidRPr="0011294E">
        <w:rPr>
          <w:rStyle w:val="Refdenotaderodap"/>
          <w:rFonts w:ascii="Times New Roman" w:hAnsi="Times New Roman"/>
          <w:i/>
          <w:sz w:val="24"/>
          <w:szCs w:val="24"/>
        </w:rPr>
        <w:footnoteReference w:id="288"/>
      </w:r>
      <w:r w:rsidRPr="0011294E">
        <w:rPr>
          <w:rFonts w:ascii="Times New Roman" w:hAnsi="Times New Roman"/>
          <w:i/>
          <w:sz w:val="24"/>
          <w:szCs w:val="24"/>
        </w:rPr>
        <w:t xml:space="preserve">. </w:t>
      </w:r>
      <w:r w:rsidRPr="0011294E">
        <w:rPr>
          <w:rFonts w:ascii="Times New Roman" w:hAnsi="Times New Roman"/>
          <w:sz w:val="24"/>
          <w:szCs w:val="24"/>
        </w:rPr>
        <w:t>De facto, na representação que Duarte de Armas fez da vila, na vista NE, conseguimos localizar a Igreja paroquial, dedicada a S. Pedro. Dentro da cerca medieval que envolve a vila, apesar de, atualmente, não serem percetíveis os arruamentos devido à vegetação, sabemos que aqui existia, para além da Igreja paroquial e das</w:t>
      </w:r>
      <w:r w:rsidR="009D2BEB">
        <w:rPr>
          <w:rFonts w:ascii="Times New Roman" w:hAnsi="Times New Roman"/>
          <w:sz w:val="24"/>
          <w:szCs w:val="24"/>
        </w:rPr>
        <w:t xml:space="preserve"> </w:t>
      </w:r>
      <w:r w:rsidRPr="0011294E">
        <w:rPr>
          <w:rFonts w:ascii="Times New Roman" w:hAnsi="Times New Roman"/>
          <w:sz w:val="24"/>
          <w:szCs w:val="24"/>
        </w:rPr>
        <w:t xml:space="preserve">habitações, a Casa da Câmara, a Cadeia e a Capela da Senhora do Prado.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fortificação possui uma Torre de Menagem que se encontra implantada na zona mais elevada, dominando todo o conjunto defensivo. Esta torre foi construída no século XIV e servia de residência ao alcaide, funcionando, em caso de perigo, como último e quase inexpugnável reduto de resistência aos ataques dos adversários.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 Torre de Menagem aparece adossada ao pano da muralha, característica vincada de uma arquitetura militar gótica do reinado de D. Dinis, tendo sido construída com recurso a silhares de tamanho intermédio (70 x 35 cm), com aparelho pseudo-isódomo, marcado pela concentração de marcas de canteiro no interior do edifício.</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O castelo possuiu uma planta quadrangular, com entrada por uma porta de arco de volta perfeita (com 2,5 m de altura e 1,70 m</w:t>
      </w:r>
      <w:r w:rsidR="009D2BEB">
        <w:rPr>
          <w:rFonts w:ascii="Times New Roman" w:hAnsi="Times New Roman"/>
          <w:sz w:val="24"/>
          <w:szCs w:val="24"/>
        </w:rPr>
        <w:t xml:space="preserve"> </w:t>
      </w:r>
      <w:r w:rsidRPr="0011294E">
        <w:rPr>
          <w:rFonts w:ascii="Times New Roman" w:hAnsi="Times New Roman"/>
          <w:sz w:val="24"/>
          <w:szCs w:val="24"/>
        </w:rPr>
        <w:t xml:space="preserve">de largura) situado ao nível do primeiro andar, acessível pelo adarve, ao qual se acede por uma escadaria bastante danificada encostada à muralha interior do pátio de armas. </w:t>
      </w:r>
    </w:p>
    <w:p w:rsidR="0011294E" w:rsidRPr="0011294E" w:rsidRDefault="0011294E" w:rsidP="0011294E">
      <w:pPr>
        <w:spacing w:line="360" w:lineRule="auto"/>
        <w:ind w:firstLine="624"/>
        <w:jc w:val="both"/>
        <w:rPr>
          <w:rFonts w:ascii="Times New Roman" w:hAnsi="Times New Roman"/>
          <w:sz w:val="24"/>
          <w:szCs w:val="24"/>
          <w:shd w:val="clear" w:color="auto" w:fill="FFFFFF"/>
        </w:rPr>
      </w:pPr>
      <w:r w:rsidRPr="0011294E">
        <w:rPr>
          <w:rFonts w:ascii="Times New Roman" w:hAnsi="Times New Roman"/>
          <w:sz w:val="24"/>
          <w:szCs w:val="24"/>
        </w:rPr>
        <w:t xml:space="preserve">A torre apresenta dois pisos, conservando os cachorros recortados que o sustentam, assim como duas gárgulas de escoamento de águas pluviais. </w:t>
      </w:r>
      <w:r w:rsidRPr="0011294E">
        <w:rPr>
          <w:rFonts w:ascii="Times New Roman" w:hAnsi="Times New Roman"/>
          <w:sz w:val="24"/>
          <w:szCs w:val="24"/>
          <w:shd w:val="clear" w:color="auto" w:fill="FFFFFF"/>
        </w:rPr>
        <w:t xml:space="preserve">No topo apresenta uma cobertura em placa de betão coberta por um telhado de quatro águas, revestido com telha de aba e canudo, circundada por adarve, acedido por um vão rasgado numa água furtada, com orientação para Norte. </w:t>
      </w:r>
    </w:p>
    <w:p w:rsidR="0011294E" w:rsidRPr="0011294E" w:rsidRDefault="0011294E" w:rsidP="0011294E">
      <w:pPr>
        <w:spacing w:line="360" w:lineRule="auto"/>
        <w:ind w:firstLine="624"/>
        <w:jc w:val="both"/>
        <w:rPr>
          <w:rFonts w:ascii="Times New Roman" w:hAnsi="Times New Roman"/>
          <w:sz w:val="24"/>
          <w:szCs w:val="24"/>
          <w:shd w:val="clear" w:color="auto" w:fill="FFFFFF"/>
        </w:rPr>
      </w:pPr>
      <w:r w:rsidRPr="0011294E">
        <w:rPr>
          <w:rFonts w:ascii="Times New Roman" w:hAnsi="Times New Roman"/>
          <w:sz w:val="24"/>
          <w:szCs w:val="24"/>
        </w:rPr>
        <w:t xml:space="preserve">No que respeita ao interior da torre, o teto atual é formado por uma abóbada de berço em granito, situada a grande altura e, que outrora, terá, provavelmente, constituído o teto de um pavimento intermédio, que seria o segundo andar, vendo-se </w:t>
      </w:r>
      <w:r w:rsidRPr="0011294E">
        <w:rPr>
          <w:rFonts w:ascii="Times New Roman" w:hAnsi="Times New Roman"/>
          <w:sz w:val="24"/>
          <w:szCs w:val="24"/>
        </w:rPr>
        <w:lastRenderedPageBreak/>
        <w:t>ainda as estruturas de apoio do sobrado e os vãos nas paredes que iluminavam o andar, nomeadamente, duas frestas e uma janela de dupla fresta em arco de volta quebrada.</w:t>
      </w:r>
      <w:r w:rsidRPr="0011294E">
        <w:rPr>
          <w:rFonts w:ascii="Times New Roman" w:hAnsi="Times New Roman"/>
          <w:sz w:val="24"/>
          <w:szCs w:val="24"/>
          <w:shd w:val="clear" w:color="auto" w:fill="FFFFFF"/>
        </w:rPr>
        <w:t xml:space="preserve"> Adicionalmente, a fachada Este da torre, apresenta dois pisos separados por cornija corrida saliente e duas mísulas, que sustentam o alpendre desaparecido. Na fachada Sul, a torre é rasgada em cada um dos pisos por uma seteira. Na fachada Oeste, por uma seteira estreita no primeiro piso. De orientação para Norte existe, ainda, uma seteira estreita no primeiro piso e uma janela de dois lumes em arco quebrado</w:t>
      </w:r>
      <w:r w:rsidRPr="0011294E">
        <w:rPr>
          <w:rStyle w:val="Refdenotaderodap"/>
          <w:rFonts w:ascii="Times New Roman" w:hAnsi="Times New Roman"/>
          <w:sz w:val="24"/>
          <w:szCs w:val="24"/>
          <w:shd w:val="clear" w:color="auto" w:fill="FFFFFF"/>
        </w:rPr>
        <w:footnoteReference w:id="289"/>
      </w:r>
      <w:r w:rsidRPr="0011294E">
        <w:rPr>
          <w:rFonts w:ascii="Times New Roman" w:hAnsi="Times New Roman"/>
          <w:sz w:val="24"/>
          <w:szCs w:val="24"/>
          <w:shd w:val="clear" w:color="auto" w:fill="FFFFFF"/>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Num dos ângulos do 2º piso desenvolve-se uma escada em caracol, integrada na espessura da parede, que permitia o acesso ao adarve superior.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seteira do 1º piso da Torre de Menagem, virada para Sul, apresenta 1,12metros de altura e 15 centímetros de largura. O rés-do-chão da Torre é ocupado por uma cisterna abobadada com abertura superior situada no centro do pavimento do primeiro andar. Esta abertura possuiu cerca de 57 cm de largura por 63 cm de comprimento. A cisterna apresenta 5 metros de profundidade, o que garantia o abastecimento de água em caso de cerco. </w:t>
      </w:r>
    </w:p>
    <w:p w:rsidR="00940D86"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Adossadas à Torre de Menagem, pelo lado exterior do pátio, subsistem os alicerces de construções. Através da planta do </w:t>
      </w:r>
      <w:r w:rsidRPr="0011294E">
        <w:rPr>
          <w:rFonts w:ascii="Times New Roman" w:hAnsi="Times New Roman"/>
          <w:i/>
          <w:sz w:val="24"/>
          <w:szCs w:val="24"/>
        </w:rPr>
        <w:t>Livro das Fortalezas</w:t>
      </w:r>
      <w:r w:rsidRPr="0011294E">
        <w:rPr>
          <w:rFonts w:ascii="Times New Roman" w:hAnsi="Times New Roman"/>
          <w:sz w:val="24"/>
          <w:szCs w:val="24"/>
        </w:rPr>
        <w:t xml:space="preserve">, podemos observar a existência de três aposentos encostados à muralha. Estes aposentos apresentavam uma estrutura de dois pisos. Atualmente, no local </w:t>
      </w:r>
      <w:proofErr w:type="gramStart"/>
      <w:r w:rsidRPr="0011294E">
        <w:rPr>
          <w:rFonts w:ascii="Times New Roman" w:hAnsi="Times New Roman"/>
          <w:sz w:val="24"/>
          <w:szCs w:val="24"/>
        </w:rPr>
        <w:t>encontramos</w:t>
      </w:r>
      <w:proofErr w:type="gramEnd"/>
      <w:r w:rsidRPr="0011294E">
        <w:rPr>
          <w:rFonts w:ascii="Times New Roman" w:hAnsi="Times New Roman"/>
          <w:sz w:val="24"/>
          <w:szCs w:val="24"/>
        </w:rPr>
        <w:t xml:space="preserve"> uma camada de entulho que esconde estes compartimentos. </w:t>
      </w:r>
    </w:p>
    <w:p w:rsidR="0011294E" w:rsidRPr="0011294E" w:rsidRDefault="0011294E" w:rsidP="0011294E">
      <w:pPr>
        <w:spacing w:line="360" w:lineRule="auto"/>
        <w:ind w:firstLine="624"/>
        <w:jc w:val="both"/>
        <w:rPr>
          <w:rFonts w:ascii="Times New Roman" w:hAnsi="Times New Roman"/>
          <w:sz w:val="24"/>
          <w:szCs w:val="24"/>
          <w:shd w:val="clear" w:color="auto" w:fill="FFFFFF"/>
        </w:rPr>
      </w:pPr>
      <w:r w:rsidRPr="0011294E">
        <w:rPr>
          <w:rFonts w:ascii="Times New Roman" w:hAnsi="Times New Roman"/>
          <w:sz w:val="24"/>
          <w:szCs w:val="24"/>
          <w:shd w:val="clear" w:color="auto" w:fill="FFFFFF"/>
        </w:rPr>
        <w:t>O adarve ou caminho de ronda era acedido por duas escadas, situadas no lado oposto da Torre de Menagem. Contudo, estas duas escadas apresentam um processo de construção diferente, pelo que foram edificadas em épocas distintas. O processo de construção é característico do período românico, isto é, as escadas erguidas na espessura dos muros. Os degraus, imediatamente a seguir, pertencem a um período posterior, pelo que apresenta características do período gótico, isto é, maciço pétreo adossado ao pano de muralha. Esta solução permitiu que o adarve preservasse toda a superfície disponível para a circulação da guarnição destacada para a defesa dos muros</w:t>
      </w:r>
      <w:r w:rsidRPr="0011294E">
        <w:rPr>
          <w:rStyle w:val="Refdenotaderodap"/>
          <w:rFonts w:ascii="Times New Roman" w:hAnsi="Times New Roman"/>
          <w:sz w:val="24"/>
          <w:szCs w:val="24"/>
          <w:shd w:val="clear" w:color="auto" w:fill="FFFFFF"/>
        </w:rPr>
        <w:footnoteReference w:id="290"/>
      </w:r>
      <w:r w:rsidRPr="0011294E">
        <w:rPr>
          <w:rFonts w:ascii="Times New Roman" w:hAnsi="Times New Roman"/>
          <w:sz w:val="24"/>
          <w:szCs w:val="24"/>
          <w:shd w:val="clear" w:color="auto" w:fill="FFFFFF"/>
        </w:rPr>
        <w:t xml:space="preserve">. </w:t>
      </w:r>
    </w:p>
    <w:p w:rsidR="0011294E" w:rsidRPr="0011294E" w:rsidRDefault="0011294E" w:rsidP="0011294E">
      <w:pPr>
        <w:spacing w:line="360" w:lineRule="auto"/>
        <w:ind w:firstLine="624"/>
        <w:jc w:val="both"/>
        <w:rPr>
          <w:rFonts w:ascii="Times New Roman" w:hAnsi="Times New Roman"/>
          <w:sz w:val="24"/>
          <w:szCs w:val="24"/>
          <w:shd w:val="clear" w:color="auto" w:fill="FFFFFF"/>
        </w:rPr>
      </w:pPr>
      <w:r w:rsidRPr="0011294E">
        <w:rPr>
          <w:rFonts w:ascii="Times New Roman" w:hAnsi="Times New Roman"/>
          <w:sz w:val="24"/>
          <w:szCs w:val="24"/>
          <w:shd w:val="clear" w:color="auto" w:fill="FFFFFF"/>
        </w:rPr>
        <w:lastRenderedPageBreak/>
        <w:t xml:space="preserve">Quanto aos acessos ao interior do recinto, a planta do </w:t>
      </w:r>
      <w:r w:rsidRPr="0011294E">
        <w:rPr>
          <w:rFonts w:ascii="Times New Roman" w:hAnsi="Times New Roman"/>
          <w:i/>
          <w:sz w:val="24"/>
          <w:szCs w:val="24"/>
          <w:shd w:val="clear" w:color="auto" w:fill="FFFFFF"/>
        </w:rPr>
        <w:t>Livro das Fortalezas</w:t>
      </w:r>
      <w:r w:rsidRPr="0011294E">
        <w:rPr>
          <w:rFonts w:ascii="Times New Roman" w:hAnsi="Times New Roman"/>
          <w:sz w:val="24"/>
          <w:szCs w:val="24"/>
          <w:shd w:val="clear" w:color="auto" w:fill="FFFFFF"/>
        </w:rPr>
        <w:t xml:space="preserve"> do castelo de Monforte de Rio Livre evidencia dois acessos, ainda preservados na estrutura acastelada atual – a porta principal junto à Torre de menagem, e a outra que dava acesso ao povoado da vila de Monforte de Rio Livre. </w:t>
      </w: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t xml:space="preserve">Presentemente, a muralha do castelo encontra-se algo arruinada, pelo que já não possuí qualquer tipo de ameias/merlões que coroavam o seu </w:t>
      </w:r>
      <w:r w:rsidRPr="0011294E">
        <w:rPr>
          <w:rFonts w:ascii="Times New Roman" w:hAnsi="Times New Roman"/>
          <w:i/>
          <w:iCs/>
          <w:sz w:val="24"/>
          <w:szCs w:val="24"/>
        </w:rPr>
        <w:t>andamio</w:t>
      </w:r>
      <w:r w:rsidRPr="0011294E">
        <w:rPr>
          <w:rFonts w:ascii="Times New Roman" w:hAnsi="Times New Roman"/>
          <w:sz w:val="24"/>
          <w:szCs w:val="24"/>
        </w:rPr>
        <w:t xml:space="preserve">. Contudo, conforme as indicações nos desenhos do </w:t>
      </w:r>
      <w:r w:rsidRPr="0011294E">
        <w:rPr>
          <w:rFonts w:ascii="Times New Roman" w:hAnsi="Times New Roman"/>
          <w:i/>
          <w:sz w:val="24"/>
          <w:szCs w:val="24"/>
        </w:rPr>
        <w:t xml:space="preserve">fiel escudeiro, </w:t>
      </w:r>
      <w:r w:rsidRPr="0011294E">
        <w:rPr>
          <w:rFonts w:ascii="Times New Roman" w:hAnsi="Times New Roman"/>
          <w:sz w:val="24"/>
          <w:szCs w:val="24"/>
        </w:rPr>
        <w:t xml:space="preserve">podemos observar que toda a estrutura era rematada por um parapeito coroado por ameias pentagonais. </w:t>
      </w:r>
    </w:p>
    <w:p w:rsidR="0011294E" w:rsidRPr="0011294E" w:rsidRDefault="0011294E" w:rsidP="0011294E">
      <w:pPr>
        <w:spacing w:line="360" w:lineRule="auto"/>
        <w:jc w:val="both"/>
        <w:rPr>
          <w:rFonts w:ascii="Times New Roman" w:hAnsi="Times New Roman"/>
          <w:b/>
          <w:sz w:val="24"/>
          <w:szCs w:val="24"/>
        </w:rPr>
      </w:pPr>
    </w:p>
    <w:p w:rsidR="0011294E" w:rsidRPr="0011294E" w:rsidRDefault="0011294E" w:rsidP="0011294E">
      <w:pPr>
        <w:pStyle w:val="Ttulo2"/>
        <w:rPr>
          <w:rFonts w:ascii="Times New Roman" w:hAnsi="Times New Roman" w:cs="Times New Roman"/>
          <w:sz w:val="24"/>
          <w:szCs w:val="24"/>
        </w:rPr>
      </w:pPr>
      <w:r w:rsidRPr="0011294E">
        <w:rPr>
          <w:rFonts w:ascii="Times New Roman" w:hAnsi="Times New Roman" w:cs="Times New Roman"/>
          <w:sz w:val="24"/>
          <w:szCs w:val="24"/>
        </w:rPr>
        <w:tab/>
      </w:r>
      <w:bookmarkStart w:id="30" w:name="_Toc430358537"/>
      <w:bookmarkStart w:id="31" w:name="_Toc441612280"/>
      <w:r w:rsidRPr="0011294E">
        <w:rPr>
          <w:rFonts w:ascii="Times New Roman" w:hAnsi="Times New Roman" w:cs="Times New Roman"/>
          <w:sz w:val="24"/>
          <w:szCs w:val="24"/>
        </w:rPr>
        <w:t>4.3. O Castelo nos finais da Idade Média</w:t>
      </w:r>
      <w:bookmarkEnd w:id="30"/>
      <w:bookmarkEnd w:id="31"/>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O castelo como estrutura defensiva foi sofrendo várias alterações até à perda efetiva de importância. A arte da guerra foi-se alterando ao longo da Idade Média, pelo que foi necessário dotar as fortificações de novos mecanismos que acompanhassem as inovações. Após os momentos de grande agitação política e bélica na zona, durante os séculos XI a XII, os anos que se seguiram não foram de todo anos de acalmia em termos bélicos no território raiano. Na realidade, esta situação teve repercussões ao nível das estruturas militares.</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No século XV, D. João II preocupou-se em realizar obras no castelo e no povoado de Monforte de Rio Livre. Em 1483, o monarca ordena ao alcaide-mor de Bragança que mandasse realizar as obras nesta fortificação. Paralelamente, institui um conjunto de benefícios fiscais para aumentar o número de habitantes no centro da vila</w:t>
      </w:r>
      <w:r w:rsidRPr="0011294E">
        <w:rPr>
          <w:rStyle w:val="Refdenotaderodap"/>
          <w:rFonts w:ascii="Times New Roman" w:hAnsi="Times New Roman"/>
          <w:sz w:val="24"/>
          <w:szCs w:val="24"/>
        </w:rPr>
        <w:footnoteReference w:id="291"/>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Desde o último quartel do século XIV e do século XV, começam a surgir as primeiras referências às armas de fogo no reino português, antevendo uma nova revolução ao nível do armamento e da arquitetura militar. O advento da pirobalística </w:t>
      </w:r>
      <w:r w:rsidRPr="0011294E">
        <w:rPr>
          <w:rFonts w:ascii="Times New Roman" w:hAnsi="Times New Roman"/>
          <w:sz w:val="24"/>
          <w:szCs w:val="24"/>
        </w:rPr>
        <w:lastRenderedPageBreak/>
        <w:t>rapidamente trouxe consequências a nível das estruturas militares, pelo que os castelos tinham de se adaptar a estes novos instrumentos</w:t>
      </w:r>
      <w:r w:rsidRPr="0011294E">
        <w:rPr>
          <w:rStyle w:val="Refdenotaderodap"/>
          <w:rFonts w:ascii="Times New Roman" w:hAnsi="Times New Roman"/>
          <w:sz w:val="24"/>
          <w:szCs w:val="24"/>
        </w:rPr>
        <w:footnoteReference w:id="292"/>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Estas modificações que caracterizaram a primeira fase de adaptação às novas reformas tardo-gótica, fizeram-se sentir no castelo de Monforte de Rio Livre. A fortificação foi reforçada por uma barbacã extensa que, por sua vez, apresentava troeiras ou troneiras. Estas soluções consistem em orifícios cónicos criados para a prática de tiro com trons ou pequenas bocas-de-fogo. As troneiras da barbacã de Monforte de Rio Livre apresentam-se cruzetadas, isto é, com rasgos em forma de cruz. A fenda vertical da cruz destina-se à observação em alcance e a horizontal à observação em direção.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Esta barbacã terá sido edificada por D. João II, na altura em que mandou reforçar a fortificação. Contudo, atualmente apenas existe um pequeno vestígio da barbacã e alguns vestígios da cerca do pano de muralha do castelo, do lado nordeste do castelo. Porém, devido à atual densidade da vegetação, não é possível ter um conhecimento pormenorizado da dimensão da barbacã</w:t>
      </w:r>
      <w:r w:rsidRPr="0011294E">
        <w:rPr>
          <w:rStyle w:val="Refdenotaderodap"/>
          <w:rFonts w:ascii="Times New Roman" w:hAnsi="Times New Roman"/>
          <w:sz w:val="24"/>
          <w:szCs w:val="24"/>
        </w:rPr>
        <w:footnoteReference w:id="293"/>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Desconhecemos em que altura a barbacã terá sido derrubada, confirmando-se apenas que na primeira metade do séc. XX, nas descrições da D.G.E.M.N, é declarado que a barbacã já estava destruída. Acreditamos na possibilidade de esta ter sido destruída como consequência das lutas das Invasões Francesas e das lutas entre liberais e miguelistas, ou, simplesmente, pelo facto de não ter sido considerado de interesse recuperá-la, o que permitiu que esta fosse por si própria se deteriorando até à sua destruição.</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arquitetura militar dos finais da Idade Média viria também a tornar populares a abertura de grandes fossos que circundavam toda a fortaleza, de forma a esconder o seu perfil ao mesmo tempo que dificultavam a abordagem ao castelo e o protegiam de disparos inimigos. De facto, este aspeto adquire uma enorme importância, na medida </w:t>
      </w:r>
      <w:r w:rsidRPr="0011294E">
        <w:rPr>
          <w:rFonts w:ascii="Times New Roman" w:hAnsi="Times New Roman"/>
          <w:sz w:val="24"/>
          <w:szCs w:val="24"/>
        </w:rPr>
        <w:lastRenderedPageBreak/>
        <w:t>em que, o castelo de Monforte de Rio Livre é um dos poucos castelos medievais no Norte de Portugal que possuem um fosso ainda visível nos dias de hoje</w:t>
      </w:r>
      <w:r w:rsidRPr="0011294E">
        <w:rPr>
          <w:rFonts w:ascii="Times New Roman" w:hAnsi="Times New Roman"/>
          <w:sz w:val="24"/>
          <w:szCs w:val="24"/>
          <w:vertAlign w:val="superscript"/>
        </w:rPr>
        <w:footnoteReference w:id="294"/>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Atualmente, o fosso é visível apenas pela parte sul do castelo, em frente à porta principal de acesso ao pátio de armas,</w:t>
      </w:r>
      <w:r w:rsidR="009D2BEB">
        <w:rPr>
          <w:rFonts w:ascii="Times New Roman" w:hAnsi="Times New Roman"/>
          <w:sz w:val="24"/>
          <w:szCs w:val="24"/>
        </w:rPr>
        <w:t xml:space="preserve"> </w:t>
      </w:r>
      <w:r w:rsidRPr="0011294E">
        <w:rPr>
          <w:rFonts w:ascii="Times New Roman" w:hAnsi="Times New Roman"/>
          <w:sz w:val="24"/>
          <w:szCs w:val="24"/>
        </w:rPr>
        <w:t xml:space="preserve">circunscrevendo uma determinada zona </w:t>
      </w:r>
      <w:r w:rsidR="009D2BEB" w:rsidRPr="0011294E">
        <w:rPr>
          <w:rFonts w:ascii="Times New Roman" w:hAnsi="Times New Roman"/>
          <w:sz w:val="24"/>
          <w:szCs w:val="24"/>
        </w:rPr>
        <w:t>sensível, menos</w:t>
      </w:r>
      <w:r w:rsidRPr="0011294E">
        <w:rPr>
          <w:rFonts w:ascii="Times New Roman" w:hAnsi="Times New Roman"/>
          <w:sz w:val="24"/>
          <w:szCs w:val="24"/>
        </w:rPr>
        <w:t xml:space="preserve"> protegida. Para além disso, devemos referir que o fosso do castelo era seco, pelo que teria para o efeito um sistema de drenagem para escoar as águas pluviais, ao longo do mesmo. Contudo, o estado de conservação do fosso não nos permite visualizar este sistema</w:t>
      </w:r>
      <w:r w:rsidRPr="0011294E">
        <w:rPr>
          <w:rFonts w:ascii="Times New Roman" w:hAnsi="Times New Roman"/>
          <w:sz w:val="24"/>
          <w:szCs w:val="24"/>
          <w:vertAlign w:val="superscript"/>
        </w:rPr>
        <w:footnoteReference w:id="295"/>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Este tipo de estrutura conviveu de perto com a evolução das fortificações e consequentes adaptações às novas formas de fazer a guerra. Com a adaptação das estruturas militares à pirobalística e consequente redução da altura dos seus muros, o fosso tornou-se uma peça essencial na defesa das praças, circunscrevendo-as e contornando também muitos dos seus complementos avançados.</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De facto, estes fossos ou cavas, como eram igualmente conhecidos, tinham como função dificultar a aproximação de homens e de engenhos às muralhas e, por outro lado, contrariar a execução dos habituais trabalhos de sapa, isto é, a escavação de túneis para desembocar no interior das fortificações ou a destruição dos seus alicerces.</w:t>
      </w:r>
      <w:r w:rsidRPr="0011294E">
        <w:rPr>
          <w:rFonts w:ascii="Times New Roman" w:hAnsi="Times New Roman"/>
          <w:sz w:val="24"/>
          <w:szCs w:val="24"/>
          <w:vertAlign w:val="superscript"/>
        </w:rPr>
        <w:footnoteReference w:id="296"/>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b/>
          <w:sz w:val="24"/>
          <w:szCs w:val="24"/>
        </w:rPr>
      </w:pPr>
    </w:p>
    <w:p w:rsidR="0011294E" w:rsidRPr="0011294E" w:rsidRDefault="0011294E" w:rsidP="0011294E">
      <w:pPr>
        <w:pStyle w:val="Ttulo2"/>
        <w:rPr>
          <w:rFonts w:ascii="Times New Roman" w:hAnsi="Times New Roman" w:cs="Times New Roman"/>
          <w:sz w:val="24"/>
          <w:szCs w:val="24"/>
        </w:rPr>
      </w:pPr>
      <w:bookmarkStart w:id="32" w:name="_Toc430358538"/>
      <w:bookmarkStart w:id="33" w:name="_Toc441612281"/>
      <w:r w:rsidRPr="0011294E">
        <w:rPr>
          <w:rFonts w:ascii="Times New Roman" w:hAnsi="Times New Roman" w:cs="Times New Roman"/>
          <w:sz w:val="24"/>
          <w:szCs w:val="24"/>
        </w:rPr>
        <w:t xml:space="preserve">4.4. O testemunho de Duarte de Armas (1509-10): Análise dos desenhos do </w:t>
      </w:r>
      <w:r w:rsidRPr="0011294E">
        <w:rPr>
          <w:rFonts w:ascii="Times New Roman" w:hAnsi="Times New Roman" w:cs="Times New Roman"/>
          <w:i/>
          <w:sz w:val="24"/>
          <w:szCs w:val="24"/>
        </w:rPr>
        <w:t>Fiel Escudeiro</w:t>
      </w:r>
      <w:bookmarkEnd w:id="32"/>
      <w:bookmarkEnd w:id="33"/>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Por último, torna-se crucial focar neste ponto a planta do castelo e as duas vistas desenhadas por Duarte de Armas</w:t>
      </w:r>
      <w:r w:rsidR="009D2BEB">
        <w:rPr>
          <w:rFonts w:ascii="Times New Roman" w:hAnsi="Times New Roman"/>
          <w:sz w:val="24"/>
          <w:szCs w:val="24"/>
        </w:rPr>
        <w:t xml:space="preserve"> </w:t>
      </w:r>
      <w:r w:rsidRPr="0011294E">
        <w:rPr>
          <w:rFonts w:ascii="Times New Roman" w:hAnsi="Times New Roman"/>
          <w:sz w:val="24"/>
          <w:szCs w:val="24"/>
        </w:rPr>
        <w:t>no</w:t>
      </w:r>
      <w:r w:rsidR="009D2BEB">
        <w:rPr>
          <w:rFonts w:ascii="Times New Roman" w:hAnsi="Times New Roman"/>
          <w:sz w:val="24"/>
          <w:szCs w:val="24"/>
        </w:rPr>
        <w:t xml:space="preserve"> </w:t>
      </w:r>
      <w:r w:rsidRPr="0011294E">
        <w:rPr>
          <w:rFonts w:ascii="Times New Roman" w:hAnsi="Times New Roman"/>
          <w:i/>
          <w:iCs/>
          <w:sz w:val="24"/>
          <w:szCs w:val="24"/>
        </w:rPr>
        <w:t>Livro das Fortalezas</w:t>
      </w:r>
      <w:r w:rsidRPr="0011294E">
        <w:rPr>
          <w:rFonts w:ascii="Times New Roman" w:hAnsi="Times New Roman"/>
          <w:sz w:val="24"/>
          <w:szCs w:val="24"/>
        </w:rPr>
        <w:t>. Existem na Península Ibérica dois exemplares desta obra - um que se conserva em Lisboa e outro em Madrid. Comparando os desenhos e plantas das duas obras são identificadas algumas diferenças.</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Sobre Monforte de Rio Livre encontramos na obra quinhentista duas vistas e uma planta nos fólios 93, 94 e 131 (da versão consultada de Lisboa). Estes documentos </w:t>
      </w:r>
      <w:r w:rsidRPr="0011294E">
        <w:rPr>
          <w:rFonts w:ascii="Times New Roman" w:hAnsi="Times New Roman"/>
          <w:sz w:val="24"/>
          <w:szCs w:val="24"/>
        </w:rPr>
        <w:lastRenderedPageBreak/>
        <w:t xml:space="preserve">fornecem-nos valiosas informações, permitindo-nos atribuir cronologicamente algumas adaptações realizadas no castelo medieval, como já referimos no caso da barbacã e das troeiras, ambas inovações tardo-góticas que são bem percetíveis nestes documentos. Fornecem-nos, também, uma imagem das estruturas que não chegaram até nós, mas que faziam parte da fortificação, nomeadamente, no interior do castelo. Os referidos documentos permite-nos, ainda, debruçar sobre a evolução do urbanismo medieval através das duas vistas desenhadas sobre o povoado.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Na análise do fólio 93 – vista Sudoeste do povoado medieval – destacamos o castelo com a muralha, a Torre de Menagem e duas barbacãs a rodear o recinto amuralhado. De facto, pela observação deste fólio parece-nos que existiam duas barbacãs. A primeira, de formato pentagonal, cobria uma das portas de acesso ao pátio de armas. Esta consistia na barbacã de porta, na medida que cobria a porta de acesso da entrada principal, criando um espaço pequeno e apertado antes da porta principal. À frente da</w:t>
      </w:r>
      <w:r w:rsidR="009D2BEB">
        <w:rPr>
          <w:rFonts w:ascii="Times New Roman" w:hAnsi="Times New Roman"/>
          <w:sz w:val="24"/>
          <w:szCs w:val="24"/>
        </w:rPr>
        <w:t xml:space="preserve"> </w:t>
      </w:r>
      <w:r w:rsidRPr="0011294E">
        <w:rPr>
          <w:rFonts w:ascii="Times New Roman" w:hAnsi="Times New Roman"/>
          <w:sz w:val="24"/>
          <w:szCs w:val="24"/>
        </w:rPr>
        <w:t>primeira barbacã observa-se a existência de uma pequena torre com ameias retangulares e a existência de uma troneira cruzetada. O acesso ao interior deste espaço é feito através de uma porta de entrada em arco de volta perfeita. O adarve da muralha do castelo apresenta ameias pentagonais, enquanto a barbacã de porta apresenta ameias retangulares. A segunda circundava o castelo e é designada de barbacã extensa</w:t>
      </w:r>
      <w:r w:rsidRPr="0011294E">
        <w:rPr>
          <w:rStyle w:val="Refdenotaderodap"/>
          <w:rFonts w:ascii="Times New Roman" w:hAnsi="Times New Roman"/>
          <w:sz w:val="24"/>
          <w:szCs w:val="24"/>
        </w:rPr>
        <w:footnoteReference w:id="297"/>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partir da observação dos desenhos da Torre de Menagem verifica-se que esta surge com uma altura muito elevada, destacando-se, ainda, a presença de </w:t>
      </w:r>
      <w:r w:rsidRPr="0011294E">
        <w:rPr>
          <w:rFonts w:ascii="Times New Roman" w:hAnsi="Times New Roman"/>
          <w:i/>
          <w:sz w:val="24"/>
          <w:szCs w:val="24"/>
        </w:rPr>
        <w:t>machicoulis</w:t>
      </w:r>
      <w:r w:rsidR="009D2BEB">
        <w:rPr>
          <w:rFonts w:ascii="Times New Roman" w:hAnsi="Times New Roman"/>
          <w:i/>
          <w:sz w:val="24"/>
          <w:szCs w:val="24"/>
        </w:rPr>
        <w:t xml:space="preserve"> </w:t>
      </w:r>
      <w:r w:rsidRPr="0011294E">
        <w:rPr>
          <w:rFonts w:ascii="Times New Roman" w:hAnsi="Times New Roman"/>
          <w:sz w:val="24"/>
          <w:szCs w:val="24"/>
        </w:rPr>
        <w:t xml:space="preserve">no coroamento. Os </w:t>
      </w:r>
      <w:r w:rsidRPr="0011294E">
        <w:rPr>
          <w:rFonts w:ascii="Times New Roman" w:hAnsi="Times New Roman"/>
          <w:i/>
          <w:sz w:val="24"/>
          <w:szCs w:val="24"/>
        </w:rPr>
        <w:t xml:space="preserve">machicoulis </w:t>
      </w:r>
      <w:r w:rsidRPr="0011294E">
        <w:rPr>
          <w:rFonts w:ascii="Times New Roman" w:hAnsi="Times New Roman"/>
          <w:sz w:val="24"/>
          <w:szCs w:val="24"/>
        </w:rPr>
        <w:t>eram um balcão corrido a toda a volta da torre, suportado pelas mísulas, intervaladas por matacães e coroado por ameias, que permitiam o tiro vertical.</w:t>
      </w:r>
      <w:r w:rsidR="009D2BEB">
        <w:rPr>
          <w:rFonts w:ascii="Times New Roman" w:hAnsi="Times New Roman"/>
          <w:sz w:val="24"/>
          <w:szCs w:val="24"/>
        </w:rPr>
        <w:t xml:space="preserve"> </w:t>
      </w:r>
      <w:r w:rsidRPr="0011294E">
        <w:rPr>
          <w:rFonts w:ascii="Times New Roman" w:hAnsi="Times New Roman"/>
          <w:sz w:val="24"/>
          <w:szCs w:val="24"/>
        </w:rPr>
        <w:t>No desenho observamos, também, duas janelas, do primeiro e segundo andar respetivamente.</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Na vista Nordeste, que ocupa o fólio 94, o castelo apresenta continuamente a barbacã extensa, aqui representada com quatro troneiras cruzetadas e com ameias retangulares. A muralha é representada, à semelhança do fólio anterior, com um adarve já meio deteriorado e com algumas ameias destruídas.</w:t>
      </w:r>
      <w:r w:rsidR="009D2BEB">
        <w:rPr>
          <w:rFonts w:ascii="Times New Roman" w:hAnsi="Times New Roman"/>
          <w:sz w:val="24"/>
          <w:szCs w:val="24"/>
        </w:rPr>
        <w:t xml:space="preserve"> </w:t>
      </w:r>
      <w:r w:rsidRPr="0011294E">
        <w:rPr>
          <w:rFonts w:ascii="Times New Roman" w:hAnsi="Times New Roman"/>
          <w:sz w:val="24"/>
          <w:szCs w:val="24"/>
        </w:rPr>
        <w:t xml:space="preserve">Destaca-se, também, a presença do castelo de Monterrei, numa elevação a Norte de Monforte de Rio Livre, onde se lê </w:t>
      </w:r>
      <w:r w:rsidRPr="0011294E">
        <w:rPr>
          <w:rFonts w:ascii="Times New Roman" w:hAnsi="Times New Roman"/>
          <w:i/>
          <w:sz w:val="24"/>
          <w:szCs w:val="24"/>
        </w:rPr>
        <w:lastRenderedPageBreak/>
        <w:t>Monte rey</w:t>
      </w:r>
      <w:r w:rsidRPr="0011294E">
        <w:rPr>
          <w:rFonts w:ascii="Times New Roman" w:hAnsi="Times New Roman"/>
          <w:sz w:val="24"/>
          <w:szCs w:val="24"/>
        </w:rPr>
        <w:t xml:space="preserve"> – aspeto igualmente assinalado no exemplar de Madrid. Os restantes aspetos que observamos no debuxo dizem respeito aos elementos que caracterizam o povoado de Monforte de Rio Livre, nomeadamente, a muralha da vila e a Igreja matriz de São Pedro. </w:t>
      </w:r>
    </w:p>
    <w:p w:rsidR="0011294E" w:rsidRPr="0011294E" w:rsidRDefault="0011294E" w:rsidP="0011294E">
      <w:pPr>
        <w:autoSpaceDE w:val="0"/>
        <w:autoSpaceDN w:val="0"/>
        <w:adjustRightInd w:val="0"/>
        <w:spacing w:line="360" w:lineRule="auto"/>
        <w:ind w:firstLine="624"/>
        <w:jc w:val="both"/>
        <w:rPr>
          <w:rFonts w:ascii="Times New Roman" w:hAnsi="Times New Roman"/>
          <w:i/>
          <w:sz w:val="24"/>
          <w:szCs w:val="24"/>
        </w:rPr>
      </w:pPr>
      <w:r w:rsidRPr="0011294E">
        <w:rPr>
          <w:rFonts w:ascii="Times New Roman" w:hAnsi="Times New Roman"/>
          <w:sz w:val="24"/>
          <w:szCs w:val="24"/>
        </w:rPr>
        <w:t>A análise da planta do fólio 131 apresenta-se como uma fonte muito importante, na medida em que contém informações muito valiosas ao nível da arquitetura militar. Esta planta permite a análise e identificação das estruturas existentes no interior do espaço fortificado, que não estão vis</w:t>
      </w:r>
      <w:r w:rsidR="009D2BEB">
        <w:rPr>
          <w:rFonts w:ascii="Times New Roman" w:hAnsi="Times New Roman"/>
          <w:sz w:val="24"/>
          <w:szCs w:val="24"/>
        </w:rPr>
        <w:t>íveis atualmente. Paralelamente</w:t>
      </w:r>
      <w:r w:rsidRPr="0011294E">
        <w:rPr>
          <w:rFonts w:ascii="Times New Roman" w:hAnsi="Times New Roman"/>
          <w:sz w:val="24"/>
          <w:szCs w:val="24"/>
        </w:rPr>
        <w:t xml:space="preserve"> conta com pequenas anotações realizadas pelo autor. Podemos destacar, em primeiro lugar, a imponente Torre de Menagem: </w:t>
      </w:r>
      <w:r w:rsidRPr="0011294E">
        <w:rPr>
          <w:rFonts w:ascii="Times New Roman" w:hAnsi="Times New Roman"/>
          <w:i/>
          <w:sz w:val="24"/>
          <w:szCs w:val="24"/>
        </w:rPr>
        <w:t>“Esta tore da menagem tem dous vaaos / e no fundo dela tem hua cysterna na …/ q tem 7 v + de vaao. / E tem daltura 16 v e a grossura dela 2 v e 2 p. / Esta corigida toda de novo e muy bem forada de …”</w:t>
      </w:r>
    </w:p>
    <w:p w:rsid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Pela leitura destes dados podemos mencionar que a altura da torre seria de 17,60 m e 2,64 m de espessura. A largura das quatro faces encontra-se assinalada no interior da torre, nomeadamente especificamente, seis varas e um palmo, isto é, 6,82 m. Na leitura da Torre de Menagem, destacamos, ainda, a referência à cisterna que estava localizada no rés-do-chão da estrutura e que apresentava 8,25 m de vão</w:t>
      </w:r>
      <w:r w:rsidRPr="0011294E">
        <w:rPr>
          <w:rStyle w:val="Refdenotaderodap"/>
          <w:rFonts w:ascii="Times New Roman" w:hAnsi="Times New Roman"/>
          <w:sz w:val="24"/>
          <w:szCs w:val="24"/>
        </w:rPr>
        <w:footnoteReference w:id="298"/>
      </w:r>
      <w:r w:rsidRPr="0011294E">
        <w:rPr>
          <w:rFonts w:ascii="Times New Roman" w:hAnsi="Times New Roman"/>
          <w:sz w:val="24"/>
          <w:szCs w:val="24"/>
        </w:rPr>
        <w:t xml:space="preserve">. </w:t>
      </w:r>
    </w:p>
    <w:p w:rsidR="00F20F19" w:rsidRDefault="00F20F19" w:rsidP="0011294E">
      <w:pPr>
        <w:autoSpaceDE w:val="0"/>
        <w:autoSpaceDN w:val="0"/>
        <w:adjustRightInd w:val="0"/>
        <w:spacing w:line="360" w:lineRule="auto"/>
        <w:ind w:firstLine="624"/>
        <w:jc w:val="both"/>
        <w:rPr>
          <w:rFonts w:ascii="Times New Roman" w:hAnsi="Times New Roman"/>
          <w:sz w:val="24"/>
          <w:szCs w:val="24"/>
        </w:rPr>
      </w:pPr>
    </w:p>
    <w:p w:rsidR="00F20F19" w:rsidRPr="0011294E" w:rsidRDefault="00F20F19" w:rsidP="0011294E">
      <w:pPr>
        <w:autoSpaceDE w:val="0"/>
        <w:autoSpaceDN w:val="0"/>
        <w:adjustRightInd w:val="0"/>
        <w:spacing w:line="360" w:lineRule="auto"/>
        <w:ind w:firstLine="624"/>
        <w:jc w:val="both"/>
        <w:rPr>
          <w:rFonts w:ascii="Times New Roman" w:hAnsi="Times New Roman"/>
          <w:sz w:val="24"/>
          <w:szCs w:val="24"/>
        </w:rPr>
      </w:pP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p>
    <w:tbl>
      <w:tblPr>
        <w:tblStyle w:val="Tabelacomgrelha"/>
        <w:tblW w:w="0" w:type="auto"/>
        <w:jc w:val="center"/>
        <w:tblLook w:val="04A0"/>
      </w:tblPr>
      <w:tblGrid>
        <w:gridCol w:w="2161"/>
        <w:gridCol w:w="2161"/>
        <w:gridCol w:w="2161"/>
      </w:tblGrid>
      <w:tr w:rsidR="0011294E" w:rsidRPr="0011294E" w:rsidTr="0011294E">
        <w:trPr>
          <w:jc w:val="center"/>
        </w:trPr>
        <w:tc>
          <w:tcPr>
            <w:tcW w:w="2161" w:type="dxa"/>
            <w:shd w:val="clear" w:color="auto" w:fill="948A54" w:themeFill="background2" w:themeFillShade="80"/>
            <w:vAlign w:val="center"/>
          </w:tcPr>
          <w:p w:rsidR="0011294E" w:rsidRPr="0011294E" w:rsidRDefault="0011294E" w:rsidP="0011294E">
            <w:pPr>
              <w:jc w:val="center"/>
              <w:rPr>
                <w:rFonts w:ascii="Times New Roman" w:hAnsi="Times New Roman" w:cs="Times New Roman"/>
                <w:b/>
                <w:sz w:val="24"/>
                <w:szCs w:val="24"/>
              </w:rPr>
            </w:pPr>
            <w:r w:rsidRPr="0011294E">
              <w:rPr>
                <w:rFonts w:ascii="Times New Roman" w:hAnsi="Times New Roman" w:cs="Times New Roman"/>
                <w:b/>
                <w:sz w:val="24"/>
                <w:szCs w:val="24"/>
              </w:rPr>
              <w:t>Medidas (Metros)</w:t>
            </w:r>
          </w:p>
        </w:tc>
        <w:tc>
          <w:tcPr>
            <w:tcW w:w="2161" w:type="dxa"/>
            <w:shd w:val="clear" w:color="auto" w:fill="948A54" w:themeFill="background2" w:themeFillShade="80"/>
            <w:vAlign w:val="center"/>
          </w:tcPr>
          <w:p w:rsidR="0011294E" w:rsidRPr="0011294E" w:rsidRDefault="0011294E" w:rsidP="0011294E">
            <w:pPr>
              <w:jc w:val="center"/>
              <w:rPr>
                <w:rFonts w:ascii="Times New Roman" w:hAnsi="Times New Roman" w:cs="Times New Roman"/>
                <w:b/>
                <w:sz w:val="24"/>
                <w:szCs w:val="24"/>
              </w:rPr>
            </w:pPr>
            <w:r w:rsidRPr="0011294E">
              <w:rPr>
                <w:rFonts w:ascii="Times New Roman" w:hAnsi="Times New Roman" w:cs="Times New Roman"/>
                <w:b/>
                <w:sz w:val="24"/>
                <w:szCs w:val="24"/>
              </w:rPr>
              <w:t>Duarte de Armas (1509-1510)</w:t>
            </w:r>
          </w:p>
        </w:tc>
        <w:tc>
          <w:tcPr>
            <w:tcW w:w="2161" w:type="dxa"/>
            <w:shd w:val="clear" w:color="auto" w:fill="948A54" w:themeFill="background2" w:themeFillShade="80"/>
            <w:vAlign w:val="center"/>
          </w:tcPr>
          <w:p w:rsidR="0011294E" w:rsidRPr="0011294E" w:rsidRDefault="0011294E" w:rsidP="0011294E">
            <w:pPr>
              <w:jc w:val="center"/>
              <w:rPr>
                <w:rFonts w:ascii="Times New Roman" w:hAnsi="Times New Roman" w:cs="Times New Roman"/>
                <w:b/>
                <w:sz w:val="24"/>
                <w:szCs w:val="24"/>
              </w:rPr>
            </w:pPr>
            <w:r w:rsidRPr="0011294E">
              <w:rPr>
                <w:rFonts w:ascii="Times New Roman" w:hAnsi="Times New Roman" w:cs="Times New Roman"/>
                <w:b/>
                <w:sz w:val="24"/>
                <w:szCs w:val="24"/>
              </w:rPr>
              <w:t>Atualmente (2015)</w:t>
            </w:r>
          </w:p>
        </w:tc>
      </w:tr>
      <w:tr w:rsidR="0011294E" w:rsidRPr="0011294E" w:rsidTr="0011294E">
        <w:trPr>
          <w:jc w:val="center"/>
        </w:trPr>
        <w:tc>
          <w:tcPr>
            <w:tcW w:w="2161" w:type="dxa"/>
            <w:vAlign w:val="center"/>
          </w:tcPr>
          <w:p w:rsidR="0011294E" w:rsidRPr="0011294E" w:rsidRDefault="0011294E" w:rsidP="0011294E">
            <w:pPr>
              <w:jc w:val="center"/>
              <w:rPr>
                <w:rFonts w:ascii="Times New Roman" w:hAnsi="Times New Roman" w:cs="Times New Roman"/>
                <w:sz w:val="24"/>
                <w:szCs w:val="24"/>
              </w:rPr>
            </w:pPr>
            <w:r w:rsidRPr="0011294E">
              <w:rPr>
                <w:rFonts w:ascii="Times New Roman" w:hAnsi="Times New Roman" w:cs="Times New Roman"/>
                <w:sz w:val="24"/>
                <w:szCs w:val="24"/>
              </w:rPr>
              <w:t>Largura</w:t>
            </w:r>
          </w:p>
        </w:tc>
        <w:tc>
          <w:tcPr>
            <w:tcW w:w="2161" w:type="dxa"/>
            <w:vAlign w:val="center"/>
          </w:tcPr>
          <w:p w:rsidR="0011294E" w:rsidRPr="0011294E" w:rsidRDefault="0011294E" w:rsidP="0011294E">
            <w:pPr>
              <w:jc w:val="center"/>
              <w:rPr>
                <w:rFonts w:ascii="Times New Roman" w:hAnsi="Times New Roman" w:cs="Times New Roman"/>
                <w:sz w:val="24"/>
                <w:szCs w:val="24"/>
              </w:rPr>
            </w:pPr>
            <w:r w:rsidRPr="0011294E">
              <w:rPr>
                <w:rFonts w:ascii="Times New Roman" w:hAnsi="Times New Roman" w:cs="Times New Roman"/>
                <w:sz w:val="24"/>
                <w:szCs w:val="24"/>
              </w:rPr>
              <w:t>6,28 m</w:t>
            </w:r>
          </w:p>
        </w:tc>
        <w:tc>
          <w:tcPr>
            <w:tcW w:w="2161" w:type="dxa"/>
            <w:vAlign w:val="center"/>
          </w:tcPr>
          <w:p w:rsidR="0011294E" w:rsidRPr="0011294E" w:rsidRDefault="0011294E" w:rsidP="0011294E">
            <w:pPr>
              <w:jc w:val="center"/>
              <w:rPr>
                <w:rFonts w:ascii="Times New Roman" w:hAnsi="Times New Roman" w:cs="Times New Roman"/>
                <w:sz w:val="24"/>
                <w:szCs w:val="24"/>
              </w:rPr>
            </w:pPr>
            <w:r w:rsidRPr="0011294E">
              <w:rPr>
                <w:rFonts w:ascii="Times New Roman" w:hAnsi="Times New Roman" w:cs="Times New Roman"/>
                <w:sz w:val="24"/>
                <w:szCs w:val="24"/>
              </w:rPr>
              <w:t>6,50m</w:t>
            </w:r>
          </w:p>
        </w:tc>
      </w:tr>
      <w:tr w:rsidR="0011294E" w:rsidRPr="0011294E" w:rsidTr="0011294E">
        <w:trPr>
          <w:jc w:val="center"/>
        </w:trPr>
        <w:tc>
          <w:tcPr>
            <w:tcW w:w="2161" w:type="dxa"/>
            <w:vAlign w:val="center"/>
          </w:tcPr>
          <w:p w:rsidR="0011294E" w:rsidRPr="0011294E" w:rsidRDefault="0011294E" w:rsidP="0011294E">
            <w:pPr>
              <w:jc w:val="center"/>
              <w:rPr>
                <w:rFonts w:ascii="Times New Roman" w:hAnsi="Times New Roman" w:cs="Times New Roman"/>
                <w:sz w:val="24"/>
                <w:szCs w:val="24"/>
              </w:rPr>
            </w:pPr>
            <w:r w:rsidRPr="0011294E">
              <w:rPr>
                <w:rFonts w:ascii="Times New Roman" w:hAnsi="Times New Roman" w:cs="Times New Roman"/>
                <w:sz w:val="24"/>
                <w:szCs w:val="24"/>
              </w:rPr>
              <w:t>Altura</w:t>
            </w:r>
          </w:p>
        </w:tc>
        <w:tc>
          <w:tcPr>
            <w:tcW w:w="2161" w:type="dxa"/>
            <w:vAlign w:val="center"/>
          </w:tcPr>
          <w:p w:rsidR="0011294E" w:rsidRPr="0011294E" w:rsidRDefault="0011294E" w:rsidP="0011294E">
            <w:pPr>
              <w:jc w:val="center"/>
              <w:rPr>
                <w:rFonts w:ascii="Times New Roman" w:hAnsi="Times New Roman" w:cs="Times New Roman"/>
                <w:sz w:val="24"/>
                <w:szCs w:val="24"/>
              </w:rPr>
            </w:pPr>
            <w:r w:rsidRPr="0011294E">
              <w:rPr>
                <w:rFonts w:ascii="Times New Roman" w:hAnsi="Times New Roman" w:cs="Times New Roman"/>
                <w:sz w:val="24"/>
                <w:szCs w:val="24"/>
              </w:rPr>
              <w:t>17,60 m</w:t>
            </w:r>
          </w:p>
        </w:tc>
        <w:tc>
          <w:tcPr>
            <w:tcW w:w="2161" w:type="dxa"/>
            <w:vAlign w:val="center"/>
          </w:tcPr>
          <w:p w:rsidR="0011294E" w:rsidRPr="0011294E" w:rsidRDefault="0011294E" w:rsidP="0011294E">
            <w:pPr>
              <w:jc w:val="center"/>
              <w:rPr>
                <w:rFonts w:ascii="Times New Roman" w:hAnsi="Times New Roman" w:cs="Times New Roman"/>
                <w:sz w:val="24"/>
                <w:szCs w:val="24"/>
              </w:rPr>
            </w:pPr>
            <w:r w:rsidRPr="0011294E">
              <w:rPr>
                <w:rFonts w:ascii="Times New Roman" w:hAnsi="Times New Roman" w:cs="Times New Roman"/>
                <w:sz w:val="24"/>
                <w:szCs w:val="24"/>
              </w:rPr>
              <w:t>16,40 m</w:t>
            </w:r>
          </w:p>
        </w:tc>
      </w:tr>
      <w:tr w:rsidR="0011294E" w:rsidRPr="0011294E" w:rsidTr="0011294E">
        <w:trPr>
          <w:jc w:val="center"/>
        </w:trPr>
        <w:tc>
          <w:tcPr>
            <w:tcW w:w="2161" w:type="dxa"/>
            <w:vAlign w:val="center"/>
          </w:tcPr>
          <w:p w:rsidR="0011294E" w:rsidRPr="0011294E" w:rsidRDefault="0011294E" w:rsidP="0011294E">
            <w:pPr>
              <w:jc w:val="center"/>
              <w:rPr>
                <w:rFonts w:ascii="Times New Roman" w:hAnsi="Times New Roman" w:cs="Times New Roman"/>
                <w:sz w:val="24"/>
                <w:szCs w:val="24"/>
              </w:rPr>
            </w:pPr>
            <w:r w:rsidRPr="0011294E">
              <w:rPr>
                <w:rFonts w:ascii="Times New Roman" w:hAnsi="Times New Roman" w:cs="Times New Roman"/>
                <w:sz w:val="24"/>
                <w:szCs w:val="24"/>
              </w:rPr>
              <w:t>Espessura</w:t>
            </w:r>
          </w:p>
        </w:tc>
        <w:tc>
          <w:tcPr>
            <w:tcW w:w="2161" w:type="dxa"/>
            <w:vAlign w:val="center"/>
          </w:tcPr>
          <w:p w:rsidR="0011294E" w:rsidRPr="0011294E" w:rsidRDefault="0011294E" w:rsidP="0011294E">
            <w:pPr>
              <w:jc w:val="center"/>
              <w:rPr>
                <w:rFonts w:ascii="Times New Roman" w:hAnsi="Times New Roman" w:cs="Times New Roman"/>
                <w:sz w:val="24"/>
                <w:szCs w:val="24"/>
              </w:rPr>
            </w:pPr>
            <w:r w:rsidRPr="0011294E">
              <w:rPr>
                <w:rFonts w:ascii="Times New Roman" w:hAnsi="Times New Roman" w:cs="Times New Roman"/>
                <w:sz w:val="24"/>
                <w:szCs w:val="24"/>
              </w:rPr>
              <w:t>2,64 m</w:t>
            </w:r>
          </w:p>
        </w:tc>
        <w:tc>
          <w:tcPr>
            <w:tcW w:w="2161" w:type="dxa"/>
            <w:vAlign w:val="center"/>
          </w:tcPr>
          <w:p w:rsidR="0011294E" w:rsidRPr="0011294E" w:rsidRDefault="0011294E" w:rsidP="0011294E">
            <w:pPr>
              <w:jc w:val="center"/>
              <w:rPr>
                <w:rFonts w:ascii="Times New Roman" w:hAnsi="Times New Roman" w:cs="Times New Roman"/>
                <w:sz w:val="24"/>
                <w:szCs w:val="24"/>
              </w:rPr>
            </w:pPr>
            <w:r w:rsidRPr="0011294E">
              <w:rPr>
                <w:rFonts w:ascii="Times New Roman" w:hAnsi="Times New Roman" w:cs="Times New Roman"/>
                <w:sz w:val="24"/>
                <w:szCs w:val="24"/>
              </w:rPr>
              <w:t>2,64 m</w:t>
            </w:r>
          </w:p>
        </w:tc>
      </w:tr>
    </w:tbl>
    <w:p w:rsidR="0011294E" w:rsidRPr="0011294E" w:rsidRDefault="0011294E" w:rsidP="0011294E">
      <w:pPr>
        <w:autoSpaceDE w:val="0"/>
        <w:autoSpaceDN w:val="0"/>
        <w:adjustRightInd w:val="0"/>
        <w:spacing w:line="360" w:lineRule="auto"/>
        <w:ind w:firstLine="624"/>
        <w:jc w:val="both"/>
        <w:rPr>
          <w:rFonts w:ascii="Times New Roman" w:hAnsi="Times New Roman"/>
          <w:b/>
          <w:sz w:val="24"/>
          <w:szCs w:val="24"/>
        </w:rPr>
      </w:pP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b/>
          <w:sz w:val="24"/>
          <w:szCs w:val="24"/>
        </w:rPr>
        <w:t>Tabela 1:</w:t>
      </w:r>
      <w:r w:rsidRPr="0011294E">
        <w:rPr>
          <w:rFonts w:ascii="Times New Roman" w:hAnsi="Times New Roman"/>
          <w:sz w:val="24"/>
          <w:szCs w:val="24"/>
        </w:rPr>
        <w:t xml:space="preserve"> Medidas da Torre de Menagem retiradas das descrições de Duarte de Armas e medidas atuais.</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i/>
          <w:sz w:val="24"/>
          <w:szCs w:val="24"/>
        </w:rPr>
      </w:pPr>
      <w:r w:rsidRPr="0011294E">
        <w:rPr>
          <w:rFonts w:ascii="Times New Roman" w:hAnsi="Times New Roman"/>
          <w:sz w:val="24"/>
          <w:szCs w:val="24"/>
        </w:rPr>
        <w:lastRenderedPageBreak/>
        <w:t>Quanto à muralha que cobria o pátio de armas, as medidas são bastante claras: o perímetro é de 77, 5 varas + 1 palmo (isto é, 85,47 m) e a área é de 513.Relativamente à altura da muralha, podemos mencionar que tinha 8 varas e meia, isto é, 9,35m. E</w:t>
      </w:r>
      <w:r w:rsidR="009D2BEB">
        <w:rPr>
          <w:rFonts w:ascii="Times New Roman" w:hAnsi="Times New Roman"/>
          <w:sz w:val="24"/>
          <w:szCs w:val="24"/>
        </w:rPr>
        <w:t xml:space="preserve"> </w:t>
      </w:r>
      <w:r w:rsidRPr="0011294E">
        <w:rPr>
          <w:rFonts w:ascii="Times New Roman" w:hAnsi="Times New Roman"/>
          <w:sz w:val="24"/>
          <w:szCs w:val="24"/>
        </w:rPr>
        <w:t>a</w:t>
      </w:r>
      <w:r w:rsidR="009D2BEB">
        <w:rPr>
          <w:rFonts w:ascii="Times New Roman" w:hAnsi="Times New Roman"/>
          <w:sz w:val="24"/>
          <w:szCs w:val="24"/>
        </w:rPr>
        <w:t xml:space="preserve"> </w:t>
      </w:r>
      <w:r w:rsidRPr="0011294E">
        <w:rPr>
          <w:rFonts w:ascii="Times New Roman" w:hAnsi="Times New Roman"/>
          <w:sz w:val="24"/>
          <w:szCs w:val="24"/>
        </w:rPr>
        <w:t xml:space="preserve">espessura (ou largura do adarve) alcançava2 varas e 1 palmo, ou seja, 2,42 m. A leitura correspondente à cerca refere o seguinte: </w:t>
      </w:r>
      <w:r w:rsidRPr="0011294E">
        <w:rPr>
          <w:rFonts w:ascii="Times New Roman" w:hAnsi="Times New Roman"/>
          <w:i/>
          <w:sz w:val="24"/>
          <w:szCs w:val="24"/>
        </w:rPr>
        <w:t xml:space="preserve">Este muro tem d altura 8 v + a grossura do muro della 2v 1 p. </w:t>
      </w:r>
    </w:p>
    <w:p w:rsidR="0011294E" w:rsidRPr="0011294E" w:rsidRDefault="0011294E" w:rsidP="0011294E">
      <w:pPr>
        <w:spacing w:line="360" w:lineRule="auto"/>
        <w:ind w:firstLine="624"/>
        <w:jc w:val="both"/>
        <w:rPr>
          <w:rFonts w:ascii="Times New Roman" w:hAnsi="Times New Roman"/>
          <w:i/>
          <w:sz w:val="24"/>
          <w:szCs w:val="24"/>
        </w:rPr>
      </w:pPr>
    </w:p>
    <w:p w:rsidR="0011294E" w:rsidRPr="0011294E" w:rsidRDefault="0011294E" w:rsidP="0011294E">
      <w:pPr>
        <w:spacing w:line="360" w:lineRule="auto"/>
        <w:ind w:firstLine="624"/>
        <w:jc w:val="both"/>
        <w:rPr>
          <w:rFonts w:ascii="Times New Roman" w:hAnsi="Times New Roman"/>
          <w:i/>
          <w:sz w:val="24"/>
          <w:szCs w:val="24"/>
        </w:rPr>
      </w:pPr>
    </w:p>
    <w:p w:rsidR="0011294E" w:rsidRPr="0011294E" w:rsidRDefault="0011294E" w:rsidP="0011294E">
      <w:pPr>
        <w:spacing w:line="360" w:lineRule="auto"/>
        <w:ind w:firstLine="624"/>
        <w:jc w:val="both"/>
        <w:rPr>
          <w:rFonts w:ascii="Times New Roman" w:hAnsi="Times New Roman"/>
          <w:i/>
          <w:sz w:val="24"/>
          <w:szCs w:val="24"/>
        </w:rPr>
      </w:pPr>
    </w:p>
    <w:p w:rsidR="0011294E" w:rsidRPr="0011294E" w:rsidRDefault="0011294E" w:rsidP="0011294E">
      <w:pPr>
        <w:spacing w:line="360" w:lineRule="auto"/>
        <w:ind w:firstLine="624"/>
        <w:jc w:val="both"/>
        <w:rPr>
          <w:rFonts w:ascii="Times New Roman" w:hAnsi="Times New Roman"/>
          <w:i/>
          <w:sz w:val="24"/>
          <w:szCs w:val="24"/>
        </w:rPr>
      </w:pPr>
    </w:p>
    <w:tbl>
      <w:tblPr>
        <w:tblStyle w:val="Tabelacomgrelha1"/>
        <w:tblW w:w="0" w:type="auto"/>
        <w:jc w:val="center"/>
        <w:tblLook w:val="04A0"/>
      </w:tblPr>
      <w:tblGrid>
        <w:gridCol w:w="3496"/>
        <w:gridCol w:w="2410"/>
      </w:tblGrid>
      <w:tr w:rsidR="0011294E" w:rsidRPr="0011294E" w:rsidTr="0011294E">
        <w:trPr>
          <w:jc w:val="center"/>
        </w:trPr>
        <w:tc>
          <w:tcPr>
            <w:tcW w:w="3496" w:type="dxa"/>
            <w:shd w:val="clear" w:color="auto" w:fill="948A54" w:themeFill="background2" w:themeFillShade="80"/>
            <w:vAlign w:val="center"/>
          </w:tcPr>
          <w:p w:rsidR="0011294E" w:rsidRPr="0011294E" w:rsidRDefault="0011294E" w:rsidP="0011294E">
            <w:pPr>
              <w:jc w:val="center"/>
              <w:rPr>
                <w:rFonts w:cs="Times New Roman"/>
                <w:szCs w:val="24"/>
              </w:rPr>
            </w:pPr>
            <w:r w:rsidRPr="0011294E">
              <w:rPr>
                <w:rFonts w:cs="Times New Roman"/>
                <w:b/>
                <w:szCs w:val="24"/>
              </w:rPr>
              <w:t>Duarte de Armas (1509-1510)</w:t>
            </w:r>
          </w:p>
        </w:tc>
        <w:tc>
          <w:tcPr>
            <w:tcW w:w="2410" w:type="dxa"/>
            <w:shd w:val="clear" w:color="auto" w:fill="948A54" w:themeFill="background2" w:themeFillShade="80"/>
            <w:vAlign w:val="center"/>
          </w:tcPr>
          <w:p w:rsidR="0011294E" w:rsidRPr="0011294E" w:rsidRDefault="0011294E" w:rsidP="0011294E">
            <w:pPr>
              <w:jc w:val="center"/>
              <w:rPr>
                <w:rFonts w:cs="Times New Roman"/>
                <w:b/>
                <w:szCs w:val="24"/>
              </w:rPr>
            </w:pPr>
            <w:r w:rsidRPr="0011294E">
              <w:rPr>
                <w:rFonts w:cs="Times New Roman"/>
                <w:b/>
                <w:szCs w:val="24"/>
              </w:rPr>
              <w:t>Atualidade (2015)</w:t>
            </w:r>
          </w:p>
        </w:tc>
      </w:tr>
      <w:tr w:rsidR="0011294E" w:rsidRPr="0011294E" w:rsidTr="0011294E">
        <w:trPr>
          <w:jc w:val="center"/>
        </w:trPr>
        <w:tc>
          <w:tcPr>
            <w:tcW w:w="3496" w:type="dxa"/>
            <w:vAlign w:val="center"/>
          </w:tcPr>
          <w:p w:rsidR="0011294E" w:rsidRPr="0011294E" w:rsidRDefault="0011294E" w:rsidP="0011294E">
            <w:pPr>
              <w:jc w:val="center"/>
              <w:rPr>
                <w:rFonts w:cs="Times New Roman"/>
                <w:szCs w:val="24"/>
              </w:rPr>
            </w:pPr>
            <w:r w:rsidRPr="0011294E">
              <w:rPr>
                <w:rFonts w:cs="Times New Roman"/>
                <w:szCs w:val="24"/>
              </w:rPr>
              <w:t>19,25 m</w:t>
            </w:r>
          </w:p>
        </w:tc>
        <w:tc>
          <w:tcPr>
            <w:tcW w:w="2410" w:type="dxa"/>
            <w:vAlign w:val="center"/>
          </w:tcPr>
          <w:p w:rsidR="0011294E" w:rsidRPr="0011294E" w:rsidRDefault="0011294E" w:rsidP="0011294E">
            <w:pPr>
              <w:jc w:val="center"/>
              <w:rPr>
                <w:rFonts w:cs="Times New Roman"/>
                <w:szCs w:val="24"/>
              </w:rPr>
            </w:pPr>
            <w:r w:rsidRPr="0011294E">
              <w:rPr>
                <w:rFonts w:cs="Times New Roman"/>
                <w:szCs w:val="24"/>
              </w:rPr>
              <w:t>20 m</w:t>
            </w:r>
          </w:p>
        </w:tc>
      </w:tr>
      <w:tr w:rsidR="0011294E" w:rsidRPr="0011294E" w:rsidTr="0011294E">
        <w:trPr>
          <w:jc w:val="center"/>
        </w:trPr>
        <w:tc>
          <w:tcPr>
            <w:tcW w:w="3496" w:type="dxa"/>
            <w:vAlign w:val="center"/>
          </w:tcPr>
          <w:p w:rsidR="0011294E" w:rsidRPr="0011294E" w:rsidRDefault="0011294E" w:rsidP="0011294E">
            <w:pPr>
              <w:jc w:val="center"/>
              <w:rPr>
                <w:rFonts w:cs="Times New Roman"/>
                <w:szCs w:val="24"/>
              </w:rPr>
            </w:pPr>
            <w:r w:rsidRPr="0011294E">
              <w:rPr>
                <w:rFonts w:cs="Times New Roman"/>
                <w:szCs w:val="24"/>
              </w:rPr>
              <w:t>26,95 m</w:t>
            </w:r>
          </w:p>
        </w:tc>
        <w:tc>
          <w:tcPr>
            <w:tcW w:w="2410" w:type="dxa"/>
            <w:vAlign w:val="center"/>
          </w:tcPr>
          <w:p w:rsidR="0011294E" w:rsidRPr="0011294E" w:rsidRDefault="0011294E" w:rsidP="0011294E">
            <w:pPr>
              <w:jc w:val="center"/>
              <w:rPr>
                <w:rFonts w:cs="Times New Roman"/>
                <w:szCs w:val="24"/>
              </w:rPr>
            </w:pPr>
            <w:r w:rsidRPr="0011294E">
              <w:rPr>
                <w:rFonts w:cs="Times New Roman"/>
                <w:szCs w:val="24"/>
              </w:rPr>
              <w:t>27 m</w:t>
            </w:r>
          </w:p>
        </w:tc>
      </w:tr>
      <w:tr w:rsidR="0011294E" w:rsidRPr="0011294E" w:rsidTr="0011294E">
        <w:trPr>
          <w:jc w:val="center"/>
        </w:trPr>
        <w:tc>
          <w:tcPr>
            <w:tcW w:w="3496" w:type="dxa"/>
            <w:vAlign w:val="center"/>
          </w:tcPr>
          <w:p w:rsidR="0011294E" w:rsidRPr="0011294E" w:rsidRDefault="0011294E" w:rsidP="0011294E">
            <w:pPr>
              <w:jc w:val="center"/>
              <w:rPr>
                <w:rFonts w:cs="Times New Roman"/>
                <w:szCs w:val="24"/>
              </w:rPr>
            </w:pPr>
            <w:r w:rsidRPr="0011294E">
              <w:rPr>
                <w:rFonts w:cs="Times New Roman"/>
                <w:szCs w:val="24"/>
              </w:rPr>
              <w:t>18,15 m</w:t>
            </w:r>
          </w:p>
        </w:tc>
        <w:tc>
          <w:tcPr>
            <w:tcW w:w="2410" w:type="dxa"/>
            <w:vAlign w:val="center"/>
          </w:tcPr>
          <w:p w:rsidR="0011294E" w:rsidRPr="0011294E" w:rsidRDefault="0011294E" w:rsidP="0011294E">
            <w:pPr>
              <w:jc w:val="center"/>
              <w:rPr>
                <w:rFonts w:cs="Times New Roman"/>
                <w:szCs w:val="24"/>
              </w:rPr>
            </w:pPr>
            <w:r w:rsidRPr="0011294E">
              <w:rPr>
                <w:rFonts w:cs="Times New Roman"/>
                <w:szCs w:val="24"/>
              </w:rPr>
              <w:t>19 m</w:t>
            </w:r>
          </w:p>
        </w:tc>
      </w:tr>
      <w:tr w:rsidR="0011294E" w:rsidRPr="0011294E" w:rsidTr="0011294E">
        <w:trPr>
          <w:jc w:val="center"/>
        </w:trPr>
        <w:tc>
          <w:tcPr>
            <w:tcW w:w="3496" w:type="dxa"/>
            <w:vAlign w:val="center"/>
          </w:tcPr>
          <w:p w:rsidR="0011294E" w:rsidRPr="0011294E" w:rsidRDefault="0011294E" w:rsidP="0011294E">
            <w:pPr>
              <w:jc w:val="center"/>
              <w:rPr>
                <w:rFonts w:cs="Times New Roman"/>
                <w:szCs w:val="24"/>
              </w:rPr>
            </w:pPr>
            <w:r w:rsidRPr="0011294E">
              <w:rPr>
                <w:rFonts w:cs="Times New Roman"/>
                <w:szCs w:val="24"/>
              </w:rPr>
              <w:t>21,12 m</w:t>
            </w:r>
          </w:p>
        </w:tc>
        <w:tc>
          <w:tcPr>
            <w:tcW w:w="2410" w:type="dxa"/>
            <w:vAlign w:val="center"/>
          </w:tcPr>
          <w:p w:rsidR="0011294E" w:rsidRPr="0011294E" w:rsidRDefault="0011294E" w:rsidP="0011294E">
            <w:pPr>
              <w:jc w:val="center"/>
              <w:rPr>
                <w:rFonts w:cs="Times New Roman"/>
                <w:szCs w:val="24"/>
              </w:rPr>
            </w:pPr>
            <w:r w:rsidRPr="0011294E">
              <w:rPr>
                <w:rFonts w:cs="Times New Roman"/>
                <w:szCs w:val="24"/>
              </w:rPr>
              <w:t>22 m</w:t>
            </w:r>
          </w:p>
        </w:tc>
      </w:tr>
    </w:tbl>
    <w:p w:rsidR="0011294E" w:rsidRPr="0011294E" w:rsidRDefault="0011294E" w:rsidP="0011294E">
      <w:pPr>
        <w:spacing w:line="360" w:lineRule="auto"/>
        <w:ind w:firstLine="624"/>
        <w:jc w:val="both"/>
        <w:rPr>
          <w:rFonts w:ascii="Times New Roman" w:hAnsi="Times New Roman"/>
          <w:b/>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b/>
          <w:sz w:val="24"/>
          <w:szCs w:val="24"/>
        </w:rPr>
        <w:t>Tabela 2:</w:t>
      </w:r>
      <w:r w:rsidRPr="0011294E">
        <w:rPr>
          <w:rFonts w:ascii="Times New Roman" w:hAnsi="Times New Roman"/>
          <w:sz w:val="24"/>
          <w:szCs w:val="24"/>
        </w:rPr>
        <w:t xml:space="preserve"> Comparação das medidas do Castelo de Monforte de Rio Livre – Muralha (Pátio de Armas) </w:t>
      </w:r>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Ao analisar as medidas de Duarte de Armas com as medidas atuais concluímos que o pátio de armas não sofreu alterações significativas na estrutura acastelada.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Na fachada sul da muralha, onde se encontra a porta principal de acesso ao pátio de armas encontramos a barbacã de porta. No desenho, esta estrutura tinha 4 varas de altura, isto é, 4,40 m.</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Já no interior do perímetro amuralhado encontramos representadas três escadas adossadas de acesso ao adarve. Uma delas, que vai de encontro à entrada da Torre, é protegida a noroeste por uma pequena habitação, não restando, atualmente, vestígios à superfície. As restantes encontram-se a Este do recinto amuralhado: uma das escadas vai de encontro a uma pequena habitação, da qual hoje apenas restam os alicerces, enquanto a outra encontra-se no lado oposto da primeira, dando acesso ao adarve.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 xml:space="preserve">Dentro do pátio de armas desta fortificação encontramos três estruturas, adossadas ao pano da muralha. Uma primeira estrutura encontra-se virada para a Torre de Menagem, no ângulo Sudoeste da muralha, com uma porta, sendo apontada como </w:t>
      </w:r>
      <w:r w:rsidRPr="0011294E">
        <w:rPr>
          <w:rFonts w:ascii="Times New Roman" w:hAnsi="Times New Roman"/>
          <w:i/>
          <w:sz w:val="24"/>
          <w:szCs w:val="24"/>
        </w:rPr>
        <w:t>sobradada.</w:t>
      </w:r>
      <w:r w:rsidR="009D2BEB">
        <w:rPr>
          <w:rFonts w:ascii="Times New Roman" w:hAnsi="Times New Roman"/>
          <w:i/>
          <w:sz w:val="24"/>
          <w:szCs w:val="24"/>
        </w:rPr>
        <w:t xml:space="preserve"> </w:t>
      </w:r>
      <w:r w:rsidRPr="0011294E">
        <w:rPr>
          <w:rFonts w:ascii="Times New Roman" w:hAnsi="Times New Roman"/>
          <w:sz w:val="24"/>
          <w:szCs w:val="24"/>
        </w:rPr>
        <w:t xml:space="preserve">Paralelamente, outra estrutura a noroeste do pano da muralha é, igualmente, apontada como </w:t>
      </w:r>
      <w:r w:rsidRPr="0011294E">
        <w:rPr>
          <w:rFonts w:ascii="Times New Roman" w:hAnsi="Times New Roman"/>
          <w:i/>
          <w:sz w:val="24"/>
          <w:szCs w:val="24"/>
        </w:rPr>
        <w:t>sobradada</w:t>
      </w:r>
      <w:r w:rsidRPr="0011294E">
        <w:rPr>
          <w:rFonts w:ascii="Times New Roman" w:hAnsi="Times New Roman"/>
          <w:sz w:val="24"/>
          <w:szCs w:val="24"/>
        </w:rPr>
        <w:t xml:space="preserve">, com a diferença de que possuía duas portas – uma porta de entrada e uma outra que dava acesso à terceira e última estrutura referida nos desenhos de Duarte de Armas. Esta última estava localizada no ângulo Noroeste da muralha, tendo uma porta de acesso pelo aposento interior ao qual estava ligado e uma porta principal de entrada pelo pátio de armas.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Estas estruturas eram aposentos ou habitações de dois andares, comprovado pelos encaixes existentes no pano da muralha, ainda visíveis atualmente no castelo. Contudo, só com várias campanhas de escavação será possível pôr a descoberto estas estruturas e definir melhor a organização do espaço medieval do interior do castelo.</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Depois de realizado o debuxo de Duarte de Armas, o Castelo de Monforte de Rio Livre, terá recebido mais alterações e adaptações durante os reinados de D. Manuel e D. João III. Essas obras correspondem a uma barbacã erguida em frente da porta principal de acesso ao castelo, como se documenta nas plantas do século XVII e XVIII. De facto, Monforte de Rio Livre foi um dos castelos de Portugal que recebeu esta reforma na Época Moderna. Esta alteração foi pautada pelo acrescento de baluartes, que protegiam o acesso principal do reduto amuralhado</w:t>
      </w:r>
      <w:r w:rsidRPr="0011294E">
        <w:rPr>
          <w:rStyle w:val="Refdenotaderodap"/>
          <w:rFonts w:ascii="Times New Roman" w:hAnsi="Times New Roman"/>
          <w:sz w:val="24"/>
          <w:szCs w:val="24"/>
        </w:rPr>
        <w:footnoteReference w:id="299"/>
      </w:r>
      <w:r w:rsidR="009D2BEB">
        <w:rPr>
          <w:rFonts w:ascii="Times New Roman" w:hAnsi="Times New Roman"/>
          <w:sz w:val="24"/>
          <w:szCs w:val="24"/>
        </w:rPr>
        <w:t>. Simultaneamente</w:t>
      </w:r>
      <w:r w:rsidRPr="0011294E">
        <w:rPr>
          <w:rFonts w:ascii="Times New Roman" w:hAnsi="Times New Roman"/>
          <w:sz w:val="24"/>
          <w:szCs w:val="24"/>
        </w:rPr>
        <w:t xml:space="preserve"> existe a notícia que no século XVIII, existiam na vila </w:t>
      </w:r>
      <w:r w:rsidRPr="0011294E">
        <w:rPr>
          <w:rFonts w:ascii="Times New Roman" w:hAnsi="Times New Roman"/>
          <w:i/>
          <w:sz w:val="24"/>
          <w:szCs w:val="24"/>
        </w:rPr>
        <w:t>“quatro canhões de ferro que mostravam ser de calibre de vinte e quatro, três dos quais ainda estão em bom uso e hum já arruinado de ferrugem”</w:t>
      </w:r>
      <w:r w:rsidRPr="0011294E">
        <w:rPr>
          <w:rStyle w:val="Refdenotaderodap"/>
          <w:rFonts w:ascii="Times New Roman" w:hAnsi="Times New Roman"/>
          <w:i/>
          <w:sz w:val="24"/>
          <w:szCs w:val="24"/>
        </w:rPr>
        <w:footnoteReference w:id="300"/>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Contudo, o futuro da fortaleza prender-se-á com a contínua perda de importância estratégica destas terras fronteiriças, passando-se a centrar as atenções em outras zonas do reino, até então mais desprotegidas, e que ganhavam agora extremo interesse, a zona costeira</w:t>
      </w:r>
      <w:r w:rsidRPr="0011294E">
        <w:rPr>
          <w:rStyle w:val="Refdenotaderodap"/>
          <w:rFonts w:ascii="Times New Roman" w:hAnsi="Times New Roman"/>
          <w:sz w:val="24"/>
          <w:szCs w:val="24"/>
        </w:rPr>
        <w:footnoteReference w:id="301"/>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pStyle w:val="Ttulo2"/>
        <w:rPr>
          <w:rFonts w:ascii="Times New Roman" w:hAnsi="Times New Roman" w:cs="Times New Roman"/>
          <w:sz w:val="24"/>
          <w:szCs w:val="24"/>
        </w:rPr>
      </w:pPr>
      <w:bookmarkStart w:id="34" w:name="_Toc430358539"/>
      <w:bookmarkStart w:id="35" w:name="_Toc441612282"/>
      <w:r w:rsidRPr="0011294E">
        <w:rPr>
          <w:rFonts w:ascii="Times New Roman" w:hAnsi="Times New Roman" w:cs="Times New Roman"/>
          <w:sz w:val="24"/>
          <w:szCs w:val="24"/>
        </w:rPr>
        <w:lastRenderedPageBreak/>
        <w:t>4.5 Restauro da DGEMN</w:t>
      </w:r>
      <w:bookmarkEnd w:id="34"/>
      <w:bookmarkEnd w:id="35"/>
    </w:p>
    <w:p w:rsidR="0011294E" w:rsidRPr="0011294E" w:rsidRDefault="0011294E" w:rsidP="0011294E">
      <w:pPr>
        <w:spacing w:line="360" w:lineRule="auto"/>
        <w:ind w:left="360"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Direcção-Geral dos Edifícios e Monumentos Nacionais (DGEMN) foi criada em 1929, pelo decreto nº 16791 de 30 de Abril no âmbito do Ministério do Comércio e Comunicações, tendo como atribuições a salvaguarda e valorização de património arquitetónico e instalação de serviços púbicos. Era assim instituída a estrutura que se encontrava enquadrada numa doutrina política e ideológica superiormente prescrita numa vasta campanha de obras no património arquitetónico em todo o território nacional.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Com a implantação do Estado Novo, vamos assistir a um enquadramento político e jurídico ideologicamente considerando pela cúpula que se traduzirá na adoção de critérios e instrumentos de memória e propaganda, que em teoria emprestariam uma renovada dinâmica as monumentos nacionais.</w:t>
      </w:r>
      <w:r w:rsidR="009D2BEB">
        <w:rPr>
          <w:rFonts w:ascii="Times New Roman" w:hAnsi="Times New Roman"/>
          <w:sz w:val="24"/>
          <w:szCs w:val="24"/>
        </w:rPr>
        <w:t xml:space="preserve"> </w:t>
      </w:r>
      <w:r w:rsidRPr="0011294E">
        <w:rPr>
          <w:rFonts w:ascii="Times New Roman" w:hAnsi="Times New Roman"/>
          <w:sz w:val="24"/>
          <w:szCs w:val="24"/>
        </w:rPr>
        <w:t>Neste sentido, os monumentos nacionais tornaram-se um instrumento de afirmação deste conjunto de valores históricos-ideológico do regime. O papel dos monumentos nacionais é indissociável da perspetiva de conduzir o País na memória do seu passado homérico e civilizador</w:t>
      </w:r>
      <w:r w:rsidRPr="0011294E">
        <w:rPr>
          <w:rStyle w:val="Refdenotaderodap"/>
          <w:rFonts w:ascii="Times New Roman" w:hAnsi="Times New Roman"/>
          <w:sz w:val="24"/>
          <w:szCs w:val="24"/>
        </w:rPr>
        <w:footnoteReference w:id="302"/>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Os monumentos nacionais eram usados como um instrumento governativo ao serviço da produção de uma verdade construída sobre uma atmosfera nacionalista, que privilegiava a nova crença histórica do seu passado. Os monumentos seriam, deste modo, restaurados. Eram eleitos segundo critérios assentes na dimensão histórica do seu passado, entendida esta como um conjunto de factos e acontecimentos a eles associados e não de forma individual.</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Neste enquadramento ideológico, os castelos surgem como objetivo natural de interesse do regime por constituírem sinais distintivos da defesa e consolidação das fronteiras territoriais de Portugal</w:t>
      </w:r>
      <w:r w:rsidRPr="0011294E">
        <w:rPr>
          <w:rStyle w:val="Refdenotaderodap"/>
          <w:rFonts w:ascii="Times New Roman" w:hAnsi="Times New Roman"/>
          <w:sz w:val="24"/>
          <w:szCs w:val="24"/>
        </w:rPr>
        <w:footnoteReference w:id="303"/>
      </w:r>
      <w:r w:rsidRPr="0011294E">
        <w:rPr>
          <w:rFonts w:ascii="Times New Roman" w:hAnsi="Times New Roman"/>
          <w:sz w:val="24"/>
          <w:szCs w:val="24"/>
        </w:rPr>
        <w:t xml:space="preserve">. </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Foi neste contexto que em 5 de Janeiro de 1950, o Castelo de Monforte de Rio Livre foi considerado Monumento Nacional pelo Decreto-lei nº 37 728, sendo </w:t>
      </w:r>
      <w:r w:rsidRPr="0011294E">
        <w:rPr>
          <w:rFonts w:ascii="Times New Roman" w:hAnsi="Times New Roman"/>
          <w:sz w:val="24"/>
          <w:szCs w:val="24"/>
        </w:rPr>
        <w:lastRenderedPageBreak/>
        <w:t>classificado “</w:t>
      </w:r>
      <w:r w:rsidRPr="0011294E">
        <w:rPr>
          <w:rFonts w:ascii="Times New Roman" w:hAnsi="Times New Roman"/>
          <w:i/>
          <w:sz w:val="24"/>
          <w:szCs w:val="24"/>
        </w:rPr>
        <w:t>um imóvel ou conjunto com valor excecional, cujas características deverão ser integralmente preservadas”</w:t>
      </w:r>
      <w:r w:rsidRPr="0011294E">
        <w:rPr>
          <w:rStyle w:val="Refdenotaderodap"/>
          <w:rFonts w:ascii="Times New Roman" w:hAnsi="Times New Roman"/>
          <w:sz w:val="24"/>
          <w:szCs w:val="24"/>
        </w:rPr>
        <w:footnoteReference w:id="304"/>
      </w:r>
      <w:r w:rsidRPr="0011294E">
        <w:rPr>
          <w:rFonts w:ascii="Times New Roman" w:hAnsi="Times New Roman"/>
          <w:sz w:val="24"/>
          <w:szCs w:val="24"/>
        </w:rPr>
        <w:t xml:space="preserve">. </w:t>
      </w:r>
    </w:p>
    <w:p w:rsidR="0011294E" w:rsidRPr="0011294E" w:rsidRDefault="0011294E" w:rsidP="0011294E">
      <w:pPr>
        <w:spacing w:line="360" w:lineRule="auto"/>
        <w:ind w:firstLine="708"/>
        <w:jc w:val="both"/>
        <w:rPr>
          <w:rFonts w:ascii="Times New Roman" w:hAnsi="Times New Roman"/>
          <w:i/>
          <w:sz w:val="24"/>
          <w:szCs w:val="24"/>
        </w:rPr>
      </w:pPr>
      <w:r w:rsidRPr="0011294E">
        <w:rPr>
          <w:rFonts w:ascii="Times New Roman" w:hAnsi="Times New Roman"/>
          <w:sz w:val="24"/>
          <w:szCs w:val="24"/>
        </w:rPr>
        <w:t xml:space="preserve">Na realidade, temos notícia através da revista </w:t>
      </w:r>
      <w:r w:rsidRPr="0011294E">
        <w:rPr>
          <w:rFonts w:ascii="Times New Roman" w:hAnsi="Times New Roman"/>
          <w:i/>
          <w:sz w:val="24"/>
          <w:szCs w:val="24"/>
        </w:rPr>
        <w:t>Ocidente</w:t>
      </w:r>
      <w:r w:rsidRPr="0011294E">
        <w:rPr>
          <w:rFonts w:ascii="Times New Roman" w:hAnsi="Times New Roman"/>
          <w:sz w:val="24"/>
          <w:szCs w:val="24"/>
        </w:rPr>
        <w:t xml:space="preserve"> que nos diz o seguinte: </w:t>
      </w:r>
      <w:r w:rsidRPr="0011294E">
        <w:rPr>
          <w:rFonts w:ascii="Times New Roman" w:hAnsi="Times New Roman"/>
          <w:i/>
          <w:sz w:val="24"/>
          <w:szCs w:val="24"/>
        </w:rPr>
        <w:t>“Do castello que defronta com Galliza, cujos montes se veem além representados na nossa gravura, restam hoje solitárias e pittorescas muralhas, que aparecem recordar-se saudosa dos bellos tempos em que constantemente ouviam os branidos do leão de Castella que lhe vinha rugir às portas. Hoje é ruina característica, muito venerada por certo e muito digna de figurar sadas glorias nacioanaes. O nosso desenhador Manuel de Macedo, divagando há dois anos, em excursão artística, pelas faldas de Monforte, entendeu salvar o velho castello do esquecimento publico, e eis o motivo porqueelle veio na sua decrepitude receber o baptismo da gravura nas paginas do Ocidente, rejuvenescendo assim por um momento para a curiosidade dos comtemporaneos, já que não lhe é dado renascer para as façanhas militares do nosso tempo. A paisagem que se estende ao sopé da velha fortaleza, é lindíssima, celebrada mesmo pela sua amenidade, como é extensa veiga de Chaves, villa que fica distante alguns kilometros. O horizonte é vasto, soberbo mesmo, e póde dizer-se que do alto do velho castello se offerece aos olhos do viajante um dos panoramas mais pittorescos e interessantes do paiz.”</w:t>
      </w:r>
      <w:r w:rsidRPr="0011294E">
        <w:rPr>
          <w:rStyle w:val="Refdenotaderodap"/>
          <w:rFonts w:ascii="Times New Roman" w:hAnsi="Times New Roman"/>
          <w:i/>
          <w:sz w:val="24"/>
          <w:szCs w:val="24"/>
        </w:rPr>
        <w:footnoteReference w:id="305"/>
      </w:r>
      <w:r w:rsidRPr="0011294E">
        <w:rPr>
          <w:rFonts w:ascii="Times New Roman" w:hAnsi="Times New Roman"/>
          <w:i/>
          <w:sz w:val="24"/>
          <w:szCs w:val="24"/>
        </w:rPr>
        <w:t>.</w:t>
      </w:r>
    </w:p>
    <w:p w:rsidR="003B23C4" w:rsidRDefault="0011294E" w:rsidP="00F20F19">
      <w:pPr>
        <w:spacing w:line="360" w:lineRule="auto"/>
        <w:ind w:firstLine="708"/>
        <w:jc w:val="both"/>
        <w:rPr>
          <w:rFonts w:ascii="Times New Roman" w:hAnsi="Times New Roman"/>
          <w:sz w:val="24"/>
          <w:szCs w:val="24"/>
        </w:rPr>
      </w:pPr>
      <w:r w:rsidRPr="0011294E">
        <w:rPr>
          <w:rFonts w:ascii="Times New Roman" w:hAnsi="Times New Roman"/>
          <w:sz w:val="24"/>
          <w:szCs w:val="24"/>
        </w:rPr>
        <w:t>Através desta notícia temos conhecimento do atual estado de conservação do imóvel classificado, que aponta descrições de um cenário caracterizado pelo abandono e pela ruína, facto que não significa uma presença menos visível na paisagem.</w:t>
      </w:r>
    </w:p>
    <w:p w:rsidR="003B23C4" w:rsidRDefault="003B23C4" w:rsidP="0011294E">
      <w:pPr>
        <w:spacing w:line="360" w:lineRule="auto"/>
        <w:ind w:firstLine="360"/>
        <w:jc w:val="both"/>
        <w:rPr>
          <w:rFonts w:ascii="Times New Roman" w:hAnsi="Times New Roman"/>
          <w:sz w:val="24"/>
          <w:szCs w:val="24"/>
        </w:rPr>
      </w:pPr>
    </w:p>
    <w:p w:rsidR="00694D5E" w:rsidRDefault="00694D5E" w:rsidP="0011294E">
      <w:pPr>
        <w:spacing w:line="360" w:lineRule="auto"/>
        <w:ind w:firstLine="360"/>
        <w:jc w:val="both"/>
        <w:rPr>
          <w:rFonts w:ascii="Times New Roman" w:hAnsi="Times New Roman"/>
          <w:sz w:val="24"/>
          <w:szCs w:val="24"/>
        </w:rPr>
      </w:pPr>
    </w:p>
    <w:p w:rsidR="00694D5E" w:rsidRDefault="00694D5E" w:rsidP="0011294E">
      <w:pPr>
        <w:spacing w:line="360" w:lineRule="auto"/>
        <w:ind w:firstLine="360"/>
        <w:jc w:val="both"/>
        <w:rPr>
          <w:rFonts w:ascii="Times New Roman" w:hAnsi="Times New Roman"/>
          <w:sz w:val="24"/>
          <w:szCs w:val="24"/>
        </w:rPr>
      </w:pPr>
    </w:p>
    <w:p w:rsidR="00694D5E" w:rsidRDefault="00694D5E" w:rsidP="0011294E">
      <w:pPr>
        <w:spacing w:line="360" w:lineRule="auto"/>
        <w:ind w:firstLine="360"/>
        <w:jc w:val="both"/>
        <w:rPr>
          <w:rFonts w:ascii="Times New Roman" w:hAnsi="Times New Roman"/>
          <w:sz w:val="24"/>
          <w:szCs w:val="24"/>
        </w:rPr>
      </w:pPr>
    </w:p>
    <w:p w:rsidR="00694D5E" w:rsidRDefault="00694D5E" w:rsidP="0011294E">
      <w:pPr>
        <w:spacing w:line="360" w:lineRule="auto"/>
        <w:ind w:firstLine="360"/>
        <w:jc w:val="both"/>
        <w:rPr>
          <w:rFonts w:ascii="Times New Roman" w:hAnsi="Times New Roman"/>
          <w:sz w:val="24"/>
          <w:szCs w:val="24"/>
        </w:rPr>
      </w:pPr>
    </w:p>
    <w:p w:rsidR="00694D5E" w:rsidRDefault="00694D5E" w:rsidP="0011294E">
      <w:pPr>
        <w:spacing w:line="360" w:lineRule="auto"/>
        <w:ind w:firstLine="360"/>
        <w:jc w:val="both"/>
        <w:rPr>
          <w:rFonts w:ascii="Times New Roman" w:hAnsi="Times New Roman"/>
          <w:sz w:val="24"/>
          <w:szCs w:val="24"/>
        </w:rPr>
      </w:pPr>
    </w:p>
    <w:p w:rsidR="00694D5E" w:rsidRDefault="00694D5E" w:rsidP="0011294E">
      <w:pPr>
        <w:spacing w:line="360" w:lineRule="auto"/>
        <w:ind w:firstLine="360"/>
        <w:jc w:val="both"/>
        <w:rPr>
          <w:rFonts w:ascii="Times New Roman" w:hAnsi="Times New Roman"/>
          <w:sz w:val="24"/>
          <w:szCs w:val="24"/>
        </w:rPr>
      </w:pPr>
    </w:p>
    <w:p w:rsidR="00694D5E" w:rsidRPr="0011294E" w:rsidRDefault="00694D5E" w:rsidP="0011294E">
      <w:pPr>
        <w:spacing w:line="360" w:lineRule="auto"/>
        <w:ind w:firstLine="360"/>
        <w:jc w:val="both"/>
        <w:rPr>
          <w:rFonts w:ascii="Times New Roman" w:hAnsi="Times New Roman"/>
          <w:sz w:val="24"/>
          <w:szCs w:val="24"/>
        </w:rPr>
      </w:pPr>
    </w:p>
    <w:tbl>
      <w:tblPr>
        <w:tblStyle w:val="Tabelacomgrelha"/>
        <w:tblW w:w="0" w:type="auto"/>
        <w:tblLook w:val="04A0"/>
      </w:tblPr>
      <w:tblGrid>
        <w:gridCol w:w="1232"/>
        <w:gridCol w:w="7344"/>
      </w:tblGrid>
      <w:tr w:rsidR="0011294E" w:rsidRPr="0011294E" w:rsidTr="0011294E">
        <w:trPr>
          <w:trHeight w:val="402"/>
        </w:trPr>
        <w:tc>
          <w:tcPr>
            <w:tcW w:w="1232" w:type="dxa"/>
            <w:shd w:val="clear" w:color="auto" w:fill="948A54" w:themeFill="background2" w:themeFillShade="80"/>
          </w:tcPr>
          <w:p w:rsidR="0011294E" w:rsidRPr="0011294E" w:rsidRDefault="0011294E" w:rsidP="0011294E">
            <w:pPr>
              <w:spacing w:line="360" w:lineRule="auto"/>
              <w:jc w:val="center"/>
              <w:rPr>
                <w:rFonts w:ascii="Times New Roman" w:hAnsi="Times New Roman" w:cs="Times New Roman"/>
                <w:b/>
                <w:sz w:val="24"/>
                <w:szCs w:val="24"/>
              </w:rPr>
            </w:pPr>
            <w:r w:rsidRPr="0011294E">
              <w:rPr>
                <w:rFonts w:ascii="Times New Roman" w:hAnsi="Times New Roman" w:cs="Times New Roman"/>
                <w:b/>
                <w:sz w:val="24"/>
                <w:szCs w:val="24"/>
              </w:rPr>
              <w:lastRenderedPageBreak/>
              <w:t>Ano</w:t>
            </w:r>
          </w:p>
        </w:tc>
        <w:tc>
          <w:tcPr>
            <w:tcW w:w="7344" w:type="dxa"/>
            <w:shd w:val="clear" w:color="auto" w:fill="948A54" w:themeFill="background2" w:themeFillShade="80"/>
          </w:tcPr>
          <w:p w:rsidR="0011294E" w:rsidRPr="0011294E" w:rsidRDefault="0011294E" w:rsidP="0011294E">
            <w:pPr>
              <w:spacing w:line="360" w:lineRule="auto"/>
              <w:jc w:val="center"/>
              <w:rPr>
                <w:rFonts w:ascii="Times New Roman" w:hAnsi="Times New Roman" w:cs="Times New Roman"/>
                <w:b/>
                <w:sz w:val="24"/>
                <w:szCs w:val="24"/>
              </w:rPr>
            </w:pPr>
            <w:r w:rsidRPr="0011294E">
              <w:rPr>
                <w:rFonts w:ascii="Times New Roman" w:hAnsi="Times New Roman" w:cs="Times New Roman"/>
                <w:b/>
                <w:sz w:val="24"/>
                <w:szCs w:val="24"/>
              </w:rPr>
              <w:t>Intervenção</w:t>
            </w:r>
          </w:p>
        </w:tc>
      </w:tr>
      <w:tr w:rsidR="0011294E" w:rsidRPr="0011294E" w:rsidTr="0011294E">
        <w:trPr>
          <w:trHeight w:val="402"/>
        </w:trPr>
        <w:tc>
          <w:tcPr>
            <w:tcW w:w="1232" w:type="dxa"/>
          </w:tcPr>
          <w:p w:rsidR="0011294E" w:rsidRPr="0011294E" w:rsidRDefault="0011294E" w:rsidP="0011294E">
            <w:pPr>
              <w:spacing w:line="360" w:lineRule="auto"/>
              <w:rPr>
                <w:rFonts w:ascii="Times New Roman" w:hAnsi="Times New Roman" w:cs="Times New Roman"/>
                <w:sz w:val="24"/>
                <w:szCs w:val="24"/>
              </w:rPr>
            </w:pPr>
            <w:r w:rsidRPr="0011294E">
              <w:rPr>
                <w:rFonts w:ascii="Times New Roman" w:hAnsi="Times New Roman" w:cs="Times New Roman"/>
                <w:sz w:val="24"/>
                <w:szCs w:val="24"/>
              </w:rPr>
              <w:t xml:space="preserve">1961 </w:t>
            </w:r>
          </w:p>
        </w:tc>
        <w:tc>
          <w:tcPr>
            <w:tcW w:w="7344" w:type="dxa"/>
          </w:tcPr>
          <w:p w:rsidR="0011294E" w:rsidRPr="0011294E" w:rsidRDefault="0011294E" w:rsidP="0011294E">
            <w:pPr>
              <w:autoSpaceDE w:val="0"/>
              <w:autoSpaceDN w:val="0"/>
              <w:adjustRightInd w:val="0"/>
              <w:spacing w:line="360" w:lineRule="auto"/>
              <w:rPr>
                <w:rFonts w:ascii="Times New Roman" w:hAnsi="Times New Roman" w:cs="Times New Roman"/>
                <w:sz w:val="24"/>
                <w:szCs w:val="24"/>
              </w:rPr>
            </w:pPr>
            <w:r w:rsidRPr="0011294E">
              <w:rPr>
                <w:rFonts w:ascii="Times New Roman" w:hAnsi="Times New Roman" w:cs="Times New Roman"/>
                <w:sz w:val="24"/>
                <w:szCs w:val="24"/>
              </w:rPr>
              <w:t>Consolidação de muralhas e reposição de elementos ruídos</w:t>
            </w:r>
          </w:p>
        </w:tc>
      </w:tr>
      <w:tr w:rsidR="0011294E" w:rsidRPr="0011294E" w:rsidTr="0011294E">
        <w:trPr>
          <w:trHeight w:val="419"/>
        </w:trPr>
        <w:tc>
          <w:tcPr>
            <w:tcW w:w="1232" w:type="dxa"/>
          </w:tcPr>
          <w:p w:rsidR="0011294E" w:rsidRPr="0011294E" w:rsidRDefault="0011294E" w:rsidP="0011294E">
            <w:pPr>
              <w:spacing w:line="360" w:lineRule="auto"/>
              <w:rPr>
                <w:rFonts w:ascii="Times New Roman" w:hAnsi="Times New Roman" w:cs="Times New Roman"/>
                <w:sz w:val="24"/>
                <w:szCs w:val="24"/>
              </w:rPr>
            </w:pPr>
            <w:r w:rsidRPr="0011294E">
              <w:rPr>
                <w:rFonts w:ascii="Times New Roman" w:hAnsi="Times New Roman" w:cs="Times New Roman"/>
                <w:bCs/>
                <w:sz w:val="24"/>
                <w:szCs w:val="24"/>
              </w:rPr>
              <w:t>1962</w:t>
            </w:r>
          </w:p>
        </w:tc>
        <w:tc>
          <w:tcPr>
            <w:tcW w:w="7344" w:type="dxa"/>
          </w:tcPr>
          <w:p w:rsidR="0011294E" w:rsidRPr="0011294E" w:rsidRDefault="0011294E" w:rsidP="0011294E">
            <w:pPr>
              <w:autoSpaceDE w:val="0"/>
              <w:autoSpaceDN w:val="0"/>
              <w:adjustRightInd w:val="0"/>
              <w:spacing w:line="360" w:lineRule="auto"/>
              <w:rPr>
                <w:rFonts w:ascii="Times New Roman" w:hAnsi="Times New Roman" w:cs="Times New Roman"/>
                <w:sz w:val="24"/>
                <w:szCs w:val="24"/>
              </w:rPr>
            </w:pPr>
            <w:r w:rsidRPr="0011294E">
              <w:rPr>
                <w:rFonts w:ascii="Times New Roman" w:hAnsi="Times New Roman" w:cs="Times New Roman"/>
                <w:sz w:val="24"/>
                <w:szCs w:val="24"/>
              </w:rPr>
              <w:t>Construção da estrutura do telhada da Torre de Menagem</w:t>
            </w:r>
          </w:p>
        </w:tc>
      </w:tr>
      <w:tr w:rsidR="0011294E" w:rsidRPr="0011294E" w:rsidTr="0011294E">
        <w:trPr>
          <w:trHeight w:val="1641"/>
        </w:trPr>
        <w:tc>
          <w:tcPr>
            <w:tcW w:w="1232" w:type="dxa"/>
          </w:tcPr>
          <w:p w:rsidR="0011294E" w:rsidRPr="0011294E" w:rsidRDefault="0011294E" w:rsidP="0011294E">
            <w:pPr>
              <w:spacing w:line="360" w:lineRule="auto"/>
              <w:rPr>
                <w:rFonts w:ascii="Times New Roman" w:hAnsi="Times New Roman" w:cs="Times New Roman"/>
                <w:sz w:val="24"/>
                <w:szCs w:val="24"/>
              </w:rPr>
            </w:pPr>
            <w:r w:rsidRPr="0011294E">
              <w:rPr>
                <w:rFonts w:ascii="Times New Roman" w:hAnsi="Times New Roman" w:cs="Times New Roman"/>
                <w:bCs/>
                <w:sz w:val="24"/>
                <w:szCs w:val="24"/>
              </w:rPr>
              <w:t>1983</w:t>
            </w:r>
          </w:p>
        </w:tc>
        <w:tc>
          <w:tcPr>
            <w:tcW w:w="7344" w:type="dxa"/>
          </w:tcPr>
          <w:p w:rsidR="0011294E" w:rsidRPr="0011294E" w:rsidRDefault="0011294E" w:rsidP="0011294E">
            <w:pPr>
              <w:spacing w:line="360" w:lineRule="auto"/>
              <w:rPr>
                <w:rFonts w:ascii="Times New Roman" w:hAnsi="Times New Roman" w:cs="Times New Roman"/>
                <w:sz w:val="24"/>
                <w:szCs w:val="24"/>
              </w:rPr>
            </w:pPr>
            <w:r w:rsidRPr="0011294E">
              <w:rPr>
                <w:rFonts w:ascii="Times New Roman" w:hAnsi="Times New Roman" w:cs="Times New Roman"/>
                <w:sz w:val="24"/>
                <w:szCs w:val="24"/>
              </w:rPr>
              <w:t>Trabalhos de beneficiação: preparação de vãos de portas, refechamento de juntos com argamassa hidrófuga, impermeabilização de coberturas, revestimento da cobertura com telha nacional dupla, colocação de portas, beneficiação e recuperação de carpintarias</w:t>
            </w:r>
          </w:p>
        </w:tc>
      </w:tr>
      <w:tr w:rsidR="0011294E" w:rsidRPr="0011294E" w:rsidTr="0011294E">
        <w:trPr>
          <w:trHeight w:val="419"/>
        </w:trPr>
        <w:tc>
          <w:tcPr>
            <w:tcW w:w="1232" w:type="dxa"/>
          </w:tcPr>
          <w:p w:rsidR="0011294E" w:rsidRPr="0011294E" w:rsidRDefault="0011294E" w:rsidP="0011294E">
            <w:pPr>
              <w:spacing w:line="360" w:lineRule="auto"/>
              <w:rPr>
                <w:rFonts w:ascii="Times New Roman" w:hAnsi="Times New Roman" w:cs="Times New Roman"/>
                <w:sz w:val="24"/>
                <w:szCs w:val="24"/>
              </w:rPr>
            </w:pPr>
            <w:r w:rsidRPr="0011294E">
              <w:rPr>
                <w:rFonts w:ascii="Times New Roman" w:hAnsi="Times New Roman" w:cs="Times New Roman"/>
                <w:bCs/>
                <w:sz w:val="24"/>
                <w:szCs w:val="24"/>
              </w:rPr>
              <w:t>1987</w:t>
            </w:r>
          </w:p>
        </w:tc>
        <w:tc>
          <w:tcPr>
            <w:tcW w:w="7344" w:type="dxa"/>
          </w:tcPr>
          <w:p w:rsidR="0011294E" w:rsidRPr="0011294E" w:rsidRDefault="0011294E" w:rsidP="0011294E">
            <w:pPr>
              <w:autoSpaceDE w:val="0"/>
              <w:autoSpaceDN w:val="0"/>
              <w:adjustRightInd w:val="0"/>
              <w:spacing w:line="360" w:lineRule="auto"/>
              <w:rPr>
                <w:rFonts w:ascii="Times New Roman" w:hAnsi="Times New Roman" w:cs="Times New Roman"/>
                <w:sz w:val="24"/>
                <w:szCs w:val="24"/>
              </w:rPr>
            </w:pPr>
            <w:r w:rsidRPr="0011294E">
              <w:rPr>
                <w:rFonts w:ascii="Times New Roman" w:hAnsi="Times New Roman" w:cs="Times New Roman"/>
                <w:sz w:val="24"/>
                <w:szCs w:val="24"/>
              </w:rPr>
              <w:t>Beneficiação e recuperação de carpintarias</w:t>
            </w:r>
          </w:p>
        </w:tc>
      </w:tr>
      <w:tr w:rsidR="0011294E" w:rsidRPr="0011294E" w:rsidTr="0011294E">
        <w:trPr>
          <w:trHeight w:val="1658"/>
        </w:trPr>
        <w:tc>
          <w:tcPr>
            <w:tcW w:w="1232" w:type="dxa"/>
          </w:tcPr>
          <w:p w:rsidR="0011294E" w:rsidRPr="0011294E" w:rsidRDefault="0011294E" w:rsidP="0011294E">
            <w:pPr>
              <w:spacing w:line="360" w:lineRule="auto"/>
              <w:rPr>
                <w:rFonts w:ascii="Times New Roman" w:hAnsi="Times New Roman" w:cs="Times New Roman"/>
                <w:sz w:val="24"/>
                <w:szCs w:val="24"/>
              </w:rPr>
            </w:pPr>
            <w:r w:rsidRPr="0011294E">
              <w:rPr>
                <w:rFonts w:ascii="Times New Roman" w:hAnsi="Times New Roman" w:cs="Times New Roman"/>
                <w:bCs/>
                <w:sz w:val="24"/>
                <w:szCs w:val="24"/>
              </w:rPr>
              <w:t xml:space="preserve">1990 </w:t>
            </w:r>
          </w:p>
        </w:tc>
        <w:tc>
          <w:tcPr>
            <w:tcW w:w="7344" w:type="dxa"/>
          </w:tcPr>
          <w:p w:rsidR="0011294E" w:rsidRPr="0011294E" w:rsidRDefault="0011294E" w:rsidP="0011294E">
            <w:pPr>
              <w:autoSpaceDE w:val="0"/>
              <w:autoSpaceDN w:val="0"/>
              <w:adjustRightInd w:val="0"/>
              <w:spacing w:line="360" w:lineRule="auto"/>
              <w:rPr>
                <w:rFonts w:ascii="Times New Roman" w:hAnsi="Times New Roman" w:cs="Times New Roman"/>
                <w:sz w:val="24"/>
                <w:szCs w:val="24"/>
              </w:rPr>
            </w:pPr>
            <w:r w:rsidRPr="0011294E">
              <w:rPr>
                <w:rFonts w:ascii="Times New Roman" w:hAnsi="Times New Roman" w:cs="Times New Roman"/>
                <w:sz w:val="24"/>
                <w:szCs w:val="24"/>
              </w:rPr>
              <w:t>Restauro dos espaços exteriores, dotando-os de parque automóvel, parque de merendas, sanitários e espaços verdes; iluminação dos panos de muralha exteriores; campanhas de escavações e limpeza no interior; obras variadas nas coberturas e enchimento das juntas com argamassa</w:t>
            </w:r>
          </w:p>
        </w:tc>
      </w:tr>
    </w:tbl>
    <w:p w:rsidR="0011294E" w:rsidRPr="0011294E" w:rsidRDefault="0011294E" w:rsidP="0011294E">
      <w:pPr>
        <w:spacing w:line="360" w:lineRule="auto"/>
        <w:jc w:val="both"/>
        <w:rPr>
          <w:rFonts w:ascii="Times New Roman" w:hAnsi="Times New Roman"/>
          <w:b/>
          <w:sz w:val="24"/>
          <w:szCs w:val="24"/>
        </w:rPr>
      </w:pPr>
      <w:r w:rsidRPr="0011294E">
        <w:rPr>
          <w:rFonts w:ascii="Times New Roman" w:hAnsi="Times New Roman"/>
          <w:b/>
          <w:sz w:val="24"/>
          <w:szCs w:val="24"/>
        </w:rPr>
        <w:t xml:space="preserve">Tabela 3: </w:t>
      </w:r>
      <w:r w:rsidRPr="0011294E">
        <w:rPr>
          <w:rFonts w:ascii="Times New Roman" w:hAnsi="Times New Roman"/>
          <w:sz w:val="24"/>
          <w:szCs w:val="24"/>
        </w:rPr>
        <w:t>Intervenções realizadas pela D.G.E.M.N.</w:t>
      </w:r>
    </w:p>
    <w:p w:rsidR="0011294E" w:rsidRPr="0011294E" w:rsidRDefault="0011294E" w:rsidP="0011294E">
      <w:pPr>
        <w:spacing w:line="360" w:lineRule="auto"/>
        <w:ind w:firstLine="360"/>
        <w:jc w:val="both"/>
        <w:rPr>
          <w:rFonts w:ascii="Times New Roman" w:hAnsi="Times New Roman"/>
          <w:sz w:val="24"/>
          <w:szCs w:val="24"/>
        </w:rPr>
      </w:pPr>
    </w:p>
    <w:p w:rsidR="0011294E" w:rsidRPr="0011294E" w:rsidRDefault="0011294E" w:rsidP="0011294E">
      <w:pPr>
        <w:spacing w:line="360" w:lineRule="auto"/>
        <w:ind w:firstLine="709"/>
        <w:jc w:val="both"/>
        <w:rPr>
          <w:rFonts w:ascii="Times New Roman" w:hAnsi="Times New Roman"/>
          <w:sz w:val="24"/>
          <w:szCs w:val="24"/>
        </w:rPr>
      </w:pPr>
      <w:r w:rsidRPr="0011294E">
        <w:rPr>
          <w:rFonts w:ascii="Times New Roman" w:hAnsi="Times New Roman"/>
          <w:sz w:val="24"/>
          <w:szCs w:val="24"/>
        </w:rPr>
        <w:t>Após vários anos em que este povoado e o seu castelo foram conferidos ao esquecimento recorremos à documentação da D.G.E.M.N, para ter notícias das obras de restauro e conservação efetuados por esta organização a partir dos meados do séc. XX. Como se observa na Tabela 3, entre 1961 e 1990, o Castelo de Monforte de Rio Livre foi alvo de algumas obras de reconstrução. Através da análise da documentação redigida pela D.G.E.M.N., referente às obras, e das fotografias encontradas do século XX, é possível descrever o estado em que se encontravam estas estruturas juntamente com as últimas obras de que foram alvo</w:t>
      </w:r>
      <w:r w:rsidRPr="0011294E">
        <w:rPr>
          <w:rStyle w:val="Refdenotaderodap"/>
          <w:rFonts w:ascii="Times New Roman" w:hAnsi="Times New Roman"/>
          <w:sz w:val="24"/>
          <w:szCs w:val="24"/>
        </w:rPr>
        <w:footnoteReference w:id="306"/>
      </w:r>
      <w:r w:rsidRPr="0011294E">
        <w:rPr>
          <w:rFonts w:ascii="Times New Roman" w:hAnsi="Times New Roman"/>
          <w:sz w:val="24"/>
          <w:szCs w:val="24"/>
        </w:rPr>
        <w:t>.</w:t>
      </w:r>
    </w:p>
    <w:p w:rsidR="0011294E" w:rsidRPr="0011294E" w:rsidRDefault="0011294E" w:rsidP="0011294E">
      <w:pPr>
        <w:spacing w:line="360" w:lineRule="auto"/>
        <w:ind w:firstLine="709"/>
        <w:jc w:val="both"/>
        <w:rPr>
          <w:rFonts w:ascii="Times New Roman" w:hAnsi="Times New Roman"/>
          <w:sz w:val="24"/>
          <w:szCs w:val="24"/>
        </w:rPr>
      </w:pPr>
      <w:r w:rsidRPr="0011294E">
        <w:rPr>
          <w:rFonts w:ascii="Times New Roman" w:hAnsi="Times New Roman"/>
          <w:sz w:val="24"/>
          <w:szCs w:val="24"/>
        </w:rPr>
        <w:t>Entre 1961 e 1990, existe uma série de documentos redigidos por esta organização referentes a pedidos de obras para reparar os estragos assinaláveis nas estruturas medievais de Monforte de Rio Livre. Em 1961, temos os primeiros documentos que anunciam o início das obras necessárias ao nível da fortificação medieval. Estas obras passavam pela reconstrução das paredes da muralha com pedra de cantaria de grossura,</w:t>
      </w:r>
      <w:r w:rsidR="009D2BEB">
        <w:rPr>
          <w:rFonts w:ascii="Times New Roman" w:hAnsi="Times New Roman"/>
          <w:sz w:val="24"/>
          <w:szCs w:val="24"/>
        </w:rPr>
        <w:t xml:space="preserve"> </w:t>
      </w:r>
      <w:r w:rsidRPr="0011294E">
        <w:rPr>
          <w:rFonts w:ascii="Times New Roman" w:hAnsi="Times New Roman"/>
          <w:sz w:val="24"/>
          <w:szCs w:val="24"/>
        </w:rPr>
        <w:t xml:space="preserve">e ainda, a limpeza e arranque da vegetação que envolvia os </w:t>
      </w:r>
      <w:r w:rsidRPr="0011294E">
        <w:rPr>
          <w:rFonts w:ascii="Times New Roman" w:hAnsi="Times New Roman"/>
          <w:sz w:val="24"/>
          <w:szCs w:val="24"/>
        </w:rPr>
        <w:lastRenderedPageBreak/>
        <w:t xml:space="preserve">paramentos das muralhas. Isto é, procedeu-se à consolidação da muralha do Pátio de Armas. </w:t>
      </w:r>
    </w:p>
    <w:p w:rsidR="0011294E" w:rsidRPr="0011294E" w:rsidRDefault="0011294E" w:rsidP="0011294E">
      <w:pPr>
        <w:spacing w:line="360" w:lineRule="auto"/>
        <w:ind w:firstLine="709"/>
        <w:jc w:val="both"/>
        <w:rPr>
          <w:rFonts w:ascii="Times New Roman" w:hAnsi="Times New Roman"/>
          <w:sz w:val="24"/>
          <w:szCs w:val="24"/>
        </w:rPr>
      </w:pPr>
      <w:r w:rsidRPr="0011294E">
        <w:rPr>
          <w:rFonts w:ascii="Times New Roman" w:hAnsi="Times New Roman"/>
          <w:sz w:val="24"/>
          <w:szCs w:val="24"/>
        </w:rPr>
        <w:t>No ano subsequente, em 1962, foram realizadas obras de requalificação da Torre de Menagem. Em virtude de se encontrar exposta às infiltrações das águas pluviais previu-se a requalificação da sua cobertura com um telhado de feição apropriada às suas características.</w:t>
      </w:r>
    </w:p>
    <w:p w:rsidR="0011294E" w:rsidRPr="0011294E" w:rsidRDefault="0011294E" w:rsidP="0011294E">
      <w:pPr>
        <w:spacing w:line="360" w:lineRule="auto"/>
        <w:ind w:firstLine="709"/>
        <w:jc w:val="both"/>
        <w:rPr>
          <w:rFonts w:ascii="Times New Roman" w:hAnsi="Times New Roman"/>
          <w:sz w:val="24"/>
          <w:szCs w:val="24"/>
        </w:rPr>
      </w:pPr>
      <w:r w:rsidRPr="0011294E">
        <w:rPr>
          <w:rFonts w:ascii="Times New Roman" w:hAnsi="Times New Roman"/>
          <w:sz w:val="24"/>
          <w:szCs w:val="24"/>
        </w:rPr>
        <w:t>Atualmente estes reparos, ao nível do telhado da Torre de Menagem, são bem visíveis, assim como as obras ao nível da muralha do pátio de armas. Podemos observar no nosso acervo fotográfico, o estado de degradação que este imóvel classificado se encontrava antes e depois da sua reabilitação.</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Na década de 80, há notícias através de alguns despachos que era necessário dotar a fortificação de mais reformas de requalificação. Assim, em 1983 foram recuperadas, entre outros elementos, as duas portas de acesso no interior do castelo, e procedeu-se à consolidação das muralhas envolventes em ruína e, ainda,</w:t>
      </w:r>
      <w:r w:rsidR="009D2BEB">
        <w:rPr>
          <w:rFonts w:ascii="Times New Roman" w:hAnsi="Times New Roman"/>
          <w:sz w:val="24"/>
          <w:szCs w:val="24"/>
        </w:rPr>
        <w:t xml:space="preserve"> </w:t>
      </w:r>
      <w:r w:rsidRPr="0011294E">
        <w:rPr>
          <w:rFonts w:ascii="Times New Roman" w:hAnsi="Times New Roman"/>
          <w:sz w:val="24"/>
          <w:szCs w:val="24"/>
        </w:rPr>
        <w:t xml:space="preserve">à limpeza do perímetro do castelo.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Não obstante, em 1987, devido às constantes manifestações de destruição de certos elementos da fortificação, foram realizadas novas obras de renovação. Assim, procedeu-se à recuperação das portas retalhadas de duas folhas, da totalidade das ferragens existentes, que previa a substituição total dos elementos que não garantia a segurança; e também procedeu-se à pintura de todas as portas com esmalte, assim como a consolidação de algumas alvenarias de granito.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Em 1990, foram executadas novas obras no Castelo de Monforte de Rio Livre, com maior incidência no espaço exterior, dotando-o de parque automóvel, parque de merendas, sanitários e espaços verdes assim como, iluminação dos panos de muralha exteriores.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Atualmente, as condições do património classificado continuam em degradação, envolta por uma densa vegetação que não nos permite perspetivar todo o património históricas e arqueológicas. Seria necessário e pertinente a realização de escavações arqueológicas dentro e no exterior do Castelo, de forma a aglomerar novas informações </w:t>
      </w:r>
      <w:r w:rsidRPr="0011294E">
        <w:rPr>
          <w:rFonts w:ascii="Times New Roman" w:hAnsi="Times New Roman"/>
          <w:sz w:val="24"/>
          <w:szCs w:val="24"/>
        </w:rPr>
        <w:lastRenderedPageBreak/>
        <w:t>reveladoras que permitirão descortinar novos aspetos relacionados com a arquitetura militar deste povoado medieval.</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p>
    <w:p w:rsidR="0011294E" w:rsidRPr="00FB5448" w:rsidRDefault="0011294E" w:rsidP="0011294E">
      <w:pPr>
        <w:pStyle w:val="Ttulo2"/>
        <w:rPr>
          <w:rFonts w:ascii="Times New Roman" w:hAnsi="Times New Roman" w:cs="Times New Roman"/>
          <w:sz w:val="32"/>
          <w:szCs w:val="32"/>
        </w:rPr>
      </w:pPr>
      <w:bookmarkStart w:id="36" w:name="_Toc430358540"/>
      <w:bookmarkStart w:id="37" w:name="_Toc441612283"/>
      <w:r w:rsidRPr="00FB5448">
        <w:rPr>
          <w:rFonts w:ascii="Times New Roman" w:hAnsi="Times New Roman" w:cs="Times New Roman"/>
          <w:sz w:val="32"/>
          <w:szCs w:val="32"/>
        </w:rPr>
        <w:t>5. Povoado</w:t>
      </w:r>
      <w:bookmarkEnd w:id="36"/>
      <w:bookmarkEnd w:id="37"/>
      <w:r w:rsidRPr="00FB5448">
        <w:rPr>
          <w:rFonts w:ascii="Times New Roman" w:hAnsi="Times New Roman" w:cs="Times New Roman"/>
          <w:sz w:val="32"/>
          <w:szCs w:val="32"/>
        </w:rPr>
        <w:t xml:space="preserve"> </w:t>
      </w:r>
    </w:p>
    <w:p w:rsidR="0011294E" w:rsidRPr="0011294E" w:rsidRDefault="0011294E" w:rsidP="0011294E">
      <w:pPr>
        <w:spacing w:line="360" w:lineRule="auto"/>
        <w:ind w:firstLine="360"/>
        <w:jc w:val="both"/>
        <w:rPr>
          <w:rFonts w:ascii="Times New Roman" w:hAnsi="Times New Roman"/>
          <w:sz w:val="24"/>
          <w:szCs w:val="24"/>
        </w:rPr>
      </w:pPr>
    </w:p>
    <w:p w:rsidR="0011294E" w:rsidRPr="0011294E" w:rsidRDefault="0011294E" w:rsidP="0011294E">
      <w:pPr>
        <w:spacing w:line="360" w:lineRule="auto"/>
        <w:ind w:firstLine="360"/>
        <w:jc w:val="both"/>
        <w:rPr>
          <w:rFonts w:ascii="Times New Roman" w:hAnsi="Times New Roman"/>
          <w:b/>
          <w:sz w:val="24"/>
          <w:szCs w:val="24"/>
        </w:rPr>
      </w:pPr>
      <w:r w:rsidRPr="0011294E">
        <w:rPr>
          <w:rFonts w:ascii="Times New Roman" w:hAnsi="Times New Roman"/>
          <w:sz w:val="24"/>
          <w:szCs w:val="24"/>
        </w:rPr>
        <w:t>Para refletir sobre o povoado de Monforte de Rio Livre devemos ter em consideração que não é só pelas condições de defesa que o povoado se mostra valioso. Temos de</w:t>
      </w:r>
      <w:r w:rsidR="009D2BEB">
        <w:rPr>
          <w:rFonts w:ascii="Times New Roman" w:hAnsi="Times New Roman"/>
          <w:sz w:val="24"/>
          <w:szCs w:val="24"/>
        </w:rPr>
        <w:t xml:space="preserve"> </w:t>
      </w:r>
      <w:r w:rsidRPr="0011294E">
        <w:rPr>
          <w:rFonts w:ascii="Times New Roman" w:hAnsi="Times New Roman"/>
          <w:sz w:val="24"/>
          <w:szCs w:val="24"/>
        </w:rPr>
        <w:t>considerar, igualmente, uma série de elementos que constituem o antigo concelho de Monforte de Rio Livre, que chegaram até nós e que permitiram fazer um estudo aprofundado da sua evolução e expansão. Com efeito, a análise das questões relacionadas com o urbanismo do povoado, como as acessibilidades, o abastecimento de água, a organização espacial, os templos religiosos e todos os restantes equipamentos urbanos, contribui de forma decisiva para a fixação de pessoas e o crescimento urbano, atuando indiretamente a evolução da arquitetura militar, e vice-versa.</w:t>
      </w:r>
    </w:p>
    <w:p w:rsidR="0011294E" w:rsidRPr="0011294E" w:rsidRDefault="0011294E" w:rsidP="0011294E">
      <w:pPr>
        <w:spacing w:line="360" w:lineRule="auto"/>
        <w:ind w:firstLine="360"/>
        <w:jc w:val="both"/>
        <w:rPr>
          <w:rFonts w:ascii="Times New Roman" w:hAnsi="Times New Roman"/>
          <w:b/>
          <w:sz w:val="24"/>
          <w:szCs w:val="24"/>
        </w:rPr>
      </w:pPr>
      <w:r w:rsidRPr="0011294E">
        <w:rPr>
          <w:rFonts w:ascii="Times New Roman" w:hAnsi="Times New Roman"/>
          <w:sz w:val="24"/>
          <w:szCs w:val="24"/>
        </w:rPr>
        <w:t xml:space="preserve">Naturalmente, é objeto de observação mais uma vez o Livro das Fortalezas do </w:t>
      </w:r>
      <w:r w:rsidRPr="0011294E">
        <w:rPr>
          <w:rFonts w:ascii="Times New Roman" w:hAnsi="Times New Roman"/>
          <w:i/>
          <w:sz w:val="24"/>
          <w:szCs w:val="24"/>
        </w:rPr>
        <w:t>fiel escudeiro</w:t>
      </w:r>
      <w:r w:rsidRPr="0011294E">
        <w:rPr>
          <w:rFonts w:ascii="Times New Roman" w:hAnsi="Times New Roman"/>
          <w:sz w:val="24"/>
          <w:szCs w:val="24"/>
        </w:rPr>
        <w:t xml:space="preserve">, revelando-se de enorme importância na avaliação dos aspetos urbanos e na sua interpretação.    </w:t>
      </w:r>
    </w:p>
    <w:p w:rsidR="0011294E" w:rsidRPr="0011294E" w:rsidRDefault="0011294E" w:rsidP="0011294E">
      <w:pPr>
        <w:pStyle w:val="PargrafodaLista"/>
        <w:spacing w:after="0" w:line="360" w:lineRule="auto"/>
        <w:jc w:val="both"/>
        <w:rPr>
          <w:rFonts w:ascii="Times New Roman" w:hAnsi="Times New Roman" w:cs="Times New Roman"/>
          <w:b/>
          <w:sz w:val="24"/>
          <w:szCs w:val="24"/>
        </w:rPr>
      </w:pPr>
    </w:p>
    <w:p w:rsidR="0011294E" w:rsidRPr="0011294E" w:rsidRDefault="0011294E" w:rsidP="0011294E">
      <w:pPr>
        <w:pStyle w:val="Ttulo2"/>
        <w:rPr>
          <w:rFonts w:ascii="Times New Roman" w:hAnsi="Times New Roman" w:cs="Times New Roman"/>
          <w:sz w:val="24"/>
          <w:szCs w:val="24"/>
        </w:rPr>
      </w:pPr>
      <w:bookmarkStart w:id="38" w:name="_Toc430358541"/>
      <w:bookmarkStart w:id="39" w:name="_Toc441612284"/>
      <w:r w:rsidRPr="0011294E">
        <w:rPr>
          <w:rFonts w:ascii="Times New Roman" w:hAnsi="Times New Roman" w:cs="Times New Roman"/>
          <w:sz w:val="24"/>
          <w:szCs w:val="24"/>
        </w:rPr>
        <w:t>5.1. Urbanismo</w:t>
      </w:r>
      <w:bookmarkEnd w:id="38"/>
      <w:bookmarkEnd w:id="39"/>
    </w:p>
    <w:p w:rsidR="0011294E" w:rsidRPr="0011294E" w:rsidRDefault="0011294E" w:rsidP="0011294E">
      <w:pPr>
        <w:spacing w:line="360" w:lineRule="auto"/>
        <w:jc w:val="both"/>
        <w:rPr>
          <w:rFonts w:ascii="Times New Roman" w:hAnsi="Times New Roman"/>
          <w:b/>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Os aglomerados populacionais românicos, do séc. XII e XIII, não apresentam grandes características urbanísticas que nos permitam traçar uma tipologia. Sabemos que as povoações medievais são, na sua maioria, aglomerados habitacionais que tiveram a sua origem na época romana. Adicionalmente, a sua situação geográfica e estratégica, sob o ponto de vista militar, permitiu que este aglomerado obtivesse uma importância para aos poderes reais, o terá conduzido à sua evolução e ocupação ao longo dos </w:t>
      </w:r>
      <w:r w:rsidRPr="0011294E">
        <w:rPr>
          <w:rFonts w:ascii="Times New Roman" w:hAnsi="Times New Roman"/>
          <w:sz w:val="24"/>
          <w:szCs w:val="24"/>
        </w:rPr>
        <w:lastRenderedPageBreak/>
        <w:t>tempos</w:t>
      </w:r>
      <w:r w:rsidRPr="0011294E">
        <w:rPr>
          <w:rFonts w:ascii="Times New Roman" w:hAnsi="Times New Roman"/>
          <w:sz w:val="24"/>
          <w:szCs w:val="24"/>
          <w:vertAlign w:val="superscript"/>
        </w:rPr>
        <w:footnoteReference w:id="307"/>
      </w:r>
      <w:r w:rsidRPr="0011294E">
        <w:rPr>
          <w:rFonts w:ascii="Times New Roman" w:hAnsi="Times New Roman"/>
          <w:sz w:val="24"/>
          <w:szCs w:val="24"/>
        </w:rPr>
        <w:t xml:space="preserve">. Ficamos, desde já, com a certeza de que esta povoação foi crescendo a partir do monte do castelo, expandindo-se pelos arrabaldes ao longo dos séc. XIII e em diante. Foi nos finais do séc. XIII que esta localidade se viu abrangida por uma cerca urbana, à maneira dos burgos góticos. Sabemos que a partir dos reinados de D. Pedro e D. Manuel, novas atenções por parte da coroa foram dadas à edificação de cercas urbanas.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Importantes estudos, que têm vindo a ser realizados para a questão do urbanismo, prendem-se com a existência ou não de alguma regularidade no traçado das ruas à maneira clássica; a existência de espaço</w:t>
      </w:r>
      <w:r w:rsidR="009D2BEB">
        <w:rPr>
          <w:rFonts w:ascii="Times New Roman" w:hAnsi="Times New Roman"/>
          <w:sz w:val="24"/>
          <w:szCs w:val="24"/>
        </w:rPr>
        <w:t xml:space="preserve">s abertos, </w:t>
      </w:r>
      <w:r w:rsidRPr="0011294E">
        <w:rPr>
          <w:rFonts w:ascii="Times New Roman" w:hAnsi="Times New Roman"/>
          <w:sz w:val="24"/>
          <w:szCs w:val="24"/>
        </w:rPr>
        <w:t>praças, locais públicos; a realização de mercados ou feiras; e a presença de fontes, cisternas e outros tipos de engenhos que permitam a extração da água</w:t>
      </w:r>
      <w:r w:rsidRPr="0011294E">
        <w:rPr>
          <w:rFonts w:ascii="Times New Roman" w:hAnsi="Times New Roman"/>
          <w:sz w:val="24"/>
          <w:szCs w:val="24"/>
          <w:vertAlign w:val="superscript"/>
        </w:rPr>
        <w:footnoteReference w:id="308"/>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Neste capítulo pretendemos traçar e relacionar os elementos que constituem o povoado de Monforte de Rio Livre. Entendemos que é importante relacionar os elementos que constituem o traçado do povoado e que contribuem para a fixação de pessoas, para o crescimento do concelho e, consequentemente, para a evolução da arquitetura militar.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terra de Monforte de Rio Livre cresceu e desenvolveu-se a partir da centúria do Duzentos, pelo que se pode relacionar com o estabelecimento de uma hierarquia territorial manifestada e possibilitada pelo desenvolvimento de instituições concelhias. Efetivamente, a póvoa de Monforte de Rio Livre surgiu no século XIII, no seguimento da política de D. Afonso III e de D. Dinis de criação de novos núcleos urbanos em Trás-os-Montes. Esta política ficou conhecida pela expressão </w:t>
      </w:r>
      <w:r w:rsidRPr="0011294E">
        <w:rPr>
          <w:rFonts w:ascii="Times New Roman" w:hAnsi="Times New Roman"/>
          <w:i/>
          <w:iCs/>
          <w:sz w:val="24"/>
          <w:szCs w:val="24"/>
        </w:rPr>
        <w:t>Fazer vila</w:t>
      </w:r>
      <w:r w:rsidRPr="0011294E">
        <w:rPr>
          <w:rFonts w:ascii="Times New Roman" w:hAnsi="Times New Roman"/>
          <w:sz w:val="24"/>
          <w:szCs w:val="24"/>
        </w:rPr>
        <w:t>. Esta expressão obrigava na maior parte dos casos à escolha de locais que mostravam condições naturais de defesa, facilmente identificáveis à distância e possuindo amplo controlo visual do espaço envolvente, características adequadas a um centro de território</w:t>
      </w:r>
      <w:r w:rsidRPr="0011294E">
        <w:rPr>
          <w:rFonts w:ascii="Times New Roman" w:hAnsi="Times New Roman"/>
          <w:sz w:val="24"/>
          <w:szCs w:val="24"/>
          <w:vertAlign w:val="superscript"/>
        </w:rPr>
        <w:footnoteReference w:id="309"/>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iCs/>
          <w:sz w:val="24"/>
          <w:szCs w:val="24"/>
        </w:rPr>
      </w:pPr>
      <w:r w:rsidRPr="0011294E">
        <w:rPr>
          <w:rFonts w:ascii="Times New Roman" w:hAnsi="Times New Roman"/>
          <w:sz w:val="24"/>
          <w:szCs w:val="24"/>
        </w:rPr>
        <w:t xml:space="preserve">Neste sentido, estas implantações de grande altitude, oferecem amplas plataformas com capacidade para acolher áreas de habitação suficientemente dimensionadas a uma população que se pretenda numerosa, rodeada por um muro de cerca. </w:t>
      </w:r>
      <w:r w:rsidRPr="0011294E">
        <w:rPr>
          <w:rFonts w:ascii="Times New Roman" w:hAnsi="Times New Roman"/>
          <w:iCs/>
          <w:sz w:val="24"/>
          <w:szCs w:val="24"/>
        </w:rPr>
        <w:t xml:space="preserve">Para além disso, esta expressão nos tempos medievais era utilizada como </w:t>
      </w:r>
      <w:r w:rsidRPr="0011294E">
        <w:rPr>
          <w:rFonts w:ascii="Times New Roman" w:hAnsi="Times New Roman"/>
          <w:iCs/>
          <w:sz w:val="24"/>
          <w:szCs w:val="24"/>
        </w:rPr>
        <w:lastRenderedPageBreak/>
        <w:t>sinónimo de demarcação espacial através da construção de muralhas, na medida em que eram estas que delimitavam com precisão o espaço sujeito à nova ordem instituída pelos seus documentos fundacionais</w:t>
      </w:r>
      <w:r w:rsidRPr="0011294E">
        <w:rPr>
          <w:rFonts w:ascii="Times New Roman" w:hAnsi="Times New Roman"/>
          <w:iCs/>
          <w:sz w:val="24"/>
          <w:szCs w:val="24"/>
          <w:vertAlign w:val="superscript"/>
        </w:rPr>
        <w:footnoteReference w:id="310"/>
      </w:r>
      <w:r w:rsidRPr="0011294E">
        <w:rPr>
          <w:rFonts w:ascii="Times New Roman" w:hAnsi="Times New Roman"/>
          <w:iCs/>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iCs/>
          <w:sz w:val="24"/>
          <w:szCs w:val="24"/>
        </w:rPr>
        <w:t xml:space="preserve">Este movimento de criação de póvoas de iniciativa régia, na segunda metade do século XIII, nos reinados de D. Afonso III e D. Dinis, demonstram a constituição de estruturas mais evoluídas e em áreas relativamente superiores. A procura de uma maior adequação entre a morfologia urbana das povoações e o tipo de implantação orientou a preferência por morros amplos de perfil pouco acidentados ou mesmo por plataformas. Na realidade, </w:t>
      </w:r>
      <w:r w:rsidRPr="0011294E">
        <w:rPr>
          <w:rFonts w:ascii="Times New Roman" w:hAnsi="Times New Roman"/>
          <w:sz w:val="24"/>
          <w:szCs w:val="24"/>
        </w:rPr>
        <w:t>o movimento estendeu-se mantendo a forma ovalada e a organização urbana com um padrão ortogonal, com eixos longitudinais estruturadores, cortados em ângulo reto por ruas e travessas mais estreitas, indiciando um superior cuidado na planificação dos novos núcleos</w:t>
      </w:r>
      <w:r w:rsidRPr="0011294E">
        <w:rPr>
          <w:rFonts w:ascii="Times New Roman" w:hAnsi="Times New Roman"/>
          <w:sz w:val="24"/>
          <w:szCs w:val="24"/>
          <w:vertAlign w:val="superscript"/>
        </w:rPr>
        <w:footnoteReference w:id="311"/>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iCs/>
          <w:sz w:val="24"/>
          <w:szCs w:val="24"/>
        </w:rPr>
      </w:pPr>
      <w:r w:rsidRPr="0011294E">
        <w:rPr>
          <w:rFonts w:ascii="Times New Roman" w:hAnsi="Times New Roman"/>
          <w:iCs/>
          <w:sz w:val="24"/>
          <w:szCs w:val="24"/>
        </w:rPr>
        <w:t>A observação da planta permite facilmente reconhecer o traçado ovalado da cerca da vila. No interior, observando o</w:t>
      </w:r>
      <w:r w:rsidRPr="0011294E">
        <w:rPr>
          <w:rFonts w:ascii="Times New Roman" w:hAnsi="Times New Roman"/>
          <w:sz w:val="24"/>
          <w:szCs w:val="24"/>
        </w:rPr>
        <w:t xml:space="preserve"> debuxo da vi</w:t>
      </w:r>
      <w:r w:rsidR="009D2BEB">
        <w:rPr>
          <w:rFonts w:ascii="Times New Roman" w:hAnsi="Times New Roman"/>
          <w:sz w:val="24"/>
          <w:szCs w:val="24"/>
        </w:rPr>
        <w:t>sta Nordeste de Duarte de Armas</w:t>
      </w:r>
      <w:r w:rsidRPr="0011294E">
        <w:rPr>
          <w:rFonts w:ascii="Times New Roman" w:hAnsi="Times New Roman"/>
          <w:iCs/>
          <w:sz w:val="24"/>
          <w:szCs w:val="24"/>
        </w:rPr>
        <w:t xml:space="preserve"> parece-nos patente um plano urbano planificado ortogonal com um eixo maior longitudinal e diversos outros transversais.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Este recinto amuralhado, onde se desenvolve o povoado, era constituído por habitações, a Casa da Câmara, a Cadeia, e ainda a Igreja Matriz de São Pedro de Batocas e da Capela da Senhora do Prado. Contudo, o estado atual de abandono e degradação do povoado, uma vez que se encontra coberto por uma densa vegetação, dificulta a perceção dos elementos que caracterizavam a malha urbana. Apesar de os arruamentos serem quase impossíveis de se visualizar na atualidade, conseguimos observar que o esquema utilizado passou pela opção dos arruamentos de esquema quadricular.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Consideramos aqui um polo gerador de habitações. Ao observar a atual planta da povoação discernimos o aglomerado de casas que se ergue em torno da Igreja Matriz de São Pedro de Batocas, em direção à encosta Nordeste. O Castelo implantado no alto da encosta serviria essencialmente como ponto de refúgio, não distinguindo grupos habitacionais em torno deste.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iCs/>
          <w:sz w:val="24"/>
          <w:szCs w:val="24"/>
        </w:rPr>
        <w:lastRenderedPageBreak/>
        <w:t xml:space="preserve">De facto, ao analisar a muralha da vila de Monforte de Rio Livre, contamos quatro portas, designadamente, a porta de Galiza do lado Sudoeste do povoado, a “porta para Bragança” do lado Sudeste, uma porta que permitia a saída do pátio de armas para a vila e uma porta que dava acesso à fonte, que se situava a Norte do Povoado. </w:t>
      </w:r>
      <w:r w:rsidRPr="0011294E">
        <w:rPr>
          <w:rFonts w:ascii="Times New Roman" w:hAnsi="Times New Roman"/>
          <w:sz w:val="24"/>
          <w:szCs w:val="24"/>
        </w:rPr>
        <w:t>As vias que unem as diversas portas constituem o esqueleto da forma urbana</w:t>
      </w:r>
      <w:r w:rsidRPr="0011294E">
        <w:rPr>
          <w:rFonts w:ascii="Times New Roman" w:hAnsi="Times New Roman"/>
          <w:sz w:val="24"/>
          <w:szCs w:val="24"/>
          <w:vertAlign w:val="superscript"/>
        </w:rPr>
        <w:footnoteReference w:id="312"/>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iCs/>
          <w:sz w:val="24"/>
          <w:szCs w:val="24"/>
        </w:rPr>
      </w:pPr>
      <w:r w:rsidRPr="0011294E">
        <w:rPr>
          <w:rFonts w:ascii="Times New Roman" w:hAnsi="Times New Roman"/>
          <w:iCs/>
          <w:sz w:val="24"/>
          <w:szCs w:val="24"/>
        </w:rPr>
        <w:t>A implantação e organização urbana de Monforte de Rio Livre apresentam grandes semelhanças com as que podemos encontrar na vila de Montalegre. Estas semelhanças são demonstradas no desenvolvimento urbano da vila, com um muro de cerca que ligava o povoado com a sua Igreja na extremidade oposta. Neste sentido, Monforte de Rio Livre expandiu o seu espaço urbano dentro da cerca que envolvia a vila. O que os distingue é, efetivamente, a evolução do povoado, uma vez que, o povoamento de Montalegre foi evoluindo, abandonando a cerca da vila para se desenvolver no arrabalde, ou seja, numa zona mais ampla, plana e aberta. Por sua vez, Monforte de Rio Livre seguiu um padrão de decadência e abandono nos finais da Idade Média</w:t>
      </w:r>
      <w:r w:rsidRPr="0011294E">
        <w:rPr>
          <w:rFonts w:ascii="Times New Roman" w:hAnsi="Times New Roman"/>
          <w:iCs/>
          <w:sz w:val="24"/>
          <w:szCs w:val="24"/>
          <w:vertAlign w:val="superscript"/>
        </w:rPr>
        <w:footnoteReference w:id="313"/>
      </w:r>
      <w:r w:rsidRPr="0011294E">
        <w:rPr>
          <w:rFonts w:ascii="Times New Roman" w:hAnsi="Times New Roman"/>
          <w:iCs/>
          <w:sz w:val="24"/>
          <w:szCs w:val="24"/>
        </w:rPr>
        <w:t>.</w:t>
      </w:r>
    </w:p>
    <w:p w:rsidR="0011294E" w:rsidRPr="0011294E" w:rsidRDefault="0011294E" w:rsidP="0011294E">
      <w:pPr>
        <w:spacing w:line="360" w:lineRule="auto"/>
        <w:ind w:firstLine="708"/>
        <w:jc w:val="both"/>
        <w:rPr>
          <w:rFonts w:ascii="Times New Roman" w:hAnsi="Times New Roman"/>
          <w:iCs/>
          <w:sz w:val="24"/>
          <w:szCs w:val="24"/>
        </w:rPr>
      </w:pPr>
      <w:r w:rsidRPr="0011294E">
        <w:rPr>
          <w:rFonts w:ascii="Times New Roman" w:hAnsi="Times New Roman"/>
          <w:iCs/>
          <w:sz w:val="24"/>
          <w:szCs w:val="24"/>
        </w:rPr>
        <w:t xml:space="preserve">Não podemos deixar de referir que em Monforte de Rio Livre era realizada uma feira mensal, definida no foral de D. Afonso III, dentro da muralha da vila. A realização destas feiras trazia uma nova dinâmica às povoações, ajudando a incrementar o seu crescimento. </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Ainda relacionado com o urbanismo é necessário focarmos outro aspeto: o abastecimento de água em Monforte de Rio Livre. Sabemos já da existência da cisterna no interior do castelo. Contudo, a população que cresceu na vila teria de ser servida por outros mecanismos, que nos ajudam também a compreender as linhas principais de evolução do habitat em Monforte de Rio Livre. A nível de mecanismos para o fornecimento de água, encontramos uma fonte que se situava a Este da “Porta de Galiza”, que permitia o acesso e a recolha de água para uso doméstico e humano. A sua localização permite estabelecer uma relação de evolução da comunidade. As questões demográficas têm um valor importante no urbanismo de uma vila. Assim, a coroa </w:t>
      </w:r>
      <w:r w:rsidRPr="0011294E">
        <w:rPr>
          <w:rFonts w:ascii="Times New Roman" w:hAnsi="Times New Roman"/>
          <w:sz w:val="24"/>
          <w:szCs w:val="24"/>
        </w:rPr>
        <w:lastRenderedPageBreak/>
        <w:t>portuguesa tomou medidas de forma a garantir o povoamento dos castelos e das respetivas cercas. Para lograr esta ação, a política levada a cabo pela coroa foi de estimular a sua habitação no interior da cerca</w:t>
      </w:r>
      <w:r w:rsidRPr="0011294E">
        <w:rPr>
          <w:rFonts w:ascii="Times New Roman" w:hAnsi="Times New Roman"/>
          <w:sz w:val="24"/>
          <w:szCs w:val="24"/>
          <w:vertAlign w:val="superscript"/>
        </w:rPr>
        <w:footnoteReference w:id="314"/>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Em 1420, D. João I institucionaliza um couto de Hominizados em Monforte de Rio Livre, precisamente para combater o despovoamento da vila. Assim, não só permitia um aumento da população da vila, como igualmente, permita a defesa da linha de fronteira. Em 1483, D. João II tomou algumas medidas para fazer face um despovoamento eminente. O monarca ordenou que os moradores das aldeias e casais que habitassem a uma légua de distância, recolhessem e viessem morar dentro dos muros da vila, tendo apenas um ano para efetuar a mudança, sob pena de perderem os seus bens. Para além disto, isentou os moradores da vila do pagamento dos encargos previstos no foral do concelho.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Todavia, a falta de fontes documentais e cartográficas, a má conservação da fortificação e a densa vegetação, não nos permitiu, através das prospeções realizadas, averiguar a localização das habitações, Casa da Câmara, da Cadeia, do Pelourinho, da Igreja Matriz e da Capela da Nossa Senhora do Prado e o traçado dos arruamentos.</w:t>
      </w:r>
    </w:p>
    <w:p w:rsidR="003B23C4" w:rsidRPr="00F20F19" w:rsidRDefault="003B23C4" w:rsidP="00F20F19">
      <w:pPr>
        <w:pStyle w:val="Ttulo2"/>
        <w:numPr>
          <w:ilvl w:val="0"/>
          <w:numId w:val="0"/>
        </w:numPr>
        <w:rPr>
          <w:rFonts w:ascii="Times New Roman" w:hAnsi="Times New Roman" w:cs="Times New Roman"/>
          <w:sz w:val="24"/>
          <w:szCs w:val="24"/>
        </w:rPr>
      </w:pPr>
    </w:p>
    <w:p w:rsidR="0011294E" w:rsidRPr="0011294E" w:rsidRDefault="0011294E" w:rsidP="0011294E">
      <w:pPr>
        <w:pStyle w:val="Ttulo2"/>
        <w:rPr>
          <w:rFonts w:ascii="Times New Roman" w:hAnsi="Times New Roman" w:cs="Times New Roman"/>
          <w:sz w:val="24"/>
          <w:szCs w:val="24"/>
        </w:rPr>
      </w:pPr>
      <w:bookmarkStart w:id="40" w:name="_Toc430358542"/>
      <w:bookmarkStart w:id="41" w:name="_Toc441612285"/>
      <w:r w:rsidRPr="0011294E">
        <w:rPr>
          <w:rFonts w:ascii="Times New Roman" w:hAnsi="Times New Roman" w:cs="Times New Roman"/>
          <w:sz w:val="24"/>
          <w:szCs w:val="24"/>
        </w:rPr>
        <w:t>5.2 Acessibilidades (Vias, Calçadas e Pontes)</w:t>
      </w:r>
      <w:bookmarkEnd w:id="40"/>
      <w:bookmarkEnd w:id="41"/>
      <w:r w:rsidRPr="0011294E">
        <w:rPr>
          <w:rFonts w:ascii="Times New Roman" w:hAnsi="Times New Roman" w:cs="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 morfologia urbana é, em muitos casos, influenciada e influencia, também, os acessos a uma determinada povoação. Tratando-se o povoado de Monforte de Rio Livre de</w:t>
      </w:r>
      <w:r w:rsidR="009D2BEB">
        <w:rPr>
          <w:rFonts w:ascii="Times New Roman" w:hAnsi="Times New Roman"/>
          <w:sz w:val="24"/>
          <w:szCs w:val="24"/>
        </w:rPr>
        <w:t xml:space="preserve"> </w:t>
      </w:r>
      <w:r w:rsidRPr="0011294E">
        <w:rPr>
          <w:rFonts w:ascii="Times New Roman" w:hAnsi="Times New Roman"/>
          <w:sz w:val="24"/>
          <w:szCs w:val="24"/>
        </w:rPr>
        <w:t>um território periférico e marginalizado, como temos vindo a ver ao longo deste estudo, torna-se imperativo traçar as redes viárias</w:t>
      </w:r>
      <w:r w:rsidR="009D2BEB">
        <w:rPr>
          <w:rFonts w:ascii="Times New Roman" w:hAnsi="Times New Roman"/>
          <w:sz w:val="24"/>
          <w:szCs w:val="24"/>
        </w:rPr>
        <w:t xml:space="preserve"> </w:t>
      </w:r>
      <w:r w:rsidRPr="0011294E">
        <w:rPr>
          <w:rFonts w:ascii="Times New Roman" w:hAnsi="Times New Roman"/>
          <w:sz w:val="24"/>
          <w:szCs w:val="24"/>
        </w:rPr>
        <w:t>que o serviriam.</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expansão dos romanos no território ibérico prendeu-se com uma indispensável política de divulgação da sua cultura, crenças, comércio, entre outros, sem a qual não teria tido uma dominação tão eficaz como foi em quase toda a Europa Ocidental. Foi através da construção de uma rede viária coesa que este povo conseguiu propagandear e divulgar a sua cultura. No capítulo dois do nosso estudo evidenciamos as vias que foram </w:t>
      </w:r>
      <w:r w:rsidRPr="0011294E">
        <w:rPr>
          <w:rFonts w:ascii="Times New Roman" w:hAnsi="Times New Roman"/>
          <w:sz w:val="24"/>
          <w:szCs w:val="24"/>
        </w:rPr>
        <w:lastRenderedPageBreak/>
        <w:t xml:space="preserve">detetadas e para as quais há testemunhos. Neste capítulo, a nossa intenção é referir, apenas, aquelas que passaram na área de influência de Monforte de Rio Livre, designadamente, as calçadas romanas e medievais.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No capítulo dois, descrevemos, de forma detalhada, as vias principais que cruzariam </w:t>
      </w:r>
      <w:r w:rsidRPr="0011294E">
        <w:rPr>
          <w:rFonts w:ascii="Times New Roman" w:hAnsi="Times New Roman"/>
          <w:i/>
          <w:iCs/>
          <w:sz w:val="24"/>
          <w:szCs w:val="24"/>
        </w:rPr>
        <w:t xml:space="preserve">Aquae Flaviae. </w:t>
      </w:r>
      <w:r w:rsidRPr="0011294E">
        <w:rPr>
          <w:rFonts w:ascii="Times New Roman" w:hAnsi="Times New Roman"/>
          <w:iCs/>
          <w:sz w:val="24"/>
          <w:szCs w:val="24"/>
        </w:rPr>
        <w:t>Referimos a da</w:t>
      </w:r>
      <w:r w:rsidRPr="0011294E">
        <w:rPr>
          <w:rFonts w:ascii="Times New Roman" w:hAnsi="Times New Roman"/>
          <w:sz w:val="24"/>
          <w:szCs w:val="24"/>
        </w:rPr>
        <w:t xml:space="preserve"> Via XVII do</w:t>
      </w:r>
      <w:r w:rsidRPr="0011294E">
        <w:rPr>
          <w:rFonts w:ascii="Times New Roman" w:hAnsi="Times New Roman"/>
          <w:i/>
          <w:sz w:val="24"/>
          <w:szCs w:val="24"/>
        </w:rPr>
        <w:t xml:space="preserve"> Itinerário de Antonino</w:t>
      </w:r>
      <w:r w:rsidRPr="0011294E">
        <w:rPr>
          <w:rFonts w:ascii="Times New Roman" w:hAnsi="Times New Roman"/>
          <w:sz w:val="24"/>
          <w:szCs w:val="24"/>
        </w:rPr>
        <w:t xml:space="preserve"> que fazia o trajeto entre </w:t>
      </w:r>
      <w:r w:rsidRPr="0011294E">
        <w:rPr>
          <w:rFonts w:ascii="Times New Roman" w:hAnsi="Times New Roman"/>
          <w:i/>
          <w:sz w:val="24"/>
          <w:szCs w:val="24"/>
        </w:rPr>
        <w:t xml:space="preserve">Bracara Augusta </w:t>
      </w:r>
      <w:r w:rsidRPr="0011294E">
        <w:rPr>
          <w:rFonts w:ascii="Times New Roman" w:hAnsi="Times New Roman"/>
          <w:sz w:val="24"/>
          <w:szCs w:val="24"/>
        </w:rPr>
        <w:t>e</w:t>
      </w:r>
      <w:r w:rsidRPr="0011294E">
        <w:rPr>
          <w:rFonts w:ascii="Times New Roman" w:hAnsi="Times New Roman"/>
          <w:i/>
          <w:sz w:val="24"/>
          <w:szCs w:val="24"/>
        </w:rPr>
        <w:t xml:space="preserve"> Asturica Augusta</w:t>
      </w:r>
      <w:r w:rsidRPr="0011294E">
        <w:rPr>
          <w:rFonts w:ascii="Times New Roman" w:hAnsi="Times New Roman"/>
          <w:i/>
          <w:sz w:val="24"/>
          <w:szCs w:val="24"/>
          <w:vertAlign w:val="superscript"/>
        </w:rPr>
        <w:footnoteReference w:id="315"/>
      </w:r>
      <w:r w:rsidRPr="0011294E">
        <w:rPr>
          <w:rFonts w:ascii="Times New Roman" w:hAnsi="Times New Roman"/>
          <w:i/>
          <w:sz w:val="24"/>
          <w:szCs w:val="24"/>
        </w:rPr>
        <w:t xml:space="preserve">, </w:t>
      </w:r>
      <w:r w:rsidRPr="0011294E">
        <w:rPr>
          <w:rFonts w:ascii="Times New Roman" w:hAnsi="Times New Roman"/>
          <w:sz w:val="24"/>
          <w:szCs w:val="24"/>
        </w:rPr>
        <w:t>assim como todas as suas variantes e vias secundárias. Destes traçados não será difícil entendermos a bifurcação em pequenos caminhos que ligavam as pequenas povoações aos grandes núcleos.</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Dentro do termo medieval de Monforte de Rio Livre podemos destacar o itinerário do traçado Norte da via romana que ligava Braga a Astorga. Este subia ao planalto de Monforte de Rio Livre, seguindo por Fiães e Buçais, atravessando o Rabaçal e dirigindo-se por Vinhais e Ponte Velha de Soeira a Castro de Avelãs. O traçado meridional atravessava S. Lourenço, Vilarandelo e Possacos, transpunha o rio Rabaçal pela ponte de Vale das Telhas e o Rio Tuela na Ponte de Pedra, seguindo depois para Lamalonga até chegar a Castro de Avelãs.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Este trajeto da variante Norte da Via XVII terá sido um percurso viário localizado junto ao extremo limite Ocidental do Planalto de Monforte. A utilidade deste exercício sobre a rede viária é fundamental para perceber o contexto espacial e geoestratégico de Monforte de Rio Livre na Idade Média. Esta localização indica-nos, simultaneamente, que aquele troço da via romana não estava perdido ou abandonado e que, a partir de então, passou a ser percorrido por renovados fluxos de homens, animais e mercadorias. Significativamente, também, aquela via constituía a ligação ao Tâmega e a Chaves e, na direção oposta, podemos considerá-la como a estrada que ajudou a estruturar o território, ligando Monforte ao respetivo termo</w:t>
      </w:r>
      <w:r w:rsidRPr="0011294E">
        <w:rPr>
          <w:rFonts w:ascii="Times New Roman" w:hAnsi="Times New Roman"/>
          <w:sz w:val="24"/>
          <w:szCs w:val="24"/>
          <w:vertAlign w:val="superscript"/>
        </w:rPr>
        <w:footnoteReference w:id="316"/>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 traçado Norte corresponde a um eixo que liga tradicionalmente as zonas de Chaves – Vinhais – Bragança. É aquele que a Estrada Real seguia e, com algumas variantes, genericamente segue ainda hoje a Estrada Nacional. Só o miliário descoberto em Soeira, supostamente atribuído a Augusto, testemunha em todo este hipotético </w:t>
      </w:r>
      <w:r w:rsidRPr="0011294E">
        <w:rPr>
          <w:rFonts w:ascii="Times New Roman" w:hAnsi="Times New Roman"/>
          <w:sz w:val="24"/>
          <w:szCs w:val="24"/>
        </w:rPr>
        <w:lastRenderedPageBreak/>
        <w:t>percurso, o carácter imperial da via. Todos os outros elementos, como Francisco Sande Lemos realçou, são pouco fiáveis</w:t>
      </w:r>
      <w:r w:rsidRPr="0011294E">
        <w:rPr>
          <w:rFonts w:ascii="Times New Roman" w:hAnsi="Times New Roman"/>
          <w:sz w:val="24"/>
          <w:szCs w:val="24"/>
          <w:vertAlign w:val="superscript"/>
        </w:rPr>
        <w:footnoteReference w:id="317"/>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Testemunhos arqueológicos poderão ser vistos na calçada de S. Lourenço. Um troço de via antiga com cerca de 1,5 km de extensão situada na encosta declivosa que conduz do rebordo Este da Veiga de Chaves até próximo da povoação de S. Lourenço. As zonas de declive mais acentuado apresentam uma larga calçada de lajes de granito com sistema de drenagem que atravessa a via. O pavimento certamente, não será o original, mas é muito provável que o traçado em si não se afaste muito da via romana XVII</w:t>
      </w:r>
      <w:r w:rsidRPr="0011294E">
        <w:rPr>
          <w:rFonts w:ascii="Times New Roman" w:hAnsi="Times New Roman"/>
          <w:sz w:val="24"/>
          <w:szCs w:val="24"/>
          <w:vertAlign w:val="superscript"/>
        </w:rPr>
        <w:footnoteReference w:id="318"/>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Na zona superior da encosta, na superfície da serra da Padrela é visível o caminho de Souto Bravo. Este caminho é uma antiga via lajeada a granito que rompe a encosta oriental do relevo onde se implanta o povoado de Monforte de Rio Livre, constituindo uma importante acessibilidade ao local durante a época medieval e moderna. A maior parte do traçado deste antigo caminho encontra-se absorvida por uma espessa vegetação, apesar se poderem identificar algumas clareiras onde é possível observar as lajes de granito que cobriam uma via com mais de 2 metros de largura. A documentação medieval refere uma "carraria antiqua" que passava por Aguatões, topónimo, ainda, existente e pelo qual passa este caminho. Esta calçada, que está na continuação da Estrada Real, vai entroncar na "Breia" de Faiões que segue o caminho de Monforte para a Bolideira</w:t>
      </w:r>
      <w:r w:rsidRPr="0011294E">
        <w:rPr>
          <w:rFonts w:ascii="Times New Roman" w:hAnsi="Times New Roman"/>
          <w:sz w:val="24"/>
          <w:szCs w:val="24"/>
          <w:vertAlign w:val="superscript"/>
        </w:rPr>
        <w:footnoteReference w:id="319"/>
      </w:r>
      <w:r w:rsidRPr="0011294E">
        <w:rPr>
          <w:rFonts w:ascii="Times New Roman" w:hAnsi="Times New Roman"/>
          <w:sz w:val="24"/>
          <w:szCs w:val="24"/>
        </w:rPr>
        <w:t xml:space="preserve">. </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Na Idade Média não podemos falar de iniciativas régias de lançamento de um plano estruturado de construção de vias, mas de fundação de novos “lugares centrais” fomentados à escala regional, como a Vila de Monforte de Rio Livre e de Chaves, que acabou por estimular decisivamente no fluxo de pessoas e mercadorias e por conseguinte no estabelecimento da própria rede viária.</w:t>
      </w:r>
      <w:r w:rsidR="009D2BEB">
        <w:rPr>
          <w:rFonts w:ascii="Times New Roman" w:hAnsi="Times New Roman"/>
          <w:sz w:val="24"/>
          <w:szCs w:val="24"/>
        </w:rPr>
        <w:t xml:space="preserve"> </w:t>
      </w:r>
      <w:r w:rsidRPr="0011294E">
        <w:rPr>
          <w:rFonts w:ascii="Times New Roman" w:hAnsi="Times New Roman"/>
          <w:sz w:val="24"/>
          <w:szCs w:val="24"/>
        </w:rPr>
        <w:t xml:space="preserve">Pelo menos a partir do século XIII e XIV serão as vilas com os respetivos termos que comandam a rede do </w:t>
      </w:r>
      <w:r w:rsidRPr="0011294E">
        <w:rPr>
          <w:rFonts w:ascii="Times New Roman" w:hAnsi="Times New Roman"/>
          <w:sz w:val="24"/>
          <w:szCs w:val="24"/>
        </w:rPr>
        <w:lastRenderedPageBreak/>
        <w:t>povoamento da região. Naturalmente serão elas também a determinar os fluxos e as correntes de circulação da época</w:t>
      </w:r>
      <w:r w:rsidRPr="0011294E">
        <w:rPr>
          <w:rFonts w:ascii="Times New Roman" w:hAnsi="Times New Roman"/>
          <w:sz w:val="24"/>
          <w:szCs w:val="24"/>
          <w:vertAlign w:val="superscript"/>
        </w:rPr>
        <w:footnoteReference w:id="320"/>
      </w:r>
      <w:r w:rsidRPr="0011294E">
        <w:rPr>
          <w:rFonts w:ascii="Times New Roman" w:hAnsi="Times New Roman"/>
          <w:sz w:val="24"/>
          <w:szCs w:val="24"/>
        </w:rPr>
        <w:t xml:space="preserve">.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Outro dos aspetos relacionados com a acessibilidade a este povoado prende-se com a existência de pontes que serviriam para facilitar a passagem dos rios e ribeiras, umas de iniciativa romana, outras já de época medieval. No caso do território medieval de Monforte de Rio Livre referimos pontes romanas, justificando as pontes atribuídas ao período medieval com uma fundação romana. Tal facto relaciona-se também com as vias medievais. Grande parte das calçadas medievais assentou no reaproveitamento dos caminhos romanos, por vezes introduzindo algumas modificações. </w:t>
      </w:r>
    </w:p>
    <w:p w:rsidR="0011294E" w:rsidRPr="0011294E" w:rsidRDefault="0011294E" w:rsidP="0011294E">
      <w:pPr>
        <w:autoSpaceDE w:val="0"/>
        <w:autoSpaceDN w:val="0"/>
        <w:adjustRightInd w:val="0"/>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Inseridas no termo do concelho de Monforte de Rio Livre, consideramos três pontes: a primeira de Picões, sobre o rio Rabaçal; a segunda a Ponte de Vale de Casas, na periferia do termo do concelho e, por último, a Ponte de Vale de Telha.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Dentro do termo de Monforte de Rio Livre encontramos, na margem direita do rio Rabaçal, a Ponte de Picões. Esta está situada num ponto em que as margens rochosas do rio se aproximam, observando-se traços de um antigo caminho e as pedras desmanteladas de um arranque de ponte. Na margem oposta, que pertence ao concelho de Vinhais, os alicerces conservaram-se melhor, observando-se várias fiadas. Restam vestígios de uma ponte de três arcos construída com um aparelho de silhares bem esquadriados formando fiadas relativamente regulares. A avaliar pelos restos conservados, o tabuleiro teria uma largura de cerca de 4,5 m, sendo o arco central maior, com um vão de cerca de 15,5 m e os laterais com 9 e 10 m, respetivamente</w:t>
      </w:r>
      <w:r w:rsidRPr="0011294E">
        <w:rPr>
          <w:rFonts w:ascii="Times New Roman" w:hAnsi="Times New Roman"/>
          <w:sz w:val="24"/>
          <w:szCs w:val="24"/>
          <w:vertAlign w:val="superscript"/>
        </w:rPr>
        <w:footnoteReference w:id="321"/>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Os elementos visíveis apontam para uma cronologia medieval da Ponte. Contudo, Sande Lemos adverte que poderá ter substituído um</w:t>
      </w:r>
      <w:bookmarkStart w:id="42" w:name="_GoBack"/>
      <w:bookmarkEnd w:id="42"/>
      <w:r w:rsidRPr="0011294E">
        <w:rPr>
          <w:rFonts w:ascii="Times New Roman" w:hAnsi="Times New Roman"/>
          <w:sz w:val="24"/>
          <w:szCs w:val="24"/>
        </w:rPr>
        <w:t xml:space="preserve">a ponte anterior, romana, aqui localizada ou nas suas proximidades. Concordamos, com Lereno Barradas e Sande Lemos que consideram este ponto como local de passagem da via romana entre </w:t>
      </w:r>
      <w:r w:rsidRPr="0011294E">
        <w:rPr>
          <w:rFonts w:ascii="Times New Roman" w:hAnsi="Times New Roman"/>
          <w:i/>
          <w:iCs/>
          <w:sz w:val="24"/>
          <w:szCs w:val="24"/>
        </w:rPr>
        <w:t xml:space="preserve">Aquae Flaviae </w:t>
      </w:r>
      <w:r w:rsidRPr="0011294E">
        <w:rPr>
          <w:rFonts w:ascii="Times New Roman" w:hAnsi="Times New Roman"/>
          <w:sz w:val="24"/>
          <w:szCs w:val="24"/>
        </w:rPr>
        <w:t xml:space="preserve">e Castro de Avelãs, precisamente o mesmo trajeto da variante Norte da Via XVII, que passava junto ao Planalto de Monforte de Rio Livre. Este itinerário continuou a ser utilizado durante o período medieval. Num momento indeterminado da Idade </w:t>
      </w:r>
      <w:r w:rsidRPr="0011294E">
        <w:rPr>
          <w:rFonts w:ascii="Times New Roman" w:hAnsi="Times New Roman"/>
          <w:sz w:val="24"/>
          <w:szCs w:val="24"/>
        </w:rPr>
        <w:lastRenderedPageBreak/>
        <w:t>Moderna, talvez por ruína definitiva da ponte, a passagem do Rabaçal passou a fazer-se mais a montante, na confluência entre aquele rio e o Mente</w:t>
      </w:r>
      <w:r w:rsidRPr="0011294E">
        <w:rPr>
          <w:rFonts w:ascii="Times New Roman" w:hAnsi="Times New Roman"/>
          <w:sz w:val="24"/>
          <w:szCs w:val="24"/>
          <w:vertAlign w:val="superscript"/>
        </w:rPr>
        <w:footnoteReference w:id="322"/>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Na atual freguesia de Valpaços, na periferia do termo do concelho de Monforte de Rio Livre, encontramos a Ponte Medieval de Vale de Casas. Esta apresenta um tabuleiro horizontal sobre dois arcos de volta perfeitos e o outro ogival</w:t>
      </w:r>
      <w:r w:rsidRPr="0011294E">
        <w:rPr>
          <w:rFonts w:ascii="Times New Roman" w:hAnsi="Times New Roman"/>
          <w:sz w:val="24"/>
          <w:szCs w:val="24"/>
          <w:vertAlign w:val="superscript"/>
        </w:rPr>
        <w:footnoteReference w:id="323"/>
      </w:r>
      <w:r w:rsidRPr="0011294E">
        <w:rPr>
          <w:rFonts w:ascii="Times New Roman" w:hAnsi="Times New Roman"/>
          <w:sz w:val="24"/>
          <w:szCs w:val="24"/>
        </w:rPr>
        <w:t>. As medidas são ligeiramente diferente pois medem: um, 2,60 metros de flecha e 3,55 metros de vão; o outro, 3,20 metros de flexa e 4 metros de vão. As aduelas são estreitas e compridas de extradorso irregular. Tem guardas de cantaria de granito. Além destes arcos existe, próximo da margem esquerda, um viaduto de secção retangular, com 3,20 metros de altura e 1,60 metros de largura, que facilitava o escoamento de águas nas em períodos de cheias</w:t>
      </w:r>
      <w:r w:rsidRPr="0011294E">
        <w:rPr>
          <w:rFonts w:ascii="Times New Roman" w:hAnsi="Times New Roman"/>
          <w:sz w:val="24"/>
          <w:szCs w:val="24"/>
          <w:vertAlign w:val="superscript"/>
        </w:rPr>
        <w:footnoteReference w:id="324"/>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Junto a uma das saídas da ponte, encontram-se umas alminhas protegidas por uma pequena construção com escadaria de acesso no interior - construção do século XVIII. No interior encontra-se uma imagem pintada de Nossa Senhora das Dores.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jusante da Ponte medieval de Vale de Casas foi construída, na década de 90, um viaduto que afetou bastante a integridade física do monumento. Existem registos fotográficos que nos permitem verificar os impactos negativos que a construção do viaduto acarretou.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Inserido na área geográfica pertencente ao povoado de Monforte de Rio Livre, encontramos, ainda, uma outra ponte do nosso interesse. Trata-se da Ponte de Vale das Telhas sobre o Rio Rabaçal. A Ponte de Vale de Telhas seria de construção romana. Contudo, na atual ponte não se identifica qualquer elemento que possa ser atribuído à época Romana. Todavia, a ponte sofreu grandes e profundas alterações, as últimas das quais já na década de 50 do século XX, que terão certamente eliminado vestígios anteriores. Tanto Lereno Barradas como Sande Lemos afirmam que a pedra de construção anterior foi utilizada nos enchimentos da ponte atual</w:t>
      </w:r>
      <w:r w:rsidRPr="0011294E">
        <w:rPr>
          <w:rFonts w:ascii="Times New Roman" w:hAnsi="Times New Roman"/>
          <w:sz w:val="24"/>
          <w:szCs w:val="24"/>
          <w:vertAlign w:val="superscript"/>
        </w:rPr>
        <w:footnoteReference w:id="325"/>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A Ponte encontra-se documentada desde, pelo menos, o século XIII, nas inquirições de D. Afonso III</w:t>
      </w:r>
      <w:r w:rsidRPr="0011294E">
        <w:rPr>
          <w:rFonts w:ascii="Times New Roman" w:hAnsi="Times New Roman"/>
          <w:sz w:val="24"/>
          <w:szCs w:val="24"/>
          <w:vertAlign w:val="superscript"/>
        </w:rPr>
        <w:footnoteReference w:id="326"/>
      </w:r>
      <w:r w:rsidRPr="0011294E">
        <w:rPr>
          <w:rFonts w:ascii="Times New Roman" w:hAnsi="Times New Roman"/>
          <w:sz w:val="24"/>
          <w:szCs w:val="24"/>
        </w:rPr>
        <w:t>, sendo a presença de miliários e o traçado da Via elementos seguros para uma atribuição anterior, de época romana. De facto, ao longo da Ponte e da consequente via foram identificados três miliários. O primeiro miliário data de 286-305 do reinado de Maximiano</w:t>
      </w:r>
      <w:r w:rsidRPr="0011294E">
        <w:rPr>
          <w:rFonts w:ascii="Times New Roman" w:hAnsi="Times New Roman"/>
          <w:sz w:val="24"/>
          <w:szCs w:val="24"/>
          <w:vertAlign w:val="superscript"/>
        </w:rPr>
        <w:footnoteReference w:id="327"/>
      </w:r>
      <w:r w:rsidRPr="0011294E">
        <w:rPr>
          <w:rFonts w:ascii="Times New Roman" w:hAnsi="Times New Roman"/>
          <w:sz w:val="24"/>
          <w:szCs w:val="24"/>
        </w:rPr>
        <w:t>. O segundo miliário é proveniente do mesmo reinado de Maximiano e data entre 304-305. Segundo Rodríguez Colmenero, encontra-se numa casa em Vale de Gouvinhas, tendo sido trazido do leito do rio, junto da Ponte de Vale de Telhas</w:t>
      </w:r>
      <w:r w:rsidRPr="0011294E">
        <w:rPr>
          <w:rFonts w:ascii="Times New Roman" w:hAnsi="Times New Roman"/>
          <w:sz w:val="24"/>
          <w:szCs w:val="24"/>
          <w:vertAlign w:val="superscript"/>
        </w:rPr>
        <w:footnoteReference w:id="328"/>
      </w:r>
      <w:r w:rsidRPr="0011294E">
        <w:rPr>
          <w:rFonts w:ascii="Times New Roman" w:hAnsi="Times New Roman"/>
          <w:sz w:val="24"/>
          <w:szCs w:val="24"/>
        </w:rPr>
        <w:t>. Por último, foi encontrado um miliário, junto à Ponte datando entre 283-284</w:t>
      </w:r>
      <w:r w:rsidRPr="0011294E">
        <w:rPr>
          <w:rFonts w:ascii="Times New Roman" w:hAnsi="Times New Roman"/>
          <w:sz w:val="24"/>
          <w:szCs w:val="24"/>
          <w:vertAlign w:val="superscript"/>
        </w:rPr>
        <w:footnoteReference w:id="329"/>
      </w:r>
      <w:r w:rsidRPr="0011294E">
        <w:rPr>
          <w:rFonts w:ascii="Times New Roman" w:hAnsi="Times New Roman"/>
          <w:sz w:val="24"/>
          <w:szCs w:val="24"/>
        </w:rPr>
        <w:t>.</w:t>
      </w:r>
    </w:p>
    <w:p w:rsidR="0011294E" w:rsidRPr="0011294E" w:rsidRDefault="0011294E" w:rsidP="0011294E">
      <w:pPr>
        <w:spacing w:line="360" w:lineRule="auto"/>
        <w:jc w:val="both"/>
        <w:rPr>
          <w:rFonts w:ascii="Times New Roman" w:hAnsi="Times New Roman"/>
          <w:sz w:val="24"/>
          <w:szCs w:val="24"/>
        </w:rPr>
      </w:pPr>
    </w:p>
    <w:p w:rsidR="0011294E" w:rsidRPr="0011294E" w:rsidRDefault="0011294E" w:rsidP="0011294E">
      <w:pPr>
        <w:pStyle w:val="Ttulo2"/>
        <w:rPr>
          <w:rFonts w:ascii="Times New Roman" w:hAnsi="Times New Roman" w:cs="Times New Roman"/>
          <w:sz w:val="24"/>
          <w:szCs w:val="24"/>
        </w:rPr>
      </w:pPr>
      <w:bookmarkStart w:id="43" w:name="_Toc430358543"/>
      <w:bookmarkStart w:id="44" w:name="_Toc441612286"/>
      <w:r w:rsidRPr="0011294E">
        <w:rPr>
          <w:rFonts w:ascii="Times New Roman" w:hAnsi="Times New Roman" w:cs="Times New Roman"/>
          <w:sz w:val="24"/>
          <w:szCs w:val="24"/>
        </w:rPr>
        <w:t>5.3.</w:t>
      </w:r>
      <w:r w:rsidR="003B23C4">
        <w:rPr>
          <w:rFonts w:ascii="Times New Roman" w:hAnsi="Times New Roman" w:cs="Times New Roman"/>
          <w:sz w:val="24"/>
          <w:szCs w:val="24"/>
        </w:rPr>
        <w:t xml:space="preserve"> </w:t>
      </w:r>
      <w:r w:rsidRPr="0011294E">
        <w:rPr>
          <w:rFonts w:ascii="Times New Roman" w:hAnsi="Times New Roman" w:cs="Times New Roman"/>
          <w:sz w:val="24"/>
          <w:szCs w:val="24"/>
        </w:rPr>
        <w:t>A Muralha</w:t>
      </w:r>
      <w:bookmarkEnd w:id="43"/>
      <w:bookmarkEnd w:id="44"/>
    </w:p>
    <w:p w:rsidR="0011294E" w:rsidRPr="0011294E" w:rsidRDefault="0011294E" w:rsidP="0011294E">
      <w:pPr>
        <w:spacing w:line="360" w:lineRule="auto"/>
        <w:ind w:firstLine="708"/>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Tal como a grande maioria das vilas medievais, também Monforte de Rio Livre apresentava uma cerca urbana defensiva que, à semelhança das outras, englobava no seu interior o povoado – as suas habitações e o castelo – servindo de linha de separação entre o espaço urbano e rural, permitindo simultaneamente a cobrança de impostos.</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A cerca é bastante extensa, apresentando 588,20 metros de perímetro – ergue-se hoje a uma altura de 4,30 m de altura – mas era apenas reforçada por um cubelo, nas imediações do qual se abriam duas portas, uma delas com acesso à fonte da vila. Interiormente, a cerca era seccionada por duas outras muralhas, separando a zona de construções junto ao castelo da restante vila.</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As cercas urbanas são comuns nas vilas românicas e góticas procurando defender o conjunto de habitações que compunham o povoado, mas também como espécie de linha de separação que permitiria a cobrança de vários impostos à entrada do povoado. O surto da edificação destas estruturas defensivas culminou entre os finais do </w:t>
      </w:r>
      <w:r w:rsidRPr="0011294E">
        <w:rPr>
          <w:rFonts w:ascii="Times New Roman" w:hAnsi="Times New Roman"/>
          <w:sz w:val="24"/>
          <w:szCs w:val="24"/>
        </w:rPr>
        <w:lastRenderedPageBreak/>
        <w:t>séc. XII e o séc. XV. Como afirma Carlos Alberto Ferreira de Almeida no séc. XII “fazer vila” significada “cerca uma povoação”</w:t>
      </w:r>
      <w:r w:rsidRPr="0011294E">
        <w:rPr>
          <w:rFonts w:ascii="Times New Roman" w:hAnsi="Times New Roman"/>
          <w:sz w:val="24"/>
          <w:szCs w:val="24"/>
          <w:vertAlign w:val="superscript"/>
        </w:rPr>
        <w:footnoteReference w:id="330"/>
      </w:r>
      <w:r w:rsidRPr="0011294E">
        <w:rPr>
          <w:rFonts w:ascii="Times New Roman" w:hAnsi="Times New Roman"/>
          <w:sz w:val="24"/>
          <w:szCs w:val="24"/>
        </w:rPr>
        <w:t xml:space="preserve">. </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A cerca gótica do povoado apresenta uma capacidade construtiva superior, mostrando uma muralha bastante espessa e com aparelho de construção pseudo-isódomo. De facto, o valor militar das fortificações era sobretudo dissuasório e, mais do que isso, torna-se evidente que o esforço construtivo das cercas urbanas góticas assumia outros significados ultrapassando em muito os militares e bélicos, sendo, acima de tudo, a expressão da nova importância política dos núcleos urbanos enquanto estruturadores do território.</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O traçado da muralha estava condicionado pelas próprias características irregulares do terreno, o que impedia que a superfície do recinto fosse muito alargada e condicionava fortemente as opções em matéria de desenho do amuralhamento. Assim, a cerca apresenta um formato irregular, adaptado à topografia do local, com uma área de 18000 m</w:t>
      </w:r>
      <w:r w:rsidRPr="0011294E">
        <w:rPr>
          <w:rFonts w:ascii="Times New Roman" w:hAnsi="Times New Roman"/>
          <w:sz w:val="24"/>
          <w:szCs w:val="24"/>
          <w:vertAlign w:val="superscript"/>
        </w:rPr>
        <w:t>2</w:t>
      </w:r>
      <w:r w:rsidRPr="0011294E">
        <w:rPr>
          <w:rFonts w:ascii="Times New Roman" w:hAnsi="Times New Roman"/>
          <w:sz w:val="24"/>
          <w:szCs w:val="24"/>
        </w:rPr>
        <w:t>. Ao analisar a planta do povoado, detetamos uma muralha interior, que separava a vila do castelo propriamente dito e suas diversas dependências.</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Com efeito, a cerca apresenta uma planta sub-elíptica, evidenciando já um grande estado de degradação, pelo que alguns troços já não se encontram visíveis. Atualmente, apenas por fotografia aérea é possível discernir sobre o traçado amuralhado.</w:t>
      </w:r>
    </w:p>
    <w:p w:rsidR="0011294E" w:rsidRPr="0011294E" w:rsidRDefault="0011294E" w:rsidP="00F20F19">
      <w:pPr>
        <w:spacing w:line="360" w:lineRule="auto"/>
        <w:jc w:val="both"/>
        <w:rPr>
          <w:rFonts w:ascii="Times New Roman" w:hAnsi="Times New Roman"/>
          <w:sz w:val="24"/>
          <w:szCs w:val="24"/>
        </w:rPr>
      </w:pPr>
    </w:p>
    <w:p w:rsidR="0011294E" w:rsidRPr="0011294E" w:rsidRDefault="0011294E" w:rsidP="0011294E">
      <w:pPr>
        <w:pStyle w:val="Ttulo2"/>
        <w:rPr>
          <w:rFonts w:ascii="Times New Roman" w:hAnsi="Times New Roman" w:cs="Times New Roman"/>
          <w:sz w:val="24"/>
          <w:szCs w:val="24"/>
        </w:rPr>
      </w:pPr>
      <w:bookmarkStart w:id="45" w:name="_Toc430358544"/>
      <w:bookmarkStart w:id="46" w:name="_Toc441612287"/>
      <w:r w:rsidRPr="0011294E">
        <w:rPr>
          <w:rFonts w:ascii="Times New Roman" w:hAnsi="Times New Roman" w:cs="Times New Roman"/>
          <w:sz w:val="24"/>
          <w:szCs w:val="24"/>
        </w:rPr>
        <w:t>5.4. O testemunho do Livro de Duarte d´Armas</w:t>
      </w:r>
      <w:bookmarkEnd w:id="45"/>
      <w:bookmarkEnd w:id="46"/>
    </w:p>
    <w:p w:rsidR="0011294E" w:rsidRPr="0011294E" w:rsidRDefault="0011294E" w:rsidP="0011294E">
      <w:pPr>
        <w:pStyle w:val="Ttulo2"/>
        <w:rPr>
          <w:rFonts w:ascii="Times New Roman" w:hAnsi="Times New Roman" w:cs="Times New Roman"/>
          <w:sz w:val="24"/>
          <w:szCs w:val="24"/>
        </w:rPr>
      </w:pP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O </w:t>
      </w:r>
      <w:r w:rsidRPr="0011294E">
        <w:rPr>
          <w:rFonts w:ascii="Times New Roman" w:hAnsi="Times New Roman"/>
          <w:i/>
          <w:sz w:val="24"/>
          <w:szCs w:val="24"/>
        </w:rPr>
        <w:t>Livro das Fortalezas</w:t>
      </w:r>
      <w:r w:rsidRPr="0011294E">
        <w:rPr>
          <w:rFonts w:ascii="Times New Roman" w:hAnsi="Times New Roman"/>
          <w:sz w:val="24"/>
          <w:szCs w:val="24"/>
        </w:rPr>
        <w:t xml:space="preserve"> de Duarte de Armas permite-nos tirar várias ilações e fazer uma série de descrições que não seriam possíveis sem o seu visionamento, pelo que à falta de fontes documentais e cartográficas, e tendo em conta o estado de conservação do local, esta fonte apresenta um carácter imprescindível e obrigatório. Para a realização deste trabalho, consideramos aqui a observação dos dois fólios relativos às vistas gerais da vila como instrumento para traçar as linhas evolutivas do </w:t>
      </w:r>
      <w:r w:rsidRPr="0011294E">
        <w:rPr>
          <w:rFonts w:ascii="Times New Roman" w:hAnsi="Times New Roman"/>
          <w:sz w:val="24"/>
          <w:szCs w:val="24"/>
        </w:rPr>
        <w:lastRenderedPageBreak/>
        <w:t>aglomerado urbano. Simultaneamente, com as plantas mais tardias, elas fornecem-nos informação sobre a forma como esta povoação se desenvolveu e as estruturas militares que apresentava nos inícios do séc. XVI.</w:t>
      </w:r>
    </w:p>
    <w:p w:rsidR="0011294E" w:rsidRPr="0011294E" w:rsidRDefault="0011294E" w:rsidP="0011294E">
      <w:pPr>
        <w:spacing w:line="360" w:lineRule="auto"/>
        <w:jc w:val="both"/>
        <w:rPr>
          <w:rFonts w:ascii="Times New Roman" w:hAnsi="Times New Roman"/>
          <w:sz w:val="24"/>
          <w:szCs w:val="24"/>
        </w:rPr>
      </w:pPr>
      <w:r w:rsidRPr="0011294E">
        <w:rPr>
          <w:rFonts w:ascii="Times New Roman" w:hAnsi="Times New Roman"/>
          <w:sz w:val="24"/>
          <w:szCs w:val="24"/>
        </w:rPr>
        <w:tab/>
        <w:t>Como já referimos anteriormente, existem dois manuscritos da mesma obra, designadamente, um que se encontra na Torre do Tombo, em suporte pergaminho e outro lavrado em papel que se encontra na Biblioteca Nacional de Madrid. O primeiro, aquele que consultamos, é o mais completo a nível dos desenhos, embora o exemplar de Madrid contenha mais descrições no desenho.</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As muralhas das vilas de Trás-os-Montes caracterizam-se, grosso modo, por muralhas urbanas relativamente modestas e, que em vários casos, estavam munidas de um valor fundacional.</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Na observação dos debuxos de Duarte de Armas, nomeadamente, a muralha da vila de Monforte de Rio Livre, no fólio 94, podemos destacar o papel desempenhado pela porta da vila, que surge ladeada por um muro sobrelevado, uma espécie de formidável campanário adjacente à igreja paroquial, que também tinha um sino próprio. De acordo com Rita Costa Gomes, como se </w:t>
      </w:r>
      <w:r w:rsidRPr="0011294E">
        <w:rPr>
          <w:rFonts w:ascii="Times New Roman" w:hAnsi="Times New Roman"/>
          <w:i/>
          <w:sz w:val="24"/>
          <w:szCs w:val="24"/>
        </w:rPr>
        <w:t>“regista nos costumes leoneses, o tânger dos sinos deveria marcar o movimento do encerramento diário das portas da muralha”</w:t>
      </w:r>
      <w:r w:rsidRPr="0011294E">
        <w:rPr>
          <w:rStyle w:val="Refdenotaderodap"/>
          <w:rFonts w:ascii="Times New Roman" w:hAnsi="Times New Roman"/>
          <w:sz w:val="24"/>
          <w:szCs w:val="24"/>
        </w:rPr>
        <w:footnoteReference w:id="331"/>
      </w:r>
      <w:r w:rsidRPr="0011294E">
        <w:rPr>
          <w:rFonts w:ascii="Times New Roman" w:hAnsi="Times New Roman"/>
          <w:sz w:val="24"/>
          <w:szCs w:val="24"/>
        </w:rPr>
        <w:t xml:space="preserve">. </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Um outro aspeto que é visível, agora no fólio 93, é a Forca, que se encontra a Norte do arrabalde da vila. Com efeito, a forca apresenta-se como um símbolo de importante da ligação do alcaide e os seus poderes judiciais de repressão da criminalidade relacionando este facto com a autonomia jurisdicional das vilas. Esta forca de Monforte de Rio Livre apresenta, segundo os desenhos de Duarte de Armas, a forma material de madeira, situando-se num lugar elevado, tornando bem patente essa jurisdição territorial</w:t>
      </w:r>
      <w:r w:rsidRPr="0011294E">
        <w:rPr>
          <w:rStyle w:val="Refdenotaderodap"/>
          <w:rFonts w:ascii="Times New Roman" w:hAnsi="Times New Roman"/>
          <w:sz w:val="24"/>
          <w:szCs w:val="24"/>
        </w:rPr>
        <w:footnoteReference w:id="332"/>
      </w:r>
      <w:r w:rsidRPr="0011294E">
        <w:rPr>
          <w:rFonts w:ascii="Times New Roman" w:hAnsi="Times New Roman"/>
          <w:sz w:val="24"/>
          <w:szCs w:val="24"/>
        </w:rPr>
        <w:t>.</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Nos finais do século XIII, assistimos a uma reforma profunda na administração territorial, empreendida por D. Dinis. O sistema administrativo das </w:t>
      </w:r>
      <w:r w:rsidRPr="0011294E">
        <w:rPr>
          <w:rFonts w:ascii="Times New Roman" w:hAnsi="Times New Roman"/>
          <w:i/>
          <w:sz w:val="24"/>
          <w:szCs w:val="24"/>
        </w:rPr>
        <w:t>Terras</w:t>
      </w:r>
      <w:r w:rsidRPr="0011294E">
        <w:rPr>
          <w:rFonts w:ascii="Times New Roman" w:hAnsi="Times New Roman"/>
          <w:sz w:val="24"/>
          <w:szCs w:val="24"/>
        </w:rPr>
        <w:t xml:space="preserve">, que tinha estruturado a organização territorial e militar do reino desde o século XI caiu em desuso. Como consequência direta desta reforma, os tenentes, membros da Alta </w:t>
      </w:r>
      <w:r w:rsidRPr="0011294E">
        <w:rPr>
          <w:rFonts w:ascii="Times New Roman" w:hAnsi="Times New Roman"/>
          <w:sz w:val="24"/>
          <w:szCs w:val="24"/>
        </w:rPr>
        <w:lastRenderedPageBreak/>
        <w:t xml:space="preserve">Nobreza com a competência de governar a </w:t>
      </w:r>
      <w:r w:rsidRPr="0011294E">
        <w:rPr>
          <w:rFonts w:ascii="Times New Roman" w:hAnsi="Times New Roman"/>
          <w:i/>
          <w:sz w:val="24"/>
          <w:szCs w:val="24"/>
        </w:rPr>
        <w:t xml:space="preserve">terra, </w:t>
      </w:r>
      <w:r w:rsidRPr="0011294E">
        <w:rPr>
          <w:rFonts w:ascii="Times New Roman" w:hAnsi="Times New Roman"/>
          <w:sz w:val="24"/>
          <w:szCs w:val="24"/>
        </w:rPr>
        <w:t xml:space="preserve">são substituídos pelos Alcaides, funcionários de nomeação régia. Esta reforma revela uma nova ligação da nobreza aos destinos dos castelos raianos – famílias nobres cuja prosperidade dependia sobretudo da proteção dos reis, recebendo tenças com as alcaidarias e, por vezes, pagamentos a realizados pelos próprios concelhos. </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Com efeito, em Monforte de Rio Livre temos um caso semelhante, designadamente, a família dos Ataíde. A primeira referência à família do Conde de Atouguia no concelho data de 1420, no contexto da carta de instituição do couto de homiziados na vila. Igualmente, em 1462, D. Afonso V concede a terra e o Castelo de Monforte de Rio Livre a D. Martinho de Ataíde, filho de Álvaro de Ataíde</w:t>
      </w:r>
      <w:r w:rsidRPr="0011294E">
        <w:rPr>
          <w:rStyle w:val="Refdenotaderodap"/>
          <w:rFonts w:ascii="Times New Roman" w:hAnsi="Times New Roman"/>
          <w:sz w:val="24"/>
          <w:szCs w:val="24"/>
        </w:rPr>
        <w:footnoteReference w:id="333"/>
      </w:r>
      <w:r w:rsidRPr="0011294E">
        <w:rPr>
          <w:rFonts w:ascii="Times New Roman" w:hAnsi="Times New Roman"/>
          <w:sz w:val="24"/>
          <w:szCs w:val="24"/>
        </w:rPr>
        <w:t xml:space="preserve">. </w:t>
      </w:r>
    </w:p>
    <w:p w:rsidR="0011294E" w:rsidRPr="0011294E" w:rsidRDefault="0011294E" w:rsidP="0011294E">
      <w:pPr>
        <w:spacing w:line="360" w:lineRule="auto"/>
        <w:ind w:firstLine="708"/>
        <w:jc w:val="both"/>
        <w:rPr>
          <w:rFonts w:ascii="Times New Roman" w:hAnsi="Times New Roman"/>
          <w:i/>
          <w:sz w:val="24"/>
          <w:szCs w:val="24"/>
        </w:rPr>
      </w:pPr>
      <w:r w:rsidRPr="0011294E">
        <w:rPr>
          <w:rFonts w:ascii="Times New Roman" w:hAnsi="Times New Roman"/>
          <w:sz w:val="24"/>
          <w:szCs w:val="24"/>
        </w:rPr>
        <w:t>No fólio 93 do desenho de Duarte de Armas podemos ler: “</w:t>
      </w:r>
      <w:r w:rsidRPr="0011294E">
        <w:rPr>
          <w:rFonts w:ascii="Times New Roman" w:hAnsi="Times New Roman"/>
          <w:i/>
          <w:sz w:val="24"/>
          <w:szCs w:val="24"/>
        </w:rPr>
        <w:t xml:space="preserve">Alcayde moor dom Alfonsso D´ataíde”. </w:t>
      </w:r>
      <w:r w:rsidRPr="0011294E">
        <w:rPr>
          <w:rFonts w:ascii="Times New Roman" w:hAnsi="Times New Roman"/>
          <w:sz w:val="24"/>
          <w:szCs w:val="24"/>
        </w:rPr>
        <w:t xml:space="preserve">Igualmente no exemplar de Madrid lê-se: </w:t>
      </w:r>
      <w:r w:rsidRPr="0011294E">
        <w:rPr>
          <w:rFonts w:ascii="Times New Roman" w:hAnsi="Times New Roman"/>
          <w:i/>
          <w:sz w:val="24"/>
          <w:szCs w:val="24"/>
        </w:rPr>
        <w:t xml:space="preserve">Monforte de Rio liure (…) alcayde moor dm Alfonso fº. do cõnde Datouguia. </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A ligação da família de Ataíde a Monforte de Rio Livre é significativa. Contudo, para além do co</w:t>
      </w:r>
      <w:r w:rsidR="009D2BEB">
        <w:rPr>
          <w:rFonts w:ascii="Times New Roman" w:hAnsi="Times New Roman"/>
          <w:sz w:val="24"/>
          <w:szCs w:val="24"/>
        </w:rPr>
        <w:t>ntrolo de Monforte de Rio Livre</w:t>
      </w:r>
      <w:r w:rsidRPr="0011294E">
        <w:rPr>
          <w:rFonts w:ascii="Times New Roman" w:hAnsi="Times New Roman"/>
          <w:sz w:val="24"/>
          <w:szCs w:val="24"/>
        </w:rPr>
        <w:t xml:space="preserve"> detinham igualmente as alcaidarias e a posse dos povoados de Vinhais, Vilar Seco de Lombo e Vale de Paço, conforme a doação feita por D. Afonso V. Tornaram-se, assim, num poder verdadeiramente intermediário entre os reis e as vilas transmontanas, tomando importantes iniciativas de proteção e desenvolvimento da vida urbana e de reparação dos castelos. </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No fólio 94 do desenho de Duarte de Armas, encontra-se adossado ao troço da muralha da cerca da vila um cubelo rasgado um pouco antes da porta de Bragança, a Oeste. Este cubelo apresenta um formato retangular. Os cubelos ofereciam uma maior resistência aos </w:t>
      </w:r>
      <w:r w:rsidR="009D2BEB" w:rsidRPr="0011294E">
        <w:rPr>
          <w:rFonts w:ascii="Times New Roman" w:hAnsi="Times New Roman"/>
          <w:sz w:val="24"/>
          <w:szCs w:val="24"/>
        </w:rPr>
        <w:t>projéteis</w:t>
      </w:r>
      <w:r w:rsidRPr="0011294E">
        <w:rPr>
          <w:rFonts w:ascii="Times New Roman" w:hAnsi="Times New Roman"/>
          <w:sz w:val="24"/>
          <w:szCs w:val="24"/>
        </w:rPr>
        <w:t xml:space="preserve"> inimigos e proporcionavam soluções de tiro às guarnições sitiadas. Ao contrário do que nos diz Rita Costa Gomes, não se trata de uma casa-torre, uma vez que não apresenta as características necessárias para tal. A autora argumenta que a existência de uma casa-torre estava ligada muito provavelmente à crescente importância e influência da família dos Ataíde neste território</w:t>
      </w:r>
      <w:r w:rsidRPr="0011294E">
        <w:rPr>
          <w:rStyle w:val="Refdenotaderodap"/>
          <w:rFonts w:ascii="Times New Roman" w:hAnsi="Times New Roman"/>
          <w:sz w:val="24"/>
          <w:szCs w:val="24"/>
        </w:rPr>
        <w:footnoteReference w:id="334"/>
      </w:r>
      <w:r w:rsidRPr="0011294E">
        <w:rPr>
          <w:rFonts w:ascii="Times New Roman" w:hAnsi="Times New Roman"/>
          <w:sz w:val="24"/>
          <w:szCs w:val="24"/>
        </w:rPr>
        <w:t xml:space="preserve">. </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Com efeito, no fólio 94 pode ler-se: </w:t>
      </w:r>
      <w:r w:rsidRPr="0011294E">
        <w:rPr>
          <w:rFonts w:ascii="Times New Roman" w:hAnsi="Times New Roman"/>
          <w:i/>
          <w:sz w:val="24"/>
          <w:szCs w:val="24"/>
        </w:rPr>
        <w:t>Castelo de Monforte de Rio Livre, vista de vista de Nordeste.</w:t>
      </w:r>
      <w:r w:rsidRPr="0011294E">
        <w:rPr>
          <w:rFonts w:ascii="Times New Roman" w:hAnsi="Times New Roman"/>
          <w:sz w:val="24"/>
          <w:szCs w:val="24"/>
        </w:rPr>
        <w:t xml:space="preserve"> Nesta representação podemos ver a barbacã extensa, aqui </w:t>
      </w:r>
      <w:r w:rsidRPr="0011294E">
        <w:rPr>
          <w:rFonts w:ascii="Times New Roman" w:hAnsi="Times New Roman"/>
          <w:sz w:val="24"/>
          <w:szCs w:val="24"/>
        </w:rPr>
        <w:lastRenderedPageBreak/>
        <w:t xml:space="preserve">representada com quatro troneiras cruzetadas e com ameias retangulares em volta do adarve. Destaca-se, ainda, a inclusão no lado da Galiza, do castelo de Monterrey. Para além disso, observa-se a muralha do pátio de armas com as ameias retangulares em volta do adarve. No que toca à muralha que envolvia a povoação da vila, podemos destacar a muralha a Oeste que apresenta as ameias abertas e retangulares. Do lado oposto, a muralha é composta por ameias abertas e pentagonais encontrando-se já danificadas. </w:t>
      </w:r>
    </w:p>
    <w:p w:rsidR="0011294E" w:rsidRPr="0011294E" w:rsidRDefault="0011294E" w:rsidP="0011294E">
      <w:pPr>
        <w:spacing w:line="360" w:lineRule="auto"/>
        <w:ind w:firstLine="708"/>
        <w:jc w:val="both"/>
        <w:rPr>
          <w:rFonts w:ascii="Times New Roman" w:hAnsi="Times New Roman"/>
          <w:i/>
          <w:sz w:val="24"/>
          <w:szCs w:val="24"/>
        </w:rPr>
      </w:pPr>
      <w:r w:rsidRPr="0011294E">
        <w:rPr>
          <w:rFonts w:ascii="Times New Roman" w:hAnsi="Times New Roman"/>
          <w:sz w:val="24"/>
          <w:szCs w:val="24"/>
        </w:rPr>
        <w:t xml:space="preserve">No exemplar de Madrid podemos apontar já algumas diferenças no que toca às legendas, designadamente, </w:t>
      </w:r>
      <w:r w:rsidRPr="0011294E">
        <w:rPr>
          <w:rFonts w:ascii="Times New Roman" w:hAnsi="Times New Roman"/>
          <w:i/>
          <w:sz w:val="24"/>
          <w:szCs w:val="24"/>
        </w:rPr>
        <w:t>Monforte de Rio Liure, tirado naturall da banda do nordeste, alcayde moor dom afonsso fº do conde Datouguia.</w:t>
      </w:r>
    </w:p>
    <w:p w:rsidR="0011294E" w:rsidRPr="0011294E" w:rsidRDefault="0011294E" w:rsidP="0011294E">
      <w:pPr>
        <w:spacing w:line="360" w:lineRule="auto"/>
        <w:ind w:firstLine="708"/>
        <w:jc w:val="both"/>
        <w:rPr>
          <w:rFonts w:ascii="Times New Roman" w:hAnsi="Times New Roman"/>
          <w:i/>
          <w:sz w:val="24"/>
          <w:szCs w:val="24"/>
        </w:rPr>
      </w:pPr>
      <w:r w:rsidRPr="0011294E">
        <w:rPr>
          <w:rFonts w:ascii="Times New Roman" w:hAnsi="Times New Roman"/>
          <w:sz w:val="24"/>
          <w:szCs w:val="24"/>
        </w:rPr>
        <w:t>Apresenta este debuxo outras indicações inéditas. Sobre a demografia do povoado é referido: “</w:t>
      </w:r>
      <w:r w:rsidRPr="0011294E">
        <w:rPr>
          <w:rFonts w:ascii="Times New Roman" w:hAnsi="Times New Roman"/>
          <w:i/>
          <w:sz w:val="24"/>
          <w:szCs w:val="24"/>
        </w:rPr>
        <w:t>e esta villa nom tem mais de x ou xii vizinhos, e todas as outras casas sam derybadas e feytas e pandiryssos nem tem portas, ne podem andar pollas ruas por respeyto do…do gado”.</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De acordo com Simancas, a legenda do povoado fala-nos da decadência e ruína de Monforte de Rio Livre, nos princípios do século XVI. Para além disso, confirma o estado precário da povoação, que só se contava com trinta moradores, mostrando ainda, a natureza predominantemente agrícola das atividades dos seus habitantes. Este debuxo mostra a barbacã extensa deteriorada em vários sítios. Para além disso, mostra-nos que o Alcaide do Castelo de Monforte, Afonso de Ataíde, possuía igualmente a alcaidaria de Vinhais.</w:t>
      </w:r>
    </w:p>
    <w:p w:rsidR="0011294E" w:rsidRPr="0011294E" w:rsidRDefault="0011294E" w:rsidP="0011294E">
      <w:pPr>
        <w:spacing w:line="360" w:lineRule="auto"/>
        <w:ind w:firstLine="708"/>
        <w:jc w:val="both"/>
        <w:rPr>
          <w:rFonts w:ascii="Times New Roman" w:hAnsi="Times New Roman"/>
          <w:i/>
          <w:sz w:val="24"/>
          <w:szCs w:val="24"/>
        </w:rPr>
      </w:pPr>
      <w:r w:rsidRPr="0011294E">
        <w:rPr>
          <w:rFonts w:ascii="Times New Roman" w:hAnsi="Times New Roman"/>
          <w:sz w:val="24"/>
          <w:szCs w:val="24"/>
        </w:rPr>
        <w:t>Apresenta duas outras indicações inéditas: “</w:t>
      </w:r>
      <w:r w:rsidRPr="0011294E">
        <w:rPr>
          <w:rFonts w:ascii="Times New Roman" w:hAnsi="Times New Roman"/>
          <w:i/>
          <w:sz w:val="24"/>
          <w:szCs w:val="24"/>
        </w:rPr>
        <w:t xml:space="preserve">desta banda do nordeste e da outra banda do sudueste he este lugar mui fragoso”, </w:t>
      </w:r>
      <w:r w:rsidRPr="0011294E">
        <w:rPr>
          <w:rFonts w:ascii="Times New Roman" w:hAnsi="Times New Roman"/>
          <w:sz w:val="24"/>
          <w:szCs w:val="24"/>
        </w:rPr>
        <w:t xml:space="preserve">e ainda </w:t>
      </w:r>
      <w:r w:rsidRPr="0011294E">
        <w:rPr>
          <w:rFonts w:ascii="Times New Roman" w:hAnsi="Times New Roman"/>
          <w:i/>
          <w:sz w:val="24"/>
          <w:szCs w:val="24"/>
        </w:rPr>
        <w:t xml:space="preserve">“desta banda he canpo”. </w:t>
      </w:r>
      <w:r w:rsidRPr="0011294E">
        <w:rPr>
          <w:rFonts w:ascii="Times New Roman" w:hAnsi="Times New Roman"/>
          <w:sz w:val="24"/>
          <w:szCs w:val="24"/>
        </w:rPr>
        <w:t xml:space="preserve">De facto, o autor classifica a morfologia do castelo e povoado que se encontra numa zona bastante íngreme – zona de implantação no cabeço da borda do planalto sobranceiro à Veiga de Chaves. A segunda indicação diz respeito ao arrabalde. Este apresenta algumas árvores a sudeste, com indicação de campo, possivelmente agrícola, numa relação com o povoado. </w:t>
      </w:r>
    </w:p>
    <w:p w:rsidR="0011294E" w:rsidRPr="0011294E" w:rsidRDefault="0011294E" w:rsidP="0011294E">
      <w:pPr>
        <w:spacing w:line="360" w:lineRule="auto"/>
        <w:ind w:firstLine="708"/>
        <w:jc w:val="both"/>
        <w:rPr>
          <w:rFonts w:ascii="Times New Roman" w:hAnsi="Times New Roman"/>
          <w:i/>
          <w:sz w:val="24"/>
          <w:szCs w:val="24"/>
        </w:rPr>
      </w:pPr>
      <w:r w:rsidRPr="0011294E">
        <w:rPr>
          <w:rFonts w:ascii="Times New Roman" w:hAnsi="Times New Roman"/>
          <w:sz w:val="24"/>
          <w:szCs w:val="24"/>
        </w:rPr>
        <w:t xml:space="preserve">Na vista de Monforte de Rio Livre tirada da banda Nordeste, do exemplar da Torre do Tombo, visualizamos ao fundo, como já destacamos anteriormente, num </w:t>
      </w:r>
      <w:r w:rsidRPr="0011294E">
        <w:rPr>
          <w:rFonts w:ascii="Times New Roman" w:hAnsi="Times New Roman"/>
          <w:sz w:val="24"/>
          <w:szCs w:val="24"/>
        </w:rPr>
        <w:lastRenderedPageBreak/>
        <w:t xml:space="preserve">monte elevado, o Castelo de Monterrey, enquanto no exemplar de Madrid a legenda refere </w:t>
      </w:r>
      <w:r w:rsidRPr="0011294E">
        <w:rPr>
          <w:rFonts w:ascii="Times New Roman" w:hAnsi="Times New Roman"/>
          <w:i/>
          <w:sz w:val="24"/>
          <w:szCs w:val="24"/>
        </w:rPr>
        <w:t>“galiza (montanãs</w:t>
      </w:r>
      <w:r w:rsidR="009D2BEB">
        <w:rPr>
          <w:rFonts w:ascii="Times New Roman" w:hAnsi="Times New Roman"/>
          <w:i/>
          <w:sz w:val="24"/>
          <w:szCs w:val="24"/>
        </w:rPr>
        <w:t xml:space="preserve"> </w:t>
      </w:r>
      <w:r w:rsidRPr="0011294E">
        <w:rPr>
          <w:rFonts w:ascii="Times New Roman" w:hAnsi="Times New Roman"/>
          <w:i/>
          <w:sz w:val="24"/>
          <w:szCs w:val="24"/>
        </w:rPr>
        <w:t xml:space="preserve">de)”. </w:t>
      </w:r>
    </w:p>
    <w:p w:rsidR="0011294E" w:rsidRPr="0011294E" w:rsidRDefault="0011294E" w:rsidP="0011294E">
      <w:pPr>
        <w:spacing w:line="360" w:lineRule="auto"/>
        <w:ind w:firstLine="708"/>
        <w:jc w:val="both"/>
        <w:rPr>
          <w:rFonts w:ascii="Times New Roman" w:hAnsi="Times New Roman"/>
          <w:sz w:val="24"/>
          <w:szCs w:val="24"/>
        </w:rPr>
      </w:pPr>
      <w:r w:rsidRPr="0011294E">
        <w:rPr>
          <w:rFonts w:ascii="Times New Roman" w:hAnsi="Times New Roman"/>
          <w:sz w:val="24"/>
          <w:szCs w:val="24"/>
        </w:rPr>
        <w:t xml:space="preserve">Na análise dos debuxos do Duarte de Armas, nomeadamente no exemplar de Lisboa e de Madrid chegamos à conclusão que os desenhos do manuscrito espanhol não são tão pormenorizados como os de Lisboa, pelo que o aparelho do castelo e da muralha da vila não são percetíveis e não aparece bem definido. Por outro lado, nos desenhos de Madrid as legendas são mais abundantes como vimos na legenda sobre a demografia e o estado de conservação dos elementos arquitetónicos do povoado. </w:t>
      </w:r>
    </w:p>
    <w:p w:rsidR="0011294E" w:rsidRPr="0011294E" w:rsidRDefault="0011294E" w:rsidP="0011294E">
      <w:pPr>
        <w:spacing w:line="360" w:lineRule="auto"/>
        <w:jc w:val="both"/>
        <w:rPr>
          <w:rFonts w:ascii="Times New Roman" w:hAnsi="Times New Roman"/>
          <w:sz w:val="24"/>
          <w:szCs w:val="24"/>
        </w:rPr>
      </w:pPr>
    </w:p>
    <w:p w:rsidR="0011294E" w:rsidRPr="0011294E" w:rsidRDefault="0011294E" w:rsidP="0011294E">
      <w:pPr>
        <w:spacing w:line="360" w:lineRule="auto"/>
        <w:jc w:val="both"/>
        <w:rPr>
          <w:rFonts w:ascii="Times New Roman" w:hAnsi="Times New Roman"/>
          <w:sz w:val="24"/>
          <w:szCs w:val="24"/>
        </w:rPr>
      </w:pPr>
    </w:p>
    <w:p w:rsidR="0011294E" w:rsidRPr="0011294E" w:rsidRDefault="0011294E" w:rsidP="0011294E">
      <w:pPr>
        <w:spacing w:line="360" w:lineRule="auto"/>
        <w:jc w:val="both"/>
        <w:rPr>
          <w:rFonts w:ascii="Times New Roman" w:hAnsi="Times New Roman"/>
          <w:sz w:val="24"/>
          <w:szCs w:val="24"/>
        </w:rPr>
      </w:pPr>
    </w:p>
    <w:tbl>
      <w:tblPr>
        <w:tblStyle w:val="Tabelacomgrelha"/>
        <w:tblW w:w="0" w:type="auto"/>
        <w:tblLook w:val="04A0"/>
      </w:tblPr>
      <w:tblGrid>
        <w:gridCol w:w="4322"/>
        <w:gridCol w:w="4322"/>
      </w:tblGrid>
      <w:tr w:rsidR="0011294E" w:rsidRPr="0011294E" w:rsidTr="0011294E">
        <w:tc>
          <w:tcPr>
            <w:tcW w:w="4322" w:type="dxa"/>
            <w:shd w:val="clear" w:color="auto" w:fill="948A54" w:themeFill="background2" w:themeFillShade="80"/>
          </w:tcPr>
          <w:p w:rsidR="0011294E" w:rsidRPr="0011294E" w:rsidRDefault="0011294E" w:rsidP="0011294E">
            <w:pPr>
              <w:spacing w:line="360" w:lineRule="auto"/>
              <w:jc w:val="both"/>
              <w:rPr>
                <w:rFonts w:ascii="Times New Roman" w:hAnsi="Times New Roman" w:cs="Times New Roman"/>
                <w:b/>
                <w:sz w:val="24"/>
                <w:szCs w:val="24"/>
              </w:rPr>
            </w:pPr>
            <w:r w:rsidRPr="0011294E">
              <w:rPr>
                <w:rFonts w:ascii="Times New Roman" w:hAnsi="Times New Roman" w:cs="Times New Roman"/>
                <w:b/>
                <w:sz w:val="24"/>
                <w:szCs w:val="24"/>
              </w:rPr>
              <w:t xml:space="preserve">ARMAS, Duarte de – </w:t>
            </w:r>
            <w:r w:rsidRPr="0011294E">
              <w:rPr>
                <w:rFonts w:ascii="Times New Roman" w:hAnsi="Times New Roman" w:cs="Times New Roman"/>
                <w:b/>
                <w:i/>
                <w:iCs/>
                <w:sz w:val="24"/>
                <w:szCs w:val="24"/>
              </w:rPr>
              <w:t>Livro das Fortalezas</w:t>
            </w:r>
          </w:p>
        </w:tc>
        <w:tc>
          <w:tcPr>
            <w:tcW w:w="4322" w:type="dxa"/>
            <w:shd w:val="clear" w:color="auto" w:fill="948A54" w:themeFill="background2" w:themeFillShade="80"/>
          </w:tcPr>
          <w:p w:rsidR="0011294E" w:rsidRPr="0011294E" w:rsidRDefault="0011294E" w:rsidP="0011294E">
            <w:pPr>
              <w:spacing w:line="360" w:lineRule="auto"/>
              <w:jc w:val="both"/>
              <w:rPr>
                <w:rFonts w:ascii="Times New Roman" w:hAnsi="Times New Roman" w:cs="Times New Roman"/>
                <w:b/>
                <w:sz w:val="24"/>
                <w:szCs w:val="24"/>
              </w:rPr>
            </w:pPr>
            <w:r w:rsidRPr="0011294E">
              <w:rPr>
                <w:rFonts w:ascii="Times New Roman" w:hAnsi="Times New Roman" w:cs="Times New Roman"/>
                <w:b/>
                <w:sz w:val="24"/>
                <w:szCs w:val="24"/>
              </w:rPr>
              <w:t xml:space="preserve">SIMANCAS, Manuel González – </w:t>
            </w:r>
            <w:r w:rsidRPr="0011294E">
              <w:rPr>
                <w:rFonts w:ascii="Times New Roman" w:hAnsi="Times New Roman" w:cs="Times New Roman"/>
                <w:b/>
                <w:i/>
                <w:iCs/>
                <w:sz w:val="24"/>
                <w:szCs w:val="24"/>
              </w:rPr>
              <w:t>Plazas de Guerra y castillos</w:t>
            </w:r>
            <w:r w:rsidR="009D2BEB">
              <w:rPr>
                <w:rFonts w:ascii="Times New Roman" w:hAnsi="Times New Roman" w:cs="Times New Roman"/>
                <w:b/>
                <w:i/>
                <w:iCs/>
                <w:sz w:val="24"/>
                <w:szCs w:val="24"/>
              </w:rPr>
              <w:t xml:space="preserve"> </w:t>
            </w:r>
            <w:r w:rsidRPr="0011294E">
              <w:rPr>
                <w:rFonts w:ascii="Times New Roman" w:hAnsi="Times New Roman" w:cs="Times New Roman"/>
                <w:b/>
                <w:i/>
                <w:iCs/>
                <w:sz w:val="24"/>
                <w:szCs w:val="24"/>
              </w:rPr>
              <w:t>medioevales</w:t>
            </w:r>
          </w:p>
        </w:tc>
      </w:tr>
      <w:tr w:rsidR="0011294E" w:rsidRPr="0011294E" w:rsidTr="0011294E">
        <w:tc>
          <w:tcPr>
            <w:tcW w:w="4322" w:type="dxa"/>
          </w:tcPr>
          <w:p w:rsidR="0011294E" w:rsidRPr="0011294E" w:rsidRDefault="0011294E" w:rsidP="0011294E">
            <w:pPr>
              <w:spacing w:line="360" w:lineRule="auto"/>
              <w:jc w:val="both"/>
              <w:rPr>
                <w:rFonts w:ascii="Times New Roman" w:hAnsi="Times New Roman" w:cs="Times New Roman"/>
                <w:i/>
                <w:sz w:val="24"/>
                <w:szCs w:val="24"/>
              </w:rPr>
            </w:pPr>
            <w:r w:rsidRPr="0011294E">
              <w:rPr>
                <w:rFonts w:ascii="Times New Roman" w:hAnsi="Times New Roman" w:cs="Times New Roman"/>
                <w:i/>
                <w:sz w:val="24"/>
                <w:szCs w:val="24"/>
              </w:rPr>
              <w:t>Monforte de Rio Livre natural da Parte do Sudoeste Alcayde moor dom Alfonsso D´ataíde</w:t>
            </w:r>
          </w:p>
        </w:tc>
        <w:tc>
          <w:tcPr>
            <w:tcW w:w="4322" w:type="dxa"/>
          </w:tcPr>
          <w:p w:rsidR="0011294E" w:rsidRPr="0011294E" w:rsidRDefault="0011294E" w:rsidP="0011294E">
            <w:pPr>
              <w:spacing w:line="360" w:lineRule="auto"/>
              <w:jc w:val="both"/>
              <w:rPr>
                <w:rFonts w:ascii="Times New Roman" w:hAnsi="Times New Roman" w:cs="Times New Roman"/>
                <w:sz w:val="24"/>
                <w:szCs w:val="24"/>
              </w:rPr>
            </w:pPr>
            <w:r w:rsidRPr="0011294E">
              <w:rPr>
                <w:rFonts w:ascii="Times New Roman" w:hAnsi="Times New Roman" w:cs="Times New Roman"/>
                <w:i/>
                <w:sz w:val="24"/>
                <w:szCs w:val="24"/>
              </w:rPr>
              <w:t>Monforte de Rio Liure, tirado naturall da banda do nordeste, alcayde moor dom alfonso fº do cõnde Datouguia.</w:t>
            </w:r>
          </w:p>
        </w:tc>
      </w:tr>
      <w:tr w:rsidR="0011294E" w:rsidRPr="0011294E" w:rsidTr="0011294E">
        <w:tc>
          <w:tcPr>
            <w:tcW w:w="4322" w:type="dxa"/>
          </w:tcPr>
          <w:p w:rsidR="0011294E" w:rsidRPr="0011294E" w:rsidRDefault="0011294E" w:rsidP="0011294E">
            <w:pPr>
              <w:spacing w:line="360" w:lineRule="auto"/>
              <w:jc w:val="both"/>
              <w:rPr>
                <w:rFonts w:ascii="Times New Roman" w:hAnsi="Times New Roman" w:cs="Times New Roman"/>
                <w:sz w:val="24"/>
                <w:szCs w:val="24"/>
              </w:rPr>
            </w:pPr>
          </w:p>
        </w:tc>
        <w:tc>
          <w:tcPr>
            <w:tcW w:w="4322" w:type="dxa"/>
          </w:tcPr>
          <w:p w:rsidR="0011294E" w:rsidRPr="0011294E" w:rsidRDefault="0011294E" w:rsidP="0011294E">
            <w:pPr>
              <w:spacing w:line="360" w:lineRule="auto"/>
              <w:jc w:val="both"/>
              <w:rPr>
                <w:rFonts w:ascii="Times New Roman" w:hAnsi="Times New Roman" w:cs="Times New Roman"/>
                <w:sz w:val="24"/>
                <w:szCs w:val="24"/>
              </w:rPr>
            </w:pPr>
            <w:r w:rsidRPr="0011294E">
              <w:rPr>
                <w:rFonts w:ascii="Times New Roman" w:hAnsi="Times New Roman" w:cs="Times New Roman"/>
                <w:i/>
                <w:sz w:val="24"/>
                <w:szCs w:val="24"/>
              </w:rPr>
              <w:t>e esta villa nom tem mais de x ou xii vizinhos, e todas as outras casas sam derybadas e feytas e pandiryssos nem tem portas, ne podem andar pollas ruas por respeyto do…dogado</w:t>
            </w:r>
          </w:p>
        </w:tc>
      </w:tr>
      <w:tr w:rsidR="0011294E" w:rsidRPr="0011294E" w:rsidTr="0011294E">
        <w:tc>
          <w:tcPr>
            <w:tcW w:w="4322" w:type="dxa"/>
          </w:tcPr>
          <w:p w:rsidR="0011294E" w:rsidRPr="0011294E" w:rsidRDefault="0011294E" w:rsidP="0011294E">
            <w:pPr>
              <w:spacing w:line="360" w:lineRule="auto"/>
              <w:jc w:val="both"/>
              <w:rPr>
                <w:rFonts w:ascii="Times New Roman" w:hAnsi="Times New Roman" w:cs="Times New Roman"/>
                <w:sz w:val="24"/>
                <w:szCs w:val="24"/>
              </w:rPr>
            </w:pPr>
          </w:p>
        </w:tc>
        <w:tc>
          <w:tcPr>
            <w:tcW w:w="4322" w:type="dxa"/>
          </w:tcPr>
          <w:p w:rsidR="0011294E" w:rsidRPr="0011294E" w:rsidRDefault="0011294E" w:rsidP="0011294E">
            <w:pPr>
              <w:spacing w:line="360" w:lineRule="auto"/>
              <w:jc w:val="both"/>
              <w:rPr>
                <w:rFonts w:ascii="Times New Roman" w:hAnsi="Times New Roman" w:cs="Times New Roman"/>
                <w:i/>
                <w:sz w:val="24"/>
                <w:szCs w:val="24"/>
              </w:rPr>
            </w:pPr>
            <w:r w:rsidRPr="0011294E">
              <w:rPr>
                <w:rFonts w:ascii="Times New Roman" w:hAnsi="Times New Roman" w:cs="Times New Roman"/>
                <w:i/>
                <w:sz w:val="24"/>
                <w:szCs w:val="24"/>
              </w:rPr>
              <w:t>Aqui esta hua porta</w:t>
            </w:r>
          </w:p>
        </w:tc>
      </w:tr>
      <w:tr w:rsidR="0011294E" w:rsidRPr="0011294E" w:rsidTr="0011294E">
        <w:tc>
          <w:tcPr>
            <w:tcW w:w="4322" w:type="dxa"/>
          </w:tcPr>
          <w:p w:rsidR="0011294E" w:rsidRPr="0011294E" w:rsidRDefault="0011294E" w:rsidP="0011294E">
            <w:pPr>
              <w:spacing w:line="360" w:lineRule="auto"/>
              <w:jc w:val="both"/>
              <w:rPr>
                <w:rFonts w:ascii="Times New Roman" w:hAnsi="Times New Roman" w:cs="Times New Roman"/>
                <w:sz w:val="24"/>
                <w:szCs w:val="24"/>
              </w:rPr>
            </w:pPr>
          </w:p>
        </w:tc>
        <w:tc>
          <w:tcPr>
            <w:tcW w:w="4322" w:type="dxa"/>
          </w:tcPr>
          <w:p w:rsidR="0011294E" w:rsidRPr="0011294E" w:rsidRDefault="0011294E" w:rsidP="0011294E">
            <w:pPr>
              <w:spacing w:line="360" w:lineRule="auto"/>
              <w:jc w:val="both"/>
              <w:rPr>
                <w:rFonts w:ascii="Times New Roman" w:hAnsi="Times New Roman" w:cs="Times New Roman"/>
                <w:i/>
                <w:sz w:val="24"/>
                <w:szCs w:val="24"/>
              </w:rPr>
            </w:pPr>
            <w:r w:rsidRPr="0011294E">
              <w:rPr>
                <w:rFonts w:ascii="Times New Roman" w:hAnsi="Times New Roman" w:cs="Times New Roman"/>
                <w:i/>
                <w:sz w:val="24"/>
                <w:szCs w:val="24"/>
              </w:rPr>
              <w:t xml:space="preserve">Desta banda </w:t>
            </w:r>
            <w:r w:rsidR="009D2BEB" w:rsidRPr="0011294E">
              <w:rPr>
                <w:rFonts w:ascii="Times New Roman" w:hAnsi="Times New Roman" w:cs="Times New Roman"/>
                <w:i/>
                <w:sz w:val="24"/>
                <w:szCs w:val="24"/>
              </w:rPr>
              <w:t>he canpo</w:t>
            </w:r>
          </w:p>
        </w:tc>
      </w:tr>
      <w:tr w:rsidR="0011294E" w:rsidRPr="0011294E" w:rsidTr="0011294E">
        <w:tc>
          <w:tcPr>
            <w:tcW w:w="4322" w:type="dxa"/>
          </w:tcPr>
          <w:p w:rsidR="0011294E" w:rsidRPr="0011294E" w:rsidRDefault="0011294E" w:rsidP="0011294E">
            <w:pPr>
              <w:spacing w:line="360" w:lineRule="auto"/>
              <w:jc w:val="both"/>
              <w:rPr>
                <w:rFonts w:ascii="Times New Roman" w:hAnsi="Times New Roman" w:cs="Times New Roman"/>
                <w:i/>
                <w:sz w:val="24"/>
                <w:szCs w:val="24"/>
              </w:rPr>
            </w:pPr>
            <w:r w:rsidRPr="0011294E">
              <w:rPr>
                <w:rFonts w:ascii="Times New Roman" w:hAnsi="Times New Roman" w:cs="Times New Roman"/>
                <w:i/>
                <w:sz w:val="24"/>
                <w:szCs w:val="24"/>
              </w:rPr>
              <w:t>Monte Rey</w:t>
            </w:r>
            <w:r w:rsidR="009D2BEB">
              <w:rPr>
                <w:rFonts w:ascii="Times New Roman" w:hAnsi="Times New Roman" w:cs="Times New Roman"/>
                <w:i/>
                <w:sz w:val="24"/>
                <w:szCs w:val="24"/>
              </w:rPr>
              <w:t xml:space="preserve"> </w:t>
            </w:r>
            <w:r w:rsidRPr="0011294E">
              <w:rPr>
                <w:rFonts w:ascii="Times New Roman" w:hAnsi="Times New Roman" w:cs="Times New Roman"/>
                <w:i/>
                <w:sz w:val="24"/>
                <w:szCs w:val="24"/>
              </w:rPr>
              <w:t>galiza</w:t>
            </w:r>
          </w:p>
        </w:tc>
        <w:tc>
          <w:tcPr>
            <w:tcW w:w="4322" w:type="dxa"/>
          </w:tcPr>
          <w:p w:rsidR="0011294E" w:rsidRPr="0011294E" w:rsidRDefault="0011294E" w:rsidP="0011294E">
            <w:pPr>
              <w:spacing w:line="360" w:lineRule="auto"/>
              <w:jc w:val="both"/>
              <w:rPr>
                <w:rFonts w:ascii="Times New Roman" w:hAnsi="Times New Roman" w:cs="Times New Roman"/>
                <w:i/>
                <w:sz w:val="24"/>
                <w:szCs w:val="24"/>
              </w:rPr>
            </w:pPr>
            <w:r w:rsidRPr="0011294E">
              <w:rPr>
                <w:rFonts w:ascii="Times New Roman" w:hAnsi="Times New Roman" w:cs="Times New Roman"/>
                <w:i/>
                <w:sz w:val="24"/>
                <w:szCs w:val="24"/>
              </w:rPr>
              <w:t>Galiza (montãnas de)</w:t>
            </w:r>
          </w:p>
        </w:tc>
      </w:tr>
      <w:tr w:rsidR="0011294E" w:rsidRPr="0011294E" w:rsidTr="0011294E">
        <w:tc>
          <w:tcPr>
            <w:tcW w:w="4322" w:type="dxa"/>
          </w:tcPr>
          <w:p w:rsidR="0011294E" w:rsidRPr="0011294E" w:rsidRDefault="0011294E" w:rsidP="0011294E">
            <w:pPr>
              <w:spacing w:line="360" w:lineRule="auto"/>
              <w:jc w:val="both"/>
              <w:rPr>
                <w:rFonts w:ascii="Times New Roman" w:hAnsi="Times New Roman" w:cs="Times New Roman"/>
                <w:sz w:val="24"/>
                <w:szCs w:val="24"/>
              </w:rPr>
            </w:pPr>
          </w:p>
        </w:tc>
        <w:tc>
          <w:tcPr>
            <w:tcW w:w="4322" w:type="dxa"/>
          </w:tcPr>
          <w:p w:rsidR="0011294E" w:rsidRPr="0011294E" w:rsidRDefault="0011294E" w:rsidP="0011294E">
            <w:pPr>
              <w:spacing w:line="360" w:lineRule="auto"/>
              <w:jc w:val="both"/>
              <w:rPr>
                <w:rFonts w:ascii="Times New Roman" w:hAnsi="Times New Roman" w:cs="Times New Roman"/>
                <w:i/>
                <w:sz w:val="24"/>
                <w:szCs w:val="24"/>
              </w:rPr>
            </w:pPr>
            <w:r w:rsidRPr="0011294E">
              <w:rPr>
                <w:rFonts w:ascii="Times New Roman" w:hAnsi="Times New Roman" w:cs="Times New Roman"/>
                <w:i/>
                <w:sz w:val="24"/>
                <w:szCs w:val="24"/>
              </w:rPr>
              <w:t>Desta banda do nordeste e da outra banda do sudueste he este lugar mui fragoso</w:t>
            </w:r>
          </w:p>
        </w:tc>
      </w:tr>
    </w:tbl>
    <w:p w:rsidR="0011294E" w:rsidRPr="0011294E" w:rsidRDefault="0011294E" w:rsidP="0011294E">
      <w:pPr>
        <w:spacing w:line="360" w:lineRule="auto"/>
        <w:jc w:val="both"/>
        <w:rPr>
          <w:rFonts w:ascii="Times New Roman" w:hAnsi="Times New Roman"/>
          <w:i/>
          <w:iCs/>
          <w:sz w:val="24"/>
          <w:szCs w:val="24"/>
        </w:rPr>
      </w:pPr>
      <w:r w:rsidRPr="0011294E">
        <w:rPr>
          <w:rFonts w:ascii="Times New Roman" w:hAnsi="Times New Roman"/>
          <w:b/>
          <w:sz w:val="24"/>
          <w:szCs w:val="24"/>
        </w:rPr>
        <w:t>Figura 6:</w:t>
      </w:r>
      <w:r w:rsidRPr="0011294E">
        <w:rPr>
          <w:rFonts w:ascii="Times New Roman" w:hAnsi="Times New Roman"/>
          <w:sz w:val="24"/>
          <w:szCs w:val="24"/>
        </w:rPr>
        <w:t xml:space="preserve">Comparativo dos dois exemplares do </w:t>
      </w:r>
      <w:r w:rsidRPr="0011294E">
        <w:rPr>
          <w:rFonts w:ascii="Times New Roman" w:hAnsi="Times New Roman"/>
          <w:i/>
          <w:iCs/>
          <w:sz w:val="24"/>
          <w:szCs w:val="24"/>
        </w:rPr>
        <w:t xml:space="preserve">Livro das Fortalezas. </w:t>
      </w:r>
    </w:p>
    <w:p w:rsidR="0011294E" w:rsidRPr="0011294E" w:rsidRDefault="0011294E" w:rsidP="0011294E">
      <w:pPr>
        <w:spacing w:line="360" w:lineRule="auto"/>
        <w:ind w:firstLine="624"/>
        <w:jc w:val="both"/>
        <w:rPr>
          <w:rFonts w:ascii="Times New Roman" w:hAnsi="Times New Roman"/>
          <w:b/>
          <w:bCs/>
          <w:sz w:val="24"/>
          <w:szCs w:val="24"/>
        </w:rPr>
      </w:pPr>
    </w:p>
    <w:p w:rsidR="0011294E" w:rsidRPr="0011294E" w:rsidRDefault="0011294E" w:rsidP="0011294E">
      <w:pPr>
        <w:pStyle w:val="Ttulo2"/>
        <w:rPr>
          <w:rFonts w:ascii="Times New Roman" w:hAnsi="Times New Roman" w:cs="Times New Roman"/>
          <w:sz w:val="24"/>
          <w:szCs w:val="24"/>
        </w:rPr>
      </w:pPr>
      <w:bookmarkStart w:id="47" w:name="_Toc430358545"/>
      <w:bookmarkStart w:id="48" w:name="_Toc441612288"/>
      <w:r w:rsidRPr="0011294E">
        <w:rPr>
          <w:rFonts w:ascii="Times New Roman" w:hAnsi="Times New Roman" w:cs="Times New Roman"/>
          <w:sz w:val="24"/>
          <w:szCs w:val="24"/>
        </w:rPr>
        <w:lastRenderedPageBreak/>
        <w:t>5.5. Templos e cemitérios (materiais e espaços funerários)</w:t>
      </w:r>
      <w:bookmarkEnd w:id="47"/>
      <w:bookmarkEnd w:id="48"/>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 estudo do povoado urbano de Monforte de Rio Livre não estaria concluído sem uma referência à arquitetura religiosa. Neste ponto foi do nosso intuito descrevermos estes locais de culto e os materiais funerários que encontramos nesta localidade. Importa esclarecer, desde já, que consideramos os testemunhos relacionando com as sepulturas escadas na rocha e das necrópoles medievais, uma vez que estes núcleos funcionaram como um testemunho da presença de ocupação humana para os séculos X e XI, altura em que estas terras eram consideradas ermas por muitos autores.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Um segundo aspeto que destacamos para o estudo deste tema dos templos são as igrejas que são referenciadas no Julgado de Rio Livre nas inquirições de 1258. Enquadrámo-los no séc. XII, altura em que a arquitetura românica implantava-se em edifícios religiosos pelo reino de Portugal. Sabemos, também, que estas novidades artísticas estabeleceram-se em territórios raianos tardiamente, fruto da resistência destas sociedades e da dificuldade dos novos cânones chegarem até estes sítios. Por último, consideramos o período “pós-Alcañices”, no século XIV, onde surgem documentadas as igrejas que o termo de Monforte de Rio Livre detinha.</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Igreja Matriz de Monforte de Rio Livre, dedicada a S. Pedro, construída, muito possivelmente, nos finais do séc. XII aparece pela primeira vez referenciada em 1258 nas inquirições ao Julgado de Rio Livre, nomeadamente, na Paróquia de S. Pedro de Batocas. Sabemos, através dos fólios do </w:t>
      </w:r>
      <w:r w:rsidRPr="0011294E">
        <w:rPr>
          <w:rFonts w:ascii="Times New Roman" w:hAnsi="Times New Roman"/>
          <w:i/>
          <w:sz w:val="24"/>
          <w:szCs w:val="24"/>
        </w:rPr>
        <w:t>Fiel Escudeiro,</w:t>
      </w:r>
      <w:r w:rsidRPr="0011294E">
        <w:rPr>
          <w:rFonts w:ascii="Times New Roman" w:hAnsi="Times New Roman"/>
          <w:sz w:val="24"/>
          <w:szCs w:val="24"/>
        </w:rPr>
        <w:t xml:space="preserve"> que a Igreja estava localizada junto da “porta de Bragança”. Adicionalmente, nas Memórias Paroquiais, o abade da igreja relata que o edifício era baixo exteriormente e que estava enterrado no solo cerca de 1 metro. O edifício era de cantaria com campanário de dois sinos. A Oeste não tinha porta devido aos ventos fortes. No interior, a igreja era composta pela capela-mor, pelo retábulo-mor com a tribuna dourada adornada de cruz e seis castiçais albergando as imagens bíblicas e, lateralmente, as de São Pedro e São Paulo. Os retábulos colaterais eram dedicados à Senhora da Graça e a São Bernardino, albergando retábulo dedicado a Cristo crucificado.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Na segunda metade do Século XVIII a Igreja Matriz S. Pedro, tal como o povoado, encontrava-se em decadência e a um pequeno passo da ruína. Existem de facto notícias sobre a vila estar quase despovoada e muito degrada, não tendo mais de cinco moradores no interior da cerca. Neste sentido, nos inícios do século XIX, com a extinção do concelho de Monforte de Rio Livre, a sede religiosa passa para a aldeia de Águas Frias, a cerca de 1,4 km do povoado</w:t>
      </w:r>
      <w:r w:rsidRPr="0011294E">
        <w:rPr>
          <w:rFonts w:ascii="Times New Roman" w:hAnsi="Times New Roman"/>
          <w:sz w:val="24"/>
          <w:szCs w:val="24"/>
          <w:vertAlign w:val="superscript"/>
        </w:rPr>
        <w:footnoteReference w:id="335"/>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Na freguesia de Bouçais, podemos observar no Castro de Muralhas e de Cabeço a Igreja da Senhora da Ribeira. Aqui era a sede da paróquia de Sta. Maria da Ribeira do Julgado de Rio Livre que, em 1258, possuía três igrejas sufragâneas: - </w:t>
      </w:r>
      <w:r w:rsidRPr="0011294E">
        <w:rPr>
          <w:rFonts w:ascii="Times New Roman" w:hAnsi="Times New Roman"/>
          <w:i/>
          <w:sz w:val="24"/>
          <w:szCs w:val="24"/>
        </w:rPr>
        <w:t>Sanctus Martinus de Felmir- Sancta Maria de Bouzoos</w:t>
      </w:r>
      <w:r w:rsidRPr="0011294E">
        <w:rPr>
          <w:rFonts w:ascii="Times New Roman" w:hAnsi="Times New Roman"/>
          <w:sz w:val="24"/>
          <w:szCs w:val="24"/>
        </w:rPr>
        <w:t xml:space="preserve"> - </w:t>
      </w:r>
      <w:r w:rsidRPr="0011294E">
        <w:rPr>
          <w:rFonts w:ascii="Times New Roman" w:hAnsi="Times New Roman"/>
          <w:i/>
          <w:sz w:val="24"/>
          <w:szCs w:val="24"/>
        </w:rPr>
        <w:t>Sanctus Laurencius de Vilaratam</w:t>
      </w:r>
      <w:r w:rsidRPr="0011294E">
        <w:rPr>
          <w:rFonts w:ascii="Times New Roman" w:hAnsi="Times New Roman"/>
          <w:sz w:val="24"/>
          <w:szCs w:val="24"/>
          <w:vertAlign w:val="superscript"/>
        </w:rPr>
        <w:footnoteReference w:id="336"/>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Ao refazer o pavimento da igreja surgiram dois sarcófagos, um deles</w:t>
      </w:r>
      <w:r w:rsidR="009D2BEB">
        <w:rPr>
          <w:rFonts w:ascii="Times New Roman" w:hAnsi="Times New Roman"/>
          <w:sz w:val="24"/>
          <w:szCs w:val="24"/>
        </w:rPr>
        <w:t>,</w:t>
      </w:r>
      <w:r w:rsidRPr="0011294E">
        <w:rPr>
          <w:rFonts w:ascii="Times New Roman" w:hAnsi="Times New Roman"/>
          <w:sz w:val="24"/>
          <w:szCs w:val="24"/>
        </w:rPr>
        <w:t xml:space="preserve"> </w:t>
      </w:r>
      <w:r w:rsidR="009D2BEB" w:rsidRPr="0011294E">
        <w:rPr>
          <w:rFonts w:ascii="Times New Roman" w:hAnsi="Times New Roman"/>
          <w:sz w:val="24"/>
          <w:szCs w:val="24"/>
        </w:rPr>
        <w:t>fracturado</w:t>
      </w:r>
      <w:r w:rsidRPr="0011294E">
        <w:rPr>
          <w:rFonts w:ascii="Times New Roman" w:hAnsi="Times New Roman"/>
          <w:sz w:val="24"/>
          <w:szCs w:val="24"/>
        </w:rPr>
        <w:t>, encontrando-se este último, atualmente, junto a uma arrecadação próxima. De facto, este sarcófago antropomórfico reutilizado na base do alicerce da capela-mor, está colocado em posição transversal, com a cabeceira para o lado exterior</w:t>
      </w:r>
      <w:r w:rsidRPr="0011294E">
        <w:rPr>
          <w:rFonts w:ascii="Times New Roman" w:hAnsi="Times New Roman"/>
          <w:sz w:val="24"/>
          <w:szCs w:val="24"/>
          <w:vertAlign w:val="superscript"/>
        </w:rPr>
        <w:footnoteReference w:id="337"/>
      </w:r>
      <w:r w:rsidRPr="0011294E">
        <w:rPr>
          <w:rFonts w:ascii="Times New Roman" w:hAnsi="Times New Roman"/>
          <w:sz w:val="24"/>
          <w:szCs w:val="24"/>
        </w:rPr>
        <w:t>. A secção que se conserva do outro sarcófago permite distinguir uma tipologia diferente, do tipo ovalado com o contorno externo paralelo ao da cavidade tumular. As faces externas revelam um trabalho de acabamento pouco apurado. Este sarcófago apresenta contornos trapezoidais e cavidade tumular antropomórfica com cabeceira em arco peraltado</w:t>
      </w:r>
      <w:r w:rsidRPr="0011294E">
        <w:rPr>
          <w:rFonts w:ascii="Times New Roman" w:hAnsi="Times New Roman"/>
          <w:sz w:val="24"/>
          <w:szCs w:val="24"/>
          <w:vertAlign w:val="superscript"/>
        </w:rPr>
        <w:footnoteReference w:id="338"/>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b/>
        <w:t xml:space="preserve">Dentro do território da antiga paróquia de Santa Maria da Ribeira destacamos uma das igrejas sufragâneas no século XIII – a igreja de Bouçais. Esta foi reconstruída no século XVII, e apresenta uma planta longitudinal composta por nave única e capela-mor, mais estreita e da mesma altura, tendo adossada à fachada lateral esquerda sacristia retangular. Com o desaparecimento da paróquia inicial, Bouçais ficou em sua representação, recebendo o mesmo título – Santa Maria da Ribeira, herdando o mesmo orago da antiga paróquia.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Um belo exemplar de um edifício religioso românico no território de Monforte de Rio Livre é a igreja de S. João da Castanheira. De facto, esta igreja constituía a sede de </w:t>
      </w:r>
      <w:r w:rsidRPr="0011294E">
        <w:rPr>
          <w:rFonts w:ascii="Times New Roman" w:hAnsi="Times New Roman"/>
          <w:sz w:val="24"/>
          <w:szCs w:val="24"/>
        </w:rPr>
        <w:lastRenderedPageBreak/>
        <w:t>uma das seis paróquias que, em 1258, compunham o julgado de Rio Livre, tendo como igrejas sufragâneas as de Lebução, Roriz e Paradela</w:t>
      </w:r>
      <w:r w:rsidRPr="0011294E">
        <w:rPr>
          <w:rFonts w:ascii="Times New Roman" w:hAnsi="Times New Roman"/>
          <w:sz w:val="24"/>
          <w:szCs w:val="24"/>
          <w:vertAlign w:val="superscript"/>
        </w:rPr>
        <w:footnoteReference w:id="339"/>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Atualmente, no local é possível observar a capela-mor, de planta retangular, com arco de volta perfeita e impostas salientes. De planta quadrangular, encontra-se orientada segundo o eixo Este-Oeste, com a porta de entrada direccionada para Oeste. A capela-mor apresenta um comprimento de 6,50 metros e 6,10 de largura, e um arco de volta perfeita com 4,10 m de largura e 2,10 m da base às impostas. Dentro da nave encontramos três frestas, cada uma rasgada em sua parede, com cerca de 85 cm de espessura.</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Adicionalmente, da construção inicial perdurou ainda, um outro elemento românico, a torre sineira, que apresenta uma planta quadrangular, e encontra-se adossada à fachada sul da capela-mor.</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Esta igreja foi alvo de restauro por parte da D.G.E.M.N., conservando-se uma série de documentos referentes às obras e trabalhos executados acompanhados de elementos fotográficos. Relativamente à igreja românica de São João da Madeira, os documentos da D.G.E.M.N. referem várias obras a efetuar, tendo em conta o estado de degradação do edifício. Ao longo da segunda metade do século XX, foram vários os ofícios e os requerimentos que alertaram as autoridades públicas do grau de deterioração do edifício religioso. Contudo, só em 1992 foram realizadas obras de restauro, nomeadamente a reconstituição das fiadas superiores das paredes laterais da nave até à cornija</w:t>
      </w:r>
      <w:r w:rsidRPr="0011294E">
        <w:rPr>
          <w:rFonts w:ascii="Times New Roman" w:hAnsi="Times New Roman"/>
          <w:sz w:val="24"/>
          <w:szCs w:val="24"/>
          <w:vertAlign w:val="superscript"/>
        </w:rPr>
        <w:footnoteReference w:id="340"/>
      </w:r>
      <w:r w:rsidR="009D2BEB">
        <w:rPr>
          <w:rFonts w:ascii="Times New Roman" w:hAnsi="Times New Roman"/>
          <w:sz w:val="24"/>
          <w:szCs w:val="24"/>
        </w:rPr>
        <w:t>. Adicionalmente</w:t>
      </w:r>
      <w:r w:rsidRPr="0011294E">
        <w:rPr>
          <w:rFonts w:ascii="Times New Roman" w:hAnsi="Times New Roman"/>
          <w:sz w:val="24"/>
          <w:szCs w:val="24"/>
        </w:rPr>
        <w:t xml:space="preserve"> foram registados vários sarcófagos provenientes deste edifício que terão sido, entretanto, destruídos ou dispersos pelas redondezas. Foi possível identificar e registar três destes sarcófagos, todos de tipologia diferente. Um encontra-se na fonte, situada no caminho para Roriz, perto da igreja de S. João. Podemos observar apenas metade da estrutura que corresponde à zona da cabeceira. O contorno exterior deve ser sub-retangular, tendo a cavidade tumular antropomórfica com cabeceira em arco peraltado irregular</w:t>
      </w:r>
      <w:r w:rsidRPr="0011294E">
        <w:rPr>
          <w:rFonts w:ascii="Times New Roman" w:hAnsi="Times New Roman"/>
          <w:sz w:val="24"/>
          <w:szCs w:val="24"/>
          <w:vertAlign w:val="superscript"/>
        </w:rPr>
        <w:footnoteReference w:id="341"/>
      </w:r>
      <w:r w:rsidRPr="0011294E">
        <w:rPr>
          <w:rFonts w:ascii="Times New Roman" w:hAnsi="Times New Roman"/>
          <w:sz w:val="24"/>
          <w:szCs w:val="24"/>
        </w:rPr>
        <w:t xml:space="preserve">. Os restantes dois sarcófagos localizam-se na povoação de Cimo da Vila - um reutilizado na Fonte da Touça e o outro como </w:t>
      </w:r>
      <w:r w:rsidRPr="0011294E">
        <w:rPr>
          <w:rFonts w:ascii="Times New Roman" w:hAnsi="Times New Roman"/>
          <w:sz w:val="24"/>
          <w:szCs w:val="24"/>
        </w:rPr>
        <w:lastRenderedPageBreak/>
        <w:t>lagareta numa casa particular. O primeiro é de tipo ovalado, ostentando a zona cabeça muito mais larga que os pés (44 cm contra 22 cm)., e o seu contorno exterior acompanham a cavidade tumular. O segundo é de tipo sub-retangular na cavidade e no contorno exterior do sarcófago, apresentando a cabeceira e os pés a mesma largura interna (36 cm)</w:t>
      </w:r>
      <w:r w:rsidRPr="0011294E">
        <w:rPr>
          <w:rFonts w:ascii="Times New Roman" w:hAnsi="Times New Roman"/>
          <w:sz w:val="24"/>
          <w:szCs w:val="24"/>
          <w:vertAlign w:val="superscript"/>
        </w:rPr>
        <w:footnoteReference w:id="342"/>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Mais a norte, na freguesia de Santa Valha, localiza-se a antiga paróquia de Santa Valha, referida nas inquirições régias de 1258. A igreja matriz desta paróquia – Igreja de Santa Eulália foi transferida, em 1657, para o centro da povoação.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No primitivo local, assinalado por um cruzeiro em ruína, existem ainda alguns silhares da construção e um sarcófago antropomórfico, havendo a notícia de sepulturas escavadas no afloramento granítico adjacente, intencionalmente entulhadas pelos proprietários do terreno</w:t>
      </w:r>
      <w:r w:rsidRPr="0011294E">
        <w:rPr>
          <w:rFonts w:ascii="Times New Roman" w:hAnsi="Times New Roman"/>
          <w:sz w:val="24"/>
          <w:szCs w:val="24"/>
          <w:vertAlign w:val="superscript"/>
        </w:rPr>
        <w:footnoteReference w:id="343"/>
      </w:r>
      <w:r w:rsidRPr="0011294E">
        <w:rPr>
          <w:rFonts w:ascii="Times New Roman" w:hAnsi="Times New Roman"/>
          <w:sz w:val="24"/>
          <w:szCs w:val="24"/>
        </w:rPr>
        <w:t xml:space="preserve">. O sarcófago apresenta uma tipologia fora do comum, ostentando contornos externos trapezoidais, bastante mais trabalhado na zona superior e em baixo bastante mais irregular, transparecendo, lateralmente, a forma tosca do bloco granítico em que foi talhado. Apresenta, ainda, um rebordo superior plano com chanfro inclinado para o lado externo. Este rebordo contorna uma superfície plana onde se apoiava a tampa, de que não existem vestígios. A cavidade tumular é bastante profunda e tem as paredes inclinadas para o interior, o que lhe confere dois contornos distintos, em cima e em baixo. A cabeceira é em arco peraltado, desproporcionadamente grande, sendo o seu contorno inferior em arco ligeiramente ultrapassado. As laterais são arqueadas sem a marcação dos ombros e com arestas fortes a ligar as linhas da cabeça e as das pernas.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Na loja de uma casa no Bairro dos Ciprestes encontra-se reutilizado o que parece ser um elemento de uma tampa sepulcral ou, mais provavelmente, de uma estela retangular, proveniente de Santa Eulália, tendo gravados símbolos profissionais - dois machados e uma lâmina de tipo enxada</w:t>
      </w:r>
      <w:r w:rsidRPr="0011294E">
        <w:rPr>
          <w:rFonts w:ascii="Times New Roman" w:hAnsi="Times New Roman"/>
          <w:sz w:val="24"/>
          <w:szCs w:val="24"/>
          <w:vertAlign w:val="superscript"/>
        </w:rPr>
        <w:footnoteReference w:id="344"/>
      </w:r>
      <w:r w:rsidRPr="0011294E">
        <w:rPr>
          <w:rFonts w:ascii="Times New Roman" w:hAnsi="Times New Roman"/>
          <w:sz w:val="24"/>
          <w:szCs w:val="24"/>
        </w:rPr>
        <w:t xml:space="preserve">. </w:t>
      </w:r>
    </w:p>
    <w:p w:rsidR="0011294E" w:rsidRPr="0011294E" w:rsidRDefault="0011294E" w:rsidP="0011294E">
      <w:pPr>
        <w:spacing w:line="360" w:lineRule="auto"/>
        <w:jc w:val="both"/>
        <w:rPr>
          <w:rFonts w:ascii="Times New Roman" w:hAnsi="Times New Roman"/>
          <w:sz w:val="24"/>
          <w:szCs w:val="24"/>
        </w:rPr>
      </w:pPr>
      <w:r w:rsidRPr="0011294E">
        <w:rPr>
          <w:rFonts w:ascii="Times New Roman" w:hAnsi="Times New Roman"/>
          <w:sz w:val="24"/>
          <w:szCs w:val="24"/>
        </w:rPr>
        <w:tab/>
        <w:t xml:space="preserve">Nesta freguesia observamos, igualmente, uma igreja pré-românica - a capela de Santa Maria Madalena. Esta capela encontra-se canonicamente orientada, possuindo </w:t>
      </w:r>
      <w:r w:rsidRPr="0011294E">
        <w:rPr>
          <w:rFonts w:ascii="Times New Roman" w:hAnsi="Times New Roman"/>
          <w:sz w:val="24"/>
          <w:szCs w:val="24"/>
        </w:rPr>
        <w:lastRenderedPageBreak/>
        <w:t>nave e capela-mor de planta retangular. A sua principal particularidade reside na utilização de vários silhares almofadados que nos aparecem tanto no exterior - como o que marca um dos cunhais da capela-mor - como no interior do templo. Segundo Ricardo Teixeira, as características do talhe e o facto das almofadas apareceram em todas as faces expostas, e apenas nessas, estando</w:t>
      </w:r>
      <w:r w:rsidR="009D2BEB">
        <w:rPr>
          <w:rFonts w:ascii="Times New Roman" w:hAnsi="Times New Roman"/>
          <w:sz w:val="24"/>
          <w:szCs w:val="24"/>
        </w:rPr>
        <w:t xml:space="preserve"> </w:t>
      </w:r>
      <w:r w:rsidRPr="0011294E">
        <w:rPr>
          <w:rFonts w:ascii="Times New Roman" w:hAnsi="Times New Roman"/>
          <w:sz w:val="24"/>
          <w:szCs w:val="24"/>
        </w:rPr>
        <w:t>as pedras colocadas ao alto, revela que foram intencionalmente pensadas para aquela utilização. Na busca de prováveis paralelos formais e cronológicos encontraremos um tipo de solução semelhante na igreja de S. Pedro de Lourosa</w:t>
      </w:r>
      <w:r w:rsidRPr="0011294E">
        <w:rPr>
          <w:rFonts w:ascii="Times New Roman" w:hAnsi="Times New Roman"/>
          <w:sz w:val="24"/>
          <w:szCs w:val="24"/>
          <w:vertAlign w:val="superscript"/>
        </w:rPr>
        <w:footnoteReference w:id="345"/>
      </w:r>
      <w:r w:rsidRPr="0011294E">
        <w:rPr>
          <w:rFonts w:ascii="Times New Roman" w:hAnsi="Times New Roman"/>
          <w:sz w:val="24"/>
          <w:szCs w:val="24"/>
        </w:rPr>
        <w:t>.</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Na freguesia de Tinhela, a atual igreja de Nossa Senhora da Assunção substituiu a antiga igreja matriz desta freguesia, que aparece referenciada nas inquirições de 1258. O atual monumento religioso ostenta uma arquitetura maneirista e barroca. Apresenta uma nave única e uma capela-mor mais estreita. A capela-mor apresenta um teto octogonal, de estilo barroco, e com pinturas da vida de Cristo. Apresenta, ainda, uma planta retangular e uma fachada simples. No exterior, destacamos a data de “1828” na sineira da igreja</w:t>
      </w:r>
      <w:r w:rsidRPr="0011294E">
        <w:rPr>
          <w:rFonts w:ascii="Times New Roman" w:hAnsi="Times New Roman"/>
          <w:sz w:val="24"/>
          <w:szCs w:val="24"/>
          <w:vertAlign w:val="superscript"/>
        </w:rPr>
        <w:footnoteReference w:id="346"/>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Na primeira metade do século XX, mais concretamente em 1926, a igreja sofre um restauro, tendo como mecenas Daniel Lopes. Este restauro ficou consagrado na lápide da fachada principal, cuja data e nome surgem inscritos. Foi, assim, reconstruída a cobertura da nave, do coro, e a pintura do teto da capela-mor</w:t>
      </w:r>
      <w:r w:rsidRPr="0011294E">
        <w:rPr>
          <w:rFonts w:ascii="Times New Roman" w:hAnsi="Times New Roman"/>
          <w:sz w:val="24"/>
          <w:szCs w:val="24"/>
          <w:vertAlign w:val="superscript"/>
        </w:rPr>
        <w:footnoteReference w:id="347"/>
      </w:r>
      <w:r w:rsidRPr="0011294E">
        <w:rPr>
          <w:rFonts w:ascii="Times New Roman" w:hAnsi="Times New Roman"/>
          <w:sz w:val="24"/>
          <w:szCs w:val="24"/>
        </w:rPr>
        <w:t xml:space="preserv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Ainda no mesmo espaço territorial, designadamente, na encosta da pequena veiga de Tinhela, perto do povoado medieval de Cortinha das vinhas, podemos observar na zona mais elevada do terreno, uma sepultura de tipo antropomórfico. Esta apresenta a cabeceira em arco aperaltado, encontrando-se orientada no eixo SO-NE. Nos pés possui a particularidade de ter um rebaixamento sub-circular dando saída lateral para um canal perfurado na rocha</w:t>
      </w:r>
      <w:r w:rsidRPr="0011294E">
        <w:rPr>
          <w:rFonts w:ascii="Times New Roman" w:hAnsi="Times New Roman"/>
          <w:sz w:val="24"/>
          <w:szCs w:val="24"/>
          <w:vertAlign w:val="superscript"/>
        </w:rPr>
        <w:footnoteReference w:id="348"/>
      </w:r>
      <w:r w:rsidRPr="0011294E">
        <w:rPr>
          <w:rFonts w:ascii="Times New Roman" w:hAnsi="Times New Roman"/>
          <w:sz w:val="24"/>
          <w:szCs w:val="24"/>
        </w:rPr>
        <w:t>.</w:t>
      </w:r>
    </w:p>
    <w:p w:rsidR="0011294E" w:rsidRPr="0011294E" w:rsidRDefault="009D2BEB"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Delimitadas as igrejas que aparecem nas inquirições régias no século XIII e ainda, as sepulturas escavadas </w:t>
      </w:r>
      <w:r>
        <w:rPr>
          <w:rFonts w:ascii="Times New Roman" w:hAnsi="Times New Roman"/>
          <w:sz w:val="24"/>
          <w:szCs w:val="24"/>
        </w:rPr>
        <w:t>na rocha nos séculos XII e XIII</w:t>
      </w:r>
      <w:r w:rsidRPr="0011294E">
        <w:rPr>
          <w:rFonts w:ascii="Times New Roman" w:hAnsi="Times New Roman"/>
          <w:sz w:val="24"/>
          <w:szCs w:val="24"/>
        </w:rPr>
        <w:t xml:space="preserve"> podemos referir que </w:t>
      </w:r>
      <w:r w:rsidRPr="0011294E">
        <w:rPr>
          <w:rFonts w:ascii="Times New Roman" w:hAnsi="Times New Roman"/>
          <w:sz w:val="24"/>
          <w:szCs w:val="24"/>
        </w:rPr>
        <w:lastRenderedPageBreak/>
        <w:t>todos estes elementos religiosos que foram considerados tiveram um enorme contributo para o desenvolvimento do território do concelho de Monforte de Rio Livre.</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No período que consideramos como “pós-Alcañises” é importante referir o documento de 1320-21 em que são tabeladas as igrejas do termo de Monforte de Rio Livre, incluindo a Igreja de S. Pedro de Batocas</w:t>
      </w:r>
      <w:r w:rsidRPr="0011294E">
        <w:rPr>
          <w:rFonts w:ascii="Times New Roman" w:hAnsi="Times New Roman"/>
          <w:sz w:val="24"/>
          <w:szCs w:val="24"/>
          <w:vertAlign w:val="superscript"/>
        </w:rPr>
        <w:footnoteReference w:id="349"/>
      </w:r>
      <w:r w:rsidRPr="0011294E">
        <w:rPr>
          <w:rFonts w:ascii="Times New Roman" w:hAnsi="Times New Roman"/>
          <w:sz w:val="24"/>
          <w:szCs w:val="24"/>
        </w:rPr>
        <w:t>, tabelada em 250 libras. São, igualmente, referidas as igrejas de S. Miguel de Fiães, Santa Olaia, Igreja do Oço, Igreja de Vila Seca, Igreja de Feces, as igrejas de Vilar de Perdizes e de S. Julião, Igreja da Castanheira e a Igreja de Tinhela. Esta lista de templos religiosos permitiu-nos estabelecer para meados do séc. XIV os limites do termo de Monforte de Rio Livre, e saber quais as igrejas que se encontravam erigidas nesta data.</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 titulo de finalização do estudo da arquitetura religiosa em Monforte de Rio Livre focamos os desenhos de Duarte de Armas, onde podemos observar a Igreja matriz ainda em bom estado de conservação, e à volta das quais se constrói o núcleo habitacional.</w:t>
      </w:r>
    </w:p>
    <w:p w:rsidR="0011294E" w:rsidRPr="0011294E" w:rsidRDefault="0011294E" w:rsidP="0011294E">
      <w:pPr>
        <w:autoSpaceDE w:val="0"/>
        <w:autoSpaceDN w:val="0"/>
        <w:adjustRightInd w:val="0"/>
        <w:rPr>
          <w:rFonts w:ascii="Times New Roman" w:hAnsi="Times New Roman"/>
          <w:sz w:val="24"/>
          <w:szCs w:val="24"/>
        </w:rPr>
      </w:pPr>
    </w:p>
    <w:p w:rsidR="0011294E" w:rsidRPr="0011294E" w:rsidRDefault="0011294E" w:rsidP="0011294E">
      <w:pPr>
        <w:spacing w:line="360" w:lineRule="auto"/>
        <w:jc w:val="both"/>
        <w:rPr>
          <w:rFonts w:ascii="Times New Roman" w:hAnsi="Times New Roman"/>
          <w:sz w:val="24"/>
          <w:szCs w:val="24"/>
        </w:rPr>
      </w:pPr>
    </w:p>
    <w:p w:rsidR="0011294E" w:rsidRPr="0011294E" w:rsidRDefault="0011294E" w:rsidP="0011294E">
      <w:pPr>
        <w:spacing w:line="360" w:lineRule="auto"/>
        <w:jc w:val="both"/>
        <w:rPr>
          <w:rFonts w:ascii="Times New Roman" w:hAnsi="Times New Roman"/>
          <w:sz w:val="24"/>
          <w:szCs w:val="24"/>
        </w:rPr>
      </w:pPr>
    </w:p>
    <w:p w:rsidR="0011294E" w:rsidRPr="0011294E" w:rsidRDefault="0011294E" w:rsidP="0011294E">
      <w:pPr>
        <w:spacing w:line="360" w:lineRule="auto"/>
        <w:jc w:val="both"/>
        <w:rPr>
          <w:rFonts w:ascii="Times New Roman" w:hAnsi="Times New Roman"/>
          <w:sz w:val="24"/>
          <w:szCs w:val="24"/>
        </w:rPr>
      </w:pPr>
    </w:p>
    <w:p w:rsidR="0011294E" w:rsidRPr="0011294E" w:rsidRDefault="0011294E" w:rsidP="0011294E">
      <w:pPr>
        <w:spacing w:line="360" w:lineRule="auto"/>
        <w:jc w:val="both"/>
        <w:rPr>
          <w:rFonts w:ascii="Times New Roman" w:hAnsi="Times New Roman"/>
          <w:sz w:val="24"/>
          <w:szCs w:val="24"/>
        </w:rPr>
      </w:pPr>
    </w:p>
    <w:p w:rsidR="0011294E" w:rsidRPr="0011294E" w:rsidRDefault="0011294E" w:rsidP="0011294E">
      <w:pPr>
        <w:spacing w:line="360" w:lineRule="auto"/>
        <w:jc w:val="both"/>
        <w:rPr>
          <w:rFonts w:ascii="Times New Roman" w:hAnsi="Times New Roman"/>
          <w:sz w:val="24"/>
          <w:szCs w:val="24"/>
        </w:rPr>
      </w:pPr>
    </w:p>
    <w:p w:rsidR="0011294E" w:rsidRPr="0011294E" w:rsidRDefault="0011294E" w:rsidP="0011294E">
      <w:pPr>
        <w:spacing w:line="360" w:lineRule="auto"/>
        <w:jc w:val="both"/>
        <w:rPr>
          <w:rFonts w:ascii="Times New Roman" w:hAnsi="Times New Roman"/>
          <w:sz w:val="24"/>
          <w:szCs w:val="24"/>
        </w:rPr>
      </w:pPr>
    </w:p>
    <w:p w:rsidR="0011294E" w:rsidRPr="0011294E" w:rsidRDefault="0011294E" w:rsidP="0011294E">
      <w:pPr>
        <w:spacing w:line="360" w:lineRule="auto"/>
        <w:jc w:val="both"/>
        <w:rPr>
          <w:rFonts w:ascii="Times New Roman" w:hAnsi="Times New Roman"/>
          <w:sz w:val="24"/>
          <w:szCs w:val="24"/>
        </w:rPr>
      </w:pPr>
    </w:p>
    <w:p w:rsidR="0011294E" w:rsidRPr="0011294E" w:rsidRDefault="0011294E" w:rsidP="0011294E">
      <w:pPr>
        <w:spacing w:line="360" w:lineRule="auto"/>
        <w:jc w:val="both"/>
        <w:rPr>
          <w:rFonts w:ascii="Times New Roman" w:hAnsi="Times New Roman"/>
          <w:sz w:val="24"/>
          <w:szCs w:val="24"/>
        </w:rPr>
      </w:pPr>
    </w:p>
    <w:p w:rsidR="0011294E" w:rsidRDefault="0011294E" w:rsidP="0011294E">
      <w:pPr>
        <w:spacing w:line="360" w:lineRule="auto"/>
        <w:jc w:val="both"/>
        <w:rPr>
          <w:rFonts w:ascii="Times New Roman" w:hAnsi="Times New Roman"/>
          <w:sz w:val="24"/>
          <w:szCs w:val="24"/>
        </w:rPr>
      </w:pPr>
    </w:p>
    <w:p w:rsidR="003B23C4" w:rsidRDefault="003B23C4" w:rsidP="0011294E">
      <w:pPr>
        <w:spacing w:line="360" w:lineRule="auto"/>
        <w:jc w:val="both"/>
        <w:rPr>
          <w:rFonts w:ascii="Times New Roman" w:hAnsi="Times New Roman"/>
          <w:sz w:val="24"/>
          <w:szCs w:val="24"/>
        </w:rPr>
      </w:pPr>
    </w:p>
    <w:p w:rsidR="003B23C4" w:rsidRDefault="003B23C4" w:rsidP="0011294E">
      <w:pPr>
        <w:spacing w:line="360" w:lineRule="auto"/>
        <w:jc w:val="both"/>
        <w:rPr>
          <w:rFonts w:ascii="Times New Roman" w:hAnsi="Times New Roman"/>
          <w:sz w:val="24"/>
          <w:szCs w:val="24"/>
        </w:rPr>
      </w:pPr>
    </w:p>
    <w:p w:rsidR="003B23C4" w:rsidRDefault="003B23C4" w:rsidP="0011294E">
      <w:pPr>
        <w:spacing w:line="360" w:lineRule="auto"/>
        <w:jc w:val="both"/>
        <w:rPr>
          <w:rFonts w:ascii="Times New Roman" w:hAnsi="Times New Roman"/>
          <w:sz w:val="24"/>
          <w:szCs w:val="24"/>
        </w:rPr>
      </w:pPr>
    </w:p>
    <w:p w:rsidR="003B23C4" w:rsidRDefault="003B23C4" w:rsidP="0011294E">
      <w:pPr>
        <w:spacing w:line="360" w:lineRule="auto"/>
        <w:jc w:val="both"/>
        <w:rPr>
          <w:rFonts w:ascii="Times New Roman" w:hAnsi="Times New Roman"/>
          <w:sz w:val="24"/>
          <w:szCs w:val="24"/>
        </w:rPr>
      </w:pPr>
    </w:p>
    <w:p w:rsidR="003B23C4" w:rsidRDefault="003B23C4" w:rsidP="0011294E">
      <w:pPr>
        <w:spacing w:line="360" w:lineRule="auto"/>
        <w:jc w:val="both"/>
        <w:rPr>
          <w:rFonts w:ascii="Times New Roman" w:hAnsi="Times New Roman"/>
          <w:sz w:val="24"/>
          <w:szCs w:val="24"/>
        </w:rPr>
      </w:pPr>
    </w:p>
    <w:p w:rsidR="0011294E" w:rsidRDefault="0011294E" w:rsidP="0011294E">
      <w:pPr>
        <w:spacing w:line="360" w:lineRule="auto"/>
        <w:jc w:val="both"/>
        <w:rPr>
          <w:rFonts w:ascii="Times New Roman" w:hAnsi="Times New Roman"/>
          <w:sz w:val="24"/>
          <w:szCs w:val="24"/>
        </w:rPr>
      </w:pPr>
    </w:p>
    <w:p w:rsidR="00F20F19" w:rsidRPr="0011294E" w:rsidRDefault="00F20F19" w:rsidP="0011294E">
      <w:pPr>
        <w:spacing w:line="360" w:lineRule="auto"/>
        <w:jc w:val="both"/>
        <w:rPr>
          <w:rFonts w:ascii="Times New Roman" w:hAnsi="Times New Roman"/>
          <w:sz w:val="24"/>
          <w:szCs w:val="24"/>
        </w:rPr>
      </w:pPr>
    </w:p>
    <w:p w:rsidR="0011294E" w:rsidRPr="00FB5448" w:rsidRDefault="0011294E" w:rsidP="0011294E">
      <w:pPr>
        <w:pStyle w:val="Ttulo2"/>
        <w:rPr>
          <w:rFonts w:ascii="Times New Roman" w:hAnsi="Times New Roman" w:cs="Times New Roman"/>
          <w:sz w:val="32"/>
          <w:szCs w:val="32"/>
        </w:rPr>
      </w:pPr>
      <w:bookmarkStart w:id="49" w:name="_Toc430358546"/>
      <w:bookmarkStart w:id="50" w:name="_Toc441612289"/>
      <w:r w:rsidRPr="00FB5448">
        <w:rPr>
          <w:rFonts w:ascii="Times New Roman" w:hAnsi="Times New Roman" w:cs="Times New Roman"/>
          <w:sz w:val="32"/>
          <w:szCs w:val="32"/>
        </w:rPr>
        <w:t>Conclusão</w:t>
      </w:r>
      <w:bookmarkEnd w:id="49"/>
      <w:bookmarkEnd w:id="50"/>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Terminado o estudo sobre a evolução do povoado e castelo de Monforte de Rio Livre não damos por finda a investigação. Ao longo deste trabalho partilhámos as questões que nos foram surgindo e o modo como tentámos obter respostas</w:t>
      </w:r>
      <w:r w:rsidR="009D2BEB">
        <w:rPr>
          <w:rFonts w:ascii="Times New Roman" w:hAnsi="Times New Roman"/>
          <w:sz w:val="24"/>
          <w:szCs w:val="24"/>
        </w:rPr>
        <w:t xml:space="preserve"> para as mesmas. Adicionalmente</w:t>
      </w:r>
      <w:r w:rsidRPr="0011294E">
        <w:rPr>
          <w:rFonts w:ascii="Times New Roman" w:hAnsi="Times New Roman"/>
          <w:sz w:val="24"/>
          <w:szCs w:val="24"/>
        </w:rPr>
        <w:t xml:space="preserve"> acreditamos ter aberto possíveis vias para a realização de novos estudos no sentido de responder às questões levantadas. No entanto, não podemos deixar de chamar à atenção para alguns aspetos que merecem um maior destaque.</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 balizamento cronológico e a proximidade geográfica permitiram, em alguns casos, observar Chaves e Valpaços como ponto de comparação com Monforte de Rio Livre. Esta contextualização foi bastante frutuosa, na medida em que nos permitiu estudar um local periférico e a evolução do seu povoamento desde o paleolítico, passando pelos séculos conturbados da história que mediaram a queda do império </w:t>
      </w:r>
      <w:r w:rsidR="009D2BEB" w:rsidRPr="0011294E">
        <w:rPr>
          <w:rFonts w:ascii="Times New Roman" w:hAnsi="Times New Roman"/>
          <w:sz w:val="24"/>
          <w:szCs w:val="24"/>
        </w:rPr>
        <w:t>romano, a</w:t>
      </w:r>
      <w:r w:rsidRPr="0011294E">
        <w:rPr>
          <w:rFonts w:ascii="Times New Roman" w:hAnsi="Times New Roman"/>
          <w:sz w:val="24"/>
          <w:szCs w:val="24"/>
        </w:rPr>
        <w:t xml:space="preserve"> chegada dos povos ditos “bárbaros”, até às reformas românicas e góticas - características de um reinado cristão.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A elaboração de mapas</w:t>
      </w:r>
      <w:r w:rsidR="006F16B6">
        <w:rPr>
          <w:rFonts w:ascii="Times New Roman" w:hAnsi="Times New Roman"/>
          <w:sz w:val="24"/>
          <w:szCs w:val="24"/>
        </w:rPr>
        <w:t xml:space="preserve"> com os vestígios arqueológicos</w:t>
      </w:r>
      <w:r w:rsidRPr="0011294E">
        <w:rPr>
          <w:rFonts w:ascii="Times New Roman" w:hAnsi="Times New Roman"/>
          <w:sz w:val="24"/>
          <w:szCs w:val="24"/>
        </w:rPr>
        <w:t xml:space="preserve"> permitiu estabelecer uma evolução das estruturas no espaço. Destacamos o mapa sobre “ Povoados fortificados ao longo da Idade do Ferro e na época romana com as estruturas defensivas medievais”, que possibilitou a observação dos povoados que existiam no período anterior da edificação do Castelo de Monforte de Rio Livre. Observámos que estes povoados fortificados estavam implantados em zonas de alta altitude e ao redor do Castelo de </w:t>
      </w:r>
      <w:r w:rsidR="006F16B6" w:rsidRPr="0011294E">
        <w:rPr>
          <w:rFonts w:ascii="Times New Roman" w:hAnsi="Times New Roman"/>
          <w:sz w:val="24"/>
          <w:szCs w:val="24"/>
        </w:rPr>
        <w:t>Monforte, pelo</w:t>
      </w:r>
      <w:r w:rsidRPr="0011294E">
        <w:rPr>
          <w:rFonts w:ascii="Times New Roman" w:hAnsi="Times New Roman"/>
          <w:sz w:val="24"/>
          <w:szCs w:val="24"/>
        </w:rPr>
        <w:t xml:space="preserve"> que a continuidade destas implantações pode ter exercido influência na constituição de uma ocupação anterior no local onde se encontra o castelo de Monforte de Rio Livre.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Partindo destes pressupostos, apoiámos a análise arqueológica no castelo medieval que se ergue no alto da colina, e para o qual realizámos diversos estudos que se focaram, essencialmente, na pesquisa bibliográfica.</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 xml:space="preserve">Ao longo do Século XI e sobretudo do Século XII, em que o número de diplomas aumenta, multiplicaram-se as referências que permitiram identificar um número significativo de </w:t>
      </w:r>
      <w:r w:rsidRPr="0011294E">
        <w:rPr>
          <w:rFonts w:ascii="Times New Roman" w:hAnsi="Times New Roman"/>
          <w:i/>
          <w:iCs/>
          <w:sz w:val="24"/>
          <w:szCs w:val="24"/>
        </w:rPr>
        <w:t xml:space="preserve">Terras </w:t>
      </w:r>
      <w:r w:rsidR="006F16B6" w:rsidRPr="0011294E">
        <w:rPr>
          <w:rFonts w:ascii="Times New Roman" w:hAnsi="Times New Roman"/>
          <w:sz w:val="24"/>
          <w:szCs w:val="24"/>
        </w:rPr>
        <w:t>que substituem</w:t>
      </w:r>
      <w:r w:rsidRPr="0011294E">
        <w:rPr>
          <w:rFonts w:ascii="Times New Roman" w:hAnsi="Times New Roman"/>
          <w:sz w:val="24"/>
          <w:szCs w:val="24"/>
        </w:rPr>
        <w:t xml:space="preserve"> a anterior organização estruturada em </w:t>
      </w:r>
      <w:r w:rsidRPr="0011294E">
        <w:rPr>
          <w:rFonts w:ascii="Times New Roman" w:hAnsi="Times New Roman"/>
          <w:i/>
          <w:iCs/>
          <w:sz w:val="24"/>
          <w:szCs w:val="24"/>
        </w:rPr>
        <w:t xml:space="preserve">civitates. </w:t>
      </w:r>
      <w:r w:rsidRPr="0011294E">
        <w:rPr>
          <w:rFonts w:ascii="Times New Roman" w:hAnsi="Times New Roman"/>
          <w:iCs/>
          <w:sz w:val="24"/>
          <w:szCs w:val="24"/>
        </w:rPr>
        <w:t xml:space="preserve">De facto, na zona do </w:t>
      </w:r>
      <w:r w:rsidRPr="0011294E">
        <w:rPr>
          <w:rFonts w:ascii="Times New Roman" w:hAnsi="Times New Roman"/>
          <w:sz w:val="24"/>
          <w:szCs w:val="24"/>
        </w:rPr>
        <w:t xml:space="preserve">Alto-Tâmega, onde se consolida a constituição da fronteira norte do Reino, afirmam-se dois centros importantes que polarizaram a organização dos territórios baixo-medievais: as vilas fortificadas de Chaves e de Monforte de Rio Livre.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Nas primeiras referências documentais sobre o território de Monforte de Rio Livre, este era referido como a </w:t>
      </w:r>
      <w:r w:rsidRPr="0011294E">
        <w:rPr>
          <w:rFonts w:ascii="Times New Roman" w:hAnsi="Times New Roman"/>
          <w:i/>
          <w:sz w:val="24"/>
          <w:szCs w:val="24"/>
        </w:rPr>
        <w:t>subtus mons Batocas e civitatem de Batocas</w:t>
      </w:r>
      <w:r w:rsidRPr="0011294E">
        <w:rPr>
          <w:rFonts w:ascii="Times New Roman" w:hAnsi="Times New Roman"/>
          <w:sz w:val="24"/>
          <w:szCs w:val="24"/>
        </w:rPr>
        <w:t xml:space="preserve"> pelo que consideramos que a ocupação do monte do castelo remonta a uma cronologia anterior. Tendo em consideração o significado etimológico da palavra Batocas e a referência a </w:t>
      </w:r>
      <w:r w:rsidRPr="0011294E">
        <w:rPr>
          <w:rFonts w:ascii="Times New Roman" w:hAnsi="Times New Roman"/>
          <w:i/>
          <w:sz w:val="24"/>
          <w:szCs w:val="24"/>
        </w:rPr>
        <w:t>civitate</w:t>
      </w:r>
      <w:r w:rsidRPr="0011294E">
        <w:rPr>
          <w:rFonts w:ascii="Times New Roman" w:hAnsi="Times New Roman"/>
          <w:sz w:val="24"/>
          <w:szCs w:val="24"/>
        </w:rPr>
        <w:t xml:space="preserve"> e a</w:t>
      </w:r>
      <w:r w:rsidR="006F16B6">
        <w:rPr>
          <w:rFonts w:ascii="Times New Roman" w:hAnsi="Times New Roman"/>
          <w:sz w:val="24"/>
          <w:szCs w:val="24"/>
        </w:rPr>
        <w:t xml:space="preserve"> </w:t>
      </w:r>
      <w:r w:rsidRPr="0011294E">
        <w:rPr>
          <w:rFonts w:ascii="Times New Roman" w:hAnsi="Times New Roman"/>
          <w:i/>
          <w:sz w:val="24"/>
          <w:szCs w:val="24"/>
        </w:rPr>
        <w:t xml:space="preserve">civitalelia </w:t>
      </w:r>
      <w:r w:rsidRPr="0011294E">
        <w:rPr>
          <w:rFonts w:ascii="Times New Roman" w:hAnsi="Times New Roman"/>
          <w:sz w:val="24"/>
          <w:szCs w:val="24"/>
        </w:rPr>
        <w:t xml:space="preserve">na documentação, pressupõe-se uma ocupação mais alargada podendo remontar a um povoado fortificado pré-romano. Para além disso, a </w:t>
      </w:r>
      <w:r w:rsidR="006F16B6" w:rsidRPr="0011294E">
        <w:rPr>
          <w:rFonts w:ascii="Times New Roman" w:hAnsi="Times New Roman"/>
          <w:sz w:val="24"/>
          <w:szCs w:val="24"/>
        </w:rPr>
        <w:t>implantação do</w:t>
      </w:r>
      <w:r w:rsidRPr="0011294E">
        <w:rPr>
          <w:rFonts w:ascii="Times New Roman" w:hAnsi="Times New Roman"/>
          <w:sz w:val="24"/>
          <w:szCs w:val="24"/>
        </w:rPr>
        <w:t xml:space="preserve"> castelo assemelha-se a um dos padrões típicos dos povoados fortificados proto-históricos da região. Estas premissas juntamente com o posicionamento geoestratégico do Castelo sobre Veiga de Chaves, a proximidade com a </w:t>
      </w:r>
      <w:r w:rsidRPr="0011294E">
        <w:rPr>
          <w:rFonts w:ascii="Times New Roman" w:hAnsi="Times New Roman"/>
          <w:i/>
          <w:sz w:val="24"/>
          <w:szCs w:val="24"/>
        </w:rPr>
        <w:t xml:space="preserve">Via XVII </w:t>
      </w:r>
      <w:r w:rsidRPr="0011294E">
        <w:rPr>
          <w:rFonts w:ascii="Times New Roman" w:hAnsi="Times New Roman"/>
          <w:sz w:val="24"/>
          <w:szCs w:val="24"/>
        </w:rPr>
        <w:t xml:space="preserve">do Itinerário de Antonino e com as minas de ouro de Três Minas e Jales, permitiram um grande fluxo de homens e mercadorias, ajudando assim na estruturação do território </w:t>
      </w:r>
      <w:r w:rsidRPr="0011294E">
        <w:rPr>
          <w:rFonts w:ascii="Times New Roman" w:hAnsi="Times New Roman"/>
          <w:i/>
          <w:sz w:val="24"/>
          <w:szCs w:val="24"/>
        </w:rPr>
        <w:t>civitate</w:t>
      </w:r>
      <w:r w:rsidRPr="0011294E">
        <w:rPr>
          <w:rFonts w:ascii="Times New Roman" w:hAnsi="Times New Roman"/>
          <w:sz w:val="24"/>
          <w:szCs w:val="24"/>
        </w:rPr>
        <w:t xml:space="preserve"> de Batocas.</w:t>
      </w:r>
    </w:p>
    <w:p w:rsidR="0011294E" w:rsidRPr="0011294E" w:rsidRDefault="0011294E" w:rsidP="0011294E">
      <w:pPr>
        <w:spacing w:line="360" w:lineRule="auto"/>
        <w:ind w:firstLine="624"/>
        <w:jc w:val="both"/>
        <w:rPr>
          <w:rFonts w:ascii="Times New Roman" w:hAnsi="Times New Roman"/>
          <w:iCs/>
          <w:sz w:val="24"/>
          <w:szCs w:val="24"/>
        </w:rPr>
      </w:pPr>
      <w:r w:rsidRPr="0011294E">
        <w:rPr>
          <w:rFonts w:ascii="Times New Roman" w:hAnsi="Times New Roman"/>
          <w:sz w:val="24"/>
          <w:szCs w:val="24"/>
        </w:rPr>
        <w:t>A referência ao</w:t>
      </w:r>
      <w:r w:rsidRPr="0011294E">
        <w:rPr>
          <w:rFonts w:ascii="Times New Roman" w:hAnsi="Times New Roman"/>
          <w:i/>
          <w:sz w:val="24"/>
          <w:szCs w:val="24"/>
        </w:rPr>
        <w:t xml:space="preserve"> monte Batocas </w:t>
      </w:r>
      <w:r w:rsidRPr="0011294E">
        <w:rPr>
          <w:rFonts w:ascii="Times New Roman" w:hAnsi="Times New Roman"/>
          <w:sz w:val="24"/>
          <w:szCs w:val="24"/>
        </w:rPr>
        <w:t>desaparece da documentação nos finais do século XII</w:t>
      </w:r>
      <w:r w:rsidRPr="0011294E">
        <w:rPr>
          <w:rFonts w:ascii="Times New Roman" w:hAnsi="Times New Roman"/>
          <w:iCs/>
          <w:sz w:val="24"/>
          <w:szCs w:val="24"/>
        </w:rPr>
        <w:t xml:space="preserve">. Esta situação pode ser explicada pelo triunfo das </w:t>
      </w:r>
      <w:r w:rsidRPr="0011294E">
        <w:rPr>
          <w:rFonts w:ascii="Times New Roman" w:hAnsi="Times New Roman"/>
          <w:i/>
          <w:iCs/>
          <w:sz w:val="24"/>
          <w:szCs w:val="24"/>
        </w:rPr>
        <w:t>Terras</w:t>
      </w:r>
      <w:r w:rsidRPr="0011294E">
        <w:rPr>
          <w:rFonts w:ascii="Times New Roman" w:hAnsi="Times New Roman"/>
          <w:iCs/>
          <w:sz w:val="24"/>
          <w:szCs w:val="24"/>
        </w:rPr>
        <w:t xml:space="preserve">, uma vez que, as referências às estruturas fortificadas desaparecem quando este sistema já está estruturado. Contudo, pertenceu a D. Afonso III a tentativa de criação de novos núcleos urbanos em Trás-os-Montes, que culminou na criação do concelho de Monforte de Rio Livre em 1273. A criação deste Concelho teve dois objetivos primordiais: o crescimento demográfico e a estabilização da fronteira portuguesa em Trás-os-Montes. </w:t>
      </w:r>
    </w:p>
    <w:p w:rsidR="0011294E" w:rsidRPr="0011294E" w:rsidRDefault="0011294E" w:rsidP="0011294E">
      <w:pPr>
        <w:spacing w:line="360" w:lineRule="auto"/>
        <w:ind w:firstLine="624"/>
        <w:jc w:val="both"/>
        <w:rPr>
          <w:rFonts w:ascii="Times New Roman" w:hAnsi="Times New Roman"/>
          <w:bCs/>
          <w:iCs/>
          <w:sz w:val="24"/>
          <w:szCs w:val="24"/>
        </w:rPr>
      </w:pPr>
      <w:r w:rsidRPr="0011294E">
        <w:rPr>
          <w:rFonts w:ascii="Times New Roman" w:hAnsi="Times New Roman"/>
          <w:iCs/>
          <w:sz w:val="24"/>
          <w:szCs w:val="24"/>
        </w:rPr>
        <w:t xml:space="preserve">No que toca ao conhecimento da organização do Julgado de Monforte de Rio Livre nas inquirições de 1258, emanadas por D. Afonso III, observámos que </w:t>
      </w:r>
      <w:r w:rsidRPr="0011294E">
        <w:rPr>
          <w:rFonts w:ascii="Times New Roman" w:hAnsi="Times New Roman"/>
          <w:sz w:val="24"/>
          <w:szCs w:val="24"/>
        </w:rPr>
        <w:t xml:space="preserve">era composto pelas paróquias de </w:t>
      </w:r>
      <w:r w:rsidRPr="0011294E">
        <w:rPr>
          <w:rFonts w:ascii="Times New Roman" w:hAnsi="Times New Roman"/>
          <w:bCs/>
          <w:i/>
          <w:iCs/>
          <w:sz w:val="24"/>
          <w:szCs w:val="24"/>
        </w:rPr>
        <w:t xml:space="preserve">Santala </w:t>
      </w:r>
      <w:r w:rsidRPr="0011294E">
        <w:rPr>
          <w:rFonts w:ascii="Times New Roman" w:hAnsi="Times New Roman"/>
          <w:bCs/>
          <w:iCs/>
          <w:sz w:val="24"/>
          <w:szCs w:val="24"/>
        </w:rPr>
        <w:t>(paróquia de Santa Valha), de</w:t>
      </w:r>
      <w:r w:rsidRPr="0011294E">
        <w:rPr>
          <w:rFonts w:ascii="Times New Roman" w:hAnsi="Times New Roman"/>
          <w:i/>
          <w:iCs/>
          <w:sz w:val="24"/>
          <w:szCs w:val="24"/>
        </w:rPr>
        <w:t> </w:t>
      </w:r>
      <w:r w:rsidRPr="0011294E">
        <w:rPr>
          <w:rFonts w:ascii="Times New Roman" w:hAnsi="Times New Roman"/>
          <w:bCs/>
          <w:i/>
          <w:iCs/>
          <w:sz w:val="24"/>
          <w:szCs w:val="24"/>
        </w:rPr>
        <w:t xml:space="preserve">Sante Maria de Riparia </w:t>
      </w:r>
      <w:r w:rsidRPr="0011294E">
        <w:rPr>
          <w:rFonts w:ascii="Times New Roman" w:hAnsi="Times New Roman"/>
          <w:bCs/>
          <w:iCs/>
          <w:sz w:val="24"/>
          <w:szCs w:val="24"/>
        </w:rPr>
        <w:t>(paróquia de Bouçais), de</w:t>
      </w:r>
      <w:r w:rsidRPr="0011294E">
        <w:rPr>
          <w:rFonts w:ascii="Times New Roman" w:hAnsi="Times New Roman"/>
          <w:bCs/>
          <w:i/>
          <w:iCs/>
          <w:sz w:val="24"/>
          <w:szCs w:val="24"/>
        </w:rPr>
        <w:t xml:space="preserve"> Sancte Marie de Tiela </w:t>
      </w:r>
      <w:r w:rsidRPr="0011294E">
        <w:rPr>
          <w:rFonts w:ascii="Times New Roman" w:hAnsi="Times New Roman"/>
          <w:bCs/>
          <w:iCs/>
          <w:sz w:val="24"/>
          <w:szCs w:val="24"/>
        </w:rPr>
        <w:t>(paróquia de Tinhela), de</w:t>
      </w:r>
      <w:r w:rsidRPr="0011294E">
        <w:rPr>
          <w:rFonts w:ascii="Times New Roman" w:hAnsi="Times New Roman"/>
          <w:bCs/>
          <w:i/>
          <w:iCs/>
          <w:sz w:val="24"/>
          <w:szCs w:val="24"/>
        </w:rPr>
        <w:t xml:space="preserve"> Sancti Petri de Batocas </w:t>
      </w:r>
      <w:r w:rsidRPr="0011294E">
        <w:rPr>
          <w:rFonts w:ascii="Times New Roman" w:hAnsi="Times New Roman"/>
          <w:bCs/>
          <w:iCs/>
          <w:sz w:val="24"/>
          <w:szCs w:val="24"/>
        </w:rPr>
        <w:t>(paróquia de Batocas-Águas Frias), de</w:t>
      </w:r>
      <w:r w:rsidRPr="0011294E">
        <w:rPr>
          <w:rFonts w:ascii="Times New Roman" w:hAnsi="Times New Roman"/>
          <w:bCs/>
          <w:i/>
          <w:iCs/>
          <w:sz w:val="24"/>
          <w:szCs w:val="24"/>
        </w:rPr>
        <w:t xml:space="preserve"> Sancti Iohanis de </w:t>
      </w:r>
      <w:r w:rsidRPr="0011294E">
        <w:rPr>
          <w:rFonts w:ascii="Times New Roman" w:hAnsi="Times New Roman"/>
          <w:bCs/>
          <w:i/>
          <w:iCs/>
          <w:sz w:val="24"/>
          <w:szCs w:val="24"/>
        </w:rPr>
        <w:lastRenderedPageBreak/>
        <w:t xml:space="preserve">Castineyra </w:t>
      </w:r>
      <w:r w:rsidRPr="0011294E">
        <w:rPr>
          <w:rFonts w:ascii="Times New Roman" w:hAnsi="Times New Roman"/>
          <w:bCs/>
          <w:iCs/>
          <w:sz w:val="24"/>
          <w:szCs w:val="24"/>
        </w:rPr>
        <w:t>(paróquia de S. João da Castanheira) e ainda pela paróquia de</w:t>
      </w:r>
      <w:r w:rsidRPr="0011294E">
        <w:rPr>
          <w:rFonts w:ascii="Times New Roman" w:hAnsi="Times New Roman"/>
          <w:bCs/>
          <w:i/>
          <w:iCs/>
          <w:sz w:val="24"/>
          <w:szCs w:val="24"/>
        </w:rPr>
        <w:t xml:space="preserve"> Sancti Michaelis de Feeaes </w:t>
      </w:r>
      <w:r w:rsidRPr="0011294E">
        <w:rPr>
          <w:rFonts w:ascii="Times New Roman" w:hAnsi="Times New Roman"/>
          <w:bCs/>
          <w:iCs/>
          <w:sz w:val="24"/>
          <w:szCs w:val="24"/>
        </w:rPr>
        <w:t>(paróquia de S. Miguel de Fiães).A partir das inquirições régias foi possível verificar os foros e rendas eclesiásticas, identificar nobres e as suas propriedades, assim como as usurpações que foram alvo os vários casais e herdades.</w:t>
      </w:r>
      <w:r w:rsidR="006F16B6">
        <w:rPr>
          <w:rFonts w:ascii="Times New Roman" w:hAnsi="Times New Roman"/>
          <w:bCs/>
          <w:iCs/>
          <w:sz w:val="24"/>
          <w:szCs w:val="24"/>
        </w:rPr>
        <w:t xml:space="preserve"> </w:t>
      </w:r>
      <w:r w:rsidRPr="0011294E">
        <w:rPr>
          <w:rFonts w:ascii="Times New Roman" w:hAnsi="Times New Roman"/>
          <w:bCs/>
          <w:iCs/>
          <w:sz w:val="24"/>
          <w:szCs w:val="24"/>
        </w:rPr>
        <w:t xml:space="preserve">Do quadro senhorial, que identificámos nas Inquirições Régias, destacámos algumas famílias que detinham vários casais e propriedades adquiridas, sobretudo, de forma ilegal, nomeadamente as famílias dos </w:t>
      </w:r>
      <w:r w:rsidRPr="0011294E">
        <w:rPr>
          <w:rFonts w:ascii="Times New Roman" w:hAnsi="Times New Roman"/>
          <w:sz w:val="24"/>
          <w:szCs w:val="24"/>
        </w:rPr>
        <w:t>Braganções, Baião e dos Cerveira.</w:t>
      </w:r>
    </w:p>
    <w:p w:rsidR="0011294E" w:rsidRPr="0011294E" w:rsidRDefault="0011294E" w:rsidP="0011294E">
      <w:pPr>
        <w:spacing w:line="360" w:lineRule="auto"/>
        <w:ind w:firstLine="624"/>
        <w:jc w:val="both"/>
        <w:rPr>
          <w:rFonts w:ascii="Times New Roman" w:hAnsi="Times New Roman"/>
          <w:bCs/>
          <w:iCs/>
          <w:sz w:val="24"/>
          <w:szCs w:val="24"/>
        </w:rPr>
      </w:pPr>
      <w:r w:rsidRPr="0011294E">
        <w:rPr>
          <w:rFonts w:ascii="Times New Roman" w:hAnsi="Times New Roman"/>
          <w:bCs/>
          <w:iCs/>
          <w:sz w:val="24"/>
          <w:szCs w:val="24"/>
        </w:rPr>
        <w:t>Ainda a partir destas inquirições perspetivámos a economia local e concluímos que, apesar</w:t>
      </w:r>
      <w:r w:rsidRPr="0011294E">
        <w:rPr>
          <w:rFonts w:ascii="Times New Roman" w:hAnsi="Times New Roman"/>
          <w:sz w:val="24"/>
          <w:szCs w:val="24"/>
        </w:rPr>
        <w:t xml:space="preserve"> da falta de produtos cerealíferos, a castanha tinha uma forte produção no Julgado de Rio Livre, pois era um produto que se adaptava relativamente bem aos terrenos silicosos, e que desempenhava um papel importante na alimentação, suprimindo a falta de cereais em época de crise.</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bCs/>
          <w:iCs/>
          <w:sz w:val="24"/>
          <w:szCs w:val="24"/>
        </w:rPr>
        <w:t xml:space="preserve">Não podíamos realizar este trabalho sem estudar o impacto dos conflitos bélicos nesta região de raia. No contexto da </w:t>
      </w:r>
      <w:r w:rsidRPr="0011294E">
        <w:rPr>
          <w:rFonts w:ascii="Times New Roman" w:hAnsi="Times New Roman"/>
          <w:sz w:val="24"/>
          <w:szCs w:val="24"/>
        </w:rPr>
        <w:t xml:space="preserve">contenda entre D. Afonso II e as suas irmãs, sobre pretexto do não cumprimento das cláusulas do testamento de D. Sancho I, Trás-os-Montes teve a sua zona territorial ocupada por Afonso IX de Leão. As incursões no Vale de Chaves não seriam uma surpresa, na medida em que era uma área propícia às corridas militares e às incursões esporádicas de cavaleiros, caracterizada por fronteiras mal definidas e sujeitas aos vaivéns militares de ambas as partes. Na realidade, esta zona no reinado de D. Afonso II teve uma ocupação de treze anos sob domínio leones, desde a guerra civil de período de 1211- 1212 e depois no período de 1219 a 1231. A presença leonesa em Monforte de Rio Livre é um facto real, tal como se pode verificar nas inquirições de 1258, onde afirma que na vila de Alvarelhos existia uma igreja sufragada à de Batocas cuja construção teria sido feita em tempo de guerra: </w:t>
      </w:r>
      <w:r w:rsidRPr="0011294E">
        <w:rPr>
          <w:rFonts w:ascii="Times New Roman" w:hAnsi="Times New Roman"/>
          <w:i/>
          <w:sz w:val="24"/>
          <w:szCs w:val="24"/>
        </w:rPr>
        <w:t xml:space="preserve">“ratione quod ipsi homines fecerunt illam in sua parrochia in tempore de guerras”. </w:t>
      </w:r>
      <w:r w:rsidRPr="0011294E">
        <w:rPr>
          <w:rFonts w:ascii="Times New Roman" w:hAnsi="Times New Roman"/>
          <w:sz w:val="24"/>
          <w:szCs w:val="24"/>
        </w:rPr>
        <w:t xml:space="preserve">Pensamos que as guerras referidas nestas inquirições dizem respeito à ocupação do Julgado em 1212, pelo monarca leonês.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A análise realizada aos forais de Monforte de Rio Livre teve um papel importante para este estudo. De facto, a carta de Foral tinha como objetivo estabelecer o elenco de magistrados concelhios e a forma da sua nomeação.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lastRenderedPageBreak/>
        <w:t>O primeiro foral de Monforte de Rio Livre data de 1273. A fundação do concelho enquadra-se no projeto repovoador, que D. Afonso III delineou para a região transmontana. Este projeto tinha dois objetivos fundamentais: fixar população e retirar proveito económico do rendimento destas terras.</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De facto, é por decisão de D. Afonso III que a alcáçova é construída, sendo os seus moradores isentos do pagamento de portagens em todo o reino e do serviço de anúduva. Este estudo permitiu-nos observar a intervenção régia no concelho desde o reinado de D. Afonso III até D. Afonso V. Na realidade, executámos uma perspetiva dos acontecimentos mais importantes que marcaram o período medieval de Monforte de Rio Livre.</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Os coutos dos Homiziados instituídos pela coroa, assim como os Besteiros do Conto, foram importantes medidas para promover e aumentar o povoamento e garantir a defesa do território. Paralelamente, o facto do concelho de Monforte de Rio Livre se situar junto à fronteira com Castela, confere-lhe um papel importante na fixação e defesa da integridade territorial. Devemos, igualmente, considerar o papel dos coutos dos Homiziados na travagem do despovoamento em que se encontrava o concelho de Monforte de Rio Livre. No que respeita aos Besteiros do Conto, estes estavam condicionados ao número de habitantes das localidades, pelo que em teoria, quanto mais populosas fossem, maiores seriam estes contingentes. De acordo com as Ordenações Manuelinas, o concelho de Monforte de Rio Livre apresentava 10 besteiros. Número, de facto, diminuto quando comparado com o dos concelhos de Chaves (30 besteiros do conto) ou de Montalegre (20 besteiros do conto). Neste sentido, reafirma-se a fraca densidade populacional do concelho de Monforte de Rio Livre. O contributo destes centros urbanos de menor dimensão, sobretudo dos que se situam em zonas raianas, tinha um papel importante para a coroa, na medida em que auxiliava na defesa e integridade territorial da fronteira portuguesa na Idade Média</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Da análise efetuada ao foral de D. Manuel retirámos algumas conclusões, sobretudo económicas: (1) o comércio raiano assentava num vivo intercâmbio entre transmontano e galegos; (2) existência de uma preocupação com os produtos transacionados com Castela - as mercadorias que provinham da Galiza tinha de ser </w:t>
      </w:r>
      <w:r w:rsidRPr="0011294E">
        <w:rPr>
          <w:rFonts w:ascii="Times New Roman" w:hAnsi="Times New Roman"/>
          <w:sz w:val="24"/>
          <w:szCs w:val="24"/>
        </w:rPr>
        <w:lastRenderedPageBreak/>
        <w:t xml:space="preserve">notificadas aos Rendeiros ou aos oficiais da portagem. Caso estes funcionários não fossem notificados da entrada das mercadorias, era aplicada uma multa.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Não poderíamos deixar de analisar uma questão, ainda pouco estudada na nossa historiografia, nomeadamente o contrabando. Apesar de não possuirmos qualquer documento sobre contrabando em Monforte de Rio Livre, não quer dizer que esta prática não fosse realizada, uma vez que era usual o contrabando nas zonas fronteiriças do Portugal medievo.</w:t>
      </w:r>
      <w:r w:rsidR="006F16B6">
        <w:rPr>
          <w:rFonts w:ascii="Times New Roman" w:hAnsi="Times New Roman"/>
          <w:sz w:val="24"/>
          <w:szCs w:val="24"/>
        </w:rPr>
        <w:t xml:space="preserve"> </w:t>
      </w:r>
      <w:r w:rsidRPr="0011294E">
        <w:rPr>
          <w:rFonts w:ascii="Times New Roman" w:hAnsi="Times New Roman"/>
          <w:sz w:val="24"/>
          <w:szCs w:val="24"/>
        </w:rPr>
        <w:t xml:space="preserve">Na realidade, se observarmos a sociedade medieval, chegamos à conclusão que existia um conjunto de proibições e entraves fiscais que sobrecarregavam o comércio interno, levando, inevitavelmente, ao contrabando.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No século XVI, a demografia de Monforte de Rio Livre apresentava uma contínua fraca densidade populacional, contando apenas com 862 moradores, sendo que apenas 30 moravam dentro da muralha.Com efeito, as dificuldades de manutenção e povoamento do Concelho de Monforte de Rio Livre</w:t>
      </w:r>
      <w:r w:rsidR="006F16B6">
        <w:rPr>
          <w:rFonts w:ascii="Times New Roman" w:hAnsi="Times New Roman"/>
          <w:sz w:val="24"/>
          <w:szCs w:val="24"/>
        </w:rPr>
        <w:t xml:space="preserve"> </w:t>
      </w:r>
      <w:r w:rsidRPr="0011294E">
        <w:rPr>
          <w:rFonts w:ascii="Times New Roman" w:hAnsi="Times New Roman"/>
          <w:sz w:val="24"/>
          <w:szCs w:val="24"/>
        </w:rPr>
        <w:t xml:space="preserve">ao longo dos séculos de existência sempre foram um problema difícil de ultrapassar. Esta situação levou a que, em 1836, a sede do concelho fosse transferida para a freguesia de Lebução, uma das mais populosas aldeias do termo. Porém, a sede da sua paróquia já tinha sido transferida, anteriormente, para a freguesia de Águas Frias.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Por decreto/lei de 31 de Dezembro de 1853, Monforte de Rio Livre foi extinto e as suas freguesias foram divididas por dois concelhos anexos, designadamente, Chaves e Valpaços.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Centrando a nossa atenção na estrutura arquitetónica militar de Monforte de Rio Livre, podemos concluir que a construção do castelo teve início no século XIII e princípios do século XIV, estando já edificado no reinado de D. Afonso IV. De facto, podemos considerar que estamos perante um exemplar da arquitetura militar gótica. As estruturas do Castelo foram construídas para uma “defesa ativa” do território, na medida em que, este tipo de castelos raianos são criados por iniciativa régia para estabilizarem e defender a linha de fronteira do Reino. Contudo, o Castelo foi sofrendo, ao longo dos tempos, diversas remodelações, até ser abandonado no século XIX.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Observando os desenhos de Duarte de Armas, o Castelo de Monforte de Rio Livre, terá sofrido mais alterações e adaptações durante os reinados de D. Manuel e D. </w:t>
      </w:r>
      <w:r w:rsidRPr="0011294E">
        <w:rPr>
          <w:rFonts w:ascii="Times New Roman" w:hAnsi="Times New Roman"/>
          <w:sz w:val="24"/>
          <w:szCs w:val="24"/>
        </w:rPr>
        <w:lastRenderedPageBreak/>
        <w:t xml:space="preserve">João III. A fortaleza recebeu reformas na época moderna. Esta alteração foi pautada pelo acrescento de baluartes protegendo, com efeito, o acesso principal do reduto amuralhado. Contudo, a fortaleza foi vítima da contínua perda e importância estratégica destas terras fronteiriças.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Por último, não podemos deixar de referir outra temática que se revelou bastante interessante do ponto de vista do estudo arqueológico, designadamente, o urbanismo do povoado medieval. A questão do urbanismo, todavia está condicionada, quer pela falta de fontes documentais e cartográficas, quer pelo estado atual do povoado, não permitindo visualizar os traçados.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Para estes dois últimos pontos do corpo da nossa dissertação, recorremos aos debuxos quinhentistas de Duarte de Armas exemplificativos da povoação e castelo de Monforte de Rio Livre, na primeira década do século XVI. Foi, de facto, a partir destes desenhos que nos foi possível retirar determinadas informações, para as quais não detemos, atualmente, outro testemunho.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 xml:space="preserve">Mas não só os debuxos de Duarte de Armas foram utilizados para identificar os elementos arquitetónicos do povoado. De facto, o exemplar de Madrid do Livro das Fortalezas e as plantas mais recentes do século XVII e XVIII, juntamente com a planta da D.G.E.M.N permitiram observar as obras de restauro e de recuperação que foram realizadas nos períodos mais recentes. </w:t>
      </w:r>
    </w:p>
    <w:p w:rsidR="0011294E" w:rsidRPr="0011294E" w:rsidRDefault="0011294E" w:rsidP="0011294E">
      <w:pPr>
        <w:spacing w:line="360" w:lineRule="auto"/>
        <w:ind w:firstLine="624"/>
        <w:jc w:val="both"/>
        <w:rPr>
          <w:rFonts w:ascii="Times New Roman" w:hAnsi="Times New Roman"/>
          <w:sz w:val="24"/>
          <w:szCs w:val="24"/>
        </w:rPr>
      </w:pPr>
      <w:r w:rsidRPr="0011294E">
        <w:rPr>
          <w:rFonts w:ascii="Times New Roman" w:hAnsi="Times New Roman"/>
          <w:sz w:val="24"/>
          <w:szCs w:val="24"/>
        </w:rPr>
        <w:t>Este estudo presente pretendeu dar a conhecer melhor toda esta temática e dar um contributo para a sua investigação arqueológica. Porém, seria pertinente, em estudos futuros, recorrer a escavações arqueológicas no recinto amuralhado, tanto no pátio de armas como no interior do povoado, para melhor perceber os elementos que compunham a estrutura castelar. A escavação arqueológica poderia ainda auxiliar na interpretação do sitio, tendo em conta a larga diacronia ocupacional do mesmo, salvaguardando-se e valorizando-se um conjunto monumental ameaçado pela abundante vegetação que o cobre, pelas intempéries da Natureza.</w:t>
      </w:r>
    </w:p>
    <w:p w:rsidR="0011294E" w:rsidRPr="0011294E" w:rsidRDefault="0011294E" w:rsidP="0011294E">
      <w:pPr>
        <w:spacing w:line="360" w:lineRule="auto"/>
        <w:ind w:firstLine="624"/>
        <w:jc w:val="both"/>
        <w:rPr>
          <w:rFonts w:ascii="Times New Roman" w:hAnsi="Times New Roman"/>
          <w:sz w:val="24"/>
          <w:szCs w:val="24"/>
        </w:rPr>
      </w:pPr>
    </w:p>
    <w:p w:rsidR="0011294E" w:rsidRPr="0011294E" w:rsidRDefault="0011294E" w:rsidP="0011294E">
      <w:pPr>
        <w:spacing w:line="360" w:lineRule="auto"/>
        <w:jc w:val="both"/>
        <w:rPr>
          <w:rFonts w:ascii="Times New Roman" w:hAnsi="Times New Roman"/>
          <w:b/>
          <w:sz w:val="24"/>
          <w:szCs w:val="24"/>
        </w:rPr>
      </w:pPr>
    </w:p>
    <w:p w:rsidR="0011294E" w:rsidRPr="0011294E" w:rsidRDefault="0011294E" w:rsidP="0011294E">
      <w:pPr>
        <w:spacing w:line="360" w:lineRule="auto"/>
        <w:jc w:val="both"/>
        <w:rPr>
          <w:rFonts w:ascii="Times New Roman" w:hAnsi="Times New Roman"/>
          <w:b/>
          <w:sz w:val="24"/>
          <w:szCs w:val="24"/>
        </w:rPr>
      </w:pPr>
    </w:p>
    <w:p w:rsidR="0011294E" w:rsidRPr="00FB5448" w:rsidRDefault="0011294E" w:rsidP="0011294E">
      <w:pPr>
        <w:pStyle w:val="Ttulo2"/>
        <w:rPr>
          <w:rFonts w:ascii="Times New Roman" w:hAnsi="Times New Roman" w:cs="Times New Roman"/>
          <w:sz w:val="32"/>
          <w:szCs w:val="32"/>
        </w:rPr>
      </w:pPr>
      <w:bookmarkStart w:id="51" w:name="_Toc430358547"/>
      <w:bookmarkStart w:id="52" w:name="_Toc441612290"/>
      <w:r w:rsidRPr="00FB5448">
        <w:rPr>
          <w:rFonts w:ascii="Times New Roman" w:hAnsi="Times New Roman" w:cs="Times New Roman"/>
          <w:sz w:val="32"/>
          <w:szCs w:val="32"/>
        </w:rPr>
        <w:lastRenderedPageBreak/>
        <w:t>Bibliografia</w:t>
      </w:r>
      <w:bookmarkEnd w:id="51"/>
      <w:bookmarkEnd w:id="52"/>
    </w:p>
    <w:p w:rsidR="0011294E" w:rsidRPr="0011294E" w:rsidRDefault="0011294E" w:rsidP="0011294E">
      <w:pPr>
        <w:rPr>
          <w:rFonts w:ascii="Times New Roman" w:hAnsi="Times New Roman"/>
          <w:sz w:val="24"/>
          <w:szCs w:val="24"/>
        </w:rPr>
      </w:pPr>
    </w:p>
    <w:p w:rsidR="0011294E" w:rsidRPr="0011294E" w:rsidRDefault="0011294E" w:rsidP="0011294E">
      <w:pPr>
        <w:pStyle w:val="PargrafodaLista"/>
        <w:numPr>
          <w:ilvl w:val="0"/>
          <w:numId w:val="12"/>
        </w:numPr>
        <w:spacing w:after="0" w:line="360" w:lineRule="auto"/>
        <w:ind w:left="0" w:firstLine="0"/>
        <w:jc w:val="both"/>
        <w:rPr>
          <w:rFonts w:ascii="Times New Roman" w:hAnsi="Times New Roman" w:cs="Times New Roman"/>
          <w:b/>
          <w:sz w:val="24"/>
          <w:szCs w:val="24"/>
        </w:rPr>
      </w:pPr>
      <w:r w:rsidRPr="0011294E">
        <w:rPr>
          <w:rFonts w:ascii="Times New Roman" w:hAnsi="Times New Roman" w:cs="Times New Roman"/>
          <w:b/>
          <w:sz w:val="24"/>
          <w:szCs w:val="24"/>
        </w:rPr>
        <w:t>Fontes impressas</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sz w:val="24"/>
          <w:szCs w:val="24"/>
        </w:rPr>
      </w:pPr>
      <w:r w:rsidRPr="0011294E">
        <w:rPr>
          <w:rFonts w:ascii="Times New Roman" w:hAnsi="Times New Roman" w:cs="Times New Roman"/>
          <w:i/>
          <w:iCs/>
          <w:sz w:val="24"/>
          <w:szCs w:val="24"/>
        </w:rPr>
        <w:t>Chancelaria de D. Pedro I: 1357-1367</w:t>
      </w:r>
      <w:r w:rsidRPr="0011294E">
        <w:rPr>
          <w:rFonts w:ascii="Times New Roman" w:hAnsi="Times New Roman" w:cs="Times New Roman"/>
          <w:iCs/>
          <w:sz w:val="24"/>
          <w:szCs w:val="24"/>
        </w:rPr>
        <w:t>. Lisboa:  Instituto Nacional de Investigação Científica, Centro de Estudos Históricos, 1984, doc., 927, p. 233.</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sz w:val="24"/>
          <w:szCs w:val="24"/>
        </w:rPr>
      </w:pPr>
      <w:r w:rsidRPr="0011294E">
        <w:rPr>
          <w:rFonts w:ascii="Times New Roman" w:hAnsi="Times New Roman" w:cs="Times New Roman"/>
          <w:i/>
          <w:iCs/>
          <w:sz w:val="24"/>
          <w:szCs w:val="24"/>
        </w:rPr>
        <w:t xml:space="preserve">Chancelarias Portuguesas. D. João I. </w:t>
      </w:r>
      <w:r w:rsidRPr="0011294E">
        <w:rPr>
          <w:rFonts w:ascii="Times New Roman" w:hAnsi="Times New Roman" w:cs="Times New Roman"/>
          <w:iCs/>
          <w:sz w:val="24"/>
          <w:szCs w:val="24"/>
        </w:rPr>
        <w:t xml:space="preserve">Lisboa: Instituto Nacional, vol. I., Tomo 1, 1984, </w:t>
      </w:r>
      <w:r w:rsidRPr="0011294E">
        <w:rPr>
          <w:rFonts w:ascii="Times New Roman" w:hAnsi="Times New Roman" w:cs="Times New Roman"/>
          <w:sz w:val="24"/>
          <w:szCs w:val="24"/>
        </w:rPr>
        <w:t xml:space="preserve">doc. 252, p. 129. </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sz w:val="24"/>
          <w:szCs w:val="24"/>
        </w:rPr>
      </w:pPr>
      <w:r w:rsidRPr="0011294E">
        <w:rPr>
          <w:rFonts w:ascii="Times New Roman" w:hAnsi="Times New Roman" w:cs="Times New Roman"/>
          <w:i/>
          <w:iCs/>
          <w:sz w:val="24"/>
          <w:szCs w:val="24"/>
        </w:rPr>
        <w:t>Chancelarias Portuguesas. D. João I</w:t>
      </w:r>
      <w:r w:rsidRPr="0011294E">
        <w:rPr>
          <w:rFonts w:ascii="Times New Roman" w:hAnsi="Times New Roman" w:cs="Times New Roman"/>
          <w:iCs/>
          <w:sz w:val="24"/>
          <w:szCs w:val="24"/>
        </w:rPr>
        <w:t xml:space="preserve">. Lisboa: Instituto Nacional, vol. I., Tomo 2 1984, </w:t>
      </w:r>
      <w:r w:rsidRPr="0011294E">
        <w:rPr>
          <w:rFonts w:ascii="Times New Roman" w:hAnsi="Times New Roman" w:cs="Times New Roman"/>
          <w:sz w:val="24"/>
          <w:szCs w:val="24"/>
        </w:rPr>
        <w:t>doc.,</w:t>
      </w:r>
      <w:r w:rsidRPr="0011294E">
        <w:rPr>
          <w:rFonts w:ascii="Times New Roman" w:eastAsia="Calibri" w:hAnsi="Times New Roman" w:cs="Times New Roman"/>
          <w:sz w:val="24"/>
          <w:szCs w:val="24"/>
        </w:rPr>
        <w:t xml:space="preserve"> 611, p.49; </w:t>
      </w:r>
      <w:r w:rsidRPr="0011294E">
        <w:rPr>
          <w:rFonts w:ascii="Times New Roman" w:hAnsi="Times New Roman" w:cs="Times New Roman"/>
          <w:sz w:val="24"/>
          <w:szCs w:val="24"/>
        </w:rPr>
        <w:t>doc. 885., p. 200; doc. II-841, p. 131.</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sz w:val="24"/>
          <w:szCs w:val="24"/>
        </w:rPr>
      </w:pPr>
      <w:r w:rsidRPr="0011294E">
        <w:rPr>
          <w:rFonts w:ascii="Times New Roman" w:hAnsi="Times New Roman" w:cs="Times New Roman"/>
          <w:i/>
          <w:iCs/>
          <w:sz w:val="24"/>
          <w:szCs w:val="24"/>
        </w:rPr>
        <w:t>Chancelarias Portuguesas. D. João I</w:t>
      </w:r>
      <w:r w:rsidRPr="0011294E">
        <w:rPr>
          <w:rFonts w:ascii="Times New Roman" w:hAnsi="Times New Roman" w:cs="Times New Roman"/>
          <w:iCs/>
          <w:sz w:val="24"/>
          <w:szCs w:val="24"/>
        </w:rPr>
        <w:t xml:space="preserve">. Lisboa: Instituto Nacional, vol. I., Tomo 3, 1984, </w:t>
      </w:r>
      <w:r w:rsidRPr="0011294E">
        <w:rPr>
          <w:rFonts w:ascii="Times New Roman" w:hAnsi="Times New Roman" w:cs="Times New Roman"/>
          <w:sz w:val="24"/>
          <w:szCs w:val="24"/>
        </w:rPr>
        <w:t xml:space="preserve">doc., 1016, p. 26; doc. 1123., p. 91. </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sz w:val="24"/>
          <w:szCs w:val="24"/>
        </w:rPr>
      </w:pPr>
      <w:r w:rsidRPr="0011294E">
        <w:rPr>
          <w:rFonts w:ascii="Times New Roman" w:hAnsi="Times New Roman" w:cs="Times New Roman"/>
          <w:i/>
          <w:sz w:val="24"/>
          <w:szCs w:val="24"/>
        </w:rPr>
        <w:t>Chancelarias Portuguesas. D. João I</w:t>
      </w:r>
      <w:r w:rsidRPr="0011294E">
        <w:rPr>
          <w:rFonts w:ascii="Times New Roman" w:hAnsi="Times New Roman" w:cs="Times New Roman"/>
          <w:sz w:val="24"/>
          <w:szCs w:val="24"/>
        </w:rPr>
        <w:t xml:space="preserve">. Lisboa: Instituto Nacional, vol. II., Tomo 1, 1984, doc. II-550, p. 287; doc. II- 523, p. 277. </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sz w:val="24"/>
          <w:szCs w:val="24"/>
        </w:rPr>
      </w:pPr>
      <w:r w:rsidRPr="0011294E">
        <w:rPr>
          <w:rFonts w:ascii="Times New Roman" w:hAnsi="Times New Roman" w:cs="Times New Roman"/>
          <w:i/>
          <w:sz w:val="24"/>
          <w:szCs w:val="24"/>
        </w:rPr>
        <w:t>Chancelarias Portuguesas. D. João I</w:t>
      </w:r>
      <w:r w:rsidRPr="0011294E">
        <w:rPr>
          <w:rFonts w:ascii="Times New Roman" w:hAnsi="Times New Roman" w:cs="Times New Roman"/>
          <w:sz w:val="24"/>
          <w:szCs w:val="24"/>
        </w:rPr>
        <w:t xml:space="preserve">. Lisboa: Instituto Nacional, vol. IV., Tomo 1, 1984, doc. IV-70, p. 56. </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sz w:val="24"/>
          <w:szCs w:val="24"/>
        </w:rPr>
      </w:pPr>
      <w:r w:rsidRPr="0011294E">
        <w:rPr>
          <w:rFonts w:ascii="Times New Roman" w:hAnsi="Times New Roman" w:cs="Times New Roman"/>
          <w:i/>
          <w:sz w:val="24"/>
          <w:szCs w:val="24"/>
        </w:rPr>
        <w:t>Chancelarias Portuguesas. D. Duarte.</w:t>
      </w:r>
      <w:r w:rsidRPr="0011294E">
        <w:rPr>
          <w:rFonts w:ascii="Times New Roman" w:hAnsi="Times New Roman" w:cs="Times New Roman"/>
          <w:sz w:val="24"/>
          <w:szCs w:val="24"/>
        </w:rPr>
        <w:t xml:space="preserve"> Lisboa: Instituto Nacional, vol. IV, Tomo 2, 1998, doc. 859, p. 87. </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sz w:val="24"/>
          <w:szCs w:val="24"/>
        </w:rPr>
      </w:pPr>
      <w:r w:rsidRPr="0011294E">
        <w:rPr>
          <w:rFonts w:ascii="Times New Roman" w:hAnsi="Times New Roman" w:cs="Times New Roman"/>
          <w:i/>
          <w:sz w:val="24"/>
          <w:szCs w:val="24"/>
        </w:rPr>
        <w:t>Chancelarias Portuguesas D. Afonso IV</w:t>
      </w:r>
      <w:r w:rsidRPr="0011294E">
        <w:rPr>
          <w:rFonts w:ascii="Times New Roman" w:hAnsi="Times New Roman" w:cs="Times New Roman"/>
          <w:sz w:val="24"/>
          <w:szCs w:val="24"/>
        </w:rPr>
        <w:t>. Lisboa: Instituto Nacional de Investigação Científica, Centro de Estudos Históricos, Tomo II, 1990-1992, doc., 250, pp. 382-384.</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sz w:val="24"/>
          <w:szCs w:val="24"/>
        </w:rPr>
      </w:pPr>
      <w:r w:rsidRPr="0011294E">
        <w:rPr>
          <w:rFonts w:ascii="Times New Roman" w:hAnsi="Times New Roman" w:cs="Times New Roman"/>
          <w:i/>
          <w:sz w:val="24"/>
          <w:szCs w:val="24"/>
        </w:rPr>
        <w:t>Chancelarias Portuguesas. D. Afonso III</w:t>
      </w:r>
      <w:r w:rsidRPr="0011294E">
        <w:rPr>
          <w:rFonts w:ascii="Times New Roman" w:hAnsi="Times New Roman" w:cs="Times New Roman"/>
          <w:sz w:val="24"/>
          <w:szCs w:val="24"/>
        </w:rPr>
        <w:t xml:space="preserve">, Vol.1, Imprensa da Universidade de Coimbra, 2006, doc., 580., doc., 9. </w:t>
      </w:r>
    </w:p>
    <w:p w:rsidR="0011294E" w:rsidRPr="0011294E" w:rsidRDefault="0011294E" w:rsidP="0011294E">
      <w:pPr>
        <w:pStyle w:val="Textodenotaderodap"/>
        <w:numPr>
          <w:ilvl w:val="0"/>
          <w:numId w:val="13"/>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
          <w:sz w:val="24"/>
          <w:szCs w:val="24"/>
        </w:rPr>
        <w:t>Cortes Portuguesas Reinado de D. Fernando I (1367-1383).</w:t>
      </w:r>
      <w:r w:rsidRPr="0011294E">
        <w:rPr>
          <w:rFonts w:ascii="Times New Roman" w:hAnsi="Times New Roman" w:cs="Times New Roman"/>
          <w:sz w:val="24"/>
          <w:szCs w:val="24"/>
        </w:rPr>
        <w:t xml:space="preserve"> Lisboa: Junta Nacional de Investigação </w:t>
      </w:r>
      <w:r w:rsidR="006F16B6" w:rsidRPr="0011294E">
        <w:rPr>
          <w:rFonts w:ascii="Times New Roman" w:hAnsi="Times New Roman" w:cs="Times New Roman"/>
          <w:sz w:val="24"/>
          <w:szCs w:val="24"/>
        </w:rPr>
        <w:t>Científica</w:t>
      </w:r>
      <w:r w:rsidRPr="0011294E">
        <w:rPr>
          <w:rFonts w:ascii="Times New Roman" w:hAnsi="Times New Roman" w:cs="Times New Roman"/>
          <w:sz w:val="24"/>
          <w:szCs w:val="24"/>
        </w:rPr>
        <w:t xml:space="preserve"> e Tecnológica, Centro de Estudos Históricos da Universidade de Lisboa, 1993, pp. 203-208.</w:t>
      </w:r>
    </w:p>
    <w:p w:rsidR="0011294E" w:rsidRPr="0011294E" w:rsidRDefault="0011294E" w:rsidP="0011294E">
      <w:pPr>
        <w:pStyle w:val="Textodenotaderodap"/>
        <w:numPr>
          <w:ilvl w:val="0"/>
          <w:numId w:val="13"/>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COSTA, Avelino de Jesus da – </w:t>
      </w:r>
      <w:r w:rsidRPr="0011294E">
        <w:rPr>
          <w:rFonts w:ascii="Times New Roman" w:hAnsi="Times New Roman" w:cs="Times New Roman"/>
          <w:i/>
          <w:sz w:val="24"/>
          <w:szCs w:val="24"/>
        </w:rPr>
        <w:t>Liber Fidei Sanctae Ecclesiae, Bracarensis</w:t>
      </w:r>
      <w:r w:rsidRPr="0011294E">
        <w:rPr>
          <w:rFonts w:ascii="Times New Roman" w:hAnsi="Times New Roman" w:cs="Times New Roman"/>
          <w:sz w:val="24"/>
          <w:szCs w:val="24"/>
        </w:rPr>
        <w:t xml:space="preserve">. Braga: Edição Junta Distrital, 1965-1990, Vol.I., pp. 39-88. </w:t>
      </w:r>
    </w:p>
    <w:p w:rsidR="0011294E" w:rsidRPr="0011294E" w:rsidRDefault="0011294E" w:rsidP="0011294E">
      <w:pPr>
        <w:pStyle w:val="Textodenotaderodap"/>
        <w:numPr>
          <w:ilvl w:val="0"/>
          <w:numId w:val="13"/>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COSTA, Avelino de Jesus da – </w:t>
      </w:r>
      <w:r w:rsidRPr="0011294E">
        <w:rPr>
          <w:rFonts w:ascii="Times New Roman" w:hAnsi="Times New Roman" w:cs="Times New Roman"/>
          <w:i/>
          <w:sz w:val="24"/>
          <w:szCs w:val="24"/>
        </w:rPr>
        <w:t>Liber Fidei Sanctae Ecclesiae, Bracarensis</w:t>
      </w:r>
      <w:r w:rsidRPr="0011294E">
        <w:rPr>
          <w:rFonts w:ascii="Times New Roman" w:hAnsi="Times New Roman" w:cs="Times New Roman"/>
          <w:sz w:val="24"/>
          <w:szCs w:val="24"/>
        </w:rPr>
        <w:t>. Braga: Edição Junta Distrital, 1965-1990, Vol.II., pp. 285-364.</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b/>
          <w:sz w:val="24"/>
          <w:szCs w:val="24"/>
        </w:rPr>
      </w:pPr>
      <w:r w:rsidRPr="0011294E">
        <w:rPr>
          <w:rFonts w:ascii="Times New Roman" w:hAnsi="Times New Roman" w:cs="Times New Roman"/>
          <w:sz w:val="24"/>
          <w:szCs w:val="24"/>
        </w:rPr>
        <w:lastRenderedPageBreak/>
        <w:t xml:space="preserve">DIAS, Luiz Fernando de Carvalho - </w:t>
      </w:r>
      <w:r w:rsidRPr="0011294E">
        <w:rPr>
          <w:rFonts w:ascii="Times New Roman" w:hAnsi="Times New Roman" w:cs="Times New Roman"/>
          <w:i/>
          <w:sz w:val="24"/>
          <w:szCs w:val="24"/>
        </w:rPr>
        <w:t>Forais Manuelinos do reino de Portugal e dos Algarves conforme exemplar do Arquivo Nacional da Torre do Tombo: Trás-os-Montes.</w:t>
      </w:r>
      <w:r w:rsidRPr="0011294E">
        <w:rPr>
          <w:rFonts w:ascii="Times New Roman" w:hAnsi="Times New Roman" w:cs="Times New Roman"/>
          <w:sz w:val="24"/>
          <w:szCs w:val="24"/>
        </w:rPr>
        <w:t xml:space="preserve"> Beja: Edição do Autor, 1961</w:t>
      </w:r>
      <w:r w:rsidRPr="0011294E">
        <w:rPr>
          <w:rFonts w:ascii="Times New Roman" w:hAnsi="Times New Roman" w:cs="Times New Roman"/>
          <w:b/>
          <w:sz w:val="24"/>
          <w:szCs w:val="24"/>
        </w:rPr>
        <w:t xml:space="preserve">, </w:t>
      </w:r>
      <w:r w:rsidRPr="0011294E">
        <w:rPr>
          <w:rFonts w:ascii="Times New Roman" w:hAnsi="Times New Roman" w:cs="Times New Roman"/>
          <w:sz w:val="24"/>
          <w:szCs w:val="24"/>
        </w:rPr>
        <w:t>pp. 9-10.</w:t>
      </w:r>
      <w:r w:rsidRPr="0011294E">
        <w:rPr>
          <w:rFonts w:ascii="Times New Roman" w:hAnsi="Times New Roman" w:cs="Times New Roman"/>
          <w:b/>
          <w:sz w:val="24"/>
          <w:szCs w:val="24"/>
        </w:rPr>
        <w:t xml:space="preserve"> </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b/>
          <w:sz w:val="24"/>
          <w:szCs w:val="24"/>
        </w:rPr>
      </w:pPr>
      <w:r w:rsidRPr="0011294E">
        <w:rPr>
          <w:rFonts w:ascii="Times New Roman" w:hAnsi="Times New Roman" w:cs="Times New Roman"/>
          <w:i/>
          <w:iCs/>
          <w:sz w:val="24"/>
          <w:szCs w:val="24"/>
        </w:rPr>
        <w:t>Monumenta Henricina</w:t>
      </w:r>
      <w:r w:rsidRPr="0011294E">
        <w:rPr>
          <w:rFonts w:ascii="Times New Roman" w:hAnsi="Times New Roman" w:cs="Times New Roman"/>
          <w:sz w:val="24"/>
          <w:szCs w:val="24"/>
        </w:rPr>
        <w:t xml:space="preserve">. Coimbra: Comissão Executiva do V Centenário da Morte do Infante D. Henrique, Vol.IX., 1960-1974, p. 85-126. </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b/>
          <w:sz w:val="24"/>
          <w:szCs w:val="24"/>
        </w:rPr>
      </w:pPr>
      <w:r w:rsidRPr="0011294E">
        <w:rPr>
          <w:rFonts w:ascii="Times New Roman" w:hAnsi="Times New Roman" w:cs="Times New Roman"/>
          <w:i/>
          <w:iCs/>
          <w:sz w:val="24"/>
          <w:szCs w:val="24"/>
        </w:rPr>
        <w:t>Monumenta Henricina</w:t>
      </w:r>
      <w:r w:rsidRPr="0011294E">
        <w:rPr>
          <w:rFonts w:ascii="Times New Roman" w:hAnsi="Times New Roman" w:cs="Times New Roman"/>
          <w:sz w:val="24"/>
          <w:szCs w:val="24"/>
        </w:rPr>
        <w:t xml:space="preserve">. Coimbra: Comissão Executiva do V Centenário da Morte do Infante D. Henrique, Vol.X., 1960-1974, pp. 321-322. </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b/>
          <w:sz w:val="24"/>
          <w:szCs w:val="24"/>
        </w:rPr>
      </w:pPr>
      <w:r w:rsidRPr="0011294E">
        <w:rPr>
          <w:rFonts w:ascii="Times New Roman" w:hAnsi="Times New Roman" w:cs="Times New Roman"/>
          <w:i/>
          <w:sz w:val="24"/>
          <w:szCs w:val="24"/>
        </w:rPr>
        <w:t>Portugaliae Monumenta Historica</w:t>
      </w:r>
      <w:r w:rsidRPr="0011294E">
        <w:rPr>
          <w:rFonts w:ascii="Times New Roman" w:hAnsi="Times New Roman" w:cs="Times New Roman"/>
          <w:sz w:val="24"/>
          <w:szCs w:val="24"/>
        </w:rPr>
        <w:t xml:space="preserve"> – </w:t>
      </w:r>
      <w:r w:rsidRPr="0011294E">
        <w:rPr>
          <w:rFonts w:ascii="Times New Roman" w:hAnsi="Times New Roman" w:cs="Times New Roman"/>
          <w:i/>
          <w:sz w:val="24"/>
          <w:szCs w:val="24"/>
        </w:rPr>
        <w:t>Inquisitiones,</w:t>
      </w:r>
      <w:r w:rsidRPr="0011294E">
        <w:rPr>
          <w:rFonts w:ascii="Times New Roman" w:hAnsi="Times New Roman" w:cs="Times New Roman"/>
          <w:sz w:val="24"/>
          <w:szCs w:val="24"/>
        </w:rPr>
        <w:t xml:space="preserve"> Lisboa: Academia das Ciências, 1888-1977, pp. 1344-1349. </w:t>
      </w:r>
    </w:p>
    <w:p w:rsidR="0011294E" w:rsidRPr="0011294E" w:rsidRDefault="0011294E" w:rsidP="0011294E">
      <w:pPr>
        <w:pStyle w:val="PargrafodaLista"/>
        <w:numPr>
          <w:ilvl w:val="0"/>
          <w:numId w:val="13"/>
        </w:numPr>
        <w:spacing w:after="0" w:line="360" w:lineRule="auto"/>
        <w:ind w:left="0" w:firstLine="0"/>
        <w:jc w:val="both"/>
        <w:rPr>
          <w:rFonts w:ascii="Times New Roman" w:hAnsi="Times New Roman" w:cs="Times New Roman"/>
          <w:b/>
          <w:sz w:val="24"/>
          <w:szCs w:val="24"/>
        </w:rPr>
      </w:pPr>
      <w:r w:rsidRPr="0011294E">
        <w:rPr>
          <w:rFonts w:ascii="Times New Roman" w:hAnsi="Times New Roman" w:cs="Times New Roman"/>
          <w:i/>
          <w:sz w:val="24"/>
          <w:szCs w:val="24"/>
        </w:rPr>
        <w:t>Portugaliae Monumenta Historica</w:t>
      </w:r>
      <w:r w:rsidRPr="0011294E">
        <w:rPr>
          <w:rFonts w:ascii="Times New Roman" w:hAnsi="Times New Roman" w:cs="Times New Roman"/>
          <w:sz w:val="24"/>
          <w:szCs w:val="24"/>
        </w:rPr>
        <w:t xml:space="preserve"> – </w:t>
      </w:r>
      <w:r w:rsidRPr="0011294E">
        <w:rPr>
          <w:rFonts w:ascii="Times New Roman" w:hAnsi="Times New Roman" w:cs="Times New Roman"/>
          <w:i/>
          <w:sz w:val="24"/>
          <w:szCs w:val="24"/>
        </w:rPr>
        <w:t>Leges et Consuetudines</w:t>
      </w:r>
      <w:r w:rsidRPr="0011294E">
        <w:rPr>
          <w:rFonts w:ascii="Times New Roman" w:hAnsi="Times New Roman" w:cs="Times New Roman"/>
          <w:sz w:val="24"/>
          <w:szCs w:val="24"/>
        </w:rPr>
        <w:t xml:space="preserve">, Lisboa, Academia das Ciências, 1856-1868, pp. 730-731.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
          <w:sz w:val="24"/>
          <w:szCs w:val="24"/>
        </w:rPr>
        <w:t xml:space="preserve">Ordenações Afonsinas. </w:t>
      </w:r>
      <w:r w:rsidRPr="0011294E">
        <w:rPr>
          <w:rFonts w:ascii="Times New Roman" w:hAnsi="Times New Roman" w:cs="Times New Roman"/>
          <w:sz w:val="24"/>
          <w:szCs w:val="24"/>
        </w:rPr>
        <w:t>Livro I, Lisboa:</w:t>
      </w:r>
      <w:r w:rsidRPr="0011294E">
        <w:rPr>
          <w:rFonts w:ascii="Times New Roman" w:hAnsi="Times New Roman" w:cs="Times New Roman"/>
          <w:i/>
          <w:sz w:val="24"/>
          <w:szCs w:val="24"/>
        </w:rPr>
        <w:t xml:space="preserve"> </w:t>
      </w:r>
      <w:r w:rsidRPr="0011294E">
        <w:rPr>
          <w:rFonts w:ascii="Times New Roman" w:hAnsi="Times New Roman" w:cs="Times New Roman"/>
          <w:sz w:val="24"/>
          <w:szCs w:val="24"/>
        </w:rPr>
        <w:t xml:space="preserve">Fundação Calouste Gulbenkian, 2º Edição, 1998, p. 442.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
          <w:sz w:val="24"/>
          <w:szCs w:val="24"/>
        </w:rPr>
        <w:t xml:space="preserve">Ordenações Afonsinas. </w:t>
      </w:r>
      <w:r w:rsidRPr="0011294E">
        <w:rPr>
          <w:rFonts w:ascii="Times New Roman" w:hAnsi="Times New Roman" w:cs="Times New Roman"/>
          <w:sz w:val="24"/>
          <w:szCs w:val="24"/>
        </w:rPr>
        <w:t xml:space="preserve">Livro V, Lisboa: Fundação Calouste Gulbenkian, 2º Edição, 1998, pp. 239-240. </w:t>
      </w:r>
    </w:p>
    <w:p w:rsidR="0011294E" w:rsidRPr="0011294E" w:rsidRDefault="0011294E" w:rsidP="0011294E">
      <w:pPr>
        <w:pStyle w:val="Textodenotaderodap"/>
        <w:spacing w:line="360" w:lineRule="auto"/>
        <w:jc w:val="both"/>
        <w:rPr>
          <w:rFonts w:ascii="Times New Roman" w:hAnsi="Times New Roman" w:cs="Times New Roman"/>
          <w:sz w:val="24"/>
          <w:szCs w:val="24"/>
        </w:rPr>
      </w:pPr>
    </w:p>
    <w:p w:rsidR="0011294E" w:rsidRPr="0011294E" w:rsidRDefault="009B6425" w:rsidP="0011294E">
      <w:pPr>
        <w:pStyle w:val="PargrafodaLista"/>
        <w:numPr>
          <w:ilvl w:val="0"/>
          <w:numId w:val="12"/>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Estudos</w:t>
      </w:r>
    </w:p>
    <w:p w:rsidR="0011294E" w:rsidRPr="0011294E" w:rsidRDefault="0011294E" w:rsidP="0011294E">
      <w:pPr>
        <w:pStyle w:val="Textodenotaderodap"/>
        <w:spacing w:line="360" w:lineRule="auto"/>
        <w:jc w:val="both"/>
        <w:rPr>
          <w:rFonts w:ascii="Times New Roman" w:hAnsi="Times New Roman" w:cs="Times New Roman"/>
          <w:sz w:val="24"/>
          <w:szCs w:val="24"/>
        </w:rPr>
      </w:pP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ALARCÃO, Jorge – </w:t>
      </w:r>
      <w:r w:rsidRPr="0011294E">
        <w:rPr>
          <w:rFonts w:ascii="Times New Roman" w:hAnsi="Times New Roman" w:cs="Times New Roman"/>
          <w:i/>
          <w:sz w:val="24"/>
          <w:szCs w:val="24"/>
        </w:rPr>
        <w:t>O Domínio Romano em Portugal</w:t>
      </w:r>
      <w:r w:rsidRPr="0011294E">
        <w:rPr>
          <w:rFonts w:ascii="Times New Roman" w:hAnsi="Times New Roman" w:cs="Times New Roman"/>
          <w:sz w:val="24"/>
          <w:szCs w:val="24"/>
        </w:rPr>
        <w:t>. 4ª Edição, Lisboa: Fórum da História – Eur</w:t>
      </w:r>
      <w:r w:rsidR="009E508E">
        <w:rPr>
          <w:rFonts w:ascii="Times New Roman" w:hAnsi="Times New Roman" w:cs="Times New Roman"/>
          <w:sz w:val="24"/>
          <w:szCs w:val="24"/>
        </w:rPr>
        <w:t>opa – América, 1988.</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ALARCÃO, Jorge – </w:t>
      </w:r>
      <w:r w:rsidRPr="0011294E">
        <w:rPr>
          <w:rFonts w:ascii="Times New Roman" w:hAnsi="Times New Roman" w:cs="Times New Roman"/>
          <w:i/>
          <w:sz w:val="24"/>
          <w:szCs w:val="24"/>
        </w:rPr>
        <w:t>As Paróquias Suévicas no Território Atualmente Português</w:t>
      </w:r>
      <w:r w:rsidRPr="0011294E">
        <w:rPr>
          <w:rFonts w:ascii="Times New Roman" w:hAnsi="Times New Roman" w:cs="Times New Roman"/>
          <w:sz w:val="24"/>
          <w:szCs w:val="24"/>
        </w:rPr>
        <w:t xml:space="preserve">. In </w:t>
      </w:r>
      <w:r w:rsidRPr="0011294E">
        <w:rPr>
          <w:rFonts w:ascii="Times New Roman" w:hAnsi="Times New Roman" w:cs="Times New Roman"/>
          <w:i/>
          <w:iCs/>
          <w:sz w:val="24"/>
          <w:szCs w:val="24"/>
        </w:rPr>
        <w:t>Religión, Lengua e Cultura Preromanasde Hispânia</w:t>
      </w:r>
      <w:r w:rsidRPr="0011294E">
        <w:rPr>
          <w:rFonts w:ascii="Times New Roman" w:hAnsi="Times New Roman" w:cs="Times New Roman"/>
          <w:sz w:val="24"/>
          <w:szCs w:val="24"/>
        </w:rPr>
        <w:t>. Salamanca: Ediciones de la Univ</w:t>
      </w:r>
      <w:r w:rsidR="009E508E">
        <w:rPr>
          <w:rFonts w:ascii="Times New Roman" w:hAnsi="Times New Roman" w:cs="Times New Roman"/>
          <w:sz w:val="24"/>
          <w:szCs w:val="24"/>
        </w:rPr>
        <w:t>ersidad de Salamanca, 2001.</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ALARCÃO, Jorge; BARROCA, Mário – </w:t>
      </w:r>
      <w:r w:rsidRPr="0011294E">
        <w:rPr>
          <w:rFonts w:ascii="Times New Roman" w:hAnsi="Times New Roman" w:cs="Times New Roman"/>
          <w:bCs/>
          <w:i/>
          <w:sz w:val="24"/>
          <w:szCs w:val="24"/>
        </w:rPr>
        <w:t>Dicionário de Arqueologia Portuguesa</w:t>
      </w:r>
      <w:r w:rsidRPr="0011294E">
        <w:rPr>
          <w:rFonts w:ascii="Times New Roman" w:hAnsi="Times New Roman" w:cs="Times New Roman"/>
          <w:bCs/>
          <w:sz w:val="24"/>
          <w:szCs w:val="24"/>
        </w:rPr>
        <w:t>. Porto: Figueirinhas, 2012.</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shd w:val="clear" w:color="auto" w:fill="FFFFFF"/>
        </w:rPr>
        <w:t xml:space="preserve">ALMEIDA, Carlos Alberto Ferreira de – </w:t>
      </w:r>
      <w:r w:rsidRPr="0011294E">
        <w:rPr>
          <w:rFonts w:ascii="Times New Roman" w:hAnsi="Times New Roman" w:cs="Times New Roman"/>
          <w:i/>
          <w:sz w:val="24"/>
          <w:szCs w:val="24"/>
          <w:shd w:val="clear" w:color="auto" w:fill="FFFFFF"/>
        </w:rPr>
        <w:t>Vias Medievais Entre-Douro-e-Minho</w:t>
      </w:r>
      <w:r w:rsidRPr="0011294E">
        <w:rPr>
          <w:rFonts w:ascii="Times New Roman" w:hAnsi="Times New Roman" w:cs="Times New Roman"/>
          <w:sz w:val="24"/>
          <w:szCs w:val="24"/>
          <w:shd w:val="clear" w:color="auto" w:fill="FFFFFF"/>
        </w:rPr>
        <w:t>. Porto: ed. Policopiada, 1968.</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ALMEIDA, Carlos Alberto Ferreira de – </w:t>
      </w:r>
      <w:r w:rsidRPr="0011294E">
        <w:rPr>
          <w:rFonts w:ascii="Times New Roman" w:hAnsi="Times New Roman" w:cs="Times New Roman"/>
          <w:i/>
          <w:iCs/>
          <w:sz w:val="24"/>
          <w:szCs w:val="24"/>
        </w:rPr>
        <w:t xml:space="preserve">Castelologia Medieval de Entre-Douro-e-Minho </w:t>
      </w:r>
      <w:r w:rsidRPr="0011294E">
        <w:rPr>
          <w:rFonts w:ascii="Times New Roman" w:hAnsi="Times New Roman" w:cs="Times New Roman"/>
          <w:i/>
          <w:sz w:val="24"/>
          <w:szCs w:val="24"/>
          <w:shd w:val="clear" w:color="auto" w:fill="FFFFFF"/>
        </w:rPr>
        <w:t xml:space="preserve">Das origens a 1220. </w:t>
      </w:r>
      <w:r w:rsidRPr="0011294E">
        <w:rPr>
          <w:rFonts w:ascii="Times New Roman" w:hAnsi="Times New Roman" w:cs="Times New Roman"/>
          <w:sz w:val="24"/>
          <w:szCs w:val="24"/>
          <w:shd w:val="clear" w:color="auto" w:fill="FFFFFF"/>
        </w:rPr>
        <w:t>Porto:</w:t>
      </w:r>
      <w:r w:rsidRPr="0011294E">
        <w:rPr>
          <w:rFonts w:ascii="Times New Roman" w:hAnsi="Times New Roman" w:cs="Times New Roman"/>
          <w:i/>
          <w:sz w:val="24"/>
          <w:szCs w:val="24"/>
          <w:shd w:val="clear" w:color="auto" w:fill="FFFFFF"/>
        </w:rPr>
        <w:t xml:space="preserve"> </w:t>
      </w:r>
      <w:r w:rsidRPr="0011294E">
        <w:rPr>
          <w:rFonts w:ascii="Times New Roman" w:hAnsi="Times New Roman" w:cs="Times New Roman"/>
          <w:sz w:val="24"/>
          <w:szCs w:val="24"/>
        </w:rPr>
        <w:t xml:space="preserve">Dissertação complementar de </w:t>
      </w:r>
      <w:r w:rsidRPr="0011294E">
        <w:rPr>
          <w:rFonts w:ascii="Times New Roman" w:hAnsi="Times New Roman" w:cs="Times New Roman"/>
          <w:sz w:val="24"/>
          <w:szCs w:val="24"/>
        </w:rPr>
        <w:lastRenderedPageBreak/>
        <w:t>Doutoramento em História de Arte, Faculdade de Letras da Universidade do Porto, 1978.</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ALMEIDA, Carlos Alberto Ferreira de – </w:t>
      </w:r>
      <w:r w:rsidRPr="0011294E">
        <w:rPr>
          <w:rFonts w:ascii="Times New Roman" w:hAnsi="Times New Roman" w:cs="Times New Roman"/>
          <w:i/>
          <w:iCs/>
          <w:sz w:val="24"/>
          <w:szCs w:val="24"/>
        </w:rPr>
        <w:t xml:space="preserve">Castelos e cercas medievais: Séculos X a XIII. </w:t>
      </w:r>
      <w:r w:rsidRPr="0011294E">
        <w:rPr>
          <w:rFonts w:ascii="Times New Roman" w:hAnsi="Times New Roman" w:cs="Times New Roman"/>
          <w:sz w:val="24"/>
          <w:szCs w:val="24"/>
        </w:rPr>
        <w:t xml:space="preserve">In MOREIRA, R., (dir) – </w:t>
      </w:r>
      <w:r w:rsidRPr="0011294E">
        <w:rPr>
          <w:rFonts w:ascii="Times New Roman" w:hAnsi="Times New Roman" w:cs="Times New Roman"/>
          <w:i/>
          <w:iCs/>
          <w:sz w:val="24"/>
          <w:szCs w:val="24"/>
        </w:rPr>
        <w:t xml:space="preserve">Portugal no Mundo: História das Fortificações Portuguesas no Mundo. </w:t>
      </w:r>
      <w:r w:rsidRPr="0011294E">
        <w:rPr>
          <w:rFonts w:ascii="Times New Roman" w:hAnsi="Times New Roman" w:cs="Times New Roman"/>
          <w:sz w:val="24"/>
          <w:szCs w:val="24"/>
        </w:rPr>
        <w:t>Lisboa:</w:t>
      </w:r>
      <w:r w:rsidRPr="0011294E">
        <w:rPr>
          <w:rFonts w:ascii="Times New Roman" w:hAnsi="Times New Roman" w:cs="Times New Roman"/>
          <w:i/>
          <w:iCs/>
          <w:sz w:val="24"/>
          <w:szCs w:val="24"/>
        </w:rPr>
        <w:t xml:space="preserve"> </w:t>
      </w:r>
      <w:r w:rsidRPr="0011294E">
        <w:rPr>
          <w:rFonts w:ascii="Times New Roman" w:hAnsi="Times New Roman" w:cs="Times New Roman"/>
          <w:sz w:val="24"/>
          <w:szCs w:val="24"/>
        </w:rPr>
        <w:t>Pu</w:t>
      </w:r>
      <w:r w:rsidR="009E508E">
        <w:rPr>
          <w:rFonts w:ascii="Times New Roman" w:hAnsi="Times New Roman" w:cs="Times New Roman"/>
          <w:sz w:val="24"/>
          <w:szCs w:val="24"/>
        </w:rPr>
        <w:t>blicações Alfa, 1989.</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shd w:val="clear" w:color="auto" w:fill="FFFFFF"/>
        </w:rPr>
      </w:pPr>
      <w:r w:rsidRPr="0011294E">
        <w:rPr>
          <w:rFonts w:ascii="Times New Roman" w:hAnsi="Times New Roman" w:cs="Times New Roman"/>
          <w:sz w:val="24"/>
          <w:szCs w:val="24"/>
          <w:shd w:val="clear" w:color="auto" w:fill="FFFFFF"/>
        </w:rPr>
        <w:t xml:space="preserve">ALMEIDA, Carlos Alberto Ferreira de – </w:t>
      </w:r>
      <w:r w:rsidRPr="0011294E">
        <w:rPr>
          <w:rFonts w:ascii="Times New Roman" w:hAnsi="Times New Roman" w:cs="Times New Roman"/>
          <w:i/>
          <w:sz w:val="24"/>
          <w:szCs w:val="24"/>
          <w:shd w:val="clear" w:color="auto" w:fill="FFFFFF"/>
        </w:rPr>
        <w:t>Castelos Medievais do Noroeste de Portugal</w:t>
      </w:r>
      <w:r w:rsidRPr="0011294E">
        <w:rPr>
          <w:rFonts w:ascii="Times New Roman" w:hAnsi="Times New Roman" w:cs="Times New Roman"/>
          <w:sz w:val="24"/>
          <w:szCs w:val="24"/>
          <w:shd w:val="clear" w:color="auto" w:fill="FFFFFF"/>
        </w:rPr>
        <w:t>. Santiago de Compostela: Finis Terrae – Estudios en lembranza do Prof.</w:t>
      </w:r>
      <w:r w:rsidR="009E508E">
        <w:rPr>
          <w:rFonts w:ascii="Times New Roman" w:hAnsi="Times New Roman" w:cs="Times New Roman"/>
          <w:sz w:val="24"/>
          <w:szCs w:val="24"/>
          <w:shd w:val="clear" w:color="auto" w:fill="FFFFFF"/>
        </w:rPr>
        <w:t xml:space="preserve"> Dr. Alberto Balil,1992.</w:t>
      </w:r>
      <w:r w:rsidRPr="0011294E">
        <w:rPr>
          <w:rFonts w:ascii="Times New Roman" w:hAnsi="Times New Roman" w:cs="Times New Roman"/>
          <w:sz w:val="24"/>
          <w:szCs w:val="24"/>
          <w:shd w:val="clear" w:color="auto" w:fill="FFFFFF"/>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ALMEIDA, Fortunado – </w:t>
      </w:r>
      <w:r w:rsidRPr="0011294E">
        <w:rPr>
          <w:rFonts w:ascii="Times New Roman" w:hAnsi="Times New Roman" w:cs="Times New Roman"/>
          <w:i/>
          <w:iCs/>
          <w:sz w:val="24"/>
          <w:szCs w:val="24"/>
        </w:rPr>
        <w:t>História da Igreja em Portugal</w:t>
      </w:r>
      <w:r w:rsidRPr="0011294E">
        <w:rPr>
          <w:rFonts w:ascii="Times New Roman" w:hAnsi="Times New Roman" w:cs="Times New Roman"/>
          <w:sz w:val="24"/>
          <w:szCs w:val="24"/>
        </w:rPr>
        <w:t>. Nova edição por Damião Peres, vol. IV, Porto: Ci</w:t>
      </w:r>
      <w:r w:rsidR="009E508E">
        <w:rPr>
          <w:rFonts w:ascii="Times New Roman" w:hAnsi="Times New Roman" w:cs="Times New Roman"/>
          <w:sz w:val="24"/>
          <w:szCs w:val="24"/>
        </w:rPr>
        <w:t>vilização Editora, 2000.</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ÁLVARES, Francisco; FACHADA, Marco – </w:t>
      </w:r>
      <w:r w:rsidRPr="0011294E">
        <w:rPr>
          <w:rFonts w:ascii="Times New Roman" w:hAnsi="Times New Roman" w:cs="Times New Roman"/>
          <w:i/>
          <w:sz w:val="24"/>
          <w:szCs w:val="24"/>
        </w:rPr>
        <w:t>Património Natural da Região do Alto Tâmega e Barroso</w:t>
      </w:r>
      <w:r w:rsidRPr="0011294E">
        <w:rPr>
          <w:rFonts w:ascii="Times New Roman" w:hAnsi="Times New Roman" w:cs="Times New Roman"/>
          <w:sz w:val="24"/>
          <w:szCs w:val="24"/>
        </w:rPr>
        <w:t>. Chaves: Ed. Região de Turismo do Alto Tâ</w:t>
      </w:r>
      <w:r w:rsidR="009E508E">
        <w:rPr>
          <w:rFonts w:ascii="Times New Roman" w:hAnsi="Times New Roman" w:cs="Times New Roman"/>
          <w:sz w:val="24"/>
          <w:szCs w:val="24"/>
        </w:rPr>
        <w:t>mega e Barroso, 2003.</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ALVES, Francisco Manuel – </w:t>
      </w:r>
      <w:r w:rsidRPr="0011294E">
        <w:rPr>
          <w:rFonts w:ascii="Times New Roman" w:hAnsi="Times New Roman" w:cs="Times New Roman"/>
          <w:i/>
          <w:iCs/>
          <w:sz w:val="24"/>
          <w:szCs w:val="24"/>
        </w:rPr>
        <w:t xml:space="preserve">Chaves - Apontamentos arqueológicos. </w:t>
      </w:r>
      <w:r w:rsidRPr="0011294E">
        <w:rPr>
          <w:rFonts w:ascii="Times New Roman" w:hAnsi="Times New Roman" w:cs="Times New Roman"/>
          <w:sz w:val="24"/>
          <w:szCs w:val="24"/>
        </w:rPr>
        <w:t xml:space="preserve">Chaves: Câmara Municipal, 1931.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Cs/>
          <w:sz w:val="24"/>
          <w:szCs w:val="24"/>
        </w:rPr>
        <w:t xml:space="preserve">ALVES, Francisco Manuel – </w:t>
      </w:r>
      <w:r w:rsidRPr="0011294E">
        <w:rPr>
          <w:rFonts w:ascii="Times New Roman" w:hAnsi="Times New Roman" w:cs="Times New Roman"/>
          <w:i/>
          <w:iCs/>
          <w:sz w:val="24"/>
          <w:szCs w:val="24"/>
        </w:rPr>
        <w:t>Memórias Arqueológico-Históricas do distrito de Bragança</w:t>
      </w:r>
      <w:r w:rsidRPr="0011294E">
        <w:rPr>
          <w:rFonts w:ascii="Times New Roman" w:hAnsi="Times New Roman" w:cs="Times New Roman"/>
          <w:iCs/>
          <w:sz w:val="24"/>
          <w:szCs w:val="24"/>
        </w:rPr>
        <w:t xml:space="preserve">. Bragança: Câmara Municipal de Bragança, Tomo I, 2000.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AMARAL, Paulo – </w:t>
      </w:r>
      <w:r w:rsidRPr="0011294E">
        <w:rPr>
          <w:rFonts w:ascii="Times New Roman" w:hAnsi="Times New Roman" w:cs="Times New Roman"/>
          <w:i/>
          <w:sz w:val="24"/>
          <w:szCs w:val="24"/>
        </w:rPr>
        <w:t>O povoamento Romano no Vale Superior do Tâmega – Permanências e mutações na humanização de uma paisagem</w:t>
      </w:r>
      <w:r w:rsidRPr="0011294E">
        <w:rPr>
          <w:rFonts w:ascii="Times New Roman" w:hAnsi="Times New Roman" w:cs="Times New Roman"/>
          <w:sz w:val="24"/>
          <w:szCs w:val="24"/>
        </w:rPr>
        <w:t>. Porto: Dissertação de Mestrado em Arqueologia, Faculdade de Letras da Universid</w:t>
      </w:r>
      <w:r w:rsidR="00DF7C8F">
        <w:rPr>
          <w:rFonts w:ascii="Times New Roman" w:hAnsi="Times New Roman" w:cs="Times New Roman"/>
          <w:sz w:val="24"/>
          <w:szCs w:val="24"/>
        </w:rPr>
        <w:t>ade do Porto, 1993.</w:t>
      </w:r>
      <w:r w:rsidRPr="0011294E">
        <w:rPr>
          <w:rFonts w:ascii="Times New Roman" w:hAnsi="Times New Roman" w:cs="Times New Roman"/>
          <w:sz w:val="24"/>
          <w:szCs w:val="24"/>
        </w:rPr>
        <w:t xml:space="preserve"> </w:t>
      </w:r>
    </w:p>
    <w:p w:rsidR="0011294E" w:rsidRPr="009B6425" w:rsidRDefault="0011294E" w:rsidP="0011294E">
      <w:pPr>
        <w:pStyle w:val="Textodenotaderodap"/>
        <w:numPr>
          <w:ilvl w:val="0"/>
          <w:numId w:val="15"/>
        </w:numPr>
        <w:spacing w:line="360" w:lineRule="auto"/>
        <w:ind w:left="0" w:firstLine="0"/>
        <w:jc w:val="both"/>
        <w:rPr>
          <w:rFonts w:ascii="Times New Roman" w:hAnsi="Times New Roman" w:cs="Times New Roman"/>
          <w:sz w:val="24"/>
          <w:szCs w:val="24"/>
        </w:rPr>
      </w:pPr>
      <w:r w:rsidRPr="009B6425">
        <w:rPr>
          <w:rFonts w:ascii="Times New Roman" w:hAnsi="Times New Roman" w:cs="Times New Roman"/>
          <w:sz w:val="24"/>
          <w:szCs w:val="24"/>
        </w:rPr>
        <w:t xml:space="preserve">AMORIM, João Vaz de – </w:t>
      </w:r>
      <w:r w:rsidRPr="009B6425">
        <w:rPr>
          <w:rFonts w:ascii="Times New Roman" w:hAnsi="Times New Roman" w:cs="Times New Roman"/>
          <w:i/>
          <w:sz w:val="24"/>
          <w:szCs w:val="24"/>
        </w:rPr>
        <w:t xml:space="preserve">Monforte de Rio Livre. </w:t>
      </w:r>
      <w:r w:rsidRPr="009B6425">
        <w:rPr>
          <w:rFonts w:ascii="Times New Roman" w:hAnsi="Times New Roman" w:cs="Times New Roman"/>
          <w:sz w:val="24"/>
          <w:szCs w:val="24"/>
        </w:rPr>
        <w:t xml:space="preserve">Chaves: Revista </w:t>
      </w:r>
      <w:r w:rsidRPr="009B6425">
        <w:rPr>
          <w:rFonts w:ascii="Times New Roman" w:hAnsi="Times New Roman" w:cs="Times New Roman"/>
          <w:i/>
          <w:sz w:val="24"/>
          <w:szCs w:val="24"/>
        </w:rPr>
        <w:t>Aquae Flaviae</w:t>
      </w:r>
      <w:r w:rsidR="00DF7C8F" w:rsidRPr="009B6425">
        <w:rPr>
          <w:rFonts w:ascii="Times New Roman" w:hAnsi="Times New Roman" w:cs="Times New Roman"/>
          <w:sz w:val="24"/>
          <w:szCs w:val="24"/>
        </w:rPr>
        <w:t>, nº 14, 1995</w:t>
      </w:r>
      <w:r w:rsidR="009B6425" w:rsidRPr="009B6425">
        <w:rPr>
          <w:rFonts w:ascii="Times New Roman" w:hAnsi="Times New Roman" w:cs="Times New Roman"/>
          <w:sz w:val="24"/>
          <w:szCs w:val="24"/>
        </w:rPr>
        <w:t>, pp. 112-115.</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AMORIM, João Vaz de – </w:t>
      </w:r>
      <w:r w:rsidRPr="0011294E">
        <w:rPr>
          <w:rFonts w:ascii="Times New Roman" w:hAnsi="Times New Roman" w:cs="Times New Roman"/>
          <w:i/>
          <w:sz w:val="24"/>
          <w:szCs w:val="24"/>
        </w:rPr>
        <w:t>Monforte de Rio Livre.</w:t>
      </w:r>
      <w:r w:rsidRPr="0011294E">
        <w:rPr>
          <w:rFonts w:ascii="Times New Roman" w:hAnsi="Times New Roman" w:cs="Times New Roman"/>
          <w:sz w:val="24"/>
          <w:szCs w:val="24"/>
        </w:rPr>
        <w:t xml:space="preserve"> Disponível em </w:t>
      </w:r>
      <w:hyperlink r:id="rId9" w:history="1">
        <w:r w:rsidRPr="0011294E">
          <w:rPr>
            <w:rStyle w:val="Hiperligao"/>
            <w:rFonts w:ascii="Times New Roman" w:hAnsi="Times New Roman" w:cs="Times New Roman"/>
            <w:sz w:val="24"/>
            <w:szCs w:val="24"/>
          </w:rPr>
          <w:t>http://www.csarmento.uminho.pt/ndat_63.asp?filtro_ano=1947</w:t>
        </w:r>
      </w:hyperlink>
      <w:r w:rsidRPr="0011294E">
        <w:rPr>
          <w:rFonts w:ascii="Times New Roman" w:hAnsi="Times New Roman" w:cs="Times New Roman"/>
          <w:sz w:val="24"/>
          <w:szCs w:val="24"/>
        </w:rPr>
        <w:t xml:space="preserve">. [Consultado a 2013.10.02] </w:t>
      </w:r>
    </w:p>
    <w:p w:rsidR="0011294E" w:rsidRPr="009B6425"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9B6425">
        <w:rPr>
          <w:rFonts w:ascii="Times New Roman" w:hAnsi="Times New Roman" w:cs="Times New Roman"/>
          <w:iCs/>
          <w:sz w:val="24"/>
          <w:szCs w:val="24"/>
        </w:rPr>
        <w:t xml:space="preserve">ANTUNES, José; OLIVEIRA, António; MONTERO, João Gouveia – </w:t>
      </w:r>
      <w:r w:rsidRPr="009B6425">
        <w:rPr>
          <w:rFonts w:ascii="Times New Roman" w:hAnsi="Times New Roman" w:cs="Times New Roman"/>
          <w:i/>
          <w:iCs/>
          <w:sz w:val="24"/>
          <w:szCs w:val="24"/>
        </w:rPr>
        <w:t>Conflitos Políticos no reino de Portugal entre a Reconquista e a Expansão</w:t>
      </w:r>
      <w:r w:rsidRPr="009B6425">
        <w:rPr>
          <w:rFonts w:ascii="Times New Roman" w:hAnsi="Times New Roman" w:cs="Times New Roman"/>
          <w:iCs/>
          <w:sz w:val="24"/>
          <w:szCs w:val="24"/>
        </w:rPr>
        <w:t>. Coimbra: Revista Hi</w:t>
      </w:r>
      <w:r w:rsidR="00DF7C8F" w:rsidRPr="009B6425">
        <w:rPr>
          <w:rFonts w:ascii="Times New Roman" w:hAnsi="Times New Roman" w:cs="Times New Roman"/>
          <w:iCs/>
          <w:sz w:val="24"/>
          <w:szCs w:val="24"/>
        </w:rPr>
        <w:t>stória das Ideias, Vol. 6, 1984</w:t>
      </w:r>
      <w:r w:rsidR="009B6425" w:rsidRPr="009B6425">
        <w:rPr>
          <w:rFonts w:ascii="Times New Roman" w:hAnsi="Times New Roman" w:cs="Times New Roman"/>
          <w:iCs/>
          <w:sz w:val="24"/>
          <w:szCs w:val="24"/>
        </w:rPr>
        <w:t>, pp. 54-70.</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AZEVEDO, Gonzaga Luiz – </w:t>
      </w:r>
      <w:r w:rsidRPr="0011294E">
        <w:rPr>
          <w:rFonts w:ascii="Times New Roman" w:hAnsi="Times New Roman" w:cs="Times New Roman"/>
          <w:i/>
          <w:sz w:val="24"/>
          <w:szCs w:val="24"/>
        </w:rPr>
        <w:t>História de Portugal</w:t>
      </w:r>
      <w:r w:rsidRPr="0011294E">
        <w:rPr>
          <w:rFonts w:ascii="Times New Roman" w:hAnsi="Times New Roman" w:cs="Times New Roman"/>
          <w:sz w:val="24"/>
          <w:szCs w:val="24"/>
        </w:rPr>
        <w:t xml:space="preserve">. Lisboa: Edições </w:t>
      </w:r>
      <w:r w:rsidR="00DF7C8F">
        <w:rPr>
          <w:rFonts w:ascii="Times New Roman" w:hAnsi="Times New Roman" w:cs="Times New Roman"/>
          <w:sz w:val="24"/>
          <w:szCs w:val="24"/>
        </w:rPr>
        <w:t>Bíblion, Vol.V., 1942</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lastRenderedPageBreak/>
        <w:t xml:space="preserve">BAPTISPA, João – </w:t>
      </w:r>
      <w:r w:rsidRPr="0011294E">
        <w:rPr>
          <w:rFonts w:ascii="Times New Roman" w:hAnsi="Times New Roman" w:cs="Times New Roman"/>
          <w:i/>
          <w:sz w:val="24"/>
          <w:szCs w:val="24"/>
        </w:rPr>
        <w:t>Tectónca e Geomorfologia da Região de Pedras Salgadas-Vidago e nascentes minerais associados</w:t>
      </w:r>
      <w:r w:rsidRPr="0011294E">
        <w:rPr>
          <w:rFonts w:ascii="Times New Roman" w:hAnsi="Times New Roman" w:cs="Times New Roman"/>
          <w:sz w:val="24"/>
          <w:szCs w:val="24"/>
        </w:rPr>
        <w:t>. Universidade de Évora: Comunicação da XVII Reunião de Geológica do Oeste</w:t>
      </w:r>
      <w:r w:rsidR="00DF7C8F">
        <w:rPr>
          <w:rFonts w:ascii="Times New Roman" w:hAnsi="Times New Roman" w:cs="Times New Roman"/>
          <w:sz w:val="24"/>
          <w:szCs w:val="24"/>
        </w:rPr>
        <w:t xml:space="preserve"> Peninsular, 1993.</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BARRADAS, Lereno Antunes – </w:t>
      </w:r>
      <w:r w:rsidRPr="0011294E">
        <w:rPr>
          <w:rFonts w:ascii="Times New Roman" w:hAnsi="Times New Roman" w:cs="Times New Roman"/>
          <w:i/>
          <w:sz w:val="24"/>
          <w:szCs w:val="24"/>
        </w:rPr>
        <w:t>Vias</w:t>
      </w:r>
      <w:r w:rsidRPr="0011294E">
        <w:rPr>
          <w:rFonts w:ascii="Times New Roman" w:hAnsi="Times New Roman" w:cs="Times New Roman"/>
          <w:sz w:val="24"/>
          <w:szCs w:val="24"/>
        </w:rPr>
        <w:t xml:space="preserve"> </w:t>
      </w:r>
      <w:r w:rsidRPr="0011294E">
        <w:rPr>
          <w:rFonts w:ascii="Times New Roman" w:hAnsi="Times New Roman" w:cs="Times New Roman"/>
          <w:i/>
          <w:sz w:val="24"/>
          <w:szCs w:val="24"/>
        </w:rPr>
        <w:t>romanas das regiões de Chaves e Bragança.</w:t>
      </w:r>
      <w:r w:rsidRPr="0011294E">
        <w:rPr>
          <w:rFonts w:ascii="Times New Roman" w:hAnsi="Times New Roman" w:cs="Times New Roman"/>
          <w:sz w:val="24"/>
          <w:szCs w:val="24"/>
        </w:rPr>
        <w:t xml:space="preserve"> Guimarães: </w:t>
      </w:r>
      <w:r w:rsidRPr="0011294E">
        <w:rPr>
          <w:rFonts w:ascii="Times New Roman" w:hAnsi="Times New Roman" w:cs="Times New Roman"/>
          <w:iCs/>
          <w:sz w:val="24"/>
          <w:szCs w:val="24"/>
        </w:rPr>
        <w:t>Revista de Guimarães</w:t>
      </w:r>
      <w:r w:rsidRPr="0011294E">
        <w:rPr>
          <w:rFonts w:ascii="Times New Roman" w:hAnsi="Times New Roman" w:cs="Times New Roman"/>
          <w:sz w:val="24"/>
          <w:szCs w:val="24"/>
        </w:rPr>
        <w:t>, 66 (1-2), 1956, p. 202.</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Cs/>
          <w:sz w:val="24"/>
          <w:szCs w:val="24"/>
        </w:rPr>
        <w:t xml:space="preserve">BARROCA, Mário Jorge - </w:t>
      </w:r>
      <w:r w:rsidRPr="0011294E">
        <w:rPr>
          <w:rFonts w:ascii="Times New Roman" w:hAnsi="Times New Roman" w:cs="Times New Roman"/>
          <w:i/>
          <w:iCs/>
          <w:sz w:val="24"/>
          <w:szCs w:val="24"/>
        </w:rPr>
        <w:t>Necrópoles e sepulturas medievais de Entre-Douro-e- Minho (séculos V-XV)</w:t>
      </w:r>
      <w:r w:rsidRPr="0011294E">
        <w:rPr>
          <w:rFonts w:ascii="Times New Roman" w:hAnsi="Times New Roman" w:cs="Times New Roman"/>
          <w:iCs/>
          <w:sz w:val="24"/>
          <w:szCs w:val="24"/>
        </w:rPr>
        <w:t>. Porto: Provas Públicas de Aptidão Pedagógica e Capacidade Científica, polic., Faculdade de Letras d</w:t>
      </w:r>
      <w:r w:rsidR="00DF7C8F">
        <w:rPr>
          <w:rFonts w:ascii="Times New Roman" w:hAnsi="Times New Roman" w:cs="Times New Roman"/>
          <w:iCs/>
          <w:sz w:val="24"/>
          <w:szCs w:val="24"/>
        </w:rPr>
        <w:t>a Universidade do Porto, 1987</w:t>
      </w:r>
      <w:r w:rsidRPr="0011294E">
        <w:rPr>
          <w:rFonts w:ascii="Times New Roman" w:hAnsi="Times New Roman" w:cs="Times New Roman"/>
          <w:iCs/>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BARROCA, Mário – </w:t>
      </w:r>
      <w:r w:rsidRPr="0011294E">
        <w:rPr>
          <w:rFonts w:ascii="Times New Roman" w:hAnsi="Times New Roman" w:cs="Times New Roman"/>
          <w:i/>
          <w:sz w:val="24"/>
          <w:szCs w:val="24"/>
        </w:rPr>
        <w:t>Do Castelo da Reconquista ao Castelo Românico (Séc. IX a XII)</w:t>
      </w:r>
      <w:r w:rsidRPr="0011294E">
        <w:rPr>
          <w:rFonts w:ascii="Times New Roman" w:hAnsi="Times New Roman" w:cs="Times New Roman"/>
          <w:sz w:val="24"/>
          <w:szCs w:val="24"/>
        </w:rPr>
        <w:t xml:space="preserve">. Lisboa: Comissão Portuguesa de História Militar, 1990-1991.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BARROCA, Mário – </w:t>
      </w:r>
      <w:r w:rsidRPr="0011294E">
        <w:rPr>
          <w:rFonts w:ascii="Times New Roman" w:hAnsi="Times New Roman" w:cs="Times New Roman"/>
          <w:i/>
          <w:sz w:val="24"/>
          <w:szCs w:val="24"/>
        </w:rPr>
        <w:t>Castelos medievais portugueses origens e evolução arquitectónica (Séc. IX-XIV)</w:t>
      </w:r>
      <w:r w:rsidRPr="0011294E">
        <w:rPr>
          <w:rFonts w:ascii="Times New Roman" w:hAnsi="Times New Roman" w:cs="Times New Roman"/>
          <w:sz w:val="24"/>
          <w:szCs w:val="24"/>
        </w:rPr>
        <w:t xml:space="preserve">, </w:t>
      </w:r>
      <w:r w:rsidRPr="0011294E">
        <w:rPr>
          <w:rFonts w:ascii="Times New Roman" w:hAnsi="Times New Roman" w:cs="Times New Roman"/>
          <w:i/>
          <w:sz w:val="24"/>
          <w:szCs w:val="24"/>
        </w:rPr>
        <w:t>La Fortaleza Medieval: Realidad y Símbolo</w:t>
      </w:r>
      <w:r w:rsidRPr="0011294E">
        <w:rPr>
          <w:rFonts w:ascii="Times New Roman" w:hAnsi="Times New Roman" w:cs="Times New Roman"/>
          <w:sz w:val="24"/>
          <w:szCs w:val="24"/>
        </w:rPr>
        <w:t>. Alicante: Actas das Jornadas da XIV Assembleia Geral da Sociedade Espanhola de Estudos Medievais de Alicante, 1997.</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BARROCA, Mário – </w:t>
      </w:r>
      <w:r w:rsidRPr="0011294E">
        <w:rPr>
          <w:rFonts w:ascii="Times New Roman" w:hAnsi="Times New Roman" w:cs="Times New Roman"/>
          <w:i/>
          <w:sz w:val="24"/>
          <w:szCs w:val="24"/>
        </w:rPr>
        <w:t>D. Dinis e a Arquitectura Militar Portuguesa</w:t>
      </w:r>
      <w:r w:rsidRPr="0011294E">
        <w:rPr>
          <w:rFonts w:ascii="Times New Roman" w:hAnsi="Times New Roman" w:cs="Times New Roman"/>
          <w:sz w:val="24"/>
          <w:szCs w:val="24"/>
        </w:rPr>
        <w:t xml:space="preserve">. Revista da Faculdade de Letras: História. Porto: Universidade do Porto, 1998, pp. 803-819.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BARROCA, Mário – </w:t>
      </w:r>
      <w:r w:rsidRPr="0011294E">
        <w:rPr>
          <w:rFonts w:ascii="Times New Roman" w:hAnsi="Times New Roman" w:cs="Times New Roman"/>
          <w:i/>
          <w:sz w:val="24"/>
          <w:szCs w:val="24"/>
        </w:rPr>
        <w:t>Nova História Militar de Portugal</w:t>
      </w:r>
      <w:r w:rsidRPr="0011294E">
        <w:rPr>
          <w:rFonts w:ascii="Times New Roman" w:hAnsi="Times New Roman" w:cs="Times New Roman"/>
          <w:sz w:val="24"/>
          <w:szCs w:val="24"/>
        </w:rPr>
        <w:t xml:space="preserve">. Vol. I. Lisboa: Círculo de Leitores, 2003, pp. 64-77.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BARROCA, Mário –</w:t>
      </w:r>
      <w:r w:rsidRPr="0011294E">
        <w:rPr>
          <w:rFonts w:ascii="Times New Roman" w:hAnsi="Times New Roman" w:cs="Times New Roman"/>
          <w:bCs/>
          <w:i/>
          <w:sz w:val="24"/>
          <w:szCs w:val="24"/>
        </w:rPr>
        <w:t xml:space="preserve"> Tempos De Resistência E De Inovação: a Arquitectura Militar Portuguesa No Reinado De D. Manuel I (1495-1521). </w:t>
      </w:r>
      <w:r w:rsidRPr="0011294E">
        <w:rPr>
          <w:rFonts w:ascii="Times New Roman" w:hAnsi="Times New Roman" w:cs="Times New Roman"/>
          <w:bCs/>
          <w:sz w:val="24"/>
          <w:szCs w:val="24"/>
        </w:rPr>
        <w:t xml:space="preserve">Porto: </w:t>
      </w:r>
      <w:r w:rsidRPr="0011294E">
        <w:rPr>
          <w:rFonts w:ascii="Times New Roman" w:hAnsi="Times New Roman" w:cs="Times New Roman"/>
          <w:bCs/>
          <w:i/>
          <w:sz w:val="24"/>
          <w:szCs w:val="24"/>
        </w:rPr>
        <w:t>Portvgalia</w:t>
      </w:r>
      <w:r w:rsidRPr="0011294E">
        <w:rPr>
          <w:rFonts w:ascii="Times New Roman" w:hAnsi="Times New Roman" w:cs="Times New Roman"/>
          <w:bCs/>
          <w:sz w:val="24"/>
          <w:szCs w:val="24"/>
        </w:rPr>
        <w:t xml:space="preserve">, Nova série XXIV, 2003, p. 96.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BARROCA, Mário – </w:t>
      </w:r>
      <w:r w:rsidRPr="0011294E">
        <w:rPr>
          <w:rFonts w:ascii="Times New Roman" w:hAnsi="Times New Roman" w:cs="Times New Roman"/>
          <w:i/>
          <w:sz w:val="24"/>
          <w:szCs w:val="24"/>
        </w:rPr>
        <w:t>Fortificações e Povoamento no Norte de Portugal (Séc. IX a XI)</w:t>
      </w:r>
      <w:r w:rsidRPr="0011294E">
        <w:rPr>
          <w:rFonts w:ascii="Times New Roman" w:hAnsi="Times New Roman" w:cs="Times New Roman"/>
          <w:sz w:val="24"/>
          <w:szCs w:val="24"/>
        </w:rPr>
        <w:t xml:space="preserve">. Porto: </w:t>
      </w:r>
      <w:r w:rsidRPr="0011294E">
        <w:rPr>
          <w:rFonts w:ascii="Times New Roman" w:hAnsi="Times New Roman" w:cs="Times New Roman"/>
          <w:i/>
          <w:sz w:val="24"/>
          <w:szCs w:val="24"/>
        </w:rPr>
        <w:t>Portvgalia</w:t>
      </w:r>
      <w:r w:rsidRPr="0011294E">
        <w:rPr>
          <w:rFonts w:ascii="Times New Roman" w:hAnsi="Times New Roman" w:cs="Times New Roman"/>
          <w:sz w:val="24"/>
          <w:szCs w:val="24"/>
        </w:rPr>
        <w:t xml:space="preserve">, Nova </w:t>
      </w:r>
      <w:r w:rsidR="006F16B6" w:rsidRPr="0011294E">
        <w:rPr>
          <w:rFonts w:ascii="Times New Roman" w:hAnsi="Times New Roman" w:cs="Times New Roman"/>
          <w:sz w:val="24"/>
          <w:szCs w:val="24"/>
        </w:rPr>
        <w:t>série</w:t>
      </w:r>
      <w:r w:rsidRPr="0011294E">
        <w:rPr>
          <w:rFonts w:ascii="Times New Roman" w:hAnsi="Times New Roman" w:cs="Times New Roman"/>
          <w:sz w:val="24"/>
          <w:szCs w:val="24"/>
        </w:rPr>
        <w:t xml:space="preserve">, Vol. XXV, 2004, p. 183.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BARROCA, Mário – </w:t>
      </w:r>
      <w:r w:rsidRPr="0011294E">
        <w:rPr>
          <w:rFonts w:ascii="Times New Roman" w:hAnsi="Times New Roman" w:cs="Times New Roman"/>
          <w:i/>
          <w:sz w:val="24"/>
          <w:szCs w:val="24"/>
        </w:rPr>
        <w:t xml:space="preserve">De Miranda do Douro a Sabugal – </w:t>
      </w:r>
      <w:r w:rsidRPr="0011294E">
        <w:rPr>
          <w:rFonts w:ascii="Times New Roman" w:hAnsi="Times New Roman" w:cs="Times New Roman"/>
          <w:bCs/>
          <w:i/>
          <w:sz w:val="24"/>
          <w:szCs w:val="24"/>
        </w:rPr>
        <w:t>Arquitetura militar e testemunhos arqueológicos medievais num espaço de fronteira</w:t>
      </w:r>
      <w:r w:rsidRPr="0011294E">
        <w:rPr>
          <w:rFonts w:ascii="Times New Roman" w:hAnsi="Times New Roman" w:cs="Times New Roman"/>
          <w:bCs/>
          <w:sz w:val="24"/>
          <w:szCs w:val="24"/>
        </w:rPr>
        <w:t>. Porto:</w:t>
      </w:r>
      <w:r w:rsidRPr="0011294E">
        <w:rPr>
          <w:rFonts w:ascii="Times New Roman" w:hAnsi="Times New Roman" w:cs="Times New Roman"/>
          <w:bCs/>
          <w:i/>
          <w:iCs/>
          <w:sz w:val="24"/>
          <w:szCs w:val="24"/>
        </w:rPr>
        <w:t xml:space="preserve"> Portvgalia, </w:t>
      </w:r>
      <w:r w:rsidRPr="0011294E">
        <w:rPr>
          <w:rFonts w:ascii="Times New Roman" w:hAnsi="Times New Roman" w:cs="Times New Roman"/>
          <w:iCs/>
          <w:sz w:val="24"/>
          <w:szCs w:val="24"/>
        </w:rPr>
        <w:t xml:space="preserve">Nova Série, Vol. XXIX-XXX, 2008-2009, p. 205.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BARROS, Henrique da Gama – </w:t>
      </w:r>
      <w:r w:rsidRPr="0011294E">
        <w:rPr>
          <w:rFonts w:ascii="Times New Roman" w:hAnsi="Times New Roman" w:cs="Times New Roman"/>
          <w:i/>
          <w:sz w:val="24"/>
          <w:szCs w:val="24"/>
        </w:rPr>
        <w:t>História da administração pública e em Portugal nos séculos XII a XV</w:t>
      </w:r>
      <w:r w:rsidRPr="0011294E">
        <w:rPr>
          <w:rFonts w:ascii="Times New Roman" w:hAnsi="Times New Roman" w:cs="Times New Roman"/>
          <w:sz w:val="24"/>
          <w:szCs w:val="24"/>
        </w:rPr>
        <w:t xml:space="preserve">. Lisboa: Livraria Sá da Costa, II Edição </w:t>
      </w:r>
      <w:r w:rsidR="00DF7C8F">
        <w:rPr>
          <w:rFonts w:ascii="Times New Roman" w:hAnsi="Times New Roman" w:cs="Times New Roman"/>
          <w:sz w:val="24"/>
          <w:szCs w:val="24"/>
        </w:rPr>
        <w:t>Vol. XI, 1945-1954.</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lastRenderedPageBreak/>
        <w:t xml:space="preserve">BETTENCOURT, Ana – </w:t>
      </w:r>
      <w:r w:rsidRPr="0011294E">
        <w:rPr>
          <w:rFonts w:ascii="Times New Roman" w:hAnsi="Times New Roman" w:cs="Times New Roman"/>
          <w:i/>
          <w:sz w:val="24"/>
          <w:szCs w:val="24"/>
        </w:rPr>
        <w:t xml:space="preserve">Dos inícios aos finais da Idade do Bronze no Norte de </w:t>
      </w:r>
      <w:r w:rsidR="006F16B6" w:rsidRPr="0011294E">
        <w:rPr>
          <w:rFonts w:ascii="Times New Roman" w:hAnsi="Times New Roman" w:cs="Times New Roman"/>
          <w:i/>
          <w:sz w:val="24"/>
          <w:szCs w:val="24"/>
        </w:rPr>
        <w:t>Portugal</w:t>
      </w:r>
      <w:r w:rsidRPr="0011294E">
        <w:rPr>
          <w:rFonts w:ascii="Times New Roman" w:hAnsi="Times New Roman" w:cs="Times New Roman"/>
          <w:i/>
          <w:sz w:val="24"/>
          <w:szCs w:val="24"/>
        </w:rPr>
        <w:t>, A idade do Bronze em Portugal discursos de Poder</w:t>
      </w:r>
      <w:r w:rsidRPr="0011294E">
        <w:rPr>
          <w:rFonts w:ascii="Times New Roman" w:hAnsi="Times New Roman" w:cs="Times New Roman"/>
          <w:sz w:val="24"/>
          <w:szCs w:val="24"/>
        </w:rPr>
        <w:t xml:space="preserve">. Lisboa: Instituto Português de Museus e Museu Nacional de Arqueologia, 1995.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 BRANCO, Manuel da Silva Castelo –</w:t>
      </w:r>
      <w:r w:rsidRPr="0011294E">
        <w:rPr>
          <w:rFonts w:ascii="Times New Roman" w:hAnsi="Times New Roman" w:cs="Times New Roman"/>
          <w:i/>
          <w:sz w:val="24"/>
          <w:szCs w:val="24"/>
        </w:rPr>
        <w:t xml:space="preserve"> Livro das Fortalezas de D. Duarte D´Armas</w:t>
      </w:r>
      <w:r w:rsidRPr="0011294E">
        <w:rPr>
          <w:rFonts w:ascii="Times New Roman" w:hAnsi="Times New Roman" w:cs="Times New Roman"/>
          <w:sz w:val="24"/>
          <w:szCs w:val="24"/>
        </w:rPr>
        <w:t>. Lisboa: Inapa, 1990.</w:t>
      </w:r>
    </w:p>
    <w:p w:rsidR="0011294E" w:rsidRPr="0011294E" w:rsidRDefault="0011294E" w:rsidP="0011294E">
      <w:pPr>
        <w:pStyle w:val="PargrafodaLista"/>
        <w:numPr>
          <w:ilvl w:val="0"/>
          <w:numId w:val="14"/>
        </w:numPr>
        <w:autoSpaceDE w:val="0"/>
        <w:autoSpaceDN w:val="0"/>
        <w:adjustRightInd w:val="0"/>
        <w:spacing w:after="0"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CAPELA, José Viriato; MATOS, Henrique; BORRALHEIRO, José – </w:t>
      </w:r>
      <w:r w:rsidRPr="0011294E">
        <w:rPr>
          <w:rFonts w:ascii="Times New Roman" w:hAnsi="Times New Roman" w:cs="Times New Roman"/>
          <w:i/>
          <w:sz w:val="24"/>
          <w:szCs w:val="24"/>
        </w:rPr>
        <w:t>Memórias Paroquiais de 1758</w:t>
      </w:r>
      <w:r w:rsidRPr="0011294E">
        <w:rPr>
          <w:rFonts w:ascii="Times New Roman" w:hAnsi="Times New Roman" w:cs="Times New Roman"/>
          <w:sz w:val="24"/>
          <w:szCs w:val="24"/>
        </w:rPr>
        <w:t>. Braga: Universidade d</w:t>
      </w:r>
      <w:r w:rsidR="00DF7C8F">
        <w:rPr>
          <w:rFonts w:ascii="Times New Roman" w:hAnsi="Times New Roman" w:cs="Times New Roman"/>
          <w:sz w:val="24"/>
          <w:szCs w:val="24"/>
        </w:rPr>
        <w:t>o Minho, Vol.3, 2006.</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CARDOSO, João Luís – </w:t>
      </w:r>
      <w:r w:rsidRPr="0011294E">
        <w:rPr>
          <w:rFonts w:ascii="Times New Roman" w:hAnsi="Times New Roman" w:cs="Times New Roman"/>
          <w:i/>
          <w:sz w:val="24"/>
          <w:szCs w:val="24"/>
        </w:rPr>
        <w:t>José Leite de Vasconcelos e os instrumentos líticos da Serra do Brunheiro (concelho de Chaves). O Arqueólogo Português</w:t>
      </w:r>
      <w:r w:rsidRPr="0011294E">
        <w:rPr>
          <w:rFonts w:ascii="Times New Roman" w:hAnsi="Times New Roman" w:cs="Times New Roman"/>
          <w:sz w:val="24"/>
          <w:szCs w:val="24"/>
        </w:rPr>
        <w:t xml:space="preserve">, série IV, 26, 2008. Disponível em </w:t>
      </w:r>
      <w:hyperlink r:id="rId10" w:history="1">
        <w:r w:rsidRPr="0011294E">
          <w:rPr>
            <w:rStyle w:val="Hiperligao"/>
            <w:rFonts w:ascii="Times New Roman" w:hAnsi="Times New Roman" w:cs="Times New Roman"/>
            <w:sz w:val="24"/>
            <w:szCs w:val="24"/>
          </w:rPr>
          <w:t>http://www.uniarq.net/uploads/4/7/1/5/4715235/cardoso_2008b.pdf</w:t>
        </w:r>
      </w:hyperlink>
      <w:r w:rsidRPr="0011294E">
        <w:rPr>
          <w:rFonts w:ascii="Times New Roman" w:hAnsi="Times New Roman" w:cs="Times New Roman"/>
          <w:sz w:val="24"/>
          <w:szCs w:val="24"/>
        </w:rPr>
        <w:t>[ Consultado a 2014.02.27]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CARDOSO, João Luís; VILAÇA, Raquel – </w:t>
      </w:r>
      <w:r w:rsidRPr="0011294E">
        <w:rPr>
          <w:rFonts w:ascii="Times New Roman" w:hAnsi="Times New Roman" w:cs="Times New Roman"/>
          <w:i/>
          <w:sz w:val="24"/>
          <w:szCs w:val="24"/>
        </w:rPr>
        <w:t>Artefactos da Idade do Bronze na região de Chaves.</w:t>
      </w:r>
      <w:r w:rsidRPr="0011294E">
        <w:rPr>
          <w:rFonts w:ascii="Times New Roman" w:hAnsi="Times New Roman" w:cs="Times New Roman"/>
          <w:sz w:val="24"/>
          <w:szCs w:val="24"/>
        </w:rPr>
        <w:t xml:space="preserve"> Lisboa: Revista Portuguesa de Arqueologia, Vol. XI, 2008, pp. 41-54.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Cs/>
          <w:sz w:val="24"/>
          <w:szCs w:val="24"/>
        </w:rPr>
        <w:t xml:space="preserve">CARDOSO, José – </w:t>
      </w:r>
      <w:r w:rsidRPr="0011294E">
        <w:rPr>
          <w:rFonts w:ascii="Times New Roman" w:hAnsi="Times New Roman" w:cs="Times New Roman"/>
          <w:i/>
          <w:iCs/>
          <w:sz w:val="24"/>
          <w:szCs w:val="24"/>
        </w:rPr>
        <w:t>Crónica do Idácio: Descrição da Invasão e Conquista da Península Ibérica pelos Suevos (Séc. V)</w:t>
      </w:r>
      <w:r w:rsidRPr="0011294E">
        <w:rPr>
          <w:rFonts w:ascii="Times New Roman" w:hAnsi="Times New Roman" w:cs="Times New Roman"/>
          <w:iCs/>
          <w:sz w:val="24"/>
          <w:szCs w:val="24"/>
        </w:rPr>
        <w:t xml:space="preserve">. Braga: Universidade do Minho, 1982.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bCs/>
          <w:sz w:val="24"/>
          <w:szCs w:val="24"/>
        </w:rPr>
        <w:t xml:space="preserve">CARNEIRO, Sérgio; GOMES, Ana – </w:t>
      </w:r>
      <w:r w:rsidRPr="0011294E">
        <w:rPr>
          <w:rFonts w:ascii="Times New Roman" w:hAnsi="Times New Roman" w:cs="Times New Roman"/>
          <w:bCs/>
          <w:i/>
          <w:sz w:val="24"/>
          <w:szCs w:val="24"/>
        </w:rPr>
        <w:t>Candis e trempes islâmicos do Museu da Região Flaviense</w:t>
      </w:r>
      <w:r w:rsidRPr="0011294E">
        <w:rPr>
          <w:rFonts w:ascii="Times New Roman" w:hAnsi="Times New Roman" w:cs="Times New Roman"/>
          <w:bCs/>
          <w:sz w:val="24"/>
          <w:szCs w:val="24"/>
        </w:rPr>
        <w:t xml:space="preserve">. Chaves: Revista </w:t>
      </w:r>
      <w:r w:rsidRPr="0011294E">
        <w:rPr>
          <w:rFonts w:ascii="Times New Roman" w:hAnsi="Times New Roman" w:cs="Times New Roman"/>
          <w:bCs/>
          <w:i/>
          <w:sz w:val="24"/>
          <w:szCs w:val="24"/>
        </w:rPr>
        <w:t>Aquae Flaviae</w:t>
      </w:r>
      <w:r w:rsidRPr="0011294E">
        <w:rPr>
          <w:rFonts w:ascii="Times New Roman" w:hAnsi="Times New Roman" w:cs="Times New Roman"/>
          <w:bCs/>
          <w:sz w:val="24"/>
          <w:szCs w:val="24"/>
        </w:rPr>
        <w:t xml:space="preserve">, 2005, p. 111.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Cs/>
          <w:sz w:val="24"/>
          <w:szCs w:val="24"/>
        </w:rPr>
        <w:t xml:space="preserve">CASTILLO, Alberto del - </w:t>
      </w:r>
      <w:r w:rsidRPr="0011294E">
        <w:rPr>
          <w:rFonts w:ascii="Times New Roman" w:hAnsi="Times New Roman" w:cs="Times New Roman"/>
          <w:i/>
          <w:iCs/>
          <w:sz w:val="24"/>
          <w:szCs w:val="24"/>
        </w:rPr>
        <w:t>Cronologia de las tumbas llamadas “olerdolanas</w:t>
      </w:r>
      <w:r w:rsidRPr="0011294E">
        <w:rPr>
          <w:rFonts w:ascii="Times New Roman" w:hAnsi="Times New Roman" w:cs="Times New Roman"/>
          <w:iCs/>
          <w:sz w:val="24"/>
          <w:szCs w:val="24"/>
        </w:rPr>
        <w:t xml:space="preserve">” In Zaragoza: Actas del XI Congreso Nacional de Arqueologia, 1970, p. 835-845.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Cs/>
          <w:sz w:val="24"/>
          <w:szCs w:val="24"/>
        </w:rPr>
        <w:t xml:space="preserve">CASTILLO, Alberto del - </w:t>
      </w:r>
      <w:r w:rsidRPr="0011294E">
        <w:rPr>
          <w:rFonts w:ascii="Times New Roman" w:hAnsi="Times New Roman" w:cs="Times New Roman"/>
          <w:i/>
          <w:iCs/>
          <w:sz w:val="24"/>
          <w:szCs w:val="24"/>
        </w:rPr>
        <w:t>Excavaciones Altomedievales en las provincias de Soria, Logroño y Burgos</w:t>
      </w:r>
      <w:r w:rsidRPr="0011294E">
        <w:rPr>
          <w:rFonts w:ascii="Times New Roman" w:hAnsi="Times New Roman" w:cs="Times New Roman"/>
          <w:iCs/>
          <w:sz w:val="24"/>
          <w:szCs w:val="24"/>
        </w:rPr>
        <w:t xml:space="preserve">. Madrid: Excavaciones Arqueológicas en España, 1972.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Cs/>
          <w:sz w:val="24"/>
          <w:szCs w:val="24"/>
        </w:rPr>
        <w:t xml:space="preserve">CEMANAS, José Miguel – </w:t>
      </w:r>
      <w:r w:rsidRPr="0011294E">
        <w:rPr>
          <w:rFonts w:ascii="Times New Roman" w:hAnsi="Times New Roman" w:cs="Times New Roman"/>
          <w:i/>
          <w:iCs/>
          <w:sz w:val="24"/>
          <w:szCs w:val="24"/>
        </w:rPr>
        <w:t xml:space="preserve">O tombo de: estudio introductorio, edición e índices (ss.IX-XII). </w:t>
      </w:r>
      <w:r w:rsidRPr="0011294E">
        <w:rPr>
          <w:rFonts w:ascii="Times New Roman" w:hAnsi="Times New Roman" w:cs="Times New Roman"/>
          <w:iCs/>
          <w:sz w:val="24"/>
          <w:szCs w:val="24"/>
        </w:rPr>
        <w:t>Galiza:</w:t>
      </w:r>
      <w:r w:rsidRPr="0011294E">
        <w:rPr>
          <w:rFonts w:ascii="Times New Roman" w:hAnsi="Times New Roman" w:cs="Times New Roman"/>
          <w:i/>
          <w:iCs/>
          <w:sz w:val="24"/>
          <w:szCs w:val="24"/>
        </w:rPr>
        <w:t xml:space="preserve"> </w:t>
      </w:r>
      <w:r w:rsidRPr="0011294E">
        <w:rPr>
          <w:rFonts w:ascii="Times New Roman" w:hAnsi="Times New Roman" w:cs="Times New Roman"/>
          <w:iCs/>
          <w:sz w:val="24"/>
          <w:szCs w:val="24"/>
        </w:rPr>
        <w:t xml:space="preserve">Fontes  Documentais para a História da Galícia, Consello </w:t>
      </w:r>
      <w:r w:rsidR="00DF7C8F">
        <w:rPr>
          <w:rFonts w:ascii="Times New Roman" w:hAnsi="Times New Roman" w:cs="Times New Roman"/>
          <w:iCs/>
          <w:sz w:val="24"/>
          <w:szCs w:val="24"/>
        </w:rPr>
        <w:t>da Cultura Galega, 1995.</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  CLAVAL, Paul – </w:t>
      </w:r>
      <w:r w:rsidRPr="0011294E">
        <w:rPr>
          <w:rFonts w:ascii="Times New Roman" w:hAnsi="Times New Roman" w:cs="Times New Roman"/>
          <w:i/>
          <w:sz w:val="24"/>
          <w:szCs w:val="24"/>
        </w:rPr>
        <w:t>Régions, nations, grands espaces</w:t>
      </w:r>
      <w:r w:rsidRPr="0011294E">
        <w:rPr>
          <w:rFonts w:ascii="Times New Roman" w:hAnsi="Times New Roman" w:cs="Times New Roman"/>
          <w:sz w:val="24"/>
          <w:szCs w:val="24"/>
        </w:rPr>
        <w:t xml:space="preserve">. Paris: Geographie Générale des Ensembles Territoriaux, 1968.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COELHO, Maria Helena da Cruz – </w:t>
      </w:r>
      <w:r w:rsidRPr="0011294E">
        <w:rPr>
          <w:rFonts w:ascii="Times New Roman" w:hAnsi="Times New Roman" w:cs="Times New Roman"/>
          <w:i/>
          <w:iCs/>
          <w:sz w:val="24"/>
          <w:szCs w:val="24"/>
        </w:rPr>
        <w:t>As relações fronteiriças galaico-minhotas à luz das cortes do século XV</w:t>
      </w:r>
      <w:r w:rsidRPr="0011294E">
        <w:rPr>
          <w:rFonts w:ascii="Times New Roman" w:hAnsi="Times New Roman" w:cs="Times New Roman"/>
          <w:sz w:val="24"/>
          <w:szCs w:val="24"/>
        </w:rPr>
        <w:t xml:space="preserve">. Porto: Revista de História da Faculdade de Letras da Universidade do Porto, II série, Vol. VII. 1990, p. 70.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bCs/>
          <w:sz w:val="24"/>
          <w:szCs w:val="24"/>
        </w:rPr>
        <w:lastRenderedPageBreak/>
        <w:t xml:space="preserve">CORREIA, Luís Miguel Maldonado de Vasconcelos – </w:t>
      </w:r>
      <w:r w:rsidRPr="0011294E">
        <w:rPr>
          <w:rFonts w:ascii="Times New Roman" w:hAnsi="Times New Roman" w:cs="Times New Roman"/>
          <w:bCs/>
          <w:i/>
          <w:sz w:val="24"/>
          <w:szCs w:val="24"/>
        </w:rPr>
        <w:t>Castelos em Portugal Retrato do seu perfil arquitetónico (1509-1949</w:t>
      </w:r>
      <w:r w:rsidRPr="0011294E">
        <w:rPr>
          <w:rFonts w:ascii="Times New Roman" w:hAnsi="Times New Roman" w:cs="Times New Roman"/>
          <w:bCs/>
          <w:sz w:val="24"/>
          <w:szCs w:val="24"/>
        </w:rPr>
        <w:t>). Coimbra: Impressa da Univer</w:t>
      </w:r>
      <w:r w:rsidR="00DF7C8F">
        <w:rPr>
          <w:rFonts w:ascii="Times New Roman" w:hAnsi="Times New Roman" w:cs="Times New Roman"/>
          <w:bCs/>
          <w:sz w:val="24"/>
          <w:szCs w:val="24"/>
        </w:rPr>
        <w:t>sidade de Coimbra, 2010.</w:t>
      </w:r>
      <w:r w:rsidRPr="0011294E">
        <w:rPr>
          <w:rFonts w:ascii="Times New Roman" w:hAnsi="Times New Roman" w:cs="Times New Roman"/>
          <w:bCs/>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COSTA, António Carvalho da – </w:t>
      </w:r>
      <w:r w:rsidRPr="0011294E">
        <w:rPr>
          <w:rFonts w:ascii="Times New Roman" w:hAnsi="Times New Roman" w:cs="Times New Roman"/>
          <w:i/>
          <w:sz w:val="24"/>
          <w:szCs w:val="24"/>
        </w:rPr>
        <w:t>Corografia Portuguesa e descrição topográfica do famoso reino de Portugal com as noticias das fundações de cidades, vilas e lugares que contém Varões ilustres, genealogia das famílias nobres, fundações de conventos, catálogos dos Bispos, antiguidades, maravilhas da natureza, edifícios e outras observações curiosas</w:t>
      </w:r>
      <w:r w:rsidRPr="0011294E">
        <w:rPr>
          <w:rFonts w:ascii="Times New Roman" w:hAnsi="Times New Roman" w:cs="Times New Roman"/>
          <w:sz w:val="24"/>
          <w:szCs w:val="24"/>
        </w:rPr>
        <w:t>, Lisboa, Vol.2, 1706-1712.</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COSTA, Paula Maria de Carvalho Pinto – </w:t>
      </w:r>
      <w:r w:rsidRPr="0011294E">
        <w:rPr>
          <w:rFonts w:ascii="Times New Roman" w:hAnsi="Times New Roman" w:cs="Times New Roman"/>
          <w:i/>
          <w:iCs/>
          <w:sz w:val="24"/>
          <w:szCs w:val="24"/>
        </w:rPr>
        <w:t>A Ordem militar do Hospital em Portugal: séculos XII-XIV</w:t>
      </w:r>
      <w:r w:rsidRPr="0011294E">
        <w:rPr>
          <w:rFonts w:ascii="Times New Roman" w:hAnsi="Times New Roman" w:cs="Times New Roman"/>
          <w:sz w:val="24"/>
          <w:szCs w:val="24"/>
        </w:rPr>
        <w:t xml:space="preserve">. Porto: Dissertação de Mestrado em História Medieval apresentada à Faculdade de Letras da Universidade do Porto, 1993.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
          <w:sz w:val="24"/>
          <w:szCs w:val="24"/>
        </w:rPr>
        <w:t>Crónica Geral de Espanha de 1344, Vol. IV.</w:t>
      </w:r>
      <w:r w:rsidRPr="0011294E">
        <w:rPr>
          <w:rFonts w:ascii="Times New Roman" w:hAnsi="Times New Roman" w:cs="Times New Roman"/>
          <w:sz w:val="24"/>
          <w:szCs w:val="24"/>
        </w:rPr>
        <w:t xml:space="preserve"> Edição Crítica do texto em Português por Luís Filipe Cintra. Lisboa: Imprensa Nacional-Casa da Moeda, 1951-1961.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DAVEAU, Suzanne – </w:t>
      </w:r>
      <w:r w:rsidRPr="0011294E">
        <w:rPr>
          <w:rFonts w:ascii="Times New Roman" w:hAnsi="Times New Roman" w:cs="Times New Roman"/>
          <w:i/>
          <w:iCs/>
          <w:sz w:val="24"/>
          <w:szCs w:val="24"/>
        </w:rPr>
        <w:t>Portugal Geográfico</w:t>
      </w:r>
      <w:r w:rsidRPr="0011294E">
        <w:rPr>
          <w:rFonts w:ascii="Times New Roman" w:hAnsi="Times New Roman" w:cs="Times New Roman"/>
          <w:i/>
          <w:sz w:val="24"/>
          <w:szCs w:val="24"/>
        </w:rPr>
        <w:t xml:space="preserve">. </w:t>
      </w:r>
      <w:r w:rsidRPr="0011294E">
        <w:rPr>
          <w:rFonts w:ascii="Times New Roman" w:hAnsi="Times New Roman" w:cs="Times New Roman"/>
          <w:sz w:val="24"/>
          <w:szCs w:val="24"/>
        </w:rPr>
        <w:t>Lisboa: E</w:t>
      </w:r>
      <w:r w:rsidR="00DF7C8F">
        <w:rPr>
          <w:rFonts w:ascii="Times New Roman" w:hAnsi="Times New Roman" w:cs="Times New Roman"/>
          <w:sz w:val="24"/>
          <w:szCs w:val="24"/>
        </w:rPr>
        <w:t>dições Sá da Costa, 1995.</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DIAS, Nuno José Pizarro – </w:t>
      </w:r>
      <w:r w:rsidRPr="0011294E">
        <w:rPr>
          <w:rFonts w:ascii="Times New Roman" w:hAnsi="Times New Roman" w:cs="Times New Roman"/>
          <w:i/>
          <w:sz w:val="24"/>
          <w:szCs w:val="24"/>
        </w:rPr>
        <w:t>Chaves Medieval (Séculos XIII e XIV)</w:t>
      </w:r>
      <w:r w:rsidRPr="0011294E">
        <w:rPr>
          <w:rFonts w:ascii="Times New Roman" w:hAnsi="Times New Roman" w:cs="Times New Roman"/>
          <w:sz w:val="24"/>
          <w:szCs w:val="24"/>
        </w:rPr>
        <w:t xml:space="preserve">. Chaves: Revista </w:t>
      </w:r>
      <w:r w:rsidRPr="0011294E">
        <w:rPr>
          <w:rFonts w:ascii="Times New Roman" w:hAnsi="Times New Roman" w:cs="Times New Roman"/>
          <w:i/>
          <w:sz w:val="24"/>
          <w:szCs w:val="24"/>
        </w:rPr>
        <w:t>Aquae Flaviae</w:t>
      </w:r>
      <w:r w:rsidRPr="0011294E">
        <w:rPr>
          <w:rFonts w:ascii="Times New Roman" w:hAnsi="Times New Roman" w:cs="Times New Roman"/>
          <w:sz w:val="24"/>
          <w:szCs w:val="24"/>
        </w:rPr>
        <w:t xml:space="preserve">, nº3, 1990, p. 40-42.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i/>
          <w:sz w:val="24"/>
          <w:szCs w:val="24"/>
        </w:rPr>
      </w:pPr>
      <w:r w:rsidRPr="0011294E">
        <w:rPr>
          <w:rFonts w:ascii="Times New Roman" w:hAnsi="Times New Roman" w:cs="Times New Roman"/>
          <w:sz w:val="24"/>
          <w:szCs w:val="24"/>
        </w:rPr>
        <w:t xml:space="preserve">DIAS, Nuno José Pizarro Pinto – </w:t>
      </w:r>
      <w:r w:rsidRPr="0011294E">
        <w:rPr>
          <w:rFonts w:ascii="Times New Roman" w:hAnsi="Times New Roman" w:cs="Times New Roman"/>
          <w:i/>
          <w:sz w:val="24"/>
          <w:szCs w:val="24"/>
        </w:rPr>
        <w:t xml:space="preserve">As Cidades de Fronteira com Portugal com a Galiza. </w:t>
      </w:r>
      <w:r w:rsidRPr="0011294E">
        <w:rPr>
          <w:rFonts w:ascii="Times New Roman" w:hAnsi="Times New Roman" w:cs="Times New Roman"/>
          <w:sz w:val="24"/>
          <w:szCs w:val="24"/>
        </w:rPr>
        <w:t>Universidade do Minho: Cadernos do Noroeste, Vol.3., 1990.</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DUARTE, Luís Miguel – </w:t>
      </w:r>
      <w:r w:rsidRPr="0011294E">
        <w:rPr>
          <w:rFonts w:ascii="Times New Roman" w:hAnsi="Times New Roman" w:cs="Times New Roman"/>
          <w:i/>
          <w:sz w:val="24"/>
          <w:szCs w:val="24"/>
        </w:rPr>
        <w:t>Justiça e Criminalidade no Portugal medievo (1459-1481).</w:t>
      </w:r>
      <w:r w:rsidRPr="0011294E">
        <w:rPr>
          <w:rFonts w:ascii="Times New Roman" w:hAnsi="Times New Roman" w:cs="Times New Roman"/>
          <w:sz w:val="24"/>
          <w:szCs w:val="24"/>
        </w:rPr>
        <w:t xml:space="preserve"> Vol.II,</w:t>
      </w:r>
      <w:r w:rsidRPr="0011294E">
        <w:rPr>
          <w:rFonts w:ascii="Times New Roman" w:hAnsi="Times New Roman" w:cs="Times New Roman"/>
          <w:i/>
          <w:sz w:val="24"/>
          <w:szCs w:val="24"/>
        </w:rPr>
        <w:t xml:space="preserve"> </w:t>
      </w:r>
      <w:r w:rsidRPr="0011294E">
        <w:rPr>
          <w:rFonts w:ascii="Times New Roman" w:hAnsi="Times New Roman" w:cs="Times New Roman"/>
          <w:sz w:val="24"/>
          <w:szCs w:val="24"/>
        </w:rPr>
        <w:t>Porto: Faculdade de letras da Universidade do Porto, Dissertação de Mes</w:t>
      </w:r>
      <w:r w:rsidR="00DF7C8F">
        <w:rPr>
          <w:rFonts w:ascii="Times New Roman" w:hAnsi="Times New Roman" w:cs="Times New Roman"/>
          <w:sz w:val="24"/>
          <w:szCs w:val="24"/>
        </w:rPr>
        <w:t>trado em História, 1993.</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DUARTE, Luís Miguel – </w:t>
      </w:r>
      <w:r w:rsidRPr="0011294E">
        <w:rPr>
          <w:rFonts w:ascii="Times New Roman" w:hAnsi="Times New Roman" w:cs="Times New Roman"/>
          <w:i/>
          <w:sz w:val="24"/>
          <w:szCs w:val="24"/>
        </w:rPr>
        <w:t>Contrabandistas de Gado e “passadores de cousas defesas” para Castela e “terra de mouros</w:t>
      </w:r>
      <w:r w:rsidRPr="0011294E">
        <w:rPr>
          <w:rFonts w:ascii="Times New Roman" w:hAnsi="Times New Roman" w:cs="Times New Roman"/>
          <w:sz w:val="24"/>
          <w:szCs w:val="24"/>
        </w:rPr>
        <w:t xml:space="preserve">”. Porto: </w:t>
      </w:r>
      <w:r w:rsidRPr="0011294E">
        <w:rPr>
          <w:rFonts w:ascii="Times New Roman" w:hAnsi="Times New Roman" w:cs="Times New Roman"/>
          <w:iCs/>
          <w:sz w:val="24"/>
          <w:szCs w:val="24"/>
        </w:rPr>
        <w:t xml:space="preserve">Revista da Faculdade de Letras. </w:t>
      </w:r>
      <w:r w:rsidRPr="0011294E">
        <w:rPr>
          <w:rFonts w:ascii="Times New Roman" w:hAnsi="Times New Roman" w:cs="Times New Roman"/>
          <w:sz w:val="24"/>
          <w:szCs w:val="24"/>
        </w:rPr>
        <w:t xml:space="preserve">2ª série, volume 15, número 1, 1998, pp. 453-472.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Cs/>
          <w:sz w:val="24"/>
          <w:szCs w:val="24"/>
        </w:rPr>
        <w:t xml:space="preserve">FERNANDES, Armando de Almeida – </w:t>
      </w:r>
      <w:r w:rsidRPr="0011294E">
        <w:rPr>
          <w:rFonts w:ascii="Times New Roman" w:hAnsi="Times New Roman" w:cs="Times New Roman"/>
          <w:i/>
          <w:iCs/>
          <w:sz w:val="24"/>
          <w:szCs w:val="24"/>
        </w:rPr>
        <w:t>Paróquias suevas e dioceses visigóticas</w:t>
      </w:r>
      <w:r w:rsidRPr="0011294E">
        <w:rPr>
          <w:rFonts w:ascii="Times New Roman" w:hAnsi="Times New Roman" w:cs="Times New Roman"/>
          <w:iCs/>
          <w:sz w:val="24"/>
          <w:szCs w:val="24"/>
        </w:rPr>
        <w:t xml:space="preserve">. Arouca: Associação para a Defesa da Cultura Arouquense, 1997. </w:t>
      </w:r>
    </w:p>
    <w:p w:rsidR="0011294E" w:rsidRPr="0011294E" w:rsidRDefault="0011294E" w:rsidP="0011294E">
      <w:pPr>
        <w:pStyle w:val="Textodenotaderodap"/>
        <w:numPr>
          <w:ilvl w:val="0"/>
          <w:numId w:val="15"/>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FONTE, João Martins da; CARDOSO, Ismael Basto – </w:t>
      </w:r>
      <w:r w:rsidRPr="0011294E">
        <w:rPr>
          <w:rFonts w:ascii="Times New Roman" w:hAnsi="Times New Roman" w:cs="Times New Roman"/>
          <w:i/>
          <w:sz w:val="24"/>
          <w:szCs w:val="24"/>
        </w:rPr>
        <w:t>O Castelo de Monforte de Rio Livre</w:t>
      </w:r>
      <w:r w:rsidRPr="0011294E">
        <w:rPr>
          <w:rFonts w:ascii="Times New Roman" w:hAnsi="Times New Roman" w:cs="Times New Roman"/>
          <w:sz w:val="24"/>
          <w:szCs w:val="24"/>
        </w:rPr>
        <w:t xml:space="preserve">. Revista Al-madan adenda electrónica. Disponível em </w:t>
      </w:r>
      <w:hyperlink r:id="rId11" w:history="1">
        <w:r w:rsidRPr="0011294E">
          <w:rPr>
            <w:rStyle w:val="Hiperligao"/>
            <w:rFonts w:ascii="Times New Roman" w:hAnsi="Times New Roman" w:cs="Times New Roman"/>
            <w:sz w:val="24"/>
            <w:szCs w:val="24"/>
          </w:rPr>
          <w:t>http://www.almadan.publ.pt/13AdendaIX.pdf</w:t>
        </w:r>
      </w:hyperlink>
      <w:r w:rsidRPr="0011294E">
        <w:rPr>
          <w:rFonts w:ascii="Times New Roman" w:hAnsi="Times New Roman" w:cs="Times New Roman"/>
          <w:sz w:val="24"/>
          <w:szCs w:val="24"/>
        </w:rPr>
        <w:t xml:space="preserve">. ([ Consultado a 2013.10.04]).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lastRenderedPageBreak/>
        <w:t xml:space="preserve">FONTE, José – </w:t>
      </w:r>
      <w:r w:rsidRPr="0011294E">
        <w:rPr>
          <w:rFonts w:ascii="Times New Roman" w:hAnsi="Times New Roman" w:cs="Times New Roman"/>
          <w:i/>
          <w:sz w:val="24"/>
          <w:szCs w:val="24"/>
        </w:rPr>
        <w:t>Sistemas defensivos Proto-Históricos de Trás-os-Montes Ocidental (Norte de Portugal)</w:t>
      </w:r>
      <w:r w:rsidRPr="0011294E">
        <w:rPr>
          <w:rFonts w:ascii="Times New Roman" w:hAnsi="Times New Roman" w:cs="Times New Roman"/>
          <w:sz w:val="24"/>
          <w:szCs w:val="24"/>
        </w:rPr>
        <w:t xml:space="preserve">. Galiza: </w:t>
      </w:r>
      <w:r w:rsidRPr="0011294E">
        <w:rPr>
          <w:rFonts w:ascii="Times New Roman" w:hAnsi="Times New Roman" w:cs="Times New Roman"/>
          <w:iCs/>
          <w:sz w:val="24"/>
          <w:szCs w:val="24"/>
        </w:rPr>
        <w:t>Cuadernos de Estudos Gallegos</w:t>
      </w:r>
      <w:r w:rsidRPr="0011294E">
        <w:rPr>
          <w:rFonts w:ascii="Times New Roman" w:hAnsi="Times New Roman" w:cs="Times New Roman"/>
          <w:sz w:val="24"/>
          <w:szCs w:val="24"/>
        </w:rPr>
        <w:t xml:space="preserve">, nº 121, 2008.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FREIRE, A. BRAAMCAMP – </w:t>
      </w:r>
      <w:r w:rsidRPr="0011294E">
        <w:rPr>
          <w:rFonts w:ascii="Times New Roman" w:hAnsi="Times New Roman" w:cs="Times New Roman"/>
          <w:i/>
          <w:sz w:val="24"/>
          <w:szCs w:val="24"/>
        </w:rPr>
        <w:t>Povoação de Trás-os-Montes no XVI século</w:t>
      </w:r>
      <w:r w:rsidRPr="0011294E">
        <w:rPr>
          <w:rFonts w:ascii="Times New Roman" w:hAnsi="Times New Roman" w:cs="Times New Roman"/>
          <w:sz w:val="24"/>
          <w:szCs w:val="24"/>
        </w:rPr>
        <w:t>. Lisboa: Archivo Historico Po</w:t>
      </w:r>
      <w:r w:rsidR="00DF7C8F">
        <w:rPr>
          <w:rFonts w:ascii="Times New Roman" w:hAnsi="Times New Roman" w:cs="Times New Roman"/>
          <w:sz w:val="24"/>
          <w:szCs w:val="24"/>
        </w:rPr>
        <w:t>rtuguez, vol.VII., 1909.</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GALEGO, Júlia; DAVEAU, Suzanne – </w:t>
      </w:r>
      <w:r w:rsidRPr="0011294E">
        <w:rPr>
          <w:rFonts w:ascii="Times New Roman" w:hAnsi="Times New Roman" w:cs="Times New Roman"/>
          <w:i/>
          <w:sz w:val="24"/>
          <w:szCs w:val="24"/>
        </w:rPr>
        <w:t xml:space="preserve">O Numeramento de 1527-1532 – Tratamento Cartográfico. </w:t>
      </w:r>
      <w:r w:rsidRPr="0011294E">
        <w:rPr>
          <w:rFonts w:ascii="Times New Roman" w:hAnsi="Times New Roman" w:cs="Times New Roman"/>
          <w:sz w:val="24"/>
          <w:szCs w:val="24"/>
        </w:rPr>
        <w:t>Lisboa:</w:t>
      </w:r>
      <w:r w:rsidRPr="0011294E">
        <w:rPr>
          <w:rFonts w:ascii="Times New Roman" w:hAnsi="Times New Roman" w:cs="Times New Roman"/>
          <w:i/>
          <w:sz w:val="24"/>
          <w:szCs w:val="24"/>
        </w:rPr>
        <w:t xml:space="preserve"> </w:t>
      </w:r>
      <w:r w:rsidRPr="0011294E">
        <w:rPr>
          <w:rFonts w:ascii="Times New Roman" w:hAnsi="Times New Roman" w:cs="Times New Roman"/>
          <w:sz w:val="24"/>
          <w:szCs w:val="24"/>
        </w:rPr>
        <w:t>Memórias do Centro de Estudos Geográficos, 1986.</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 GARCIA, A. Elias – </w:t>
      </w:r>
      <w:r w:rsidRPr="0011294E">
        <w:rPr>
          <w:rFonts w:ascii="Times New Roman" w:hAnsi="Times New Roman" w:cs="Times New Roman"/>
          <w:i/>
          <w:iCs/>
          <w:sz w:val="24"/>
          <w:szCs w:val="24"/>
        </w:rPr>
        <w:t xml:space="preserve">Um Triente de Recaredo batido em Chaves. </w:t>
      </w:r>
      <w:r w:rsidRPr="0011294E">
        <w:rPr>
          <w:rFonts w:ascii="Times New Roman" w:hAnsi="Times New Roman" w:cs="Times New Roman"/>
          <w:iCs/>
          <w:sz w:val="24"/>
          <w:szCs w:val="24"/>
        </w:rPr>
        <w:t>Guimarães:</w:t>
      </w:r>
      <w:r w:rsidRPr="0011294E">
        <w:rPr>
          <w:rFonts w:ascii="Times New Roman" w:hAnsi="Times New Roman" w:cs="Times New Roman"/>
          <w:i/>
          <w:iCs/>
          <w:sz w:val="24"/>
          <w:szCs w:val="24"/>
        </w:rPr>
        <w:t xml:space="preserve"> </w:t>
      </w:r>
      <w:r w:rsidRPr="0011294E">
        <w:rPr>
          <w:rFonts w:ascii="Times New Roman" w:hAnsi="Times New Roman" w:cs="Times New Roman"/>
          <w:iCs/>
          <w:sz w:val="24"/>
          <w:szCs w:val="24"/>
        </w:rPr>
        <w:t>Revista Guimarães</w:t>
      </w:r>
      <w:r w:rsidRPr="0011294E">
        <w:rPr>
          <w:rFonts w:ascii="Times New Roman" w:hAnsi="Times New Roman" w:cs="Times New Roman"/>
          <w:i/>
          <w:iCs/>
          <w:sz w:val="24"/>
          <w:szCs w:val="24"/>
        </w:rPr>
        <w:t xml:space="preserve">, </w:t>
      </w:r>
      <w:r w:rsidRPr="0011294E">
        <w:rPr>
          <w:rFonts w:ascii="Times New Roman" w:hAnsi="Times New Roman" w:cs="Times New Roman"/>
          <w:iCs/>
          <w:sz w:val="24"/>
          <w:szCs w:val="24"/>
        </w:rPr>
        <w:t xml:space="preserve">1944.p. 35 </w:t>
      </w:r>
      <w:r w:rsidRPr="0011294E">
        <w:rPr>
          <w:rFonts w:ascii="Times New Roman" w:hAnsi="Times New Roman" w:cs="Times New Roman"/>
          <w:sz w:val="24"/>
          <w:szCs w:val="24"/>
        </w:rPr>
        <w:t xml:space="preserve">Disponível em </w:t>
      </w:r>
      <w:hyperlink r:id="rId12" w:history="1">
        <w:r w:rsidRPr="0011294E">
          <w:rPr>
            <w:rStyle w:val="Hiperligao"/>
            <w:rFonts w:ascii="Times New Roman" w:hAnsi="Times New Roman" w:cs="Times New Roman"/>
            <w:iCs/>
            <w:sz w:val="24"/>
            <w:szCs w:val="24"/>
          </w:rPr>
          <w:t>http://www.csarmento.uminho.pt/docs/ndat/rg/RG054_04.pdf</w:t>
        </w:r>
      </w:hyperlink>
      <w:r w:rsidRPr="0011294E">
        <w:rPr>
          <w:rFonts w:ascii="Times New Roman" w:hAnsi="Times New Roman" w:cs="Times New Roman"/>
          <w:sz w:val="24"/>
          <w:szCs w:val="24"/>
        </w:rPr>
        <w:t xml:space="preserve"> [Consultado a 2014.03.22]. </w:t>
      </w:r>
    </w:p>
    <w:p w:rsidR="0011294E" w:rsidRPr="0011294E" w:rsidRDefault="0011294E" w:rsidP="0011294E">
      <w:pPr>
        <w:pStyle w:val="PargrafodaLista"/>
        <w:numPr>
          <w:ilvl w:val="0"/>
          <w:numId w:val="14"/>
        </w:numPr>
        <w:spacing w:after="0" w:line="360" w:lineRule="auto"/>
        <w:ind w:left="0" w:firstLine="0"/>
        <w:jc w:val="both"/>
        <w:rPr>
          <w:rFonts w:ascii="Times New Roman" w:hAnsi="Times New Roman" w:cs="Times New Roman"/>
          <w:b/>
          <w:sz w:val="24"/>
          <w:szCs w:val="24"/>
        </w:rPr>
      </w:pPr>
      <w:r w:rsidRPr="0011294E">
        <w:rPr>
          <w:rFonts w:ascii="Times New Roman" w:hAnsi="Times New Roman" w:cs="Times New Roman"/>
          <w:sz w:val="24"/>
          <w:szCs w:val="24"/>
        </w:rPr>
        <w:t xml:space="preserve">GIL, Júlio; SERRÃO, Joaquim Veríssimo – </w:t>
      </w:r>
      <w:r w:rsidRPr="0011294E">
        <w:rPr>
          <w:rFonts w:ascii="Times New Roman" w:hAnsi="Times New Roman" w:cs="Times New Roman"/>
          <w:i/>
          <w:sz w:val="24"/>
          <w:szCs w:val="24"/>
        </w:rPr>
        <w:t>Os mais belos Castelos e Fortalezas de Portugal</w:t>
      </w:r>
      <w:r w:rsidRPr="0011294E">
        <w:rPr>
          <w:rFonts w:ascii="Times New Roman" w:hAnsi="Times New Roman" w:cs="Times New Roman"/>
          <w:sz w:val="24"/>
          <w:szCs w:val="24"/>
        </w:rPr>
        <w:t xml:space="preserve">. Lisboa: Verbo, 1986.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bCs/>
          <w:sz w:val="24"/>
          <w:szCs w:val="24"/>
        </w:rPr>
        <w:t xml:space="preserve">GOMES, Paulo Dórdio </w:t>
      </w:r>
      <w:r w:rsidRPr="0011294E">
        <w:rPr>
          <w:rFonts w:ascii="Times New Roman" w:hAnsi="Times New Roman" w:cs="Times New Roman"/>
          <w:sz w:val="24"/>
          <w:szCs w:val="24"/>
        </w:rPr>
        <w:t xml:space="preserve">– </w:t>
      </w:r>
      <w:r w:rsidRPr="0011294E">
        <w:rPr>
          <w:rFonts w:ascii="Times New Roman" w:hAnsi="Times New Roman" w:cs="Times New Roman"/>
          <w:i/>
          <w:sz w:val="24"/>
          <w:szCs w:val="24"/>
        </w:rPr>
        <w:t>Arqueologia das Vilas de Trás-os-Montes e do Alto Douro – A reorganização do povoamento e dos territórios na Baixa Idade Média (séculos XII-XV</w:t>
      </w:r>
      <w:r w:rsidRPr="0011294E">
        <w:rPr>
          <w:rFonts w:ascii="Times New Roman" w:hAnsi="Times New Roman" w:cs="Times New Roman"/>
          <w:sz w:val="24"/>
          <w:szCs w:val="24"/>
        </w:rPr>
        <w:t>). Porto: Faculdade de letras da Universidade do Porto, Dissertação de Mestrado em Arqueologia, 1994.</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bCs/>
          <w:sz w:val="24"/>
          <w:szCs w:val="24"/>
        </w:rPr>
        <w:t xml:space="preserve">GOMES, Paulo Dórdio – </w:t>
      </w:r>
      <w:r w:rsidRPr="0011294E">
        <w:rPr>
          <w:rFonts w:ascii="Times New Roman" w:hAnsi="Times New Roman" w:cs="Times New Roman"/>
          <w:bCs/>
          <w:i/>
          <w:sz w:val="24"/>
          <w:szCs w:val="24"/>
        </w:rPr>
        <w:t xml:space="preserve">Trás-os-Montes e o Alto Douro: Da Definição do Território da Monarquia Portuguesa na Idade Média à Secundarização de um Espaço Regional. </w:t>
      </w:r>
      <w:r w:rsidRPr="0011294E">
        <w:rPr>
          <w:rFonts w:ascii="Times New Roman" w:hAnsi="Times New Roman" w:cs="Times New Roman"/>
          <w:bCs/>
          <w:sz w:val="24"/>
          <w:szCs w:val="24"/>
        </w:rPr>
        <w:t>Actas do Colóquio Internacional Património Cultural y Territorio en el Va</w:t>
      </w:r>
      <w:r w:rsidR="00DF7C8F">
        <w:rPr>
          <w:rFonts w:ascii="Times New Roman" w:hAnsi="Times New Roman" w:cs="Times New Roman"/>
          <w:bCs/>
          <w:sz w:val="24"/>
          <w:szCs w:val="24"/>
        </w:rPr>
        <w:t>lle del Duero, 2010.</w:t>
      </w:r>
      <w:r w:rsidRPr="0011294E">
        <w:rPr>
          <w:rFonts w:ascii="Times New Roman" w:hAnsi="Times New Roman" w:cs="Times New Roman"/>
          <w:bCs/>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GOMES, Rita Costa – </w:t>
      </w:r>
      <w:r w:rsidRPr="0011294E">
        <w:rPr>
          <w:rFonts w:ascii="Times New Roman" w:hAnsi="Times New Roman" w:cs="Times New Roman"/>
          <w:i/>
          <w:sz w:val="24"/>
          <w:szCs w:val="24"/>
        </w:rPr>
        <w:t>Castelos de Raia</w:t>
      </w:r>
      <w:r w:rsidRPr="0011294E">
        <w:rPr>
          <w:rFonts w:ascii="Times New Roman" w:hAnsi="Times New Roman" w:cs="Times New Roman"/>
          <w:sz w:val="24"/>
          <w:szCs w:val="24"/>
        </w:rPr>
        <w:t xml:space="preserve">. </w:t>
      </w:r>
      <w:r w:rsidRPr="0011294E">
        <w:rPr>
          <w:rFonts w:ascii="Times New Roman" w:hAnsi="Times New Roman" w:cs="Times New Roman"/>
          <w:i/>
          <w:sz w:val="24"/>
          <w:szCs w:val="24"/>
        </w:rPr>
        <w:t>Trás-os-Montes</w:t>
      </w:r>
      <w:r w:rsidRPr="0011294E">
        <w:rPr>
          <w:rFonts w:ascii="Times New Roman" w:hAnsi="Times New Roman" w:cs="Times New Roman"/>
          <w:sz w:val="24"/>
          <w:szCs w:val="24"/>
        </w:rPr>
        <w:t>. Lisboa: IPPAR, Vol. II.,</w:t>
      </w:r>
      <w:r w:rsidRPr="0011294E">
        <w:rPr>
          <w:rFonts w:ascii="Times New Roman" w:hAnsi="Times New Roman" w:cs="Times New Roman"/>
          <w:i/>
          <w:sz w:val="24"/>
          <w:szCs w:val="24"/>
        </w:rPr>
        <w:t xml:space="preserve"> </w:t>
      </w:r>
      <w:r w:rsidR="00DF7C8F">
        <w:rPr>
          <w:rFonts w:ascii="Times New Roman" w:hAnsi="Times New Roman" w:cs="Times New Roman"/>
          <w:sz w:val="24"/>
          <w:szCs w:val="24"/>
        </w:rPr>
        <w:t>2003.</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GUEDES, César – </w:t>
      </w:r>
      <w:r w:rsidRPr="0011294E">
        <w:rPr>
          <w:rFonts w:ascii="Times New Roman" w:hAnsi="Times New Roman" w:cs="Times New Roman"/>
          <w:bCs/>
          <w:i/>
          <w:iCs/>
          <w:sz w:val="24"/>
          <w:szCs w:val="24"/>
        </w:rPr>
        <w:t xml:space="preserve">Um Triente de Égica em Aquae Flaviae. </w:t>
      </w:r>
      <w:r w:rsidRPr="0011294E">
        <w:rPr>
          <w:rFonts w:ascii="Times New Roman" w:hAnsi="Times New Roman" w:cs="Times New Roman"/>
          <w:bCs/>
          <w:iCs/>
          <w:sz w:val="24"/>
          <w:szCs w:val="24"/>
        </w:rPr>
        <w:t>Porto:</w:t>
      </w:r>
      <w:r w:rsidRPr="0011294E">
        <w:rPr>
          <w:rFonts w:ascii="Times New Roman" w:hAnsi="Times New Roman" w:cs="Times New Roman"/>
          <w:bCs/>
          <w:i/>
          <w:iCs/>
          <w:sz w:val="24"/>
          <w:szCs w:val="24"/>
        </w:rPr>
        <w:t xml:space="preserve"> Portvgalia, </w:t>
      </w:r>
      <w:r w:rsidRPr="0011294E">
        <w:rPr>
          <w:rFonts w:ascii="Times New Roman" w:hAnsi="Times New Roman" w:cs="Times New Roman"/>
          <w:iCs/>
          <w:sz w:val="24"/>
          <w:szCs w:val="24"/>
        </w:rPr>
        <w:t>Nova Série, Vol. XXIX - XXX, 2008 – 2009.</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HERCULANO, Alexandre – </w:t>
      </w:r>
      <w:r w:rsidRPr="0011294E">
        <w:rPr>
          <w:rFonts w:ascii="Times New Roman" w:hAnsi="Times New Roman" w:cs="Times New Roman"/>
          <w:i/>
          <w:iCs/>
          <w:sz w:val="24"/>
          <w:szCs w:val="24"/>
        </w:rPr>
        <w:t xml:space="preserve">História de Portugal desde o começo da monarquia até ao fim do reinado de D. Afonso III, </w:t>
      </w:r>
      <w:r w:rsidRPr="0011294E">
        <w:rPr>
          <w:rFonts w:ascii="Times New Roman" w:hAnsi="Times New Roman" w:cs="Times New Roman"/>
          <w:sz w:val="24"/>
          <w:szCs w:val="24"/>
        </w:rPr>
        <w:t>com notas críticas de José Mattoso, Lisboa: Livraria Bertrand, tomo IV.</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JORGE, Susana Oliveira – </w:t>
      </w:r>
      <w:r w:rsidRPr="0011294E">
        <w:rPr>
          <w:rFonts w:ascii="Times New Roman" w:hAnsi="Times New Roman" w:cs="Times New Roman"/>
          <w:i/>
          <w:sz w:val="24"/>
          <w:szCs w:val="24"/>
        </w:rPr>
        <w:t>Idade do Bronze: Apontamentos sobre a natureza dos dados arqueológicos</w:t>
      </w:r>
      <w:r w:rsidRPr="0011294E">
        <w:rPr>
          <w:rFonts w:ascii="Times New Roman" w:hAnsi="Times New Roman" w:cs="Times New Roman"/>
          <w:sz w:val="24"/>
          <w:szCs w:val="24"/>
        </w:rPr>
        <w:t xml:space="preserve">. Porto: Revista da Faculdade de Letras, História, II série, vol. VIII, 1991, pp. 336-338.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lastRenderedPageBreak/>
        <w:t xml:space="preserve">JORGE, Susana Oliveira – </w:t>
      </w:r>
      <w:r w:rsidRPr="0011294E">
        <w:rPr>
          <w:rFonts w:ascii="Times New Roman" w:hAnsi="Times New Roman" w:cs="Times New Roman"/>
          <w:i/>
          <w:sz w:val="24"/>
          <w:szCs w:val="24"/>
        </w:rPr>
        <w:t>Povoados da Pré-História Recente da região de Chaves-Vila Pouca de Aguiar (Trás-os-Montes Ocidental): Base para o conhecimento do IIº e princípios do IIº milénios A.C no Norte de Portugal</w:t>
      </w:r>
      <w:r w:rsidRPr="0011294E">
        <w:rPr>
          <w:rFonts w:ascii="Times New Roman" w:hAnsi="Times New Roman" w:cs="Times New Roman"/>
          <w:sz w:val="24"/>
          <w:szCs w:val="24"/>
        </w:rPr>
        <w:t>. Porto: Dissertação de Doutoramento em Arqueologia, Faculdade de Letras da Un</w:t>
      </w:r>
      <w:r w:rsidR="00650A19">
        <w:rPr>
          <w:rFonts w:ascii="Times New Roman" w:hAnsi="Times New Roman" w:cs="Times New Roman"/>
          <w:sz w:val="24"/>
          <w:szCs w:val="24"/>
        </w:rPr>
        <w:t>iversidade do Porto, 1986</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JORGE, Vítor Oliveira; </w:t>
      </w:r>
      <w:r w:rsidRPr="0011294E">
        <w:rPr>
          <w:rFonts w:ascii="Times New Roman" w:hAnsi="Times New Roman" w:cs="Times New Roman"/>
          <w:sz w:val="24"/>
          <w:szCs w:val="24"/>
          <w:shd w:val="clear" w:color="auto" w:fill="FFFFFF"/>
        </w:rPr>
        <w:t xml:space="preserve">ALMEIDA, Carlos Alberto Ferreira de </w:t>
      </w:r>
      <w:r w:rsidRPr="0011294E">
        <w:rPr>
          <w:rFonts w:ascii="Times New Roman" w:hAnsi="Times New Roman" w:cs="Times New Roman"/>
          <w:sz w:val="24"/>
          <w:szCs w:val="24"/>
        </w:rPr>
        <w:t xml:space="preserve">– </w:t>
      </w:r>
      <w:r w:rsidRPr="0011294E">
        <w:rPr>
          <w:rFonts w:ascii="Times New Roman" w:hAnsi="Times New Roman" w:cs="Times New Roman"/>
          <w:i/>
          <w:sz w:val="24"/>
          <w:szCs w:val="24"/>
        </w:rPr>
        <w:t>A estátua - Menir Fálica de Chaves</w:t>
      </w:r>
      <w:r w:rsidRPr="0011294E">
        <w:rPr>
          <w:rFonts w:ascii="Times New Roman" w:hAnsi="Times New Roman" w:cs="Times New Roman"/>
          <w:sz w:val="24"/>
          <w:szCs w:val="24"/>
        </w:rPr>
        <w:t>. Porto: Grupos de Estudos Arqueológicos do Porto, 1980.</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LEAL, Augusto Soares de Azevedo Barbosa de Pinho – </w:t>
      </w:r>
      <w:r w:rsidRPr="0011294E">
        <w:rPr>
          <w:rFonts w:ascii="Times New Roman" w:hAnsi="Times New Roman" w:cs="Times New Roman"/>
          <w:i/>
          <w:sz w:val="24"/>
          <w:szCs w:val="24"/>
        </w:rPr>
        <w:t>Portugal Antigo e Moderno</w:t>
      </w:r>
      <w:r w:rsidRPr="0011294E">
        <w:rPr>
          <w:rFonts w:ascii="Times New Roman" w:hAnsi="Times New Roman" w:cs="Times New Roman"/>
          <w:sz w:val="24"/>
          <w:szCs w:val="24"/>
        </w:rPr>
        <w:t>. Lisboa: Cota de Armas Edi</w:t>
      </w:r>
      <w:r w:rsidR="00650A19">
        <w:rPr>
          <w:rFonts w:ascii="Times New Roman" w:hAnsi="Times New Roman" w:cs="Times New Roman"/>
          <w:sz w:val="24"/>
          <w:szCs w:val="24"/>
        </w:rPr>
        <w:t>tores, Vol.III, 1873-1890</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LEMOS, Francisco de Sande </w:t>
      </w:r>
      <w:r w:rsidRPr="0011294E">
        <w:rPr>
          <w:rFonts w:ascii="Times New Roman" w:hAnsi="Times New Roman" w:cs="Times New Roman"/>
          <w:i/>
          <w:sz w:val="24"/>
          <w:szCs w:val="24"/>
        </w:rPr>
        <w:t>– O povoamento romano de Trás-os-Montes Oriental</w:t>
      </w:r>
      <w:r w:rsidRPr="0011294E">
        <w:rPr>
          <w:rFonts w:ascii="Times New Roman" w:hAnsi="Times New Roman" w:cs="Times New Roman"/>
          <w:sz w:val="24"/>
          <w:szCs w:val="24"/>
        </w:rPr>
        <w:t>. Braga: Dissertação de Doutoramento, Universi</w:t>
      </w:r>
      <w:r w:rsidR="00650A19">
        <w:rPr>
          <w:rFonts w:ascii="Times New Roman" w:hAnsi="Times New Roman" w:cs="Times New Roman"/>
          <w:sz w:val="24"/>
          <w:szCs w:val="24"/>
        </w:rPr>
        <w:t>dade do Minho, 1993</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LEMOS, Francisco Sande; MARTINS, Carla Maria Braz – </w:t>
      </w:r>
      <w:r w:rsidRPr="0011294E">
        <w:rPr>
          <w:rFonts w:ascii="Times New Roman" w:hAnsi="Times New Roman" w:cs="Times New Roman"/>
          <w:i/>
          <w:sz w:val="24"/>
          <w:szCs w:val="24"/>
        </w:rPr>
        <w:t>Povoamento e rede Viária no Território de Influência de Aquae Flaviae</w:t>
      </w:r>
      <w:r w:rsidRPr="0011294E">
        <w:rPr>
          <w:rFonts w:ascii="Times New Roman" w:hAnsi="Times New Roman" w:cs="Times New Roman"/>
          <w:sz w:val="24"/>
          <w:szCs w:val="24"/>
        </w:rPr>
        <w:t>. In</w:t>
      </w:r>
      <w:r w:rsidRPr="0011294E">
        <w:rPr>
          <w:rFonts w:ascii="Times New Roman" w:hAnsi="Times New Roman" w:cs="Times New Roman"/>
          <w:i/>
          <w:sz w:val="24"/>
          <w:szCs w:val="24"/>
        </w:rPr>
        <w:t xml:space="preserve"> Mineração e Povoamento na Antiguidade no Alto Trás-os-Montes Ocidental, </w:t>
      </w:r>
      <w:r w:rsidRPr="0011294E">
        <w:rPr>
          <w:rFonts w:ascii="Times New Roman" w:hAnsi="Times New Roman" w:cs="Times New Roman"/>
          <w:sz w:val="24"/>
          <w:szCs w:val="24"/>
        </w:rPr>
        <w:t>(coord) MARTINS, Carla Maria Braz</w:t>
      </w:r>
      <w:r w:rsidR="00650A19">
        <w:rPr>
          <w:rFonts w:ascii="Times New Roman" w:hAnsi="Times New Roman" w:cs="Times New Roman"/>
          <w:sz w:val="24"/>
          <w:szCs w:val="24"/>
        </w:rPr>
        <w:t>, Porto: CITCEM. 2010</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LOPES, Fernão – </w:t>
      </w:r>
      <w:r w:rsidRPr="0011294E">
        <w:rPr>
          <w:rFonts w:ascii="Times New Roman" w:hAnsi="Times New Roman" w:cs="Times New Roman"/>
          <w:i/>
          <w:sz w:val="24"/>
          <w:szCs w:val="24"/>
        </w:rPr>
        <w:t>Crónica del Rei Dom João I da Boa memória</w:t>
      </w:r>
      <w:r w:rsidRPr="0011294E">
        <w:rPr>
          <w:rFonts w:ascii="Times New Roman" w:hAnsi="Times New Roman" w:cs="Times New Roman"/>
          <w:sz w:val="24"/>
          <w:szCs w:val="24"/>
        </w:rPr>
        <w:t>. Parte Primeira, Lisboa: Imprensa Nacional Casa da Moeda, 1977.</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Machado, José Pedro - </w:t>
      </w:r>
      <w:r w:rsidRPr="0011294E">
        <w:rPr>
          <w:rFonts w:ascii="Times New Roman" w:hAnsi="Times New Roman" w:cs="Times New Roman"/>
          <w:i/>
          <w:sz w:val="24"/>
          <w:szCs w:val="24"/>
        </w:rPr>
        <w:t>Dicionário Onomástico Etimológico da Língua Portuguesa.</w:t>
      </w:r>
      <w:r w:rsidRPr="0011294E">
        <w:rPr>
          <w:rFonts w:ascii="Times New Roman" w:hAnsi="Times New Roman" w:cs="Times New Roman"/>
          <w:sz w:val="24"/>
          <w:szCs w:val="24"/>
        </w:rPr>
        <w:t xml:space="preserve"> Lisboa: Livros Horizonte, Vol.I., 1993.</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MACHADO, José Pedro – </w:t>
      </w:r>
      <w:r w:rsidRPr="0011294E">
        <w:rPr>
          <w:rFonts w:ascii="Times New Roman" w:hAnsi="Times New Roman" w:cs="Times New Roman"/>
          <w:i/>
          <w:sz w:val="24"/>
          <w:szCs w:val="24"/>
        </w:rPr>
        <w:t>Vocabulário Português de Origem Árabe</w:t>
      </w:r>
      <w:r w:rsidRPr="0011294E">
        <w:rPr>
          <w:rFonts w:ascii="Times New Roman" w:hAnsi="Times New Roman" w:cs="Times New Roman"/>
          <w:sz w:val="24"/>
          <w:szCs w:val="24"/>
        </w:rPr>
        <w:t>. Lisboa: Círculo de Leitores, 1991.</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MACHADO, Júlio M. − </w:t>
      </w:r>
      <w:r w:rsidRPr="0011294E">
        <w:rPr>
          <w:rFonts w:ascii="Times New Roman" w:hAnsi="Times New Roman" w:cs="Times New Roman"/>
          <w:i/>
          <w:iCs/>
          <w:sz w:val="24"/>
          <w:szCs w:val="24"/>
        </w:rPr>
        <w:t>Crónica da Vila Velha de Chaves</w:t>
      </w:r>
      <w:r w:rsidRPr="0011294E">
        <w:rPr>
          <w:rFonts w:ascii="Times New Roman" w:hAnsi="Times New Roman" w:cs="Times New Roman"/>
          <w:sz w:val="24"/>
          <w:szCs w:val="24"/>
        </w:rPr>
        <w:t>. Chaves: Câmara Municipal de Chaves, 1994</w:t>
      </w:r>
      <w:r w:rsidR="00650A19">
        <w:rPr>
          <w:rFonts w:ascii="Times New Roman" w:hAnsi="Times New Roman" w:cs="Times New Roman"/>
          <w:sz w:val="24"/>
          <w:szCs w:val="24"/>
        </w:rPr>
        <w:t>.</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MANSO PORTO, Carmen – </w:t>
      </w:r>
      <w:r w:rsidRPr="0011294E">
        <w:rPr>
          <w:rFonts w:ascii="Times New Roman" w:hAnsi="Times New Roman" w:cs="Times New Roman"/>
          <w:i/>
          <w:sz w:val="24"/>
          <w:szCs w:val="24"/>
        </w:rPr>
        <w:t>Cartografía Histórica Portuguesa Catálogos de Manuscritos (Siglos XVII-XVIII)</w:t>
      </w:r>
      <w:r w:rsidRPr="0011294E">
        <w:rPr>
          <w:rFonts w:ascii="Times New Roman" w:hAnsi="Times New Roman" w:cs="Times New Roman"/>
          <w:sz w:val="24"/>
          <w:szCs w:val="24"/>
        </w:rPr>
        <w:t>. Madrid: Real Academia De La História, 1999.</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MARQUES, A.H. de Oliveira – </w:t>
      </w:r>
      <w:r w:rsidRPr="0011294E">
        <w:rPr>
          <w:rFonts w:ascii="Times New Roman" w:hAnsi="Times New Roman" w:cs="Times New Roman"/>
          <w:i/>
          <w:sz w:val="24"/>
          <w:szCs w:val="24"/>
        </w:rPr>
        <w:t>Introdução à História da Agricultura em Portugal</w:t>
      </w:r>
      <w:r w:rsidRPr="0011294E">
        <w:rPr>
          <w:rFonts w:ascii="Times New Roman" w:hAnsi="Times New Roman" w:cs="Times New Roman"/>
          <w:sz w:val="24"/>
          <w:szCs w:val="24"/>
        </w:rPr>
        <w:t xml:space="preserve">. Lisboa: Edições Cosmos, 1968.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MARQUES, A.H. de Oliveira – </w:t>
      </w:r>
      <w:r w:rsidRPr="0011294E">
        <w:rPr>
          <w:rFonts w:ascii="Times New Roman" w:hAnsi="Times New Roman" w:cs="Times New Roman"/>
          <w:i/>
          <w:sz w:val="24"/>
          <w:szCs w:val="24"/>
        </w:rPr>
        <w:t>A reforma de 1835-1836</w:t>
      </w:r>
      <w:r w:rsidRPr="0011294E">
        <w:rPr>
          <w:rFonts w:ascii="Times New Roman" w:hAnsi="Times New Roman" w:cs="Times New Roman"/>
          <w:sz w:val="24"/>
          <w:szCs w:val="24"/>
        </w:rPr>
        <w:t xml:space="preserve">. In </w:t>
      </w:r>
      <w:r w:rsidRPr="0011294E">
        <w:rPr>
          <w:rFonts w:ascii="Times New Roman" w:hAnsi="Times New Roman" w:cs="Times New Roman"/>
          <w:i/>
          <w:sz w:val="24"/>
          <w:szCs w:val="24"/>
        </w:rPr>
        <w:t>Portugal e a Instauração do Liberalismo: História de Portugal</w:t>
      </w:r>
      <w:r w:rsidRPr="0011294E">
        <w:rPr>
          <w:rFonts w:ascii="Times New Roman" w:hAnsi="Times New Roman" w:cs="Times New Roman"/>
          <w:sz w:val="24"/>
          <w:szCs w:val="24"/>
        </w:rPr>
        <w:t xml:space="preserve">, (Coord) A.H. de Oliveira Marques. Lisboa: Editorial Presença, Vol.IX., 2002.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lastRenderedPageBreak/>
        <w:t xml:space="preserve">MARQUES, José – </w:t>
      </w:r>
      <w:r w:rsidRPr="0011294E">
        <w:rPr>
          <w:rFonts w:ascii="Times New Roman" w:hAnsi="Times New Roman" w:cs="Times New Roman"/>
          <w:i/>
          <w:sz w:val="24"/>
          <w:szCs w:val="24"/>
        </w:rPr>
        <w:t xml:space="preserve">D. Afonso IV e as Jurisdições Senhoriais. </w:t>
      </w:r>
      <w:r w:rsidRPr="0011294E">
        <w:rPr>
          <w:rFonts w:ascii="Times New Roman" w:hAnsi="Times New Roman" w:cs="Times New Roman"/>
          <w:sz w:val="24"/>
          <w:szCs w:val="24"/>
        </w:rPr>
        <w:t xml:space="preserve">Lisboa: Empresa Nacional Casa da Moeda, Atas das II Jornadas Luso-Espanholas de História Medieval, 1º Edição, IV volume em Portugal, 1990, p. 28.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MARQUES, José – </w:t>
      </w:r>
      <w:r w:rsidRPr="0011294E">
        <w:rPr>
          <w:rFonts w:ascii="Times New Roman" w:hAnsi="Times New Roman" w:cs="Times New Roman"/>
          <w:i/>
          <w:sz w:val="24"/>
          <w:szCs w:val="24"/>
        </w:rPr>
        <w:t>Povoamento e defesa na estrutura do Estado medieval português.</w:t>
      </w:r>
      <w:r w:rsidRPr="0011294E">
        <w:rPr>
          <w:rFonts w:ascii="Times New Roman" w:hAnsi="Times New Roman" w:cs="Times New Roman"/>
          <w:sz w:val="24"/>
          <w:szCs w:val="24"/>
        </w:rPr>
        <w:t xml:space="preserve"> Porto:</w:t>
      </w:r>
      <w:r w:rsidRPr="0011294E">
        <w:rPr>
          <w:rFonts w:ascii="Times New Roman" w:hAnsi="Times New Roman" w:cs="Times New Roman"/>
          <w:i/>
          <w:sz w:val="24"/>
          <w:szCs w:val="24"/>
        </w:rPr>
        <w:t xml:space="preserve"> </w:t>
      </w:r>
      <w:r w:rsidRPr="0011294E">
        <w:rPr>
          <w:rFonts w:ascii="Times New Roman" w:hAnsi="Times New Roman" w:cs="Times New Roman"/>
          <w:sz w:val="24"/>
          <w:szCs w:val="24"/>
        </w:rPr>
        <w:t>Universidade do Porto,</w:t>
      </w:r>
      <w:r w:rsidRPr="0011294E">
        <w:rPr>
          <w:rFonts w:ascii="Times New Roman" w:hAnsi="Times New Roman" w:cs="Times New Roman"/>
          <w:i/>
          <w:sz w:val="24"/>
          <w:szCs w:val="24"/>
        </w:rPr>
        <w:t xml:space="preserve"> http://ler.letras.up.pt/uploads/ficheiros/6441.pdf  </w:t>
      </w:r>
      <w:r w:rsidRPr="0011294E">
        <w:rPr>
          <w:rFonts w:ascii="Times New Roman" w:hAnsi="Times New Roman" w:cs="Times New Roman"/>
          <w:sz w:val="24"/>
          <w:szCs w:val="24"/>
        </w:rPr>
        <w:t>( [consultado a 2014.03.01]).</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MARQUES, José – </w:t>
      </w:r>
      <w:r w:rsidRPr="0011294E">
        <w:rPr>
          <w:rFonts w:ascii="Times New Roman" w:hAnsi="Times New Roman" w:cs="Times New Roman"/>
          <w:i/>
          <w:sz w:val="24"/>
          <w:szCs w:val="24"/>
        </w:rPr>
        <w:t>Relações fronteiriças luso-castelhanas, nos séculos XIV-XV</w:t>
      </w:r>
      <w:r w:rsidRPr="0011294E">
        <w:rPr>
          <w:rFonts w:ascii="Times New Roman" w:hAnsi="Times New Roman" w:cs="Times New Roman"/>
          <w:sz w:val="24"/>
          <w:szCs w:val="24"/>
        </w:rPr>
        <w:t xml:space="preserve">. In COSTA, Paula Pinto; HOMEM, Armando Luís; PIZARRO, José Augusto (coord.) – </w:t>
      </w:r>
      <w:r w:rsidRPr="0011294E">
        <w:rPr>
          <w:rFonts w:ascii="Times New Roman" w:hAnsi="Times New Roman" w:cs="Times New Roman"/>
          <w:i/>
          <w:sz w:val="24"/>
          <w:szCs w:val="24"/>
        </w:rPr>
        <w:t>Ibéria: Quatrocentos/Quinhentos Duas Décadas de Cátedra (1984-2006) – Homenagem a Luís Adão da Fonseca</w:t>
      </w:r>
      <w:r w:rsidRPr="0011294E">
        <w:rPr>
          <w:rFonts w:ascii="Times New Roman" w:hAnsi="Times New Roman" w:cs="Times New Roman"/>
          <w:sz w:val="24"/>
          <w:szCs w:val="24"/>
        </w:rPr>
        <w:t>, Porto: CEPESE/C</w:t>
      </w:r>
      <w:r w:rsidR="00650A19">
        <w:rPr>
          <w:rFonts w:ascii="Times New Roman" w:hAnsi="Times New Roman" w:cs="Times New Roman"/>
          <w:sz w:val="24"/>
          <w:szCs w:val="24"/>
        </w:rPr>
        <w:t>ivilização Editora, 2009</w:t>
      </w:r>
      <w:r w:rsidRPr="0011294E">
        <w:rPr>
          <w:rFonts w:ascii="Times New Roman" w:hAnsi="Times New Roman" w:cs="Times New Roman"/>
          <w:sz w:val="24"/>
          <w:szCs w:val="24"/>
        </w:rPr>
        <w:t>.</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MARTINS, A. Veloso – </w:t>
      </w:r>
      <w:r w:rsidRPr="0011294E">
        <w:rPr>
          <w:rFonts w:ascii="Times New Roman" w:hAnsi="Times New Roman" w:cs="Times New Roman"/>
          <w:i/>
          <w:iCs/>
          <w:sz w:val="24"/>
          <w:szCs w:val="24"/>
        </w:rPr>
        <w:t>Monografia de Valpaços</w:t>
      </w:r>
      <w:r w:rsidRPr="0011294E">
        <w:rPr>
          <w:rFonts w:ascii="Times New Roman" w:hAnsi="Times New Roman" w:cs="Times New Roman"/>
          <w:sz w:val="24"/>
          <w:szCs w:val="24"/>
        </w:rPr>
        <w:t>. Valpaços: Câmara Muni</w:t>
      </w:r>
      <w:r w:rsidR="00650A19">
        <w:rPr>
          <w:rFonts w:ascii="Times New Roman" w:hAnsi="Times New Roman" w:cs="Times New Roman"/>
          <w:sz w:val="24"/>
          <w:szCs w:val="24"/>
        </w:rPr>
        <w:t>cipal, 2ª ed., 1990</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MARTINS, Carla Maria Braz – </w:t>
      </w:r>
      <w:r w:rsidRPr="0011294E">
        <w:rPr>
          <w:rFonts w:ascii="Times New Roman" w:hAnsi="Times New Roman" w:cs="Times New Roman"/>
          <w:bCs/>
          <w:i/>
          <w:sz w:val="24"/>
          <w:szCs w:val="24"/>
        </w:rPr>
        <w:t>A mineração em época romana</w:t>
      </w:r>
      <w:r w:rsidRPr="0011294E">
        <w:rPr>
          <w:rFonts w:ascii="Times New Roman" w:hAnsi="Times New Roman" w:cs="Times New Roman"/>
          <w:bCs/>
          <w:sz w:val="24"/>
          <w:szCs w:val="24"/>
        </w:rPr>
        <w:t>.</w:t>
      </w:r>
      <w:r w:rsidRPr="0011294E">
        <w:rPr>
          <w:rFonts w:ascii="Times New Roman" w:hAnsi="Times New Roman" w:cs="Times New Roman"/>
          <w:sz w:val="24"/>
          <w:szCs w:val="24"/>
        </w:rPr>
        <w:t xml:space="preserve"> In</w:t>
      </w:r>
      <w:r w:rsidRPr="0011294E">
        <w:rPr>
          <w:rFonts w:ascii="Times New Roman" w:hAnsi="Times New Roman" w:cs="Times New Roman"/>
          <w:i/>
          <w:sz w:val="24"/>
          <w:szCs w:val="24"/>
        </w:rPr>
        <w:t xml:space="preserve"> Mineração e Povoamento na Antiguidade no Alto Trás-os-Montes Ocidental. (</w:t>
      </w:r>
      <w:r w:rsidRPr="0011294E">
        <w:rPr>
          <w:rFonts w:ascii="Times New Roman" w:hAnsi="Times New Roman" w:cs="Times New Roman"/>
          <w:sz w:val="24"/>
          <w:szCs w:val="24"/>
        </w:rPr>
        <w:t xml:space="preserve">coord) MARTINS, Carla Maria Braz, Porto: CITCEM, 2010.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MARTINS, Manuela – </w:t>
      </w:r>
      <w:r w:rsidRPr="0011294E">
        <w:rPr>
          <w:rFonts w:ascii="Times New Roman" w:hAnsi="Times New Roman" w:cs="Times New Roman"/>
          <w:i/>
          <w:sz w:val="24"/>
          <w:szCs w:val="24"/>
        </w:rPr>
        <w:t>Povoamento e habitat no Noroeste Português durante o 1.º milénio a.C.</w:t>
      </w:r>
      <w:r w:rsidRPr="0011294E">
        <w:rPr>
          <w:rFonts w:ascii="Times New Roman" w:hAnsi="Times New Roman" w:cs="Times New Roman"/>
          <w:sz w:val="24"/>
          <w:szCs w:val="24"/>
        </w:rPr>
        <w:t xml:space="preserve">. </w:t>
      </w:r>
      <w:r w:rsidRPr="0011294E">
        <w:rPr>
          <w:rFonts w:ascii="Times New Roman" w:hAnsi="Times New Roman" w:cs="Times New Roman"/>
          <w:i/>
          <w:sz w:val="24"/>
          <w:szCs w:val="24"/>
        </w:rPr>
        <w:t xml:space="preserve">In </w:t>
      </w:r>
      <w:r w:rsidRPr="0011294E">
        <w:rPr>
          <w:rFonts w:ascii="Times New Roman" w:hAnsi="Times New Roman" w:cs="Times New Roman"/>
          <w:sz w:val="24"/>
          <w:szCs w:val="24"/>
        </w:rPr>
        <w:t xml:space="preserve">ALARCÃO, Jorge – </w:t>
      </w:r>
      <w:r w:rsidRPr="0011294E">
        <w:rPr>
          <w:rFonts w:ascii="Times New Roman" w:hAnsi="Times New Roman" w:cs="Times New Roman"/>
          <w:i/>
          <w:iCs/>
          <w:sz w:val="24"/>
          <w:szCs w:val="24"/>
        </w:rPr>
        <w:t xml:space="preserve">De Ulisses a Viriato. O primeiro milénio a.C. </w:t>
      </w:r>
      <w:r w:rsidRPr="0011294E">
        <w:rPr>
          <w:rFonts w:ascii="Times New Roman" w:hAnsi="Times New Roman" w:cs="Times New Roman"/>
          <w:iCs/>
          <w:sz w:val="24"/>
          <w:szCs w:val="24"/>
        </w:rPr>
        <w:t>Lisboa:</w:t>
      </w:r>
      <w:r w:rsidRPr="0011294E">
        <w:rPr>
          <w:rFonts w:ascii="Times New Roman" w:hAnsi="Times New Roman" w:cs="Times New Roman"/>
          <w:sz w:val="24"/>
          <w:szCs w:val="24"/>
        </w:rPr>
        <w:t xml:space="preserve"> Museu Nacional de Arqueologia, 1996, p. 128.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MARTINS, Miguel Gomes – </w:t>
      </w:r>
      <w:r w:rsidRPr="0011294E">
        <w:rPr>
          <w:rFonts w:ascii="Times New Roman" w:hAnsi="Times New Roman" w:cs="Times New Roman"/>
          <w:i/>
          <w:sz w:val="24"/>
          <w:szCs w:val="24"/>
        </w:rPr>
        <w:t>De Ourique a Aljubarrota – A Guerra na Idade Média</w:t>
      </w:r>
      <w:r w:rsidRPr="0011294E">
        <w:rPr>
          <w:rFonts w:ascii="Times New Roman" w:hAnsi="Times New Roman" w:cs="Times New Roman"/>
          <w:sz w:val="24"/>
          <w:szCs w:val="24"/>
        </w:rPr>
        <w:t>.</w:t>
      </w:r>
      <w:r w:rsidRPr="0011294E">
        <w:rPr>
          <w:rFonts w:ascii="Times New Roman" w:hAnsi="Times New Roman" w:cs="Times New Roman"/>
          <w:iCs/>
          <w:sz w:val="24"/>
          <w:szCs w:val="24"/>
        </w:rPr>
        <w:t xml:space="preserve"> Lisboa:</w:t>
      </w:r>
      <w:r w:rsidRPr="0011294E">
        <w:rPr>
          <w:rFonts w:ascii="Times New Roman" w:hAnsi="Times New Roman" w:cs="Times New Roman"/>
          <w:sz w:val="24"/>
          <w:szCs w:val="24"/>
        </w:rPr>
        <w:t xml:space="preserve"> Esfera do Livros, 2011.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MATEOS, Navareño – </w:t>
      </w:r>
      <w:r w:rsidRPr="0011294E">
        <w:rPr>
          <w:rFonts w:ascii="Times New Roman" w:hAnsi="Times New Roman" w:cs="Times New Roman"/>
          <w:i/>
          <w:sz w:val="24"/>
          <w:szCs w:val="24"/>
        </w:rPr>
        <w:t xml:space="preserve">El Castillo Bajomedieval: Arquitectura e Tactica Milita. </w:t>
      </w:r>
      <w:r w:rsidRPr="0011294E">
        <w:rPr>
          <w:rFonts w:ascii="Times New Roman" w:hAnsi="Times New Roman" w:cs="Times New Roman"/>
          <w:sz w:val="24"/>
          <w:szCs w:val="24"/>
        </w:rPr>
        <w:t xml:space="preserve">Gladius vol. especial. </w:t>
      </w:r>
      <w:r w:rsidRPr="0011294E">
        <w:rPr>
          <w:rFonts w:ascii="Times New Roman" w:hAnsi="Times New Roman" w:cs="Times New Roman"/>
          <w:iCs/>
          <w:sz w:val="24"/>
          <w:szCs w:val="24"/>
        </w:rPr>
        <w:t>Actas del I Simposio Nacional Las Armas en la Historia (siglos X-XIV)</w:t>
      </w:r>
      <w:r w:rsidRPr="0011294E">
        <w:rPr>
          <w:rFonts w:ascii="Times New Roman" w:hAnsi="Times New Roman" w:cs="Times New Roman"/>
          <w:sz w:val="24"/>
          <w:szCs w:val="24"/>
        </w:rPr>
        <w:t xml:space="preserve">, 1988, p. 135.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MATTOSO, José – </w:t>
      </w:r>
      <w:r w:rsidRPr="0011294E">
        <w:rPr>
          <w:rFonts w:ascii="Times New Roman" w:hAnsi="Times New Roman" w:cs="Times New Roman"/>
          <w:i/>
          <w:iCs/>
          <w:sz w:val="24"/>
          <w:szCs w:val="24"/>
        </w:rPr>
        <w:t>Ricos-Homens: Infanções e Cavaleiros: A nobreza medieval portuguesa nos séculos XI e XII.</w:t>
      </w:r>
      <w:r w:rsidRPr="0011294E">
        <w:rPr>
          <w:rFonts w:ascii="Times New Roman" w:hAnsi="Times New Roman" w:cs="Times New Roman"/>
          <w:iCs/>
          <w:sz w:val="24"/>
          <w:szCs w:val="24"/>
        </w:rPr>
        <w:t xml:space="preserve"> Lisboa:</w:t>
      </w:r>
      <w:r w:rsidRPr="0011294E">
        <w:rPr>
          <w:rFonts w:ascii="Times New Roman" w:hAnsi="Times New Roman" w:cs="Times New Roman"/>
          <w:i/>
          <w:iCs/>
          <w:sz w:val="24"/>
          <w:szCs w:val="24"/>
        </w:rPr>
        <w:t xml:space="preserve"> </w:t>
      </w:r>
      <w:r w:rsidRPr="0011294E">
        <w:rPr>
          <w:rFonts w:ascii="Times New Roman" w:hAnsi="Times New Roman" w:cs="Times New Roman"/>
          <w:iCs/>
          <w:sz w:val="24"/>
          <w:szCs w:val="24"/>
        </w:rPr>
        <w:t xml:space="preserve">Guimarães &amp; C.ª, Vol.1., 1982.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MATTOSO, José – </w:t>
      </w:r>
      <w:r w:rsidRPr="0011294E">
        <w:rPr>
          <w:rFonts w:ascii="Times New Roman" w:hAnsi="Times New Roman" w:cs="Times New Roman"/>
          <w:i/>
          <w:iCs/>
          <w:sz w:val="24"/>
          <w:szCs w:val="24"/>
        </w:rPr>
        <w:t>História de Portugal</w:t>
      </w:r>
      <w:r w:rsidRPr="0011294E">
        <w:rPr>
          <w:rFonts w:ascii="Times New Roman" w:hAnsi="Times New Roman" w:cs="Times New Roman"/>
          <w:sz w:val="24"/>
          <w:szCs w:val="24"/>
        </w:rPr>
        <w:t>. Lisboa: Círculo d</w:t>
      </w:r>
      <w:r w:rsidR="00650A19">
        <w:rPr>
          <w:rFonts w:ascii="Times New Roman" w:hAnsi="Times New Roman" w:cs="Times New Roman"/>
          <w:sz w:val="24"/>
          <w:szCs w:val="24"/>
        </w:rPr>
        <w:t>e Leitores. Vol.1., 1992</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Cs/>
          <w:sz w:val="24"/>
          <w:szCs w:val="24"/>
        </w:rPr>
        <w:t xml:space="preserve">MATTOSO, José – </w:t>
      </w:r>
      <w:r w:rsidRPr="0011294E">
        <w:rPr>
          <w:rFonts w:ascii="Times New Roman" w:hAnsi="Times New Roman" w:cs="Times New Roman"/>
          <w:i/>
          <w:iCs/>
          <w:sz w:val="24"/>
          <w:szCs w:val="24"/>
        </w:rPr>
        <w:t>Identificação de um país. Ensaio sobre as origens de Portugal (1096-1325)</w:t>
      </w:r>
      <w:r w:rsidRPr="0011294E">
        <w:rPr>
          <w:rFonts w:ascii="Times New Roman" w:hAnsi="Times New Roman" w:cs="Times New Roman"/>
          <w:iCs/>
          <w:sz w:val="24"/>
          <w:szCs w:val="24"/>
        </w:rPr>
        <w:t xml:space="preserve">. 1 vol., Lisboa: Editorial Estampa, 1 vol., 1995.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lastRenderedPageBreak/>
        <w:t xml:space="preserve">MAURÍCIO, Maria Fernanda Torres da Silveira G. M. – </w:t>
      </w:r>
      <w:r w:rsidRPr="0011294E">
        <w:rPr>
          <w:rFonts w:ascii="Times New Roman" w:hAnsi="Times New Roman" w:cs="Times New Roman"/>
          <w:i/>
          <w:iCs/>
          <w:sz w:val="24"/>
          <w:szCs w:val="24"/>
        </w:rPr>
        <w:t>Entre Douro e Tâmega e as Inquirições Afonsinas e Dionisinas</w:t>
      </w:r>
      <w:r w:rsidRPr="0011294E">
        <w:rPr>
          <w:rFonts w:ascii="Times New Roman" w:hAnsi="Times New Roman" w:cs="Times New Roman"/>
          <w:sz w:val="24"/>
          <w:szCs w:val="24"/>
        </w:rPr>
        <w:t>. Lisboa: Edições Colibri, 1997.</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MENDES, José Maria Amado - </w:t>
      </w:r>
      <w:r w:rsidRPr="0011294E">
        <w:rPr>
          <w:rFonts w:ascii="Times New Roman" w:hAnsi="Times New Roman" w:cs="Times New Roman"/>
          <w:i/>
          <w:iCs/>
          <w:sz w:val="24"/>
          <w:szCs w:val="24"/>
        </w:rPr>
        <w:t>Trás-os-Montes nos fins do século XVIII, segundo um manuscrito de 1796</w:t>
      </w:r>
      <w:r w:rsidRPr="0011294E">
        <w:rPr>
          <w:rFonts w:ascii="Times New Roman" w:hAnsi="Times New Roman" w:cs="Times New Roman"/>
          <w:sz w:val="24"/>
          <w:szCs w:val="24"/>
        </w:rPr>
        <w:t xml:space="preserve">. </w:t>
      </w:r>
      <w:r w:rsidR="00650A19">
        <w:rPr>
          <w:rFonts w:ascii="Times New Roman" w:hAnsi="Times New Roman" w:cs="Times New Roman"/>
          <w:sz w:val="24"/>
          <w:szCs w:val="24"/>
        </w:rPr>
        <w:t>Coimbra: INIC, 1981</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MERÊA, Paulo; GIRÃO, Amorim – </w:t>
      </w:r>
      <w:r w:rsidRPr="0011294E">
        <w:rPr>
          <w:rFonts w:ascii="Times New Roman" w:hAnsi="Times New Roman" w:cs="Times New Roman"/>
          <w:i/>
          <w:sz w:val="24"/>
          <w:szCs w:val="24"/>
        </w:rPr>
        <w:t>Territórios Portugueses no século XI</w:t>
      </w:r>
      <w:r w:rsidRPr="0011294E">
        <w:rPr>
          <w:rFonts w:ascii="Times New Roman" w:hAnsi="Times New Roman" w:cs="Times New Roman"/>
          <w:sz w:val="24"/>
          <w:szCs w:val="24"/>
        </w:rPr>
        <w:t>.</w:t>
      </w:r>
      <w:r w:rsidRPr="0011294E">
        <w:rPr>
          <w:rFonts w:ascii="Times New Roman" w:hAnsi="Times New Roman" w:cs="Times New Roman"/>
          <w:iCs/>
          <w:sz w:val="24"/>
          <w:szCs w:val="24"/>
        </w:rPr>
        <w:t xml:space="preserve"> Coimbra:</w:t>
      </w:r>
      <w:r w:rsidRPr="0011294E">
        <w:rPr>
          <w:rFonts w:ascii="Times New Roman" w:hAnsi="Times New Roman" w:cs="Times New Roman"/>
          <w:sz w:val="24"/>
          <w:szCs w:val="24"/>
        </w:rPr>
        <w:t xml:space="preserve"> separata da Revista Portuguesa de História, 1948.</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bCs/>
          <w:sz w:val="24"/>
          <w:szCs w:val="24"/>
        </w:rPr>
        <w:t xml:space="preserve">MONTEIRO, João Gouveia – </w:t>
      </w:r>
      <w:r w:rsidRPr="0011294E">
        <w:rPr>
          <w:rFonts w:ascii="Times New Roman" w:hAnsi="Times New Roman" w:cs="Times New Roman"/>
          <w:bCs/>
          <w:i/>
          <w:sz w:val="24"/>
          <w:szCs w:val="24"/>
        </w:rPr>
        <w:t xml:space="preserve">Os Castelos Portugueses dos Finais da Idade Média – Presença, perfil, conservação, vigilância e comando. </w:t>
      </w:r>
      <w:r w:rsidRPr="0011294E">
        <w:rPr>
          <w:rFonts w:ascii="Times New Roman" w:hAnsi="Times New Roman" w:cs="Times New Roman"/>
          <w:bCs/>
          <w:sz w:val="24"/>
          <w:szCs w:val="24"/>
        </w:rPr>
        <w:t>Lisboa: Edições Colibri, 199</w:t>
      </w:r>
      <w:r w:rsidR="00650A19">
        <w:rPr>
          <w:rFonts w:ascii="Times New Roman" w:hAnsi="Times New Roman" w:cs="Times New Roman"/>
          <w:bCs/>
          <w:sz w:val="24"/>
          <w:szCs w:val="24"/>
        </w:rPr>
        <w:t>9</w:t>
      </w:r>
      <w:r w:rsidRPr="0011294E">
        <w:rPr>
          <w:rFonts w:ascii="Times New Roman" w:hAnsi="Times New Roman" w:cs="Times New Roman"/>
          <w:bCs/>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MORA-FIGUEIROA, Luís de – </w:t>
      </w:r>
      <w:r w:rsidRPr="0011294E">
        <w:rPr>
          <w:rFonts w:ascii="Times New Roman" w:hAnsi="Times New Roman" w:cs="Times New Roman"/>
          <w:i/>
          <w:sz w:val="24"/>
          <w:szCs w:val="24"/>
        </w:rPr>
        <w:t>Fortificaciones de transición: Del Castillo al fuerte abaluartado.</w:t>
      </w:r>
      <w:r w:rsidRPr="0011294E">
        <w:rPr>
          <w:rFonts w:ascii="Times New Roman" w:hAnsi="Times New Roman" w:cs="Times New Roman"/>
          <w:sz w:val="24"/>
          <w:szCs w:val="24"/>
        </w:rPr>
        <w:t xml:space="preserve"> In Sevilha: </w:t>
      </w:r>
      <w:r w:rsidRPr="0011294E">
        <w:rPr>
          <w:rFonts w:ascii="Times New Roman" w:hAnsi="Times New Roman" w:cs="Times New Roman"/>
          <w:iCs/>
          <w:sz w:val="24"/>
          <w:szCs w:val="24"/>
        </w:rPr>
        <w:t>II Jornadas Nacionales de História Militar</w:t>
      </w:r>
      <w:r w:rsidRPr="0011294E">
        <w:rPr>
          <w:rFonts w:ascii="Times New Roman" w:hAnsi="Times New Roman" w:cs="Times New Roman"/>
          <w:sz w:val="24"/>
          <w:szCs w:val="24"/>
        </w:rPr>
        <w:t>, 10 a 13 de Março de 1992, pp.652-653.</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MORA-FIGUEIROA, Luís de – </w:t>
      </w:r>
      <w:r w:rsidRPr="0011294E">
        <w:rPr>
          <w:rFonts w:ascii="Times New Roman" w:hAnsi="Times New Roman" w:cs="Times New Roman"/>
          <w:i/>
          <w:sz w:val="24"/>
          <w:szCs w:val="24"/>
        </w:rPr>
        <w:t>Transformaciones artilleras en la fortificacion tardomedieval espanõla.</w:t>
      </w:r>
      <w:r w:rsidRPr="0011294E">
        <w:rPr>
          <w:rFonts w:ascii="Times New Roman" w:hAnsi="Times New Roman" w:cs="Times New Roman"/>
          <w:sz w:val="24"/>
          <w:szCs w:val="24"/>
        </w:rPr>
        <w:t xml:space="preserve"> In </w:t>
      </w:r>
      <w:r w:rsidRPr="0011294E">
        <w:rPr>
          <w:rFonts w:ascii="Times New Roman" w:hAnsi="Times New Roman" w:cs="Times New Roman"/>
          <w:iCs/>
          <w:sz w:val="24"/>
          <w:szCs w:val="24"/>
        </w:rPr>
        <w:t>Mil anos de Fortificações na Peninsula Ibérica e no Magreb (500-1500): Actas do Simpósio Internacional sobre Castelos</w:t>
      </w:r>
      <w:r w:rsidRPr="0011294E">
        <w:rPr>
          <w:rFonts w:ascii="Times New Roman" w:hAnsi="Times New Roman" w:cs="Times New Roman"/>
          <w:i/>
          <w:iCs/>
          <w:sz w:val="24"/>
          <w:szCs w:val="24"/>
        </w:rPr>
        <w:t xml:space="preserve">, </w:t>
      </w:r>
      <w:r w:rsidRPr="0011294E">
        <w:rPr>
          <w:rFonts w:ascii="Times New Roman" w:hAnsi="Times New Roman" w:cs="Times New Roman"/>
          <w:iCs/>
          <w:sz w:val="24"/>
          <w:szCs w:val="24"/>
        </w:rPr>
        <w:t>Palmela:</w:t>
      </w:r>
      <w:r w:rsidRPr="0011294E">
        <w:rPr>
          <w:rFonts w:ascii="Times New Roman" w:hAnsi="Times New Roman" w:cs="Times New Roman"/>
          <w:sz w:val="24"/>
          <w:szCs w:val="24"/>
        </w:rPr>
        <w:t xml:space="preserve"> Colibri 2001, pp.5-6.</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MORA-FIGUEIROA, Luís de – </w:t>
      </w:r>
      <w:r w:rsidRPr="0011294E">
        <w:rPr>
          <w:rFonts w:ascii="Times New Roman" w:hAnsi="Times New Roman" w:cs="Times New Roman"/>
          <w:i/>
          <w:iCs/>
          <w:sz w:val="24"/>
          <w:szCs w:val="24"/>
        </w:rPr>
        <w:t>Glosario de Arquitectura defensiva Medieval .</w:t>
      </w:r>
      <w:r w:rsidRPr="0011294E">
        <w:rPr>
          <w:rFonts w:ascii="Times New Roman" w:hAnsi="Times New Roman" w:cs="Times New Roman"/>
          <w:iCs/>
          <w:sz w:val="24"/>
          <w:szCs w:val="24"/>
        </w:rPr>
        <w:t>Madrid:</w:t>
      </w:r>
      <w:r w:rsidRPr="0011294E">
        <w:rPr>
          <w:rFonts w:ascii="Times New Roman" w:hAnsi="Times New Roman" w:cs="Times New Roman"/>
          <w:i/>
          <w:iCs/>
          <w:sz w:val="24"/>
          <w:szCs w:val="24"/>
        </w:rPr>
        <w:t xml:space="preserve"> </w:t>
      </w:r>
      <w:r w:rsidRPr="0011294E">
        <w:rPr>
          <w:rFonts w:ascii="Times New Roman" w:hAnsi="Times New Roman" w:cs="Times New Roman"/>
          <w:iCs/>
          <w:sz w:val="24"/>
          <w:szCs w:val="24"/>
        </w:rPr>
        <w:t xml:space="preserve">Ministerio de </w:t>
      </w:r>
      <w:r w:rsidR="006F16B6" w:rsidRPr="0011294E">
        <w:rPr>
          <w:rFonts w:ascii="Times New Roman" w:hAnsi="Times New Roman" w:cs="Times New Roman"/>
          <w:iCs/>
          <w:sz w:val="24"/>
          <w:szCs w:val="24"/>
        </w:rPr>
        <w:t>Defensa</w:t>
      </w:r>
      <w:r w:rsidRPr="0011294E">
        <w:rPr>
          <w:rFonts w:ascii="Times New Roman" w:hAnsi="Times New Roman" w:cs="Times New Roman"/>
          <w:i/>
          <w:iCs/>
          <w:sz w:val="24"/>
          <w:szCs w:val="24"/>
        </w:rPr>
        <w:t xml:space="preserve"> </w:t>
      </w:r>
      <w:r w:rsidRPr="0011294E">
        <w:rPr>
          <w:rFonts w:ascii="Times New Roman" w:hAnsi="Times New Roman" w:cs="Times New Roman"/>
          <w:sz w:val="24"/>
          <w:szCs w:val="24"/>
        </w:rPr>
        <w:t xml:space="preserve">, 3ªed., 2006.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MORENO, Humberto Baquero – </w:t>
      </w:r>
      <w:r w:rsidRPr="0011294E">
        <w:rPr>
          <w:rFonts w:ascii="Times New Roman" w:hAnsi="Times New Roman" w:cs="Times New Roman"/>
          <w:i/>
          <w:sz w:val="24"/>
          <w:szCs w:val="24"/>
        </w:rPr>
        <w:t>Demarcações de Fronteira</w:t>
      </w:r>
      <w:r w:rsidRPr="0011294E">
        <w:rPr>
          <w:rFonts w:ascii="Times New Roman" w:hAnsi="Times New Roman" w:cs="Times New Roman"/>
          <w:sz w:val="24"/>
          <w:szCs w:val="24"/>
        </w:rPr>
        <w:t>. Porto: Centro de Investigação e de Documentação de História Medieval Universidade Portucalense – Infante D. Henrique, Vol.3., 2003</w:t>
      </w:r>
      <w:r w:rsidRPr="0011294E">
        <w:rPr>
          <w:rFonts w:ascii="Times New Roman" w:eastAsia="Calibri" w:hAnsi="Times New Roman" w:cs="Times New Roman"/>
          <w:sz w:val="24"/>
          <w:szCs w:val="24"/>
        </w:rPr>
        <w:t>.</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NETO, Maria João Quintas Lopes Baptista – </w:t>
      </w:r>
      <w:r w:rsidRPr="0011294E">
        <w:rPr>
          <w:rFonts w:ascii="Times New Roman" w:hAnsi="Times New Roman" w:cs="Times New Roman"/>
          <w:i/>
          <w:sz w:val="24"/>
          <w:szCs w:val="24"/>
        </w:rPr>
        <w:t>A Direcção-Geral dos Edifícios e Monumentos Nacionais e a intervenção no património arquitetónico em Portugal (1926 – 1960).</w:t>
      </w:r>
      <w:r w:rsidRPr="0011294E">
        <w:rPr>
          <w:rFonts w:ascii="Times New Roman" w:hAnsi="Times New Roman" w:cs="Times New Roman"/>
          <w:iCs/>
          <w:sz w:val="24"/>
          <w:szCs w:val="24"/>
        </w:rPr>
        <w:t xml:space="preserve"> Lisboa:</w:t>
      </w:r>
      <w:r w:rsidRPr="0011294E">
        <w:rPr>
          <w:rFonts w:ascii="Times New Roman" w:hAnsi="Times New Roman" w:cs="Times New Roman"/>
          <w:i/>
          <w:sz w:val="24"/>
          <w:szCs w:val="24"/>
        </w:rPr>
        <w:t xml:space="preserve"> </w:t>
      </w:r>
      <w:r w:rsidRPr="0011294E">
        <w:rPr>
          <w:rFonts w:ascii="Times New Roman" w:hAnsi="Times New Roman" w:cs="Times New Roman"/>
          <w:sz w:val="24"/>
          <w:szCs w:val="24"/>
        </w:rPr>
        <w:t xml:space="preserve">Dissertação de Doutoramento apresentada à Faculdade de Letras da Universidade de Lisboa, Vol. II., 1995.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NUNES, António Pires – </w:t>
      </w:r>
      <w:r w:rsidRPr="0011294E">
        <w:rPr>
          <w:rFonts w:ascii="Times New Roman" w:hAnsi="Times New Roman" w:cs="Times New Roman"/>
          <w:i/>
          <w:sz w:val="24"/>
          <w:szCs w:val="24"/>
        </w:rPr>
        <w:t>A primeira Invasão Francesa,</w:t>
      </w:r>
      <w:r w:rsidRPr="0011294E">
        <w:rPr>
          <w:rFonts w:ascii="Times New Roman" w:hAnsi="Times New Roman" w:cs="Times New Roman"/>
          <w:sz w:val="24"/>
          <w:szCs w:val="24"/>
        </w:rPr>
        <w:t xml:space="preserve"> In BARATA, Manuel Themudo; TEIXEIRA, Nuno Severiano – Nova História Militar em Portugal, </w:t>
      </w:r>
      <w:r w:rsidRPr="0011294E">
        <w:rPr>
          <w:rFonts w:ascii="Times New Roman" w:hAnsi="Times New Roman" w:cs="Times New Roman"/>
          <w:iCs/>
          <w:sz w:val="24"/>
          <w:szCs w:val="24"/>
        </w:rPr>
        <w:t>Lisboa:</w:t>
      </w:r>
      <w:r w:rsidRPr="0011294E">
        <w:rPr>
          <w:rFonts w:ascii="Times New Roman" w:hAnsi="Times New Roman" w:cs="Times New Roman"/>
          <w:sz w:val="24"/>
          <w:szCs w:val="24"/>
        </w:rPr>
        <w:t xml:space="preserve"> Círculo de Leitores, Vol. 3.,</w:t>
      </w:r>
      <w:r w:rsidRPr="0011294E">
        <w:rPr>
          <w:rFonts w:ascii="Times New Roman" w:hAnsi="Times New Roman" w:cs="Times New Roman"/>
          <w:iCs/>
          <w:sz w:val="24"/>
          <w:szCs w:val="24"/>
        </w:rPr>
        <w:t xml:space="preserve"> </w:t>
      </w:r>
      <w:r w:rsidRPr="0011294E">
        <w:rPr>
          <w:rFonts w:ascii="Times New Roman" w:hAnsi="Times New Roman" w:cs="Times New Roman"/>
          <w:sz w:val="24"/>
          <w:szCs w:val="24"/>
        </w:rPr>
        <w:t>2004.</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lastRenderedPageBreak/>
        <w:t xml:space="preserve">PARCERO OUBIÑA, C. – </w:t>
      </w:r>
      <w:r w:rsidRPr="0011294E">
        <w:rPr>
          <w:rFonts w:ascii="Times New Roman" w:hAnsi="Times New Roman" w:cs="Times New Roman"/>
          <w:i/>
          <w:iCs/>
          <w:sz w:val="24"/>
          <w:szCs w:val="24"/>
        </w:rPr>
        <w:t>La Construcción del Paisaje Social en la Edad del Hierro del Noroeste Ibérico</w:t>
      </w:r>
      <w:r w:rsidRPr="0011294E">
        <w:rPr>
          <w:rFonts w:ascii="Times New Roman" w:hAnsi="Times New Roman" w:cs="Times New Roman"/>
          <w:sz w:val="24"/>
          <w:szCs w:val="24"/>
        </w:rPr>
        <w:t>. Ortigueira: Ortegalia, Monografias de Arqueoloxía, Historia e Patrimonio, 2002.</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PEREIRA, Diamantino </w:t>
      </w:r>
      <w:r w:rsidRPr="0011294E">
        <w:rPr>
          <w:rFonts w:ascii="Times New Roman" w:hAnsi="Times New Roman" w:cs="Times New Roman"/>
          <w:i/>
          <w:sz w:val="24"/>
          <w:szCs w:val="24"/>
        </w:rPr>
        <w:t>– Dos aspetos gerais a algumas particularidades da geomorfologia do Nordeste Transmontano e do Alto Douro</w:t>
      </w:r>
      <w:r w:rsidRPr="0011294E">
        <w:rPr>
          <w:rFonts w:ascii="Times New Roman" w:hAnsi="Times New Roman" w:cs="Times New Roman"/>
          <w:sz w:val="24"/>
          <w:szCs w:val="24"/>
        </w:rPr>
        <w:t xml:space="preserve">, </w:t>
      </w:r>
      <w:r w:rsidRPr="0011294E">
        <w:rPr>
          <w:rFonts w:ascii="Times New Roman" w:hAnsi="Times New Roman" w:cs="Times New Roman"/>
          <w:i/>
          <w:iCs/>
          <w:sz w:val="24"/>
          <w:szCs w:val="24"/>
        </w:rPr>
        <w:t>Geomorfologia do NW da Península Ibérica</w:t>
      </w:r>
      <w:r w:rsidRPr="0011294E">
        <w:rPr>
          <w:rFonts w:ascii="Times New Roman" w:hAnsi="Times New Roman" w:cs="Times New Roman"/>
          <w:iCs/>
          <w:sz w:val="24"/>
          <w:szCs w:val="24"/>
        </w:rPr>
        <w:t>.</w:t>
      </w:r>
      <w:r w:rsidRPr="0011294E">
        <w:rPr>
          <w:rFonts w:ascii="Times New Roman" w:hAnsi="Times New Roman" w:cs="Times New Roman"/>
          <w:sz w:val="24"/>
          <w:szCs w:val="24"/>
        </w:rPr>
        <w:t xml:space="preserve"> Porto: Faculdade de Letras da Universidade do Porto, 2004.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PIZARRO, José Augusto de Sotto Mayor – </w:t>
      </w:r>
      <w:r w:rsidRPr="0011294E">
        <w:rPr>
          <w:rFonts w:ascii="Times New Roman" w:hAnsi="Times New Roman" w:cs="Times New Roman"/>
          <w:i/>
          <w:sz w:val="24"/>
          <w:szCs w:val="24"/>
        </w:rPr>
        <w:t xml:space="preserve">Linhagens Medievais Portugueses – Genologias e Estratégias (1270-1325). </w:t>
      </w:r>
      <w:r w:rsidRPr="0011294E">
        <w:rPr>
          <w:rFonts w:ascii="Times New Roman" w:hAnsi="Times New Roman" w:cs="Times New Roman"/>
          <w:sz w:val="24"/>
          <w:szCs w:val="24"/>
        </w:rPr>
        <w:t>Porto: Dissertação de Doutoramento em História, apresentado na Faculdade de Letras da Universidade do Porto, 1997.</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PIZARRO, José Augusto - </w:t>
      </w:r>
      <w:r w:rsidRPr="0011294E">
        <w:rPr>
          <w:rFonts w:ascii="Times New Roman" w:hAnsi="Times New Roman" w:cs="Times New Roman"/>
          <w:i/>
          <w:iCs/>
          <w:sz w:val="24"/>
          <w:szCs w:val="24"/>
        </w:rPr>
        <w:t>As inquirições medievais portuguesas (séculos XIII-XIV)</w:t>
      </w:r>
      <w:r w:rsidRPr="0011294E">
        <w:rPr>
          <w:rFonts w:ascii="Times New Roman" w:hAnsi="Times New Roman" w:cs="Times New Roman"/>
          <w:iCs/>
          <w:sz w:val="24"/>
          <w:szCs w:val="24"/>
        </w:rPr>
        <w:t xml:space="preserve"> – </w:t>
      </w:r>
      <w:r w:rsidRPr="0011294E">
        <w:rPr>
          <w:rFonts w:ascii="Times New Roman" w:hAnsi="Times New Roman" w:cs="Times New Roman"/>
          <w:i/>
          <w:iCs/>
          <w:sz w:val="24"/>
          <w:szCs w:val="24"/>
        </w:rPr>
        <w:t>Fonte para o estudo da nobreza e memória arqueológica - Breves apontamentos</w:t>
      </w:r>
      <w:r w:rsidRPr="0011294E">
        <w:rPr>
          <w:rFonts w:ascii="Times New Roman" w:hAnsi="Times New Roman" w:cs="Times New Roman"/>
          <w:iCs/>
          <w:sz w:val="24"/>
          <w:szCs w:val="24"/>
        </w:rPr>
        <w:t>. Porto: Revista da Faculdade de Letras</w:t>
      </w:r>
      <w:r w:rsidRPr="0011294E">
        <w:rPr>
          <w:rFonts w:ascii="Times New Roman" w:hAnsi="Times New Roman" w:cs="Times New Roman"/>
          <w:i/>
          <w:iCs/>
          <w:sz w:val="24"/>
          <w:szCs w:val="24"/>
        </w:rPr>
        <w:t xml:space="preserve">, </w:t>
      </w:r>
      <w:r w:rsidRPr="0011294E">
        <w:rPr>
          <w:rFonts w:ascii="Times New Roman" w:hAnsi="Times New Roman" w:cs="Times New Roman"/>
          <w:sz w:val="24"/>
          <w:szCs w:val="24"/>
        </w:rPr>
        <w:t>Ciências e Técn</w:t>
      </w:r>
      <w:r w:rsidR="00650A19">
        <w:rPr>
          <w:rFonts w:ascii="Times New Roman" w:hAnsi="Times New Roman" w:cs="Times New Roman"/>
          <w:sz w:val="24"/>
          <w:szCs w:val="24"/>
        </w:rPr>
        <w:t>icas do Património, 2013</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RAU, Virgínia – </w:t>
      </w:r>
      <w:r w:rsidRPr="0011294E">
        <w:rPr>
          <w:rFonts w:ascii="Times New Roman" w:hAnsi="Times New Roman" w:cs="Times New Roman"/>
          <w:i/>
          <w:sz w:val="24"/>
          <w:szCs w:val="24"/>
        </w:rPr>
        <w:t>As Feiras Medievais Portuguesas: Subsídio para o seu Estudo</w:t>
      </w:r>
      <w:r w:rsidRPr="0011294E">
        <w:rPr>
          <w:rFonts w:ascii="Times New Roman" w:hAnsi="Times New Roman" w:cs="Times New Roman"/>
          <w:sz w:val="24"/>
          <w:szCs w:val="24"/>
        </w:rPr>
        <w:t xml:space="preserve">, Lisboa: Editora Presença, 1982.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RIBEIRO, Orlando – </w:t>
      </w:r>
      <w:r w:rsidRPr="0011294E">
        <w:rPr>
          <w:rFonts w:ascii="Times New Roman" w:hAnsi="Times New Roman" w:cs="Times New Roman"/>
          <w:i/>
          <w:iCs/>
          <w:sz w:val="24"/>
          <w:szCs w:val="24"/>
        </w:rPr>
        <w:t>Portugal o Mediterrâneo e o Atlântico</w:t>
      </w:r>
      <w:r w:rsidRPr="0011294E">
        <w:rPr>
          <w:rFonts w:ascii="Times New Roman" w:hAnsi="Times New Roman" w:cs="Times New Roman"/>
          <w:sz w:val="24"/>
          <w:szCs w:val="24"/>
        </w:rPr>
        <w:t xml:space="preserve">. Lisboa: Livraria Sá da Costa, 1967.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RODRÍGUEZ COLMENERO, António – </w:t>
      </w:r>
      <w:r w:rsidRPr="0011294E">
        <w:rPr>
          <w:rFonts w:ascii="Times New Roman" w:hAnsi="Times New Roman" w:cs="Times New Roman"/>
          <w:i/>
          <w:iCs/>
          <w:sz w:val="24"/>
          <w:szCs w:val="24"/>
        </w:rPr>
        <w:t>Galicia meridional romana</w:t>
      </w:r>
      <w:r w:rsidRPr="0011294E">
        <w:rPr>
          <w:rFonts w:ascii="Times New Roman" w:hAnsi="Times New Roman" w:cs="Times New Roman"/>
          <w:sz w:val="24"/>
          <w:szCs w:val="24"/>
        </w:rPr>
        <w:t xml:space="preserve">. Bilbao: Universidad de Deusto, 1977.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RODRÍGUEZ COLMENERO, António – </w:t>
      </w:r>
      <w:r w:rsidRPr="0011294E">
        <w:rPr>
          <w:rFonts w:ascii="Times New Roman" w:hAnsi="Times New Roman" w:cs="Times New Roman"/>
          <w:i/>
          <w:sz w:val="24"/>
          <w:szCs w:val="24"/>
        </w:rPr>
        <w:t xml:space="preserve">Los miliarios de S. Julião en la via desde Aquae Flaviae hacia el sureste. </w:t>
      </w:r>
      <w:r w:rsidRPr="0011294E">
        <w:rPr>
          <w:rFonts w:ascii="Times New Roman" w:hAnsi="Times New Roman" w:cs="Times New Roman"/>
          <w:sz w:val="24"/>
          <w:szCs w:val="24"/>
        </w:rPr>
        <w:t>IX</w:t>
      </w:r>
      <w:r w:rsidRPr="0011294E">
        <w:rPr>
          <w:rFonts w:ascii="Times New Roman" w:hAnsi="Times New Roman" w:cs="Times New Roman"/>
          <w:i/>
          <w:sz w:val="24"/>
          <w:szCs w:val="24"/>
        </w:rPr>
        <w:t xml:space="preserve">, </w:t>
      </w:r>
      <w:r w:rsidRPr="0011294E">
        <w:rPr>
          <w:rFonts w:ascii="Times New Roman" w:hAnsi="Times New Roman" w:cs="Times New Roman"/>
          <w:sz w:val="24"/>
          <w:szCs w:val="24"/>
        </w:rPr>
        <w:t>Porto:</w:t>
      </w:r>
      <w:r w:rsidRPr="0011294E">
        <w:rPr>
          <w:rFonts w:ascii="Times New Roman" w:hAnsi="Times New Roman" w:cs="Times New Roman"/>
          <w:i/>
          <w:sz w:val="24"/>
          <w:szCs w:val="24"/>
        </w:rPr>
        <w:t xml:space="preserve"> </w:t>
      </w:r>
      <w:r w:rsidRPr="0011294E">
        <w:rPr>
          <w:rFonts w:ascii="Times New Roman" w:hAnsi="Times New Roman" w:cs="Times New Roman"/>
          <w:iCs/>
          <w:sz w:val="24"/>
          <w:szCs w:val="24"/>
        </w:rPr>
        <w:t>Arqueologia</w:t>
      </w:r>
      <w:r w:rsidRPr="0011294E">
        <w:rPr>
          <w:rFonts w:ascii="Times New Roman" w:hAnsi="Times New Roman" w:cs="Times New Roman"/>
          <w:sz w:val="24"/>
          <w:szCs w:val="24"/>
        </w:rPr>
        <w:t xml:space="preserve">, 1984.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SANTANA, Maria Olinda Rodrigues – </w:t>
      </w:r>
      <w:r w:rsidRPr="0011294E">
        <w:rPr>
          <w:rFonts w:ascii="Times New Roman" w:hAnsi="Times New Roman" w:cs="Times New Roman"/>
          <w:i/>
          <w:sz w:val="24"/>
          <w:szCs w:val="24"/>
        </w:rPr>
        <w:t>Os Forais de Monforte</w:t>
      </w:r>
      <w:r w:rsidRPr="0011294E">
        <w:rPr>
          <w:rFonts w:ascii="Times New Roman" w:hAnsi="Times New Roman" w:cs="Times New Roman"/>
          <w:sz w:val="24"/>
          <w:szCs w:val="24"/>
        </w:rPr>
        <w:t>. Chaves: Câmara Mun</w:t>
      </w:r>
      <w:r w:rsidR="00650A19">
        <w:rPr>
          <w:rFonts w:ascii="Times New Roman" w:hAnsi="Times New Roman" w:cs="Times New Roman"/>
          <w:sz w:val="24"/>
          <w:szCs w:val="24"/>
        </w:rPr>
        <w:t>icipal de Chaves, 1998</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bCs/>
          <w:sz w:val="24"/>
          <w:szCs w:val="24"/>
        </w:rPr>
        <w:t xml:space="preserve">SERRANO, Liliana Isabel Marques – </w:t>
      </w:r>
      <w:r w:rsidRPr="0011294E">
        <w:rPr>
          <w:rFonts w:ascii="Times New Roman" w:hAnsi="Times New Roman" w:cs="Times New Roman"/>
          <w:bCs/>
          <w:i/>
          <w:sz w:val="24"/>
          <w:szCs w:val="24"/>
        </w:rPr>
        <w:t xml:space="preserve">Lucernas, Candis e Candeias. Para uma Distribuição Geográfica no Território Português. </w:t>
      </w:r>
      <w:r w:rsidRPr="0011294E">
        <w:rPr>
          <w:rFonts w:ascii="Times New Roman" w:hAnsi="Times New Roman" w:cs="Times New Roman"/>
          <w:bCs/>
          <w:sz w:val="24"/>
          <w:szCs w:val="24"/>
        </w:rPr>
        <w:t>Coimbra:</w:t>
      </w:r>
      <w:r w:rsidRPr="0011294E">
        <w:rPr>
          <w:rFonts w:ascii="Times New Roman" w:hAnsi="Times New Roman" w:cs="Times New Roman"/>
          <w:bCs/>
          <w:i/>
          <w:sz w:val="24"/>
          <w:szCs w:val="24"/>
        </w:rPr>
        <w:t xml:space="preserve"> </w:t>
      </w:r>
      <w:r w:rsidRPr="0011294E">
        <w:rPr>
          <w:rFonts w:ascii="Times New Roman" w:hAnsi="Times New Roman" w:cs="Times New Roman"/>
          <w:bCs/>
          <w:sz w:val="24"/>
          <w:szCs w:val="24"/>
        </w:rPr>
        <w:t>Dissertação de Mestrado pela Faculdade de Letras da Universidade de Coimbra, 2011.</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SILVA, Armando Coelho Ferreira da – </w:t>
      </w:r>
      <w:r w:rsidRPr="0011294E">
        <w:rPr>
          <w:rFonts w:ascii="Times New Roman" w:hAnsi="Times New Roman" w:cs="Times New Roman"/>
          <w:i/>
          <w:iCs/>
          <w:sz w:val="24"/>
          <w:szCs w:val="24"/>
        </w:rPr>
        <w:t>A Cultura Castreja no Noroeste de Portugal</w:t>
      </w:r>
      <w:r w:rsidRPr="0011294E">
        <w:rPr>
          <w:rFonts w:ascii="Times New Roman" w:hAnsi="Times New Roman" w:cs="Times New Roman"/>
          <w:sz w:val="24"/>
          <w:szCs w:val="24"/>
        </w:rPr>
        <w:t xml:space="preserve">. Paços de Ferreira: Museu Arqueológico da Citânia de Sanfins, 1986.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SILVA, Armando Coelho Ferreira da – </w:t>
      </w:r>
      <w:r w:rsidRPr="0011294E">
        <w:rPr>
          <w:rFonts w:ascii="Times New Roman" w:hAnsi="Times New Roman" w:cs="Times New Roman"/>
          <w:i/>
          <w:sz w:val="24"/>
          <w:szCs w:val="24"/>
        </w:rPr>
        <w:t>Ourivesaria Pré-Romana do Norte de Portugal</w:t>
      </w:r>
      <w:r w:rsidR="00650A19">
        <w:rPr>
          <w:rFonts w:ascii="Times New Roman" w:hAnsi="Times New Roman" w:cs="Times New Roman"/>
          <w:sz w:val="24"/>
          <w:szCs w:val="24"/>
        </w:rPr>
        <w:t>. Lisboa: Alfa, 1988</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lastRenderedPageBreak/>
        <w:t xml:space="preserve">SILVA, Armando Coelho Ferreira da – </w:t>
      </w:r>
      <w:r w:rsidRPr="0011294E">
        <w:rPr>
          <w:rFonts w:ascii="Times New Roman" w:hAnsi="Times New Roman" w:cs="Times New Roman"/>
          <w:i/>
          <w:sz w:val="24"/>
          <w:szCs w:val="24"/>
        </w:rPr>
        <w:t>A evolução do habitat castrejo e o processo de proto urbanização no Noroeste de Portugal durante o I milénio a.C</w:t>
      </w:r>
      <w:r w:rsidRPr="0011294E">
        <w:rPr>
          <w:rFonts w:ascii="Times New Roman" w:hAnsi="Times New Roman" w:cs="Times New Roman"/>
          <w:sz w:val="24"/>
          <w:szCs w:val="24"/>
        </w:rPr>
        <w:t xml:space="preserve">. Porto: </w:t>
      </w:r>
      <w:r w:rsidRPr="0011294E">
        <w:rPr>
          <w:rFonts w:ascii="Times New Roman" w:hAnsi="Times New Roman" w:cs="Times New Roman"/>
          <w:iCs/>
          <w:sz w:val="24"/>
          <w:szCs w:val="24"/>
        </w:rPr>
        <w:t>Revista da Faculdade de Letras, História</w:t>
      </w:r>
      <w:r w:rsidRPr="0011294E">
        <w:rPr>
          <w:rFonts w:ascii="Times New Roman" w:hAnsi="Times New Roman" w:cs="Times New Roman"/>
          <w:sz w:val="24"/>
          <w:szCs w:val="24"/>
        </w:rPr>
        <w:t xml:space="preserve">. Série II, Vol.XII., 1995, p. 519.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SILVA, Rebelo da – </w:t>
      </w:r>
      <w:r w:rsidRPr="0011294E">
        <w:rPr>
          <w:rFonts w:ascii="Times New Roman" w:hAnsi="Times New Roman" w:cs="Times New Roman"/>
          <w:i/>
          <w:sz w:val="24"/>
          <w:szCs w:val="24"/>
        </w:rPr>
        <w:t>História de Portugal</w:t>
      </w:r>
      <w:r w:rsidRPr="0011294E">
        <w:rPr>
          <w:rFonts w:ascii="Times New Roman" w:hAnsi="Times New Roman" w:cs="Times New Roman"/>
          <w:sz w:val="24"/>
          <w:szCs w:val="24"/>
        </w:rPr>
        <w:t>. Lisboa: Imprensa Nacional Casa da Moeda, Vol. 5., 1994.</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bCs/>
          <w:sz w:val="24"/>
          <w:szCs w:val="24"/>
        </w:rPr>
        <w:t xml:space="preserve">SIMANCAS, Manuel González – </w:t>
      </w:r>
      <w:r w:rsidRPr="0011294E">
        <w:rPr>
          <w:rFonts w:ascii="Times New Roman" w:hAnsi="Times New Roman" w:cs="Times New Roman"/>
          <w:bCs/>
          <w:i/>
          <w:iCs/>
          <w:sz w:val="24"/>
          <w:szCs w:val="24"/>
        </w:rPr>
        <w:t>Plazas de Guerra y castillos medioevales de la Frontera de Portugal: estudios de arquitectura militar</w:t>
      </w:r>
      <w:r w:rsidRPr="0011294E">
        <w:rPr>
          <w:rFonts w:ascii="Times New Roman" w:hAnsi="Times New Roman" w:cs="Times New Roman"/>
          <w:bCs/>
          <w:sz w:val="24"/>
          <w:szCs w:val="24"/>
        </w:rPr>
        <w:t>, Madrid: Tip. de la Revista de Archivos Bibliotecas. y Museos, 1910.</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SOARES, Torquato de Sousa – </w:t>
      </w:r>
      <w:r w:rsidRPr="0011294E">
        <w:rPr>
          <w:rFonts w:ascii="Times New Roman" w:hAnsi="Times New Roman" w:cs="Times New Roman"/>
          <w:i/>
          <w:sz w:val="24"/>
          <w:szCs w:val="24"/>
        </w:rPr>
        <w:t>O repovoamento do Norte de Portugal no século IX</w:t>
      </w:r>
      <w:r w:rsidRPr="0011294E">
        <w:rPr>
          <w:rFonts w:ascii="Times New Roman" w:hAnsi="Times New Roman" w:cs="Times New Roman"/>
          <w:sz w:val="24"/>
          <w:szCs w:val="24"/>
        </w:rPr>
        <w:t>. Coimbra: Biblios, Tomo I, 1942</w:t>
      </w:r>
      <w:r w:rsidR="00650A19">
        <w:rPr>
          <w:rFonts w:ascii="Times New Roman" w:hAnsi="Times New Roman" w:cs="Times New Roman"/>
          <w:sz w:val="24"/>
          <w:szCs w:val="24"/>
        </w:rPr>
        <w:t>.</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SOARES, Torquato de Sousa Brochado – </w:t>
      </w:r>
      <w:r w:rsidRPr="0011294E">
        <w:rPr>
          <w:rFonts w:ascii="Times New Roman" w:hAnsi="Times New Roman" w:cs="Times New Roman"/>
          <w:i/>
          <w:sz w:val="24"/>
          <w:szCs w:val="24"/>
        </w:rPr>
        <w:t>Inquirições.</w:t>
      </w:r>
      <w:r w:rsidRPr="0011294E">
        <w:rPr>
          <w:rFonts w:ascii="Times New Roman" w:hAnsi="Times New Roman" w:cs="Times New Roman"/>
          <w:sz w:val="24"/>
          <w:szCs w:val="24"/>
        </w:rPr>
        <w:t xml:space="preserve"> In</w:t>
      </w:r>
      <w:r w:rsidRPr="0011294E">
        <w:rPr>
          <w:rFonts w:ascii="Times New Roman" w:hAnsi="Times New Roman" w:cs="Times New Roman"/>
          <w:i/>
          <w:sz w:val="24"/>
          <w:szCs w:val="24"/>
        </w:rPr>
        <w:t xml:space="preserve"> Dicionário de História de Portugal</w:t>
      </w:r>
      <w:r w:rsidRPr="0011294E">
        <w:rPr>
          <w:rFonts w:ascii="Times New Roman" w:hAnsi="Times New Roman" w:cs="Times New Roman"/>
          <w:sz w:val="24"/>
          <w:szCs w:val="24"/>
        </w:rPr>
        <w:t>. Direção Joel Serrão. Lisboa: Iniciativas Edito</w:t>
      </w:r>
      <w:r w:rsidR="00650A19">
        <w:rPr>
          <w:rFonts w:ascii="Times New Roman" w:hAnsi="Times New Roman" w:cs="Times New Roman"/>
          <w:sz w:val="24"/>
          <w:szCs w:val="24"/>
        </w:rPr>
        <w:t>riais, Vol.1., 1963</w:t>
      </w:r>
      <w:r w:rsidRPr="0011294E">
        <w:rPr>
          <w:rFonts w:ascii="Times New Roman" w:hAnsi="Times New Roman" w:cs="Times New Roman"/>
          <w:sz w:val="24"/>
          <w:szCs w:val="24"/>
        </w:rPr>
        <w:t>.</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SOEIRO, Teresa </w:t>
      </w:r>
      <w:r w:rsidRPr="0011294E">
        <w:rPr>
          <w:rFonts w:ascii="Times New Roman" w:hAnsi="Times New Roman" w:cs="Times New Roman"/>
          <w:i/>
          <w:sz w:val="24"/>
          <w:szCs w:val="24"/>
        </w:rPr>
        <w:t>– Muro da Pastaria, Chaves Campanha de Escavação de 1982-83</w:t>
      </w:r>
      <w:r w:rsidRPr="0011294E">
        <w:rPr>
          <w:rFonts w:ascii="Times New Roman" w:hAnsi="Times New Roman" w:cs="Times New Roman"/>
          <w:sz w:val="24"/>
          <w:szCs w:val="24"/>
        </w:rPr>
        <w:t xml:space="preserve">. Porto: </w:t>
      </w:r>
      <w:r w:rsidRPr="0011294E">
        <w:rPr>
          <w:rFonts w:ascii="Times New Roman" w:hAnsi="Times New Roman" w:cs="Times New Roman"/>
          <w:i/>
          <w:sz w:val="24"/>
          <w:szCs w:val="24"/>
        </w:rPr>
        <w:t>Portvgalia</w:t>
      </w:r>
      <w:r w:rsidRPr="0011294E">
        <w:rPr>
          <w:rFonts w:ascii="Times New Roman" w:hAnsi="Times New Roman" w:cs="Times New Roman"/>
          <w:sz w:val="24"/>
          <w:szCs w:val="24"/>
        </w:rPr>
        <w:t xml:space="preserve">, vol. VI/VII, 1985-1986, pp. 21-25.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 SOUSA, João de –</w:t>
      </w:r>
      <w:r w:rsidRPr="0011294E">
        <w:rPr>
          <w:rFonts w:ascii="Times New Roman" w:hAnsi="Times New Roman" w:cs="Times New Roman"/>
          <w:i/>
          <w:sz w:val="24"/>
          <w:szCs w:val="24"/>
        </w:rPr>
        <w:t xml:space="preserve"> Vestígios da Língua Arábica em Portugal</w:t>
      </w:r>
      <w:r w:rsidRPr="0011294E">
        <w:rPr>
          <w:rFonts w:ascii="Times New Roman" w:hAnsi="Times New Roman" w:cs="Times New Roman"/>
          <w:sz w:val="24"/>
          <w:szCs w:val="24"/>
        </w:rPr>
        <w:t>. Lisboa: Edição de A. Farinha de carvalho, 1981.</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TABOADA CHIVITE, Jesús – </w:t>
      </w:r>
      <w:r w:rsidRPr="0011294E">
        <w:rPr>
          <w:rFonts w:ascii="Times New Roman" w:hAnsi="Times New Roman" w:cs="Times New Roman"/>
          <w:i/>
          <w:sz w:val="24"/>
          <w:szCs w:val="24"/>
        </w:rPr>
        <w:t xml:space="preserve">Via romana del valle del Támega. </w:t>
      </w:r>
      <w:r w:rsidRPr="0011294E">
        <w:rPr>
          <w:rFonts w:ascii="Times New Roman" w:hAnsi="Times New Roman" w:cs="Times New Roman"/>
          <w:sz w:val="24"/>
          <w:szCs w:val="24"/>
        </w:rPr>
        <w:t xml:space="preserve">Guimarães: </w:t>
      </w:r>
      <w:r w:rsidRPr="0011294E">
        <w:rPr>
          <w:rFonts w:ascii="Times New Roman" w:hAnsi="Times New Roman" w:cs="Times New Roman"/>
          <w:iCs/>
          <w:sz w:val="24"/>
          <w:szCs w:val="24"/>
        </w:rPr>
        <w:t>Revista de Guimarães</w:t>
      </w:r>
      <w:r w:rsidRPr="0011294E">
        <w:rPr>
          <w:rFonts w:ascii="Times New Roman" w:hAnsi="Times New Roman" w:cs="Times New Roman"/>
          <w:sz w:val="24"/>
          <w:szCs w:val="24"/>
        </w:rPr>
        <w:t xml:space="preserve">, 55 (3-4), 1945, pp. 122-131.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TABORDA, Virgílio – </w:t>
      </w:r>
      <w:r w:rsidRPr="0011294E">
        <w:rPr>
          <w:rFonts w:ascii="Times New Roman" w:hAnsi="Times New Roman" w:cs="Times New Roman"/>
          <w:i/>
          <w:sz w:val="24"/>
          <w:szCs w:val="24"/>
        </w:rPr>
        <w:t>Alto Trás-os-Montes. Estudo Geográfico</w:t>
      </w:r>
      <w:r w:rsidRPr="0011294E">
        <w:rPr>
          <w:rFonts w:ascii="Times New Roman" w:hAnsi="Times New Roman" w:cs="Times New Roman"/>
          <w:sz w:val="24"/>
          <w:szCs w:val="24"/>
        </w:rPr>
        <w:t>. Coimbra: Imprensa da Unive</w:t>
      </w:r>
      <w:r w:rsidR="00650A19">
        <w:rPr>
          <w:rFonts w:ascii="Times New Roman" w:hAnsi="Times New Roman" w:cs="Times New Roman"/>
          <w:sz w:val="24"/>
          <w:szCs w:val="24"/>
        </w:rPr>
        <w:t>rsidade de Coimbra, 2011</w:t>
      </w:r>
      <w:r w:rsidRPr="0011294E">
        <w:rPr>
          <w:rFonts w:ascii="Times New Roman" w:hAnsi="Times New Roman" w:cs="Times New Roman"/>
          <w:sz w:val="24"/>
          <w:szCs w:val="24"/>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TEIXEIRA, Carlos – </w:t>
      </w:r>
      <w:r w:rsidRPr="0011294E">
        <w:rPr>
          <w:rFonts w:ascii="Times New Roman" w:hAnsi="Times New Roman" w:cs="Times New Roman"/>
          <w:i/>
          <w:sz w:val="24"/>
          <w:szCs w:val="24"/>
        </w:rPr>
        <w:t>A depressão de Chaves (Génese e evolução)</w:t>
      </w:r>
      <w:r w:rsidRPr="0011294E">
        <w:rPr>
          <w:rFonts w:ascii="Times New Roman" w:hAnsi="Times New Roman" w:cs="Times New Roman"/>
          <w:sz w:val="24"/>
          <w:szCs w:val="24"/>
        </w:rPr>
        <w:t xml:space="preserve">. Lisboa: </w:t>
      </w:r>
      <w:r w:rsidRPr="0011294E">
        <w:rPr>
          <w:rFonts w:ascii="Times New Roman" w:hAnsi="Times New Roman" w:cs="Times New Roman"/>
          <w:iCs/>
          <w:sz w:val="24"/>
          <w:szCs w:val="24"/>
        </w:rPr>
        <w:t>Boletim do Museu Mineralógico e Geológico</w:t>
      </w:r>
      <w:r w:rsidRPr="0011294E">
        <w:rPr>
          <w:rFonts w:ascii="Times New Roman" w:hAnsi="Times New Roman" w:cs="Times New Roman"/>
          <w:sz w:val="24"/>
          <w:szCs w:val="24"/>
        </w:rPr>
        <w:t>, Faculdade de Ciências da Unive</w:t>
      </w:r>
      <w:r w:rsidR="00650A19">
        <w:rPr>
          <w:rFonts w:ascii="Times New Roman" w:hAnsi="Times New Roman" w:cs="Times New Roman"/>
          <w:sz w:val="24"/>
          <w:szCs w:val="24"/>
        </w:rPr>
        <w:t>rsidade de Lisboa,1948</w:t>
      </w:r>
      <w:r w:rsidRPr="0011294E">
        <w:rPr>
          <w:rFonts w:ascii="Times New Roman" w:hAnsi="Times New Roman" w:cs="Times New Roman"/>
          <w:sz w:val="24"/>
          <w:szCs w:val="24"/>
        </w:rPr>
        <w:t>.</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TEIXEIRA, Ricardo Jorge Coelho Marques Abrantes – </w:t>
      </w:r>
      <w:r w:rsidRPr="0011294E">
        <w:rPr>
          <w:rFonts w:ascii="Times New Roman" w:hAnsi="Times New Roman" w:cs="Times New Roman"/>
          <w:i/>
          <w:iCs/>
          <w:sz w:val="24"/>
          <w:szCs w:val="24"/>
        </w:rPr>
        <w:t>De Aquae Flaviae a Chaves – Povoamento e Organização do Território entre a Antiguidade e a Idade Média</w:t>
      </w:r>
      <w:r w:rsidRPr="0011294E">
        <w:rPr>
          <w:rFonts w:ascii="Times New Roman" w:hAnsi="Times New Roman" w:cs="Times New Roman"/>
          <w:sz w:val="24"/>
          <w:szCs w:val="24"/>
        </w:rPr>
        <w:t xml:space="preserve">. Porto: Dissertação de Mestrado em Arqueologia, Faculdade de Letras da Universidade do Porto, 1996.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TEIXEIRA, Ricardo Jorge Coelho Marques Abrantes – </w:t>
      </w:r>
      <w:r w:rsidRPr="0011294E">
        <w:rPr>
          <w:rFonts w:ascii="Times New Roman" w:hAnsi="Times New Roman" w:cs="Times New Roman"/>
          <w:i/>
          <w:sz w:val="24"/>
          <w:szCs w:val="24"/>
        </w:rPr>
        <w:t xml:space="preserve">Povoamento e organização do território nas regiões de Chaves, Vila Real e Lamego (sécs. IX-XIV), </w:t>
      </w:r>
      <w:r w:rsidRPr="0011294E">
        <w:rPr>
          <w:rFonts w:ascii="Times New Roman" w:hAnsi="Times New Roman" w:cs="Times New Roman"/>
          <w:sz w:val="24"/>
          <w:szCs w:val="24"/>
        </w:rPr>
        <w:t xml:space="preserve">In Atas do </w:t>
      </w:r>
      <w:r w:rsidRPr="0011294E">
        <w:rPr>
          <w:rFonts w:ascii="Times New Roman" w:hAnsi="Times New Roman" w:cs="Times New Roman"/>
          <w:iCs/>
          <w:sz w:val="24"/>
          <w:szCs w:val="24"/>
        </w:rPr>
        <w:t xml:space="preserve">III Congresso de Arqueologia Trás-os-Montes, Alto Douro e Beira Interior. </w:t>
      </w:r>
      <w:r w:rsidRPr="0011294E">
        <w:rPr>
          <w:rFonts w:ascii="Times New Roman" w:hAnsi="Times New Roman" w:cs="Times New Roman"/>
          <w:iCs/>
          <w:sz w:val="24"/>
          <w:szCs w:val="24"/>
        </w:rPr>
        <w:lastRenderedPageBreak/>
        <w:t xml:space="preserve">Vol. 4, </w:t>
      </w:r>
      <w:r w:rsidRPr="0011294E">
        <w:rPr>
          <w:rFonts w:ascii="Times New Roman" w:hAnsi="Times New Roman" w:cs="Times New Roman"/>
          <w:i/>
          <w:sz w:val="24"/>
          <w:szCs w:val="24"/>
        </w:rPr>
        <w:t>Da</w:t>
      </w:r>
      <w:r w:rsidRPr="0011294E">
        <w:rPr>
          <w:rFonts w:ascii="Times New Roman" w:hAnsi="Times New Roman" w:cs="Times New Roman"/>
          <w:i/>
          <w:iCs/>
          <w:sz w:val="24"/>
          <w:szCs w:val="24"/>
        </w:rPr>
        <w:t xml:space="preserve"> idade média à contemporaneidade ambientes e musealização</w:t>
      </w:r>
      <w:r w:rsidRPr="0011294E">
        <w:rPr>
          <w:rFonts w:ascii="Times New Roman" w:hAnsi="Times New Roman" w:cs="Times New Roman"/>
          <w:iCs/>
          <w:sz w:val="24"/>
          <w:szCs w:val="24"/>
        </w:rPr>
        <w:t xml:space="preserve">. Porto: Associação Cultural, Desportiva e Recreativa de Freixo de Numão, 2008, pp. 48-50.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lang w:val="fr-FR"/>
        </w:rPr>
        <w:t xml:space="preserve">TRANOY, Alain - </w:t>
      </w:r>
      <w:r w:rsidRPr="0011294E">
        <w:rPr>
          <w:rFonts w:ascii="Times New Roman" w:hAnsi="Times New Roman" w:cs="Times New Roman"/>
          <w:i/>
          <w:iCs/>
          <w:sz w:val="24"/>
          <w:szCs w:val="24"/>
          <w:lang w:val="fr-FR"/>
        </w:rPr>
        <w:t>La Galice Romaine. Recherches sur le nord-ouest de la péninsule ibérique dans l'Antiquité</w:t>
      </w:r>
      <w:r w:rsidRPr="0011294E">
        <w:rPr>
          <w:rFonts w:ascii="Times New Roman" w:hAnsi="Times New Roman" w:cs="Times New Roman"/>
          <w:sz w:val="24"/>
          <w:szCs w:val="24"/>
          <w:lang w:val="fr-FR"/>
        </w:rPr>
        <w:t>. Paris: Publications du Centre</w:t>
      </w:r>
      <w:r w:rsidR="00650A19">
        <w:rPr>
          <w:rFonts w:ascii="Times New Roman" w:hAnsi="Times New Roman" w:cs="Times New Roman"/>
          <w:sz w:val="24"/>
          <w:szCs w:val="24"/>
          <w:lang w:val="fr-FR"/>
        </w:rPr>
        <w:t xml:space="preserve"> Pierre Paris, 1981</w:t>
      </w:r>
      <w:r w:rsidRPr="0011294E">
        <w:rPr>
          <w:rFonts w:ascii="Times New Roman" w:hAnsi="Times New Roman" w:cs="Times New Roman"/>
          <w:sz w:val="24"/>
          <w:szCs w:val="24"/>
          <w:lang w:val="fr-FR"/>
        </w:rPr>
        <w:t xml:space="preserve">.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VELOSO, Maria Teresa Nobre </w:t>
      </w:r>
      <w:r w:rsidRPr="0011294E">
        <w:rPr>
          <w:rFonts w:ascii="Times New Roman" w:hAnsi="Times New Roman" w:cs="Times New Roman"/>
          <w:i/>
          <w:sz w:val="24"/>
          <w:szCs w:val="24"/>
        </w:rPr>
        <w:t>– A questão entre Afonso II e suas irmãs sobre a detenção dos direitos senhoriais</w:t>
      </w:r>
      <w:r w:rsidRPr="0011294E">
        <w:rPr>
          <w:rFonts w:ascii="Times New Roman" w:hAnsi="Times New Roman" w:cs="Times New Roman"/>
          <w:sz w:val="24"/>
          <w:szCs w:val="24"/>
        </w:rPr>
        <w:t xml:space="preserve">. Coimbra: Revista Portuguesa de História, 1980, pp. 202-216.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Cs/>
          <w:sz w:val="24"/>
          <w:szCs w:val="24"/>
        </w:rPr>
        <w:t xml:space="preserve">VENTURA, Leontina – </w:t>
      </w:r>
      <w:r w:rsidRPr="0011294E">
        <w:rPr>
          <w:rFonts w:ascii="Times New Roman" w:hAnsi="Times New Roman" w:cs="Times New Roman"/>
          <w:i/>
          <w:sz w:val="24"/>
          <w:szCs w:val="24"/>
        </w:rPr>
        <w:t>Terras e julgados</w:t>
      </w:r>
      <w:r w:rsidRPr="0011294E">
        <w:rPr>
          <w:rFonts w:ascii="Times New Roman" w:hAnsi="Times New Roman" w:cs="Times New Roman"/>
          <w:sz w:val="24"/>
          <w:szCs w:val="24"/>
        </w:rPr>
        <w:t xml:space="preserve">. </w:t>
      </w:r>
      <w:r w:rsidRPr="0011294E">
        <w:rPr>
          <w:rFonts w:ascii="Times New Roman" w:hAnsi="Times New Roman" w:cs="Times New Roman"/>
          <w:i/>
          <w:iCs/>
          <w:sz w:val="24"/>
          <w:szCs w:val="24"/>
        </w:rPr>
        <w:t>Nova História de Portugal</w:t>
      </w:r>
      <w:r w:rsidRPr="0011294E">
        <w:rPr>
          <w:rFonts w:ascii="Times New Roman" w:hAnsi="Times New Roman" w:cs="Times New Roman"/>
          <w:sz w:val="24"/>
          <w:szCs w:val="24"/>
        </w:rPr>
        <w:t xml:space="preserve">. dir. Joel Serrão e A. H. de Oliveira Marques, vol. III – </w:t>
      </w:r>
      <w:r w:rsidRPr="0011294E">
        <w:rPr>
          <w:rFonts w:ascii="Times New Roman" w:hAnsi="Times New Roman" w:cs="Times New Roman"/>
          <w:i/>
          <w:iCs/>
          <w:sz w:val="24"/>
          <w:szCs w:val="24"/>
        </w:rPr>
        <w:t>Portugal em definição de fronteiras. Do Condado Portucalense à Crise do Século XIV</w:t>
      </w:r>
      <w:r w:rsidRPr="0011294E">
        <w:rPr>
          <w:rFonts w:ascii="Times New Roman" w:hAnsi="Times New Roman" w:cs="Times New Roman"/>
          <w:sz w:val="24"/>
          <w:szCs w:val="24"/>
        </w:rPr>
        <w:t>, coord. Maria Helena da Cruz Coelho e Armando Luís de Carvalho Homem, Lis</w:t>
      </w:r>
      <w:r w:rsidR="00650A19">
        <w:rPr>
          <w:rFonts w:ascii="Times New Roman" w:hAnsi="Times New Roman" w:cs="Times New Roman"/>
          <w:sz w:val="24"/>
          <w:szCs w:val="24"/>
        </w:rPr>
        <w:t>boa: Presença, 1995</w:t>
      </w:r>
      <w:r w:rsidRPr="0011294E">
        <w:rPr>
          <w:rFonts w:ascii="Times New Roman" w:hAnsi="Times New Roman" w:cs="Times New Roman"/>
          <w:sz w:val="24"/>
          <w:szCs w:val="24"/>
        </w:rPr>
        <w:t>.</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iCs/>
          <w:sz w:val="24"/>
          <w:szCs w:val="24"/>
        </w:rPr>
        <w:t xml:space="preserve">VENTURA, Leontina – </w:t>
      </w:r>
      <w:r w:rsidRPr="0011294E">
        <w:rPr>
          <w:rFonts w:ascii="Times New Roman" w:hAnsi="Times New Roman" w:cs="Times New Roman"/>
          <w:i/>
          <w:iCs/>
          <w:sz w:val="24"/>
          <w:szCs w:val="24"/>
        </w:rPr>
        <w:t>D. Afonso III</w:t>
      </w:r>
      <w:r w:rsidRPr="0011294E">
        <w:rPr>
          <w:rFonts w:ascii="Times New Roman" w:hAnsi="Times New Roman" w:cs="Times New Roman"/>
          <w:sz w:val="24"/>
          <w:szCs w:val="24"/>
        </w:rPr>
        <w:t xml:space="preserve">. Lisboa: Círculo de Leitores, 2006. </w:t>
      </w:r>
    </w:p>
    <w:p w:rsidR="0011294E" w:rsidRPr="0011294E" w:rsidRDefault="0011294E" w:rsidP="0011294E">
      <w:pPr>
        <w:pStyle w:val="Textodenotaderodap"/>
        <w:numPr>
          <w:ilvl w:val="0"/>
          <w:numId w:val="14"/>
        </w:numPr>
        <w:spacing w:line="360" w:lineRule="auto"/>
        <w:ind w:left="0" w:firstLine="0"/>
        <w:jc w:val="both"/>
        <w:rPr>
          <w:rFonts w:ascii="Times New Roman" w:hAnsi="Times New Roman" w:cs="Times New Roman"/>
          <w:sz w:val="24"/>
          <w:szCs w:val="24"/>
        </w:rPr>
      </w:pPr>
      <w:r w:rsidRPr="0011294E">
        <w:rPr>
          <w:rFonts w:ascii="Times New Roman" w:hAnsi="Times New Roman" w:cs="Times New Roman"/>
          <w:sz w:val="24"/>
          <w:szCs w:val="24"/>
        </w:rPr>
        <w:t xml:space="preserve">VITERBO, Frei Joaquim de Santa Rosa de – </w:t>
      </w:r>
      <w:r w:rsidRPr="0011294E">
        <w:rPr>
          <w:rFonts w:ascii="Times New Roman" w:hAnsi="Times New Roman" w:cs="Times New Roman"/>
          <w:i/>
          <w:sz w:val="24"/>
          <w:szCs w:val="24"/>
        </w:rPr>
        <w:t>Elucidário das palavras, termos e frases que em Portugal antigamente se usaram e que hoje regularmente se ignoram</w:t>
      </w:r>
      <w:r w:rsidRPr="0011294E">
        <w:rPr>
          <w:rFonts w:ascii="Times New Roman" w:hAnsi="Times New Roman" w:cs="Times New Roman"/>
          <w:sz w:val="24"/>
          <w:szCs w:val="24"/>
        </w:rPr>
        <w:t xml:space="preserve">. Porto: Livraria Civilização, 2 Volumes, 1965-1966. </w:t>
      </w:r>
    </w:p>
    <w:p w:rsidR="0011294E" w:rsidRPr="0011294E" w:rsidRDefault="0011294E" w:rsidP="0011294E">
      <w:pPr>
        <w:pStyle w:val="Textodenotaderodap"/>
        <w:spacing w:line="360" w:lineRule="auto"/>
        <w:jc w:val="both"/>
        <w:rPr>
          <w:rFonts w:ascii="Times New Roman" w:hAnsi="Times New Roman" w:cs="Times New Roman"/>
          <w:sz w:val="24"/>
          <w:szCs w:val="24"/>
        </w:rPr>
      </w:pPr>
    </w:p>
    <w:p w:rsidR="0011294E" w:rsidRPr="0011294E" w:rsidRDefault="0011294E" w:rsidP="00F20F19">
      <w:pPr>
        <w:pStyle w:val="Corpodotexto"/>
        <w:rPr>
          <w:rFonts w:ascii="Times New Roman" w:hAnsi="Times New Roman"/>
          <w:sz w:val="24"/>
        </w:rPr>
      </w:pPr>
    </w:p>
    <w:sectPr w:rsidR="0011294E" w:rsidRPr="0011294E" w:rsidSect="00D312BC">
      <w:headerReference w:type="default" r:id="rId13"/>
      <w:footerReference w:type="default" r:id="rId14"/>
      <w:type w:val="continuous"/>
      <w:pgSz w:w="11906" w:h="16838"/>
      <w:pgMar w:top="1701" w:right="1701" w:bottom="1701" w:left="1701" w:header="1701" w:footer="1701" w:gutter="0"/>
      <w:cols w:space="720"/>
      <w:formProt w:val="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D35FCA1" w15:done="0"/>
  <w15:commentEx w15:paraId="7B299635" w15:done="0"/>
  <w15:commentEx w15:paraId="05747AC6" w15:done="0"/>
  <w15:commentEx w15:paraId="6096B9C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8BC" w:rsidRDefault="002128BC" w:rsidP="00C16E46">
      <w:r>
        <w:separator/>
      </w:r>
    </w:p>
  </w:endnote>
  <w:endnote w:type="continuationSeparator" w:id="0">
    <w:p w:rsidR="002128BC" w:rsidRDefault="002128BC" w:rsidP="00C16E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3833"/>
      <w:docPartObj>
        <w:docPartGallery w:val="Page Numbers (Bottom of Page)"/>
        <w:docPartUnique/>
      </w:docPartObj>
    </w:sdtPr>
    <w:sdtContent>
      <w:p w:rsidR="00A55E03" w:rsidRDefault="00A55E03">
        <w:pPr>
          <w:pStyle w:val="Rodap"/>
          <w:jc w:val="right"/>
        </w:pPr>
        <w:fldSimple w:instr=" PAGE   \* MERGEFORMAT ">
          <w:r w:rsidR="004F4205">
            <w:rPr>
              <w:noProof/>
            </w:rPr>
            <w:t>1</w:t>
          </w:r>
        </w:fldSimple>
      </w:p>
    </w:sdtContent>
  </w:sdt>
  <w:p w:rsidR="00A55E03" w:rsidRDefault="00A55E03">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E03" w:rsidRDefault="00A55E03">
    <w:pPr>
      <w:pStyle w:val="Rodap"/>
      <w:jc w:val="center"/>
    </w:pPr>
    <w:fldSimple w:instr="PAGE">
      <w:r w:rsidR="004F4205">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8BC" w:rsidRDefault="002128BC" w:rsidP="00C16E46">
      <w:r>
        <w:separator/>
      </w:r>
    </w:p>
  </w:footnote>
  <w:footnote w:type="continuationSeparator" w:id="0">
    <w:p w:rsidR="002128BC" w:rsidRDefault="002128BC" w:rsidP="00C16E46">
      <w:r>
        <w:continuationSeparator/>
      </w:r>
    </w:p>
  </w:footnote>
  <w:footnote w:id="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AMORIM 1947.</w:t>
      </w:r>
    </w:p>
  </w:footnote>
  <w:footnote w:id="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AMORIM 1995: pp.112-115.</w:t>
      </w:r>
    </w:p>
  </w:footnote>
  <w:footnote w:id="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FONTE e CARDOSO 2005. </w:t>
      </w:r>
    </w:p>
  </w:footnote>
  <w:footnote w:id="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DIAS 1990.</w:t>
      </w:r>
    </w:p>
  </w:footnote>
  <w:footnote w:id="5">
    <w:p w:rsidR="00A55E03" w:rsidRPr="005219C9" w:rsidRDefault="00A55E03" w:rsidP="0011294E">
      <w:pPr>
        <w:pStyle w:val="Textodenotaderodap"/>
        <w:jc w:val="both"/>
        <w:rPr>
          <w:rFonts w:ascii="Times New Roman" w:hAnsi="Times New Roman" w:cs="Times New Roman"/>
          <w:i/>
        </w:rPr>
      </w:pPr>
      <w:r w:rsidRPr="005219C9">
        <w:rPr>
          <w:rStyle w:val="Refdenotaderodap"/>
          <w:rFonts w:ascii="Times New Roman" w:hAnsi="Times New Roman" w:cs="Times New Roman"/>
        </w:rPr>
        <w:footnoteRef/>
      </w:r>
      <w:r w:rsidRPr="005219C9">
        <w:rPr>
          <w:rFonts w:ascii="Times New Roman" w:hAnsi="Times New Roman" w:cs="Times New Roman"/>
        </w:rPr>
        <w:t xml:space="preserve"> DIAS 1990.</w:t>
      </w:r>
    </w:p>
  </w:footnote>
  <w:footnote w:id="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Todos estes povoados estão devidamente acompanhados por uma respectiva cartografia do Castelo ou por uma planta do castelo e povoado. </w:t>
      </w:r>
    </w:p>
  </w:footnote>
  <w:footnote w:id="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GOMES 1994.</w:t>
      </w:r>
    </w:p>
  </w:footnote>
  <w:footnote w:id="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w:t>
      </w:r>
    </w:p>
  </w:footnote>
  <w:footnote w:id="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SANTANA 1998.</w:t>
      </w:r>
    </w:p>
  </w:footnote>
  <w:footnote w:id="1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Pr>
          <w:rFonts w:ascii="Times New Roman" w:hAnsi="Times New Roman" w:cs="Times New Roman"/>
        </w:rPr>
        <w:t xml:space="preserve"> </w:t>
      </w:r>
      <w:r w:rsidRPr="005219C9">
        <w:rPr>
          <w:rFonts w:ascii="Times New Roman" w:hAnsi="Times New Roman" w:cs="Times New Roman"/>
        </w:rPr>
        <w:t>GOMES 2003.</w:t>
      </w:r>
    </w:p>
  </w:footnote>
  <w:footnote w:id="1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COSTA 1965-1990.</w:t>
      </w:r>
    </w:p>
  </w:footnote>
  <w:footnote w:id="1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MORENO 2003.</w:t>
      </w:r>
    </w:p>
  </w:footnote>
  <w:footnote w:id="13">
    <w:p w:rsidR="00A55E03" w:rsidRPr="005219C9" w:rsidRDefault="00A55E03" w:rsidP="0011294E">
      <w:pPr>
        <w:pStyle w:val="Textodenotaderodap"/>
        <w:jc w:val="both"/>
        <w:rPr>
          <w:rFonts w:ascii="Times New Roman" w:hAnsi="Times New Roman" w:cs="Times New Roman"/>
          <w:i/>
        </w:rPr>
      </w:pPr>
      <w:r w:rsidRPr="005219C9">
        <w:rPr>
          <w:rStyle w:val="Refdenotaderodap"/>
          <w:rFonts w:ascii="Times New Roman" w:hAnsi="Times New Roman" w:cs="Times New Roman"/>
        </w:rPr>
        <w:footnoteRef/>
      </w:r>
      <w:r w:rsidRPr="005219C9">
        <w:rPr>
          <w:rFonts w:ascii="Times New Roman" w:hAnsi="Times New Roman" w:cs="Times New Roman"/>
        </w:rPr>
        <w:t xml:space="preserve"> GALEGO 1986.</w:t>
      </w:r>
    </w:p>
  </w:footnote>
  <w:footnote w:id="14">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CAPELA e MATOS e BORRALHEIRO 2006.</w:t>
      </w:r>
    </w:p>
  </w:footnote>
  <w:footnote w:id="1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LEAL 1873-1890: p. 63.</w:t>
      </w:r>
    </w:p>
  </w:footnote>
  <w:footnote w:id="16">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TEIXEIRA 1996: p. 50.</w:t>
      </w:r>
    </w:p>
  </w:footnote>
  <w:footnote w:id="1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BAPTISPA 1993: p. 126.  </w:t>
      </w:r>
    </w:p>
  </w:footnote>
  <w:footnote w:id="18">
    <w:p w:rsidR="00A55E03" w:rsidRPr="005219C9" w:rsidRDefault="00A55E03" w:rsidP="0011294E">
      <w:pPr>
        <w:autoSpaceDE w:val="0"/>
        <w:autoSpaceDN w:val="0"/>
        <w:adjustRightInd w:val="0"/>
        <w:jc w:val="both"/>
        <w:rPr>
          <w:rFonts w:ascii="Times New Roman" w:hAnsi="Times New Roman"/>
          <w:i/>
          <w:iCs/>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TEIXEIRA 1948: p. 8.</w:t>
      </w:r>
    </w:p>
  </w:footnote>
  <w:footnote w:id="19">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PEREIRA 2004: p.71.</w:t>
      </w:r>
    </w:p>
  </w:footnote>
  <w:footnote w:id="20">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TEIXEIRA 1981: p. 35.</w:t>
      </w:r>
    </w:p>
  </w:footnote>
  <w:footnote w:id="2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1948: pp. 44-48.</w:t>
      </w:r>
    </w:p>
  </w:footnote>
  <w:footnote w:id="2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BAPTISPA 1993: pp. 134-135.</w:t>
      </w:r>
    </w:p>
  </w:footnote>
  <w:footnote w:id="2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1974.</w:t>
      </w:r>
    </w:p>
  </w:footnote>
  <w:footnote w:id="2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1974: pp. 32-33.</w:t>
      </w:r>
    </w:p>
  </w:footnote>
  <w:footnote w:id="25">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DAVEAU 1995: p. 44. </w:t>
      </w:r>
    </w:p>
  </w:footnote>
  <w:footnote w:id="26">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RIBEIRO 1967: pp.102-103.</w:t>
      </w:r>
    </w:p>
  </w:footnote>
  <w:footnote w:id="2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shd w:val="clear" w:color="auto" w:fill="FFFFFF"/>
        </w:rPr>
        <w:t xml:space="preserve"> ÁLVARES 2003: </w:t>
      </w:r>
      <w:r w:rsidRPr="005219C9">
        <w:rPr>
          <w:rFonts w:ascii="Times New Roman" w:hAnsi="Times New Roman" w:cs="Times New Roman"/>
        </w:rPr>
        <w:t>p.17.</w:t>
      </w:r>
    </w:p>
  </w:footnote>
  <w:footnote w:id="2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shd w:val="clear" w:color="auto" w:fill="FFFFFF"/>
        </w:rPr>
        <w:t xml:space="preserve"> ÁLVARES 2003: p. 19.</w:t>
      </w:r>
    </w:p>
  </w:footnote>
  <w:footnote w:id="2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shd w:val="clear" w:color="auto" w:fill="FFFFFF"/>
        </w:rPr>
        <w:t xml:space="preserve"> ÁLVARES 2003: p. 31.</w:t>
      </w:r>
    </w:p>
  </w:footnote>
  <w:footnote w:id="3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JORGE 1986: p. 41.</w:t>
      </w:r>
    </w:p>
  </w:footnote>
  <w:footnote w:id="3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CARDOSO 2008. </w:t>
      </w:r>
    </w:p>
  </w:footnote>
  <w:footnote w:id="3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JORGE 2008: p. 41.</w:t>
      </w:r>
    </w:p>
  </w:footnote>
  <w:footnote w:id="3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SOEIRO 1985-1986: pp. 21-25.</w:t>
      </w:r>
    </w:p>
  </w:footnote>
  <w:footnote w:id="3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JORGE 1991: p. 336.</w:t>
      </w:r>
    </w:p>
  </w:footnote>
  <w:footnote w:id="3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JORGE 1991: p. 338.</w:t>
      </w:r>
    </w:p>
  </w:footnote>
  <w:footnote w:id="36">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BETTENCOURT 1995: p. 112.</w:t>
      </w:r>
    </w:p>
  </w:footnote>
  <w:footnote w:id="37">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CARDOSO e VILAÇA 2008: pp. 41-54.</w:t>
      </w:r>
    </w:p>
  </w:footnote>
  <w:footnote w:id="3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JORGE 1980.</w:t>
      </w:r>
    </w:p>
  </w:footnote>
  <w:footnote w:id="3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Na Historiografia Portuguesa a Idade do Ferro é dividida em duas fases distintas: a fase mais antiga, a I Idade do Ferro ou época Hallstatt, apresenta como cronologia compreendida aproximadamente entre 750 a 450 a. C.; e a II fase da Idade do Ferro que compreende os períodos do meados do século V a. C à conquista romana ou à mudança de era. </w:t>
      </w:r>
    </w:p>
  </w:footnote>
  <w:footnote w:id="40">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PARCERO OUBIÑA 2002.</w:t>
      </w:r>
    </w:p>
  </w:footnote>
  <w:footnote w:id="41">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FONTE 2008: p. 12.</w:t>
      </w:r>
    </w:p>
  </w:footnote>
  <w:footnote w:id="42">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MARTINS 1996: p. 128.</w:t>
      </w:r>
    </w:p>
  </w:footnote>
  <w:footnote w:id="43">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SILVA 1995: p. 519.</w:t>
      </w:r>
    </w:p>
  </w:footnote>
  <w:footnote w:id="44">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SILVA 2007: p. 50.</w:t>
      </w:r>
    </w:p>
  </w:footnote>
  <w:footnote w:id="45">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SILVA 1988: pp. 83-85.</w:t>
      </w:r>
    </w:p>
  </w:footnote>
  <w:footnote w:id="46">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MARTINS 2010: p. 111.</w:t>
      </w:r>
    </w:p>
  </w:footnote>
  <w:footnote w:id="4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MARTINS 2010: p. 113. </w:t>
      </w:r>
    </w:p>
  </w:footnote>
  <w:footnote w:id="4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Inscrição: </w:t>
      </w:r>
      <w:r w:rsidRPr="005219C9">
        <w:rPr>
          <w:rFonts w:ascii="Times New Roman" w:hAnsi="Times New Roman" w:cs="Times New Roman"/>
          <w:i/>
        </w:rPr>
        <w:t xml:space="preserve">Municipia / provinciae / Lusitanie stipe / conlata quae opus / pontis perfecerunt / Igaeditani / Lancienses Oppidani/ Talori/ Interannienses/Colarni / Lancienses Transcudani / Aravi / Meidubrigenses / Arabrigenses / Banienses/ Paesures. </w:t>
      </w:r>
      <w:r w:rsidRPr="005219C9">
        <w:rPr>
          <w:rFonts w:ascii="Times New Roman" w:hAnsi="Times New Roman" w:cs="Times New Roman"/>
        </w:rPr>
        <w:t>Retirado de: ALARCÃO 1988: pp. 31-35.</w:t>
      </w:r>
    </w:p>
  </w:footnote>
  <w:footnote w:id="4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ALARCÃO 1988: p. 21.</w:t>
      </w:r>
    </w:p>
  </w:footnote>
  <w:footnote w:id="50">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SILVA 1986: p. 276.</w:t>
      </w:r>
    </w:p>
  </w:footnote>
  <w:footnote w:id="51">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RODRÍGUEZ COLMENERO 1977: p. 96.</w:t>
      </w:r>
    </w:p>
  </w:footnote>
  <w:footnote w:id="52">
    <w:p w:rsidR="00A55E03" w:rsidRPr="005219C9" w:rsidRDefault="00A55E03" w:rsidP="0011294E">
      <w:pPr>
        <w:jc w:val="both"/>
        <w:rPr>
          <w:rFonts w:ascii="Times New Roman" w:hAnsi="Times New Roman"/>
          <w:i/>
          <w:iCs/>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AMARAL 1993.</w:t>
      </w:r>
    </w:p>
  </w:footnote>
  <w:footnote w:id="53">
    <w:p w:rsidR="00A55E03" w:rsidRPr="005219C9" w:rsidRDefault="00A55E03" w:rsidP="0011294E">
      <w:pPr>
        <w:pStyle w:val="Textodenotaderodap"/>
        <w:jc w:val="both"/>
        <w:rPr>
          <w:rFonts w:ascii="Times New Roman" w:hAnsi="Times New Roman" w:cs="Times New Roman"/>
          <w:i/>
        </w:rPr>
      </w:pPr>
      <w:r w:rsidRPr="005219C9">
        <w:rPr>
          <w:rStyle w:val="Refdenotaderodap"/>
          <w:rFonts w:ascii="Times New Roman" w:hAnsi="Times New Roman" w:cs="Times New Roman"/>
        </w:rPr>
        <w:footnoteRef/>
      </w:r>
      <w:r w:rsidRPr="005219C9">
        <w:rPr>
          <w:rFonts w:ascii="Times New Roman" w:hAnsi="Times New Roman" w:cs="Times New Roman"/>
        </w:rPr>
        <w:t xml:space="preserve"> Inscrição</w:t>
      </w:r>
      <w:r w:rsidRPr="005219C9">
        <w:rPr>
          <w:rFonts w:ascii="Times New Roman" w:hAnsi="Times New Roman" w:cs="Times New Roman"/>
          <w:i/>
        </w:rPr>
        <w:t>: IMP(eratori) CAES (agri) NERVA/TRAIANO AVG(usto) GERM(anico)/ DACICO PONT(ifici) MAX(imo)/ TRIB(unicia) POT(estate) CO(n)S(ule) V(atri) P(ATRIAE)/ AQVIFLAVIENSES/ PONTE LAPIDEVM/ DE SUO F(aciendum) C (uraverunt).</w:t>
      </w:r>
    </w:p>
  </w:footnote>
  <w:footnote w:id="5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ALARCÃO </w:t>
      </w:r>
      <w:r w:rsidRPr="005219C9">
        <w:rPr>
          <w:rFonts w:ascii="Times New Roman" w:hAnsi="Times New Roman" w:cs="Times New Roman"/>
          <w:color w:val="231F20"/>
        </w:rPr>
        <w:t>2001: p. 34.</w:t>
      </w:r>
    </w:p>
  </w:footnote>
  <w:footnote w:id="5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ALARCÃO 2001: </w:t>
      </w:r>
      <w:r w:rsidRPr="005219C9">
        <w:rPr>
          <w:rFonts w:ascii="Times New Roman" w:hAnsi="Times New Roman" w:cs="Times New Roman"/>
          <w:color w:val="231F20"/>
        </w:rPr>
        <w:t>p. 37</w:t>
      </w:r>
      <w:r w:rsidRPr="005219C9">
        <w:rPr>
          <w:rFonts w:ascii="Times New Roman" w:hAnsi="Times New Roman" w:cs="Times New Roman"/>
          <w:i/>
          <w:color w:val="231F20"/>
        </w:rPr>
        <w:t>.</w:t>
      </w:r>
    </w:p>
  </w:footnote>
  <w:footnote w:id="5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ALARCÃO 2001: </w:t>
      </w:r>
      <w:r w:rsidRPr="005219C9">
        <w:rPr>
          <w:rFonts w:ascii="Times New Roman" w:hAnsi="Times New Roman" w:cs="Times New Roman"/>
          <w:color w:val="231F20"/>
        </w:rPr>
        <w:t>p. 39.</w:t>
      </w:r>
    </w:p>
  </w:footnote>
  <w:footnote w:id="5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AMARAL 1993: p. 124.</w:t>
      </w:r>
    </w:p>
  </w:footnote>
  <w:footnote w:id="5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AMARAL 1993: p. 126.</w:t>
      </w:r>
    </w:p>
  </w:footnote>
  <w:footnote w:id="5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313. </w:t>
      </w:r>
    </w:p>
  </w:footnote>
  <w:footnote w:id="6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pp. 135-137.</w:t>
      </w:r>
    </w:p>
  </w:footnote>
  <w:footnote w:id="6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277. </w:t>
      </w:r>
    </w:p>
  </w:footnote>
  <w:footnote w:id="62">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RODRÍGUEZ COLMENERO 1984: pp. 117- 118.</w:t>
      </w:r>
    </w:p>
  </w:footnote>
  <w:footnote w:id="6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286.</w:t>
      </w:r>
    </w:p>
  </w:footnote>
  <w:footnote w:id="6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w:t>
      </w:r>
      <w:r w:rsidRPr="005219C9">
        <w:rPr>
          <w:rFonts w:ascii="Times New Roman" w:hAnsi="Times New Roman" w:cs="Times New Roman"/>
          <w:iCs/>
        </w:rPr>
        <w:t>p</w:t>
      </w:r>
      <w:r w:rsidRPr="005219C9">
        <w:rPr>
          <w:rFonts w:ascii="Times New Roman" w:hAnsi="Times New Roman" w:cs="Times New Roman"/>
          <w:i/>
          <w:iCs/>
        </w:rPr>
        <w:t xml:space="preserve">. </w:t>
      </w:r>
      <w:r w:rsidRPr="005219C9">
        <w:rPr>
          <w:rFonts w:ascii="Times New Roman" w:hAnsi="Times New Roman" w:cs="Times New Roman"/>
        </w:rPr>
        <w:t>139.</w:t>
      </w:r>
    </w:p>
  </w:footnote>
  <w:footnote w:id="6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299.</w:t>
      </w:r>
    </w:p>
  </w:footnote>
  <w:footnote w:id="66">
    <w:p w:rsidR="00A55E03" w:rsidRPr="005219C9" w:rsidRDefault="00A55E03" w:rsidP="0011294E">
      <w:pPr>
        <w:autoSpaceDE w:val="0"/>
        <w:autoSpaceDN w:val="0"/>
        <w:adjustRightInd w:val="0"/>
        <w:jc w:val="both"/>
        <w:rPr>
          <w:rFonts w:ascii="Times New Roman" w:hAnsi="Times New Roman"/>
          <w:i/>
          <w:iCs/>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w:t>
      </w:r>
      <w:r w:rsidRPr="005219C9">
        <w:rPr>
          <w:rFonts w:ascii="Times New Roman" w:hAnsi="Times New Roman"/>
          <w:i/>
          <w:iCs/>
          <w:sz w:val="20"/>
          <w:szCs w:val="20"/>
        </w:rPr>
        <w:t>per illa fonte et per illa carrale antiqua et venit inter Aquatones et ille sauto”.</w:t>
      </w:r>
      <w:r w:rsidRPr="005219C9">
        <w:rPr>
          <w:rFonts w:ascii="Times New Roman" w:hAnsi="Times New Roman"/>
          <w:sz w:val="20"/>
          <w:szCs w:val="20"/>
        </w:rPr>
        <w:t xml:space="preserve">COSTA 1965-1990: doc. 400. p. 88. </w:t>
      </w:r>
    </w:p>
  </w:footnote>
  <w:footnote w:id="6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302.</w:t>
      </w:r>
    </w:p>
  </w:footnote>
  <w:footnote w:id="6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141. </w:t>
      </w:r>
    </w:p>
  </w:footnote>
  <w:footnote w:id="69">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LEMOS e MARTINS 2010: p. 85.</w:t>
      </w:r>
    </w:p>
  </w:footnote>
  <w:footnote w:id="7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142.</w:t>
      </w:r>
    </w:p>
  </w:footnote>
  <w:footnote w:id="7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TABOADA CHIVITE 1945: p. 122-131.</w:t>
      </w:r>
    </w:p>
  </w:footnote>
  <w:footnote w:id="7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w:t>
      </w:r>
      <w:r w:rsidRPr="005219C9">
        <w:rPr>
          <w:rFonts w:ascii="Times New Roman" w:hAnsi="Times New Roman" w:cs="Times New Roman"/>
          <w:iCs/>
        </w:rPr>
        <w:t xml:space="preserve">p. </w:t>
      </w:r>
      <w:r w:rsidRPr="005219C9">
        <w:rPr>
          <w:rFonts w:ascii="Times New Roman" w:hAnsi="Times New Roman" w:cs="Times New Roman"/>
        </w:rPr>
        <w:t>142.</w:t>
      </w:r>
    </w:p>
  </w:footnote>
  <w:footnote w:id="7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144. </w:t>
      </w:r>
    </w:p>
  </w:footnote>
  <w:footnote w:id="7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145. </w:t>
      </w:r>
    </w:p>
  </w:footnote>
  <w:footnote w:id="7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e MARTINS 2010: pp. 88 - 89. </w:t>
      </w:r>
    </w:p>
  </w:footnote>
  <w:footnote w:id="7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153.</w:t>
      </w:r>
    </w:p>
  </w:footnote>
  <w:footnote w:id="7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497.</w:t>
      </w:r>
    </w:p>
  </w:footnote>
  <w:footnote w:id="78">
    <w:p w:rsidR="00A55E03" w:rsidRPr="005219C9" w:rsidRDefault="00A55E03" w:rsidP="0011294E">
      <w:pPr>
        <w:jc w:val="both"/>
        <w:rPr>
          <w:rFonts w:ascii="Times New Roman" w:hAnsi="Times New Roman"/>
          <w:i/>
          <w:iCs/>
          <w:sz w:val="20"/>
          <w:szCs w:val="20"/>
          <w:lang w:val="fr-FR"/>
        </w:rPr>
      </w:pPr>
      <w:r w:rsidRPr="005219C9">
        <w:rPr>
          <w:rStyle w:val="Refdenotaderodap"/>
          <w:rFonts w:ascii="Times New Roman" w:hAnsi="Times New Roman"/>
          <w:sz w:val="20"/>
          <w:szCs w:val="20"/>
        </w:rPr>
        <w:footnoteRef/>
      </w:r>
      <w:r w:rsidRPr="005219C9">
        <w:rPr>
          <w:rFonts w:ascii="Times New Roman" w:hAnsi="Times New Roman"/>
          <w:sz w:val="20"/>
          <w:szCs w:val="20"/>
          <w:lang w:val="fr-FR"/>
        </w:rPr>
        <w:t xml:space="preserve"> TRANOY 1981: p. 273.</w:t>
      </w:r>
    </w:p>
  </w:footnote>
  <w:footnote w:id="79">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TRANOY 1981: p. 281.</w:t>
      </w:r>
    </w:p>
  </w:footnote>
  <w:footnote w:id="80">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TRANOY 1981: p. 311.</w:t>
      </w:r>
    </w:p>
  </w:footnote>
  <w:footnote w:id="81">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TRANOY 1981: p. 318</w:t>
      </w:r>
    </w:p>
  </w:footnote>
  <w:footnote w:id="82">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TRANOY 1981: p. 312.</w:t>
      </w:r>
    </w:p>
  </w:footnote>
  <w:footnote w:id="8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124.</w:t>
      </w:r>
    </w:p>
  </w:footnote>
  <w:footnote w:id="8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CARDOSO 1982: p.</w:t>
      </w:r>
      <w:r w:rsidRPr="005219C9">
        <w:rPr>
          <w:rFonts w:ascii="Times New Roman" w:hAnsi="Times New Roman" w:cs="Times New Roman"/>
        </w:rPr>
        <w:t xml:space="preserve"> 12.</w:t>
      </w:r>
    </w:p>
  </w:footnote>
  <w:footnote w:id="8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CARDOSO 1982: p. 15.</w:t>
      </w:r>
    </w:p>
  </w:footnote>
  <w:footnote w:id="86">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iCs/>
          <w:sz w:val="20"/>
          <w:szCs w:val="20"/>
        </w:rPr>
        <w:t xml:space="preserve"> MATTOSO 1995: p. 135.</w:t>
      </w:r>
    </w:p>
  </w:footnote>
  <w:footnote w:id="87">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iCs/>
          <w:sz w:val="20"/>
          <w:szCs w:val="20"/>
        </w:rPr>
        <w:t xml:space="preserve"> FERNANDES 1997: p.</w:t>
      </w:r>
      <w:r w:rsidRPr="005219C9">
        <w:rPr>
          <w:rFonts w:ascii="Times New Roman" w:hAnsi="Times New Roman"/>
          <w:sz w:val="20"/>
          <w:szCs w:val="20"/>
        </w:rPr>
        <w:t xml:space="preserve"> 100. No Liber Fidei podemos observar no documento 359:</w:t>
      </w:r>
      <w:r w:rsidRPr="005219C9">
        <w:rPr>
          <w:rFonts w:ascii="Times New Roman" w:hAnsi="Times New Roman"/>
          <w:i/>
          <w:sz w:val="20"/>
          <w:szCs w:val="20"/>
        </w:rPr>
        <w:t>” ad civitatem Batocas…por mediatorio de Marius”</w:t>
      </w:r>
      <w:r w:rsidRPr="005219C9">
        <w:rPr>
          <w:rFonts w:ascii="Times New Roman" w:hAnsi="Times New Roman"/>
          <w:sz w:val="20"/>
          <w:szCs w:val="20"/>
        </w:rPr>
        <w:t xml:space="preserve"> e ainda no documento 400, da mesma obra </w:t>
      </w:r>
      <w:r w:rsidRPr="005219C9">
        <w:rPr>
          <w:rFonts w:ascii="Times New Roman" w:hAnsi="Times New Roman"/>
          <w:i/>
          <w:sz w:val="20"/>
          <w:szCs w:val="20"/>
        </w:rPr>
        <w:t>“ ipsa civitalelia de Batoccas…ecclesias de Baroncell”</w:t>
      </w:r>
      <w:r w:rsidRPr="005219C9">
        <w:rPr>
          <w:rFonts w:ascii="Times New Roman" w:hAnsi="Times New Roman"/>
          <w:sz w:val="20"/>
          <w:szCs w:val="20"/>
        </w:rPr>
        <w:t xml:space="preserve">. </w:t>
      </w:r>
    </w:p>
  </w:footnote>
  <w:footnote w:id="88">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GARCIA </w:t>
      </w:r>
      <w:r w:rsidRPr="005219C9">
        <w:rPr>
          <w:rFonts w:ascii="Times New Roman" w:hAnsi="Times New Roman"/>
          <w:iCs/>
          <w:sz w:val="20"/>
          <w:szCs w:val="20"/>
        </w:rPr>
        <w:t>1944: p. 35.</w:t>
      </w:r>
    </w:p>
  </w:footnote>
  <w:footnote w:id="8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168.</w:t>
      </w:r>
    </w:p>
  </w:footnote>
  <w:footnote w:id="90">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GUEDES </w:t>
      </w:r>
      <w:r w:rsidRPr="005219C9">
        <w:rPr>
          <w:rFonts w:ascii="Times New Roman" w:hAnsi="Times New Roman"/>
          <w:iCs/>
          <w:sz w:val="20"/>
          <w:szCs w:val="20"/>
        </w:rPr>
        <w:t>2008 – 2009.</w:t>
      </w:r>
    </w:p>
  </w:footnote>
  <w:footnote w:id="9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MACHADO 1991; SOUSA 1981. </w:t>
      </w:r>
    </w:p>
  </w:footnote>
  <w:footnote w:id="92">
    <w:p w:rsidR="00A55E03" w:rsidRPr="005219C9" w:rsidRDefault="00A55E03" w:rsidP="0011294E">
      <w:pPr>
        <w:tabs>
          <w:tab w:val="left" w:pos="2790"/>
        </w:tabs>
        <w:autoSpaceDE w:val="0"/>
        <w:autoSpaceDN w:val="0"/>
        <w:adjustRightInd w:val="0"/>
        <w:jc w:val="both"/>
        <w:rPr>
          <w:rFonts w:ascii="Times New Roman" w:hAnsi="Times New Roman"/>
          <w:bCs/>
          <w:sz w:val="20"/>
          <w:szCs w:val="20"/>
        </w:rPr>
      </w:pPr>
      <w:r w:rsidRPr="005219C9">
        <w:rPr>
          <w:rStyle w:val="Refdenotaderodap"/>
          <w:rFonts w:ascii="Times New Roman" w:hAnsi="Times New Roman"/>
          <w:sz w:val="20"/>
          <w:szCs w:val="20"/>
        </w:rPr>
        <w:footnoteRef/>
      </w:r>
      <w:r w:rsidRPr="005219C9">
        <w:rPr>
          <w:rFonts w:ascii="Times New Roman" w:hAnsi="Times New Roman"/>
          <w:bCs/>
          <w:sz w:val="20"/>
          <w:szCs w:val="20"/>
        </w:rPr>
        <w:t xml:space="preserve"> SERRANO 2011.</w:t>
      </w:r>
    </w:p>
  </w:footnote>
  <w:footnote w:id="93">
    <w:p w:rsidR="00A55E03" w:rsidRPr="005219C9" w:rsidRDefault="00A55E03" w:rsidP="0011294E">
      <w:pPr>
        <w:tabs>
          <w:tab w:val="left" w:pos="2790"/>
        </w:tabs>
        <w:autoSpaceDE w:val="0"/>
        <w:autoSpaceDN w:val="0"/>
        <w:adjustRightInd w:val="0"/>
        <w:jc w:val="both"/>
        <w:rPr>
          <w:rFonts w:ascii="Times New Roman" w:hAnsi="Times New Roman"/>
          <w:bCs/>
          <w:sz w:val="20"/>
          <w:szCs w:val="20"/>
        </w:rPr>
      </w:pPr>
      <w:r w:rsidRPr="005219C9">
        <w:rPr>
          <w:rStyle w:val="Refdenotaderodap"/>
          <w:rFonts w:ascii="Times New Roman" w:hAnsi="Times New Roman"/>
          <w:sz w:val="20"/>
          <w:szCs w:val="20"/>
        </w:rPr>
        <w:footnoteRef/>
      </w:r>
      <w:r w:rsidRPr="005219C9">
        <w:rPr>
          <w:rFonts w:ascii="Times New Roman" w:hAnsi="Times New Roman"/>
          <w:bCs/>
          <w:sz w:val="20"/>
          <w:szCs w:val="20"/>
        </w:rPr>
        <w:t xml:space="preserve"> CARNEIRO e GOMES 2005: p. 111.  </w:t>
      </w:r>
    </w:p>
  </w:footnote>
  <w:footnote w:id="94">
    <w:p w:rsidR="00A55E03" w:rsidRPr="005219C9" w:rsidRDefault="00A55E03" w:rsidP="0011294E">
      <w:pPr>
        <w:tabs>
          <w:tab w:val="left" w:pos="2790"/>
        </w:tabs>
        <w:autoSpaceDE w:val="0"/>
        <w:autoSpaceDN w:val="0"/>
        <w:adjustRightInd w:val="0"/>
        <w:jc w:val="both"/>
        <w:rPr>
          <w:rFonts w:ascii="Times New Roman" w:hAnsi="Times New Roman"/>
          <w:bCs/>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BARROCA</w:t>
      </w:r>
      <w:r w:rsidRPr="005219C9">
        <w:rPr>
          <w:rFonts w:ascii="Times New Roman" w:hAnsi="Times New Roman"/>
          <w:iCs/>
          <w:sz w:val="20"/>
          <w:szCs w:val="20"/>
        </w:rPr>
        <w:t xml:space="preserve"> 2008-2009: p. 205. Nota. 79.</w:t>
      </w:r>
    </w:p>
  </w:footnote>
  <w:footnote w:id="95">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Sobre este tema ver: </w:t>
      </w:r>
      <w:r w:rsidRPr="005219C9">
        <w:rPr>
          <w:rFonts w:ascii="Times New Roman" w:hAnsi="Times New Roman"/>
          <w:iCs/>
          <w:sz w:val="20"/>
          <w:szCs w:val="20"/>
        </w:rPr>
        <w:t>BARROCA 1987; CASTILLO 1970: p. 835-845.</w:t>
      </w:r>
    </w:p>
  </w:footnote>
  <w:footnote w:id="9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181.</w:t>
      </w:r>
    </w:p>
  </w:footnote>
  <w:footnote w:id="9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BARROCA 1987: p. 140.</w:t>
      </w:r>
    </w:p>
  </w:footnote>
  <w:footnote w:id="9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BARROCA 1987: </w:t>
      </w:r>
      <w:r w:rsidRPr="005219C9">
        <w:rPr>
          <w:rFonts w:ascii="Times New Roman" w:hAnsi="Times New Roman" w:cs="Times New Roman"/>
        </w:rPr>
        <w:t xml:space="preserve">p. 126. </w:t>
      </w:r>
    </w:p>
  </w:footnote>
  <w:footnote w:id="99">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iCs/>
          <w:sz w:val="20"/>
          <w:szCs w:val="20"/>
        </w:rPr>
        <w:t xml:space="preserve"> CASTILLO 1972: p. 19.</w:t>
      </w:r>
    </w:p>
  </w:footnote>
  <w:footnote w:id="10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182.</w:t>
      </w:r>
    </w:p>
  </w:footnote>
  <w:footnote w:id="10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183.</w:t>
      </w:r>
    </w:p>
  </w:footnote>
  <w:footnote w:id="102">
    <w:p w:rsidR="00A55E03" w:rsidRPr="005219C9" w:rsidRDefault="00A55E03" w:rsidP="0011294E">
      <w:pPr>
        <w:pStyle w:val="Textodenotaderodap"/>
        <w:jc w:val="both"/>
        <w:rPr>
          <w:rFonts w:ascii="Times New Roman" w:hAnsi="Times New Roman" w:cs="Times New Roman"/>
          <w:iCs/>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MATTOSO 1992: p. </w:t>
      </w:r>
      <w:r w:rsidRPr="005219C9">
        <w:rPr>
          <w:rFonts w:ascii="Times New Roman" w:hAnsi="Times New Roman" w:cs="Times New Roman"/>
        </w:rPr>
        <w:t xml:space="preserve">131. </w:t>
      </w:r>
    </w:p>
  </w:footnote>
  <w:footnote w:id="10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195.</w:t>
      </w:r>
    </w:p>
  </w:footnote>
  <w:footnote w:id="10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DIAS 1990: p. 40. </w:t>
      </w:r>
    </w:p>
  </w:footnote>
  <w:footnote w:id="10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1990-91: pp. 91-92. </w:t>
      </w:r>
    </w:p>
  </w:footnote>
  <w:footnote w:id="106">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ALMEIDA 1989: pp.38-54.</w:t>
      </w:r>
    </w:p>
  </w:footnote>
  <w:footnote w:id="107">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TEIXEIRA </w:t>
      </w:r>
      <w:r w:rsidRPr="005219C9">
        <w:rPr>
          <w:rFonts w:ascii="Times New Roman" w:hAnsi="Times New Roman"/>
          <w:iCs/>
          <w:sz w:val="20"/>
          <w:szCs w:val="20"/>
        </w:rPr>
        <w:t xml:space="preserve">2008. p. 48. </w:t>
      </w:r>
    </w:p>
  </w:footnote>
  <w:footnote w:id="108">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De acordo com o testemunho de uma escritura do tombo do mosteiro galego de S. Salvador de Celanova, datada de 1 de Outubro de 982, o conde Odoário, “</w:t>
      </w:r>
      <w:r w:rsidRPr="005219C9">
        <w:rPr>
          <w:rFonts w:ascii="Times New Roman" w:hAnsi="Times New Roman"/>
          <w:i/>
          <w:iCs/>
          <w:sz w:val="20"/>
          <w:szCs w:val="20"/>
        </w:rPr>
        <w:t xml:space="preserve">qui venit in civitatem Flavias secus fluvius Tamice, vicos et castella erexit et civitates munivit et villas populavit atque eas certis limitibus firmavit et terminis certis locavit et inter utrosque abitantes divisit et omnia ordinate atque firmate bene cuncta disposuit. Retirado de: </w:t>
      </w:r>
      <w:r w:rsidRPr="005219C9">
        <w:rPr>
          <w:rFonts w:ascii="Times New Roman" w:hAnsi="Times New Roman"/>
          <w:iCs/>
          <w:sz w:val="20"/>
          <w:szCs w:val="20"/>
        </w:rPr>
        <w:t xml:space="preserve">CEMANAS 1995: p. </w:t>
      </w:r>
      <w:r>
        <w:rPr>
          <w:rFonts w:ascii="Times New Roman" w:hAnsi="Times New Roman"/>
          <w:iCs/>
          <w:sz w:val="20"/>
          <w:szCs w:val="20"/>
        </w:rPr>
        <w:t>377,</w:t>
      </w:r>
      <w:r w:rsidRPr="005219C9">
        <w:rPr>
          <w:rFonts w:ascii="Times New Roman" w:hAnsi="Times New Roman"/>
          <w:iCs/>
          <w:sz w:val="20"/>
          <w:szCs w:val="20"/>
        </w:rPr>
        <w:t xml:space="preserve"> doc. 265. </w:t>
      </w:r>
    </w:p>
  </w:footnote>
  <w:footnote w:id="10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2004: p. 183.</w:t>
      </w:r>
    </w:p>
  </w:footnote>
  <w:footnote w:id="11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COSTA 1965-1990: p. 3</w:t>
      </w:r>
      <w:r>
        <w:rPr>
          <w:rFonts w:ascii="Times New Roman" w:hAnsi="Times New Roman" w:cs="Times New Roman"/>
        </w:rPr>
        <w:t>54,</w:t>
      </w:r>
      <w:r w:rsidRPr="005219C9">
        <w:rPr>
          <w:rFonts w:ascii="Times New Roman" w:hAnsi="Times New Roman" w:cs="Times New Roman"/>
        </w:rPr>
        <w:t xml:space="preserve"> doc. 503.</w:t>
      </w:r>
    </w:p>
  </w:footnote>
  <w:footnote w:id="11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2004: p. 183.</w:t>
      </w:r>
    </w:p>
  </w:footnote>
  <w:footnote w:id="112">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COSTA 1965-1990: </w:t>
      </w:r>
      <w:r>
        <w:rPr>
          <w:rFonts w:ascii="Times New Roman" w:hAnsi="Times New Roman"/>
          <w:sz w:val="20"/>
          <w:szCs w:val="20"/>
        </w:rPr>
        <w:t>p. 91,</w:t>
      </w:r>
      <w:r w:rsidRPr="005219C9">
        <w:rPr>
          <w:rFonts w:ascii="Times New Roman" w:hAnsi="Times New Roman"/>
          <w:sz w:val="20"/>
          <w:szCs w:val="20"/>
        </w:rPr>
        <w:t xml:space="preserve"> doc.</w:t>
      </w:r>
      <w:r>
        <w:rPr>
          <w:rFonts w:ascii="Times New Roman" w:hAnsi="Times New Roman"/>
          <w:sz w:val="20"/>
          <w:szCs w:val="20"/>
        </w:rPr>
        <w:t xml:space="preserve"> 360.;</w:t>
      </w:r>
      <w:r w:rsidRPr="005219C9">
        <w:rPr>
          <w:rFonts w:ascii="Times New Roman" w:hAnsi="Times New Roman"/>
          <w:sz w:val="20"/>
          <w:szCs w:val="20"/>
        </w:rPr>
        <w:t xml:space="preserve"> p.41</w:t>
      </w:r>
      <w:r>
        <w:rPr>
          <w:rFonts w:ascii="Times New Roman" w:hAnsi="Times New Roman"/>
          <w:sz w:val="20"/>
          <w:szCs w:val="20"/>
        </w:rPr>
        <w:t>,</w:t>
      </w:r>
      <w:r w:rsidRPr="005219C9">
        <w:rPr>
          <w:rFonts w:ascii="Times New Roman" w:hAnsi="Times New Roman"/>
          <w:sz w:val="20"/>
          <w:szCs w:val="20"/>
        </w:rPr>
        <w:t xml:space="preserve"> doc. 398.</w:t>
      </w:r>
      <w:r>
        <w:rPr>
          <w:rFonts w:ascii="Times New Roman" w:hAnsi="Times New Roman"/>
          <w:sz w:val="20"/>
          <w:szCs w:val="20"/>
        </w:rPr>
        <w:t>;</w:t>
      </w:r>
      <w:r w:rsidRPr="005219C9">
        <w:rPr>
          <w:rFonts w:ascii="Times New Roman" w:hAnsi="Times New Roman"/>
          <w:sz w:val="20"/>
          <w:szCs w:val="20"/>
        </w:rPr>
        <w:t xml:space="preserve"> </w:t>
      </w:r>
      <w:r>
        <w:rPr>
          <w:rFonts w:ascii="Times New Roman" w:hAnsi="Times New Roman"/>
          <w:sz w:val="20"/>
          <w:szCs w:val="20"/>
        </w:rPr>
        <w:t>p. 136,</w:t>
      </w:r>
      <w:r w:rsidRPr="005219C9">
        <w:rPr>
          <w:rFonts w:ascii="Times New Roman" w:hAnsi="Times New Roman"/>
          <w:sz w:val="20"/>
          <w:szCs w:val="20"/>
        </w:rPr>
        <w:t xml:space="preserve"> doc., 401.</w:t>
      </w:r>
    </w:p>
  </w:footnote>
  <w:footnote w:id="11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COSTA 1965-1990: </w:t>
      </w:r>
      <w:r>
        <w:rPr>
          <w:rFonts w:ascii="Times New Roman" w:hAnsi="Times New Roman" w:cs="Times New Roman"/>
        </w:rPr>
        <w:t>p. 330, doc. 159.; p. 186,</w:t>
      </w:r>
      <w:r w:rsidRPr="005219C9">
        <w:rPr>
          <w:rFonts w:ascii="Times New Roman" w:hAnsi="Times New Roman" w:cs="Times New Roman"/>
        </w:rPr>
        <w:t xml:space="preserve"> doc.</w:t>
      </w:r>
      <w:r>
        <w:rPr>
          <w:rFonts w:ascii="Times New Roman" w:hAnsi="Times New Roman" w:cs="Times New Roman"/>
        </w:rPr>
        <w:t>,</w:t>
      </w:r>
      <w:r w:rsidRPr="005219C9">
        <w:rPr>
          <w:rFonts w:ascii="Times New Roman" w:hAnsi="Times New Roman" w:cs="Times New Roman"/>
        </w:rPr>
        <w:t xml:space="preserve"> 297.</w:t>
      </w:r>
    </w:p>
  </w:footnote>
  <w:footnote w:id="11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Pr>
          <w:rFonts w:ascii="Times New Roman" w:hAnsi="Times New Roman" w:cs="Times New Roman"/>
        </w:rPr>
        <w:t xml:space="preserve"> COSTA 1965-1990: p. 99,</w:t>
      </w:r>
      <w:r w:rsidRPr="005219C9">
        <w:rPr>
          <w:rFonts w:ascii="Times New Roman" w:hAnsi="Times New Roman" w:cs="Times New Roman"/>
        </w:rPr>
        <w:t xml:space="preserve"> doc., 412. </w:t>
      </w:r>
    </w:p>
  </w:footnote>
  <w:footnote w:id="11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Pr>
          <w:rFonts w:ascii="Times New Roman" w:hAnsi="Times New Roman" w:cs="Times New Roman"/>
        </w:rPr>
        <w:t xml:space="preserve"> COSTA 1965-1990: p. 88,</w:t>
      </w:r>
      <w:r w:rsidRPr="005219C9">
        <w:rPr>
          <w:rFonts w:ascii="Times New Roman" w:hAnsi="Times New Roman" w:cs="Times New Roman"/>
        </w:rPr>
        <w:t xml:space="preserve"> doc., 400.</w:t>
      </w:r>
    </w:p>
  </w:footnote>
  <w:footnote w:id="116">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TEIXEIRA 1996: p. 195.</w:t>
      </w:r>
    </w:p>
  </w:footnote>
  <w:footnote w:id="11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1990-91: pp. 115-119.</w:t>
      </w:r>
    </w:p>
  </w:footnote>
  <w:footnote w:id="118">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MATTOSO 1982: pp. 243-244.</w:t>
      </w:r>
    </w:p>
  </w:footnote>
  <w:footnote w:id="11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1990-91: p. 115-116.</w:t>
      </w:r>
    </w:p>
  </w:footnote>
  <w:footnote w:id="12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2008: p. 50.</w:t>
      </w:r>
    </w:p>
  </w:footnote>
  <w:footnote w:id="12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w:t>
      </w:r>
      <w:r w:rsidRPr="005219C9">
        <w:rPr>
          <w:rFonts w:ascii="Times New Roman" w:hAnsi="Times New Roman" w:cs="Times New Roman"/>
          <w:iCs/>
        </w:rPr>
        <w:t>p. 51.</w:t>
      </w:r>
    </w:p>
  </w:footnote>
  <w:footnote w:id="12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DIAS 1990: p. 42. </w:t>
      </w:r>
    </w:p>
  </w:footnote>
  <w:footnote w:id="12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COSTA, 1965-1990: p. 39, doc. 359.</w:t>
      </w:r>
    </w:p>
  </w:footnote>
  <w:footnote w:id="12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COSTA, 1965-1990: p. 84, doc. 397.</w:t>
      </w:r>
    </w:p>
  </w:footnote>
  <w:footnote w:id="125">
    <w:p w:rsidR="00A55E03" w:rsidRPr="00146FF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COSTA</w:t>
      </w:r>
      <w:r>
        <w:rPr>
          <w:rFonts w:ascii="Times New Roman" w:hAnsi="Times New Roman"/>
          <w:sz w:val="20"/>
          <w:szCs w:val="20"/>
        </w:rPr>
        <w:t>, 1965-1990: p. 88, doc. 400.</w:t>
      </w:r>
    </w:p>
  </w:footnote>
  <w:footnote w:id="126">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COSTA1965-1990: p. 340, doc. 542.</w:t>
      </w:r>
    </w:p>
  </w:footnote>
  <w:footnote w:id="12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COSTA 1965-1990: p. 333, doc. 534.</w:t>
      </w:r>
    </w:p>
  </w:footnote>
  <w:footnote w:id="128">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COSTA1965-1990: p. 364, doc. 566.</w:t>
      </w:r>
    </w:p>
  </w:footnote>
  <w:footnote w:id="12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COSTA1965-1990: p. 285, doc. 490. </w:t>
      </w:r>
    </w:p>
  </w:footnote>
  <w:footnote w:id="13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As primeiras referências a este tipo de organização do espaço: MERÊA e GIRÃO 1948.</w:t>
      </w:r>
    </w:p>
  </w:footnote>
  <w:footnote w:id="131">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BARROCA 2003: p. 69.</w:t>
      </w:r>
    </w:p>
  </w:footnote>
  <w:footnote w:id="13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SOARES 1942: p. 195.</w:t>
      </w:r>
    </w:p>
  </w:footnote>
  <w:footnote w:id="133">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MACHADO 1994: p. 227. </w:t>
      </w:r>
    </w:p>
  </w:footnote>
  <w:footnote w:id="134">
    <w:p w:rsidR="00A55E03" w:rsidRPr="005219C9" w:rsidRDefault="00A55E03" w:rsidP="0011294E">
      <w:pPr>
        <w:pStyle w:val="Textodenotaderodap"/>
        <w:jc w:val="both"/>
        <w:rPr>
          <w:rFonts w:ascii="Times New Roman" w:hAnsi="Times New Roman" w:cs="Times New Roman"/>
          <w:color w:val="FF0000"/>
        </w:rPr>
      </w:pPr>
      <w:r w:rsidRPr="005219C9">
        <w:rPr>
          <w:rStyle w:val="Refdenotaderodap"/>
          <w:rFonts w:ascii="Times New Roman" w:hAnsi="Times New Roman" w:cs="Times New Roman"/>
        </w:rPr>
        <w:footnoteRef/>
      </w:r>
      <w:r w:rsidRPr="005219C9">
        <w:rPr>
          <w:rFonts w:ascii="Times New Roman" w:hAnsi="Times New Roman" w:cs="Times New Roman"/>
        </w:rPr>
        <w:t xml:space="preserve"> GEPB vol. XXXI: p. 436.</w:t>
      </w:r>
    </w:p>
  </w:footnote>
  <w:footnote w:id="135">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ALMEIDA 1978: pp. 25-26; BARROCA 1994: p. 119.</w:t>
      </w:r>
    </w:p>
  </w:footnote>
  <w:footnote w:id="13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2003: p. 75.</w:t>
      </w:r>
    </w:p>
  </w:footnote>
  <w:footnote w:id="13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1994: p. 120.</w:t>
      </w:r>
    </w:p>
  </w:footnote>
  <w:footnote w:id="13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GEPB</w:t>
      </w:r>
      <w:r w:rsidRPr="005219C9">
        <w:rPr>
          <w:rFonts w:ascii="Times New Roman" w:hAnsi="Times New Roman" w:cs="Times New Roman"/>
        </w:rPr>
        <w:t xml:space="preserve"> vol. XXXI: p. 436.</w:t>
      </w:r>
    </w:p>
  </w:footnote>
  <w:footnote w:id="13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2003: pp. 72-75.</w:t>
      </w:r>
    </w:p>
  </w:footnote>
  <w:footnote w:id="14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1994: p. 119.</w:t>
      </w:r>
    </w:p>
  </w:footnote>
  <w:footnote w:id="14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2003: p. 77.</w:t>
      </w:r>
    </w:p>
  </w:footnote>
  <w:footnote w:id="142">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i/>
          <w:sz w:val="20"/>
          <w:szCs w:val="20"/>
        </w:rPr>
        <w:t xml:space="preserve"> Chancelaria de Afonso III </w:t>
      </w:r>
      <w:r w:rsidRPr="005219C9">
        <w:rPr>
          <w:rFonts w:ascii="Times New Roman" w:hAnsi="Times New Roman"/>
          <w:sz w:val="20"/>
          <w:szCs w:val="20"/>
        </w:rPr>
        <w:t>2006: doc. 9.</w:t>
      </w:r>
    </w:p>
  </w:footnote>
  <w:footnote w:id="14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BARROS 1945-1954: p. 123. </w:t>
      </w:r>
    </w:p>
  </w:footnote>
  <w:footnote w:id="144">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iCs/>
          <w:sz w:val="20"/>
          <w:szCs w:val="20"/>
        </w:rPr>
        <w:t xml:space="preserve"> GOMES</w:t>
      </w:r>
      <w:r w:rsidRPr="005219C9">
        <w:rPr>
          <w:rFonts w:ascii="Times New Roman" w:hAnsi="Times New Roman"/>
          <w:sz w:val="20"/>
          <w:szCs w:val="20"/>
        </w:rPr>
        <w:t xml:space="preserve"> 2007: p. 267.</w:t>
      </w:r>
    </w:p>
  </w:footnote>
  <w:footnote w:id="14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SOARES 1963: p. 552.</w:t>
      </w:r>
    </w:p>
  </w:footnote>
  <w:footnote w:id="14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SOARES 1963: pp. 552-554.</w:t>
      </w:r>
    </w:p>
  </w:footnote>
  <w:footnote w:id="147">
    <w:p w:rsidR="00A55E03" w:rsidRPr="005219C9" w:rsidRDefault="00A55E03" w:rsidP="0011294E">
      <w:pPr>
        <w:autoSpaceDE w:val="0"/>
        <w:autoSpaceDN w:val="0"/>
        <w:adjustRightInd w:val="0"/>
        <w:jc w:val="both"/>
        <w:rPr>
          <w:rFonts w:ascii="Times New Roman" w:hAnsi="Times New Roman"/>
          <w:i/>
          <w:iCs/>
          <w:sz w:val="20"/>
          <w:szCs w:val="20"/>
        </w:rPr>
      </w:pPr>
      <w:r w:rsidRPr="005219C9">
        <w:rPr>
          <w:rStyle w:val="Refdenotaderodap"/>
          <w:rFonts w:ascii="Times New Roman" w:hAnsi="Times New Roman"/>
        </w:rPr>
        <w:footnoteRef/>
      </w:r>
      <w:r w:rsidRPr="005219C9">
        <w:rPr>
          <w:rFonts w:ascii="Times New Roman" w:hAnsi="Times New Roman"/>
          <w:sz w:val="20"/>
          <w:szCs w:val="20"/>
        </w:rPr>
        <w:t xml:space="preserve"> PIZARRO 2013: p. 286. </w:t>
      </w:r>
    </w:p>
  </w:footnote>
  <w:footnote w:id="14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MATTOSO 1995: p. 121.</w:t>
      </w:r>
    </w:p>
  </w:footnote>
  <w:footnote w:id="14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VENTURA 2006: p. 118.</w:t>
      </w:r>
    </w:p>
  </w:footnote>
  <w:footnote w:id="150">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rPr>
        <w:footnoteRef/>
      </w:r>
      <w:r w:rsidRPr="005219C9">
        <w:rPr>
          <w:rFonts w:ascii="Times New Roman" w:hAnsi="Times New Roman"/>
          <w:sz w:val="20"/>
          <w:szCs w:val="20"/>
        </w:rPr>
        <w:t xml:space="preserve"> VENTURA 1995: p. 553-554.</w:t>
      </w:r>
    </w:p>
  </w:footnote>
  <w:footnote w:id="151">
    <w:p w:rsidR="00A55E03" w:rsidRPr="005219C9" w:rsidRDefault="00A55E03" w:rsidP="0011294E">
      <w:pPr>
        <w:jc w:val="both"/>
        <w:rPr>
          <w:rFonts w:ascii="Times New Roman" w:hAnsi="Times New Roman"/>
          <w:bCs/>
          <w:iCs/>
          <w:sz w:val="20"/>
          <w:szCs w:val="20"/>
        </w:rPr>
      </w:pPr>
      <w:r w:rsidRPr="005219C9">
        <w:rPr>
          <w:rStyle w:val="Refdenotaderodap"/>
          <w:rFonts w:ascii="Times New Roman" w:hAnsi="Times New Roman"/>
        </w:rPr>
        <w:footnoteRef/>
      </w:r>
      <w:r>
        <w:rPr>
          <w:rFonts w:ascii="Times New Roman" w:hAnsi="Times New Roman"/>
          <w:bCs/>
          <w:iCs/>
          <w:sz w:val="20"/>
          <w:szCs w:val="20"/>
        </w:rPr>
        <w:t xml:space="preserve"> </w:t>
      </w:r>
      <w:r w:rsidRPr="005219C9">
        <w:rPr>
          <w:rFonts w:ascii="Times New Roman" w:hAnsi="Times New Roman"/>
          <w:bCs/>
          <w:iCs/>
          <w:sz w:val="20"/>
          <w:szCs w:val="20"/>
        </w:rPr>
        <w:t>Teixeira 1996: p.212, nota 156.</w:t>
      </w:r>
    </w:p>
  </w:footnote>
  <w:footnote w:id="15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Pr>
          <w:rFonts w:ascii="Times New Roman" w:hAnsi="Times New Roman" w:cs="Times New Roman"/>
        </w:rPr>
        <w:t xml:space="preserve"> </w:t>
      </w:r>
      <w:r w:rsidRPr="005219C9">
        <w:rPr>
          <w:rFonts w:ascii="Times New Roman" w:hAnsi="Times New Roman" w:cs="Times New Roman"/>
        </w:rPr>
        <w:t xml:space="preserve">MAURÍCIO 1997: pp. 226-227. </w:t>
      </w:r>
    </w:p>
  </w:footnote>
  <w:footnote w:id="153">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Pr>
          <w:rFonts w:ascii="Times New Roman" w:hAnsi="Times New Roman" w:cs="Times New Roman"/>
        </w:rPr>
        <w:t xml:space="preserve"> </w:t>
      </w:r>
      <w:r w:rsidRPr="005219C9">
        <w:rPr>
          <w:rFonts w:ascii="Times New Roman" w:hAnsi="Times New Roman" w:cs="Times New Roman"/>
        </w:rPr>
        <w:t xml:space="preserve">PMH – </w:t>
      </w:r>
      <w:r w:rsidRPr="005219C9">
        <w:rPr>
          <w:rFonts w:ascii="Times New Roman" w:hAnsi="Times New Roman" w:cs="Times New Roman"/>
          <w:i/>
          <w:lang w:val="fr-FR"/>
        </w:rPr>
        <w:t>Inquisitiones</w:t>
      </w:r>
      <w:r w:rsidRPr="00A84131">
        <w:rPr>
          <w:rFonts w:ascii="Times New Roman" w:hAnsi="Times New Roman" w:cs="Times New Roman"/>
          <w:lang w:val="fr-FR"/>
        </w:rPr>
        <w:t>:</w:t>
      </w:r>
      <w:r w:rsidRPr="005219C9">
        <w:rPr>
          <w:rFonts w:ascii="Times New Roman" w:hAnsi="Times New Roman" w:cs="Times New Roman"/>
          <w:i/>
          <w:lang w:val="fr-FR"/>
        </w:rPr>
        <w:t xml:space="preserve"> </w:t>
      </w:r>
      <w:r w:rsidRPr="005219C9">
        <w:rPr>
          <w:rFonts w:ascii="Times New Roman" w:hAnsi="Times New Roman" w:cs="Times New Roman"/>
          <w:lang w:val="fr-FR"/>
        </w:rPr>
        <w:t>p.1344.</w:t>
      </w:r>
    </w:p>
  </w:footnote>
  <w:footnote w:id="154">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2814A3">
        <w:rPr>
          <w:rFonts w:ascii="Times New Roman" w:hAnsi="Times New Roman" w:cs="Times New Roman"/>
        </w:rPr>
        <w:t xml:space="preserve"> PMH – </w:t>
      </w:r>
      <w:r w:rsidRPr="005219C9">
        <w:rPr>
          <w:rFonts w:ascii="Times New Roman" w:hAnsi="Times New Roman" w:cs="Times New Roman"/>
          <w:i/>
          <w:lang w:val="fr-FR"/>
        </w:rPr>
        <w:t>Inquisitiones</w:t>
      </w:r>
      <w:r w:rsidRPr="00A84131">
        <w:rPr>
          <w:rFonts w:ascii="Times New Roman" w:hAnsi="Times New Roman" w:cs="Times New Roman"/>
          <w:lang w:val="fr-FR"/>
        </w:rPr>
        <w:t>:</w:t>
      </w:r>
      <w:r w:rsidRPr="005219C9">
        <w:rPr>
          <w:rFonts w:ascii="Times New Roman" w:hAnsi="Times New Roman" w:cs="Times New Roman"/>
          <w:i/>
          <w:lang w:val="fr-FR"/>
        </w:rPr>
        <w:t xml:space="preserve"> </w:t>
      </w:r>
      <w:r w:rsidRPr="005219C9">
        <w:rPr>
          <w:rFonts w:ascii="Times New Roman" w:hAnsi="Times New Roman" w:cs="Times New Roman"/>
          <w:lang w:val="fr-FR"/>
        </w:rPr>
        <w:t>pp. 1345-1346.</w:t>
      </w:r>
    </w:p>
  </w:footnote>
  <w:footnote w:id="155">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2814A3">
        <w:rPr>
          <w:rFonts w:ascii="Times New Roman" w:hAnsi="Times New Roman" w:cs="Times New Roman"/>
        </w:rPr>
        <w:t xml:space="preserve"> PMH – </w:t>
      </w:r>
      <w:r w:rsidRPr="005219C9">
        <w:rPr>
          <w:rFonts w:ascii="Times New Roman" w:hAnsi="Times New Roman" w:cs="Times New Roman"/>
          <w:i/>
          <w:lang w:val="fr-FR"/>
        </w:rPr>
        <w:t>Inquisitiones</w:t>
      </w:r>
      <w:r w:rsidRPr="00A84131">
        <w:rPr>
          <w:rFonts w:ascii="Times New Roman" w:hAnsi="Times New Roman" w:cs="Times New Roman"/>
          <w:lang w:val="fr-FR"/>
        </w:rPr>
        <w:t>:</w:t>
      </w:r>
      <w:r w:rsidRPr="005219C9">
        <w:rPr>
          <w:rFonts w:ascii="Times New Roman" w:hAnsi="Times New Roman" w:cs="Times New Roman"/>
          <w:i/>
          <w:lang w:val="fr-FR"/>
        </w:rPr>
        <w:t xml:space="preserve"> </w:t>
      </w:r>
      <w:r w:rsidRPr="005219C9">
        <w:rPr>
          <w:rFonts w:ascii="Times New Roman" w:hAnsi="Times New Roman" w:cs="Times New Roman"/>
          <w:lang w:val="fr-FR"/>
        </w:rPr>
        <w:t>p. 1347.</w:t>
      </w:r>
    </w:p>
  </w:footnote>
  <w:footnote w:id="156">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rPr>
        <w:t xml:space="preserve"> PMH – </w:t>
      </w:r>
      <w:r w:rsidRPr="005219C9">
        <w:rPr>
          <w:rFonts w:ascii="Times New Roman" w:hAnsi="Times New Roman" w:cs="Times New Roman"/>
          <w:i/>
          <w:lang w:val="fr-FR"/>
        </w:rPr>
        <w:t>Inquisitiones</w:t>
      </w:r>
      <w:r w:rsidRPr="00A84131">
        <w:rPr>
          <w:rFonts w:ascii="Times New Roman" w:hAnsi="Times New Roman" w:cs="Times New Roman"/>
          <w:lang w:val="fr-FR"/>
        </w:rPr>
        <w:t>:</w:t>
      </w:r>
      <w:r w:rsidRPr="005219C9">
        <w:rPr>
          <w:rFonts w:ascii="Times New Roman" w:hAnsi="Times New Roman" w:cs="Times New Roman"/>
          <w:i/>
          <w:lang w:val="fr-FR"/>
        </w:rPr>
        <w:t xml:space="preserve"> </w:t>
      </w:r>
      <w:r w:rsidRPr="005219C9">
        <w:rPr>
          <w:rFonts w:ascii="Times New Roman" w:hAnsi="Times New Roman" w:cs="Times New Roman"/>
          <w:lang w:val="fr-FR"/>
        </w:rPr>
        <w:t>p. 1348.</w:t>
      </w:r>
    </w:p>
  </w:footnote>
  <w:footnote w:id="157">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rPr>
        <w:t xml:space="preserve"> PMH – </w:t>
      </w:r>
      <w:r w:rsidRPr="005219C9">
        <w:rPr>
          <w:rFonts w:ascii="Times New Roman" w:hAnsi="Times New Roman" w:cs="Times New Roman"/>
          <w:i/>
          <w:lang w:val="fr-FR"/>
        </w:rPr>
        <w:t>Inquisitiones</w:t>
      </w:r>
      <w:r w:rsidRPr="00A84131">
        <w:rPr>
          <w:rFonts w:ascii="Times New Roman" w:hAnsi="Times New Roman" w:cs="Times New Roman"/>
          <w:lang w:val="fr-FR"/>
        </w:rPr>
        <w:t>:</w:t>
      </w:r>
      <w:r w:rsidRPr="005219C9">
        <w:rPr>
          <w:rFonts w:ascii="Times New Roman" w:hAnsi="Times New Roman" w:cs="Times New Roman"/>
          <w:i/>
          <w:lang w:val="fr-FR"/>
        </w:rPr>
        <w:t xml:space="preserve"> </w:t>
      </w:r>
      <w:r w:rsidRPr="005219C9">
        <w:rPr>
          <w:rFonts w:ascii="Times New Roman" w:hAnsi="Times New Roman" w:cs="Times New Roman"/>
          <w:lang w:val="fr-FR"/>
        </w:rPr>
        <w:t>p. 1349.</w:t>
      </w:r>
    </w:p>
  </w:footnote>
  <w:footnote w:id="158">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rPr>
        <w:footnoteRef/>
      </w:r>
      <w:r w:rsidRPr="005219C9">
        <w:rPr>
          <w:rFonts w:ascii="Times New Roman" w:hAnsi="Times New Roman"/>
          <w:sz w:val="20"/>
          <w:szCs w:val="20"/>
        </w:rPr>
        <w:t xml:space="preserve"> COSTA 1993: p. 74.  </w:t>
      </w:r>
    </w:p>
  </w:footnote>
  <w:footnote w:id="15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COSTA 1993: </w:t>
      </w:r>
      <w:r w:rsidRPr="005219C9">
        <w:rPr>
          <w:rFonts w:ascii="Times New Roman" w:hAnsi="Times New Roman" w:cs="Times New Roman"/>
          <w:iCs/>
        </w:rPr>
        <w:t>p. 75.</w:t>
      </w:r>
    </w:p>
  </w:footnote>
  <w:footnote w:id="160">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rPr>
        <w:t xml:space="preserve"> PMH – </w:t>
      </w:r>
      <w:r w:rsidRPr="005219C9">
        <w:rPr>
          <w:rFonts w:ascii="Times New Roman" w:hAnsi="Times New Roman" w:cs="Times New Roman"/>
          <w:i/>
          <w:lang w:val="fr-FR"/>
        </w:rPr>
        <w:t>Inquisitiones</w:t>
      </w:r>
      <w:r w:rsidRPr="00A84131">
        <w:rPr>
          <w:rFonts w:ascii="Times New Roman" w:hAnsi="Times New Roman" w:cs="Times New Roman"/>
          <w:lang w:val="fr-FR"/>
        </w:rPr>
        <w:t>:</w:t>
      </w:r>
      <w:r w:rsidRPr="005219C9">
        <w:rPr>
          <w:rFonts w:ascii="Times New Roman" w:hAnsi="Times New Roman" w:cs="Times New Roman"/>
          <w:i/>
          <w:lang w:val="fr-FR"/>
        </w:rPr>
        <w:t xml:space="preserve"> </w:t>
      </w:r>
      <w:r w:rsidRPr="005219C9">
        <w:rPr>
          <w:rFonts w:ascii="Times New Roman" w:hAnsi="Times New Roman" w:cs="Times New Roman"/>
          <w:lang w:val="fr-FR"/>
        </w:rPr>
        <w:t>p. 1345.</w:t>
      </w:r>
    </w:p>
  </w:footnote>
  <w:footnote w:id="161">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PMH – </w:t>
      </w:r>
      <w:r w:rsidRPr="005219C9">
        <w:rPr>
          <w:rFonts w:ascii="Times New Roman" w:hAnsi="Times New Roman" w:cs="Times New Roman"/>
          <w:i/>
          <w:lang w:val="fr-FR"/>
        </w:rPr>
        <w:t>Inquisitiones</w:t>
      </w:r>
      <w:r w:rsidRPr="00A84131">
        <w:rPr>
          <w:rFonts w:ascii="Times New Roman" w:hAnsi="Times New Roman" w:cs="Times New Roman"/>
          <w:lang w:val="fr-FR"/>
        </w:rPr>
        <w:t xml:space="preserve">: </w:t>
      </w:r>
      <w:r w:rsidRPr="005219C9">
        <w:rPr>
          <w:rFonts w:ascii="Times New Roman" w:hAnsi="Times New Roman" w:cs="Times New Roman"/>
          <w:lang w:val="fr-FR"/>
        </w:rPr>
        <w:t>p. 1346.</w:t>
      </w:r>
    </w:p>
  </w:footnote>
  <w:footnote w:id="162">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PMH – </w:t>
      </w:r>
      <w:r w:rsidRPr="005219C9">
        <w:rPr>
          <w:rFonts w:ascii="Times New Roman" w:hAnsi="Times New Roman" w:cs="Times New Roman"/>
          <w:i/>
          <w:lang w:val="fr-FR"/>
        </w:rPr>
        <w:t>Inquisitiones</w:t>
      </w:r>
      <w:r w:rsidRPr="00A84131">
        <w:rPr>
          <w:rFonts w:ascii="Times New Roman" w:hAnsi="Times New Roman" w:cs="Times New Roman"/>
          <w:lang w:val="fr-FR"/>
        </w:rPr>
        <w:t>:</w:t>
      </w:r>
      <w:r w:rsidRPr="005219C9">
        <w:rPr>
          <w:rFonts w:ascii="Times New Roman" w:hAnsi="Times New Roman" w:cs="Times New Roman"/>
          <w:i/>
          <w:lang w:val="fr-FR"/>
        </w:rPr>
        <w:t xml:space="preserve"> </w:t>
      </w:r>
      <w:r w:rsidRPr="005219C9">
        <w:rPr>
          <w:rFonts w:ascii="Times New Roman" w:hAnsi="Times New Roman" w:cs="Times New Roman"/>
          <w:lang w:val="fr-FR"/>
        </w:rPr>
        <w:t>p. 1347.</w:t>
      </w:r>
    </w:p>
  </w:footnote>
  <w:footnote w:id="163">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PMH – </w:t>
      </w:r>
      <w:r w:rsidRPr="005219C9">
        <w:rPr>
          <w:rFonts w:ascii="Times New Roman" w:hAnsi="Times New Roman" w:cs="Times New Roman"/>
          <w:i/>
          <w:lang w:val="fr-FR"/>
        </w:rPr>
        <w:t>Inquisitiones</w:t>
      </w:r>
      <w:r w:rsidRPr="00A84131">
        <w:rPr>
          <w:rFonts w:ascii="Times New Roman" w:hAnsi="Times New Roman" w:cs="Times New Roman"/>
          <w:lang w:val="fr-FR"/>
        </w:rPr>
        <w:t>:</w:t>
      </w:r>
      <w:r w:rsidRPr="005219C9">
        <w:rPr>
          <w:rFonts w:ascii="Times New Roman" w:hAnsi="Times New Roman" w:cs="Times New Roman"/>
          <w:i/>
          <w:lang w:val="fr-FR"/>
        </w:rPr>
        <w:t xml:space="preserve"> </w:t>
      </w:r>
      <w:r w:rsidRPr="005219C9">
        <w:rPr>
          <w:rFonts w:ascii="Times New Roman" w:hAnsi="Times New Roman" w:cs="Times New Roman"/>
          <w:lang w:val="fr-FR"/>
        </w:rPr>
        <w:t>p. 1349.</w:t>
      </w:r>
    </w:p>
  </w:footnote>
  <w:footnote w:id="164">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MATTOSO 1995: p. 72. </w:t>
      </w:r>
    </w:p>
  </w:footnote>
  <w:footnote w:id="165">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MATTOSO 1995: p. 72.</w:t>
      </w:r>
    </w:p>
  </w:footnote>
  <w:footnote w:id="166">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PMH – </w:t>
      </w:r>
      <w:r w:rsidRPr="005219C9">
        <w:rPr>
          <w:rFonts w:ascii="Times New Roman" w:hAnsi="Times New Roman" w:cs="Times New Roman"/>
          <w:i/>
          <w:lang w:val="fr-FR"/>
        </w:rPr>
        <w:t xml:space="preserve">Inquisitiones: </w:t>
      </w:r>
      <w:r w:rsidRPr="005219C9">
        <w:rPr>
          <w:rFonts w:ascii="Times New Roman" w:hAnsi="Times New Roman" w:cs="Times New Roman"/>
          <w:lang w:val="fr-FR"/>
        </w:rPr>
        <w:t xml:space="preserve">p. 1344. </w:t>
      </w:r>
    </w:p>
  </w:footnote>
  <w:footnote w:id="167">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PMH – </w:t>
      </w:r>
      <w:r w:rsidRPr="005219C9">
        <w:rPr>
          <w:rFonts w:ascii="Times New Roman" w:hAnsi="Times New Roman" w:cs="Times New Roman"/>
          <w:i/>
          <w:lang w:val="fr-FR"/>
        </w:rPr>
        <w:t xml:space="preserve">Inquisitiones: </w:t>
      </w:r>
      <w:r w:rsidRPr="005219C9">
        <w:rPr>
          <w:rFonts w:ascii="Times New Roman" w:hAnsi="Times New Roman" w:cs="Times New Roman"/>
          <w:lang w:val="fr-FR"/>
        </w:rPr>
        <w:t>p. 1346.</w:t>
      </w:r>
    </w:p>
  </w:footnote>
  <w:footnote w:id="168">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PMH – </w:t>
      </w:r>
      <w:r w:rsidRPr="005219C9">
        <w:rPr>
          <w:rFonts w:ascii="Times New Roman" w:hAnsi="Times New Roman" w:cs="Times New Roman"/>
          <w:i/>
          <w:lang w:val="fr-FR"/>
        </w:rPr>
        <w:t xml:space="preserve">Inquisitiones: </w:t>
      </w:r>
      <w:r w:rsidRPr="005219C9">
        <w:rPr>
          <w:rFonts w:ascii="Times New Roman" w:hAnsi="Times New Roman" w:cs="Times New Roman"/>
          <w:lang w:val="fr-FR"/>
        </w:rPr>
        <w:t>p. 1447.</w:t>
      </w:r>
    </w:p>
  </w:footnote>
  <w:footnote w:id="169">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PMH – </w:t>
      </w:r>
      <w:r w:rsidRPr="005219C9">
        <w:rPr>
          <w:rFonts w:ascii="Times New Roman" w:hAnsi="Times New Roman" w:cs="Times New Roman"/>
          <w:i/>
          <w:lang w:val="fr-FR"/>
        </w:rPr>
        <w:t xml:space="preserve">Inquisitiones: </w:t>
      </w:r>
      <w:r w:rsidRPr="005219C9">
        <w:rPr>
          <w:rFonts w:ascii="Times New Roman" w:hAnsi="Times New Roman" w:cs="Times New Roman"/>
          <w:lang w:val="fr-FR"/>
        </w:rPr>
        <w:t>p. 1344.</w:t>
      </w:r>
    </w:p>
  </w:footnote>
  <w:footnote w:id="170">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PMH – </w:t>
      </w:r>
      <w:r w:rsidRPr="005219C9">
        <w:rPr>
          <w:rFonts w:ascii="Times New Roman" w:hAnsi="Times New Roman" w:cs="Times New Roman"/>
          <w:i/>
          <w:lang w:val="fr-FR"/>
        </w:rPr>
        <w:t>Inquisitiones</w:t>
      </w:r>
      <w:r w:rsidRPr="00A84131">
        <w:rPr>
          <w:rFonts w:ascii="Times New Roman" w:hAnsi="Times New Roman" w:cs="Times New Roman"/>
          <w:lang w:val="fr-FR"/>
        </w:rPr>
        <w:t>:</w:t>
      </w:r>
      <w:r w:rsidRPr="005219C9">
        <w:rPr>
          <w:rFonts w:ascii="Times New Roman" w:hAnsi="Times New Roman" w:cs="Times New Roman"/>
          <w:i/>
          <w:lang w:val="fr-FR"/>
        </w:rPr>
        <w:t xml:space="preserve"> </w:t>
      </w:r>
      <w:r w:rsidRPr="005219C9">
        <w:rPr>
          <w:rFonts w:ascii="Times New Roman" w:hAnsi="Times New Roman" w:cs="Times New Roman"/>
          <w:lang w:val="fr-FR"/>
        </w:rPr>
        <w:t>p. 1348.</w:t>
      </w:r>
    </w:p>
  </w:footnote>
  <w:footnote w:id="171">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PMH – </w:t>
      </w:r>
      <w:r w:rsidRPr="005219C9">
        <w:rPr>
          <w:rFonts w:ascii="Times New Roman" w:hAnsi="Times New Roman" w:cs="Times New Roman"/>
          <w:i/>
          <w:lang w:val="fr-FR"/>
        </w:rPr>
        <w:t>Inquisitiones</w:t>
      </w:r>
      <w:r w:rsidRPr="00A84131">
        <w:rPr>
          <w:rFonts w:ascii="Times New Roman" w:hAnsi="Times New Roman" w:cs="Times New Roman"/>
          <w:lang w:val="fr-FR"/>
        </w:rPr>
        <w:t>:</w:t>
      </w:r>
      <w:r w:rsidRPr="005219C9">
        <w:rPr>
          <w:rFonts w:ascii="Times New Roman" w:hAnsi="Times New Roman" w:cs="Times New Roman"/>
          <w:i/>
          <w:lang w:val="fr-FR"/>
        </w:rPr>
        <w:t xml:space="preserve"> </w:t>
      </w:r>
      <w:r w:rsidRPr="005219C9">
        <w:rPr>
          <w:rFonts w:ascii="Times New Roman" w:hAnsi="Times New Roman" w:cs="Times New Roman"/>
          <w:lang w:val="fr-FR"/>
        </w:rPr>
        <w:t>p. 1345.</w:t>
      </w:r>
    </w:p>
  </w:footnote>
  <w:footnote w:id="172">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PMH – </w:t>
      </w:r>
      <w:r w:rsidRPr="005219C9">
        <w:rPr>
          <w:rFonts w:ascii="Times New Roman" w:hAnsi="Times New Roman" w:cs="Times New Roman"/>
          <w:i/>
          <w:lang w:val="fr-FR"/>
        </w:rPr>
        <w:t>Inquisitiones</w:t>
      </w:r>
      <w:r w:rsidRPr="00A84131">
        <w:rPr>
          <w:rFonts w:ascii="Times New Roman" w:hAnsi="Times New Roman" w:cs="Times New Roman"/>
          <w:lang w:val="fr-FR"/>
        </w:rPr>
        <w:t>:</w:t>
      </w:r>
      <w:r w:rsidRPr="005219C9">
        <w:rPr>
          <w:rFonts w:ascii="Times New Roman" w:hAnsi="Times New Roman" w:cs="Times New Roman"/>
          <w:i/>
          <w:lang w:val="fr-FR"/>
        </w:rPr>
        <w:t xml:space="preserve"> </w:t>
      </w:r>
      <w:r w:rsidRPr="005219C9">
        <w:rPr>
          <w:rFonts w:ascii="Times New Roman" w:hAnsi="Times New Roman" w:cs="Times New Roman"/>
          <w:lang w:val="fr-FR"/>
        </w:rPr>
        <w:t>p. 1345.</w:t>
      </w:r>
    </w:p>
  </w:footnote>
  <w:footnote w:id="173">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PMH – </w:t>
      </w:r>
      <w:r w:rsidRPr="005219C9">
        <w:rPr>
          <w:rFonts w:ascii="Times New Roman" w:hAnsi="Times New Roman" w:cs="Times New Roman"/>
          <w:i/>
          <w:lang w:val="fr-FR"/>
        </w:rPr>
        <w:t>Inquisitiones</w:t>
      </w:r>
      <w:r w:rsidRPr="00A84131">
        <w:rPr>
          <w:rFonts w:ascii="Times New Roman" w:hAnsi="Times New Roman" w:cs="Times New Roman"/>
          <w:lang w:val="fr-FR"/>
        </w:rPr>
        <w:t>:</w:t>
      </w:r>
      <w:r w:rsidRPr="005219C9">
        <w:rPr>
          <w:rFonts w:ascii="Times New Roman" w:hAnsi="Times New Roman" w:cs="Times New Roman"/>
          <w:i/>
          <w:lang w:val="fr-FR"/>
        </w:rPr>
        <w:t xml:space="preserve"> </w:t>
      </w:r>
      <w:r w:rsidRPr="005219C9">
        <w:rPr>
          <w:rFonts w:ascii="Times New Roman" w:hAnsi="Times New Roman" w:cs="Times New Roman"/>
          <w:lang w:val="fr-FR"/>
        </w:rPr>
        <w:t>p. 1349.</w:t>
      </w:r>
    </w:p>
  </w:footnote>
  <w:footnote w:id="174">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MARQUES 1968: pp. 66-67.</w:t>
      </w:r>
    </w:p>
  </w:footnote>
  <w:footnote w:id="175">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MARQUES 1968: p. 70.</w:t>
      </w:r>
    </w:p>
  </w:footnote>
  <w:footnote w:id="176">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MARQUES 1968: p. 77.</w:t>
      </w:r>
    </w:p>
  </w:footnote>
  <w:footnote w:id="17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TABORDA 2011: p. 122.</w:t>
      </w:r>
    </w:p>
  </w:footnote>
  <w:footnote w:id="178">
    <w:p w:rsidR="00A55E03" w:rsidRPr="005219C9" w:rsidRDefault="00A55E03" w:rsidP="0011294E">
      <w:pPr>
        <w:pStyle w:val="Textodenotaderodap"/>
        <w:jc w:val="both"/>
        <w:rPr>
          <w:rFonts w:ascii="Times New Roman" w:hAnsi="Times New Roman" w:cs="Times New Roman"/>
          <w:lang w:val="fr-FR"/>
        </w:rPr>
      </w:pPr>
      <w:r w:rsidRPr="005219C9">
        <w:rPr>
          <w:rStyle w:val="Refdenotaderodap"/>
          <w:rFonts w:ascii="Times New Roman" w:hAnsi="Times New Roman" w:cs="Times New Roman"/>
        </w:rPr>
        <w:footnoteRef/>
      </w:r>
      <w:r w:rsidRPr="005219C9">
        <w:rPr>
          <w:rFonts w:ascii="Times New Roman" w:hAnsi="Times New Roman" w:cs="Times New Roman"/>
          <w:lang w:val="fr-FR"/>
        </w:rPr>
        <w:t xml:space="preserve"> CLAVAL 1968: p. 323.</w:t>
      </w:r>
    </w:p>
  </w:footnote>
  <w:footnote w:id="17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AZEVEDO 1942: pp. 53-54.</w:t>
      </w:r>
    </w:p>
  </w:footnote>
  <w:footnote w:id="18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AZEVEDO 1942: p. 55.</w:t>
      </w:r>
    </w:p>
  </w:footnote>
  <w:footnote w:id="18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VELOSO 1980: p. 202. </w:t>
      </w:r>
    </w:p>
  </w:footnote>
  <w:footnote w:id="18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AZEVEDO 1942: p. 56.</w:t>
      </w:r>
    </w:p>
  </w:footnote>
  <w:footnote w:id="18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VELOSO 1980: p. 203.</w:t>
      </w:r>
    </w:p>
  </w:footnote>
  <w:footnote w:id="18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ANTUNES e OLIVEIRA e MONTERO 1984: p. 54.</w:t>
      </w:r>
    </w:p>
  </w:footnote>
  <w:footnote w:id="18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VELOSO 1980: pp. 208-209.</w:t>
      </w:r>
    </w:p>
  </w:footnote>
  <w:footnote w:id="18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ANTUNES e OLIVEIRA e MONTERO 1984: p.</w:t>
      </w:r>
      <w:r w:rsidRPr="005219C9">
        <w:rPr>
          <w:rFonts w:ascii="Times New Roman" w:hAnsi="Times New Roman" w:cs="Times New Roman"/>
        </w:rPr>
        <w:t xml:space="preserve"> 56.</w:t>
      </w:r>
    </w:p>
  </w:footnote>
  <w:footnote w:id="18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AZEVEDO 1942: p. 63.</w:t>
      </w:r>
    </w:p>
  </w:footnote>
  <w:footnote w:id="18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D. Afonso IX, rei de Leão, tinha sido casado com D. Teresa, no entanto separou-se por razões canónicas e de quem tiveram três filhos: D. Fernando, D. Aldonça e D. Sancha que tinham sido contemplados no testamento de D. Sancho I. Assim, a sua invasão no reino Português assumia uma outra motivação, nomeadamente de fazer ser cumprido as disposições do testamento relativas aos seus filhos. </w:t>
      </w:r>
    </w:p>
  </w:footnote>
  <w:footnote w:id="18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AZEVEDO 1942: p. 64.</w:t>
      </w:r>
    </w:p>
  </w:footnote>
  <w:footnote w:id="19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ANTUNES e OLIVEIRA e MONTERO 1984: </w:t>
      </w:r>
      <w:r w:rsidRPr="005219C9">
        <w:rPr>
          <w:rFonts w:ascii="Times New Roman" w:hAnsi="Times New Roman" w:cs="Times New Roman"/>
        </w:rPr>
        <w:t>p. 61.</w:t>
      </w:r>
    </w:p>
  </w:footnote>
  <w:footnote w:id="19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VELOSO 1980: pp. 211-212.</w:t>
      </w:r>
    </w:p>
  </w:footnote>
  <w:footnote w:id="19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AZEVEDO 1942: p. 71.</w:t>
      </w:r>
    </w:p>
  </w:footnote>
  <w:footnote w:id="19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AZEVEDO 1942: p. 70-71.</w:t>
      </w:r>
    </w:p>
  </w:footnote>
  <w:footnote w:id="19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ANTUNES e OLIVEIRA e MONTERO 1984: p. 63.</w:t>
      </w:r>
    </w:p>
  </w:footnote>
  <w:footnote w:id="19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ANTUNES e OLIVEIRA e MONTERO 1984: pp. 65-70. </w:t>
      </w:r>
    </w:p>
  </w:footnote>
  <w:footnote w:id="19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VILAR 2005: p. 230.</w:t>
      </w:r>
    </w:p>
  </w:footnote>
  <w:footnote w:id="19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VELOSO 1980: p. 216. Documento nº 7 do apêndice documental.</w:t>
      </w:r>
    </w:p>
  </w:footnote>
  <w:footnote w:id="19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PMH – </w:t>
      </w:r>
      <w:r w:rsidRPr="005219C9">
        <w:rPr>
          <w:rFonts w:ascii="Times New Roman" w:hAnsi="Times New Roman" w:cs="Times New Roman"/>
          <w:i/>
          <w:lang w:val="fr-FR"/>
        </w:rPr>
        <w:t xml:space="preserve">Inquisitiones: </w:t>
      </w:r>
      <w:r w:rsidRPr="005219C9">
        <w:rPr>
          <w:rFonts w:ascii="Times New Roman" w:hAnsi="Times New Roman" w:cs="Times New Roman"/>
        </w:rPr>
        <w:t>p. 1345.</w:t>
      </w:r>
    </w:p>
  </w:footnote>
  <w:footnote w:id="19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SANTANA 1998: p. 7.</w:t>
      </w:r>
    </w:p>
  </w:footnote>
  <w:footnote w:id="200">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i/>
          <w:sz w:val="20"/>
          <w:szCs w:val="20"/>
        </w:rPr>
        <w:t xml:space="preserve"> Chancelarias Portuguesas. D. Afonso III</w:t>
      </w:r>
      <w:r w:rsidRPr="005219C9">
        <w:rPr>
          <w:rFonts w:ascii="Times New Roman" w:hAnsi="Times New Roman"/>
          <w:sz w:val="20"/>
          <w:szCs w:val="20"/>
        </w:rPr>
        <w:t xml:space="preserve"> 2006: doc., 580.</w:t>
      </w:r>
    </w:p>
  </w:footnote>
  <w:footnote w:id="201">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i/>
          <w:sz w:val="20"/>
          <w:szCs w:val="20"/>
        </w:rPr>
        <w:t xml:space="preserve"> Chancelarias Portuguesas. D. Afonso III </w:t>
      </w:r>
      <w:r w:rsidRPr="005219C9">
        <w:rPr>
          <w:rFonts w:ascii="Times New Roman" w:hAnsi="Times New Roman"/>
          <w:sz w:val="20"/>
          <w:szCs w:val="20"/>
        </w:rPr>
        <w:t>2006: doc., 580.</w:t>
      </w:r>
    </w:p>
  </w:footnote>
  <w:footnote w:id="20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rPr>
        <w:t xml:space="preserve"> Chancelarias Portuguesas. D. Afonso III </w:t>
      </w:r>
      <w:r w:rsidRPr="005219C9">
        <w:rPr>
          <w:rFonts w:ascii="Times New Roman" w:hAnsi="Times New Roman" w:cs="Times New Roman"/>
        </w:rPr>
        <w:t xml:space="preserve">2006: doc., 580. </w:t>
      </w:r>
    </w:p>
  </w:footnote>
  <w:footnote w:id="20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rPr>
        <w:t xml:space="preserve"> Chancelarias Portuguesas. D. Afonso III </w:t>
      </w:r>
      <w:r w:rsidRPr="005219C9">
        <w:rPr>
          <w:rFonts w:ascii="Times New Roman" w:hAnsi="Times New Roman" w:cs="Times New Roman"/>
        </w:rPr>
        <w:t>2006: doc., 580.</w:t>
      </w:r>
    </w:p>
  </w:footnote>
  <w:footnote w:id="20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rPr>
        <w:t xml:space="preserve"> Chancelarias Portuguesas. D. Afonso III </w:t>
      </w:r>
      <w:r w:rsidRPr="005219C9">
        <w:rPr>
          <w:rFonts w:ascii="Times New Roman" w:hAnsi="Times New Roman" w:cs="Times New Roman"/>
        </w:rPr>
        <w:t>2006: doc., 580.</w:t>
      </w:r>
    </w:p>
  </w:footnote>
  <w:footnote w:id="20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MAURÍCIO 1997: p. 96. </w:t>
      </w:r>
    </w:p>
  </w:footnote>
  <w:footnote w:id="206">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ALMEIDA 1970: p. 112. </w:t>
      </w:r>
    </w:p>
  </w:footnote>
  <w:footnote w:id="20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GEPB vol. XXXI: p. 409.</w:t>
      </w:r>
    </w:p>
  </w:footnote>
  <w:footnote w:id="20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rPr>
        <w:t xml:space="preserve"> Chancelaria D. Afonso IV</w:t>
      </w:r>
      <w:r w:rsidRPr="005219C9">
        <w:rPr>
          <w:rFonts w:ascii="Times New Roman" w:hAnsi="Times New Roman" w:cs="Times New Roman"/>
        </w:rPr>
        <w:t xml:space="preserve"> 1990-92: pp. 382-384, doc., 25.</w:t>
      </w:r>
    </w:p>
  </w:footnote>
  <w:footnote w:id="20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MARQUES 1990: p. 28.</w:t>
      </w:r>
    </w:p>
  </w:footnote>
  <w:footnote w:id="210">
    <w:p w:rsidR="00A55E03" w:rsidRPr="005219C9" w:rsidRDefault="00A55E03" w:rsidP="0011294E">
      <w:pPr>
        <w:jc w:val="both"/>
        <w:rPr>
          <w:rFonts w:ascii="Times New Roman" w:hAnsi="Times New Roman"/>
          <w:iCs/>
          <w:color w:val="FF0000"/>
          <w:sz w:val="20"/>
          <w:szCs w:val="20"/>
        </w:rPr>
      </w:pPr>
      <w:r w:rsidRPr="005219C9">
        <w:rPr>
          <w:rStyle w:val="Refdenotaderodap"/>
          <w:rFonts w:ascii="Times New Roman" w:hAnsi="Times New Roman"/>
          <w:sz w:val="20"/>
          <w:szCs w:val="20"/>
        </w:rPr>
        <w:footnoteRef/>
      </w:r>
      <w:r w:rsidRPr="005219C9">
        <w:rPr>
          <w:rFonts w:ascii="Times New Roman" w:hAnsi="Times New Roman"/>
          <w:i/>
          <w:iCs/>
          <w:sz w:val="20"/>
          <w:szCs w:val="20"/>
        </w:rPr>
        <w:t xml:space="preserve"> Chancelaria de D. Pedro I </w:t>
      </w:r>
      <w:r w:rsidRPr="005219C9">
        <w:rPr>
          <w:rFonts w:ascii="Times New Roman" w:hAnsi="Times New Roman"/>
          <w:iCs/>
          <w:sz w:val="20"/>
          <w:szCs w:val="20"/>
        </w:rPr>
        <w:t>1984: p. 233, doc., 927.</w:t>
      </w:r>
    </w:p>
  </w:footnote>
  <w:footnote w:id="211">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iCs/>
          <w:sz w:val="20"/>
          <w:szCs w:val="20"/>
        </w:rPr>
        <w:t xml:space="preserve"> ALVES 2000: p. 67.</w:t>
      </w:r>
    </w:p>
  </w:footnote>
  <w:footnote w:id="212">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i/>
          <w:iCs/>
          <w:sz w:val="20"/>
          <w:szCs w:val="20"/>
        </w:rPr>
        <w:t xml:space="preserve"> Chancelarias Portuguesas. D. João I</w:t>
      </w:r>
      <w:r w:rsidRPr="005219C9">
        <w:rPr>
          <w:rFonts w:ascii="Times New Roman" w:hAnsi="Times New Roman"/>
          <w:iCs/>
          <w:sz w:val="20"/>
          <w:szCs w:val="20"/>
        </w:rPr>
        <w:t xml:space="preserve"> 1984: p. 26, doc., 1016.</w:t>
      </w:r>
    </w:p>
  </w:footnote>
  <w:footnote w:id="21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rPr>
        <w:t xml:space="preserve"> Chancelarias Portuguesas. D. João I </w:t>
      </w:r>
      <w:r w:rsidRPr="005219C9">
        <w:rPr>
          <w:rFonts w:ascii="Times New Roman" w:hAnsi="Times New Roman" w:cs="Times New Roman"/>
        </w:rPr>
        <w:t>1984: p. 277, doc., II- 523.</w:t>
      </w:r>
    </w:p>
  </w:footnote>
  <w:footnote w:id="214">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i/>
          <w:sz w:val="20"/>
          <w:szCs w:val="20"/>
        </w:rPr>
        <w:t xml:space="preserve"> Chancelarias Portuguesas. D. João I</w:t>
      </w:r>
      <w:r w:rsidRPr="005219C9">
        <w:rPr>
          <w:rFonts w:ascii="Times New Roman" w:hAnsi="Times New Roman"/>
          <w:sz w:val="20"/>
          <w:szCs w:val="20"/>
        </w:rPr>
        <w:t xml:space="preserve"> 1984: p. 200, doc., 885.</w:t>
      </w:r>
    </w:p>
  </w:footnote>
  <w:footnote w:id="21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rPr>
        <w:t xml:space="preserve"> Chancelarias Portuguesas. D. João I</w:t>
      </w:r>
      <w:r w:rsidRPr="005219C9">
        <w:rPr>
          <w:rFonts w:ascii="Times New Roman" w:hAnsi="Times New Roman" w:cs="Times New Roman"/>
        </w:rPr>
        <w:t xml:space="preserve"> 1984: p. 91, doc., 1123.</w:t>
      </w:r>
    </w:p>
  </w:footnote>
  <w:footnote w:id="216">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i/>
          <w:iCs/>
          <w:sz w:val="20"/>
          <w:szCs w:val="20"/>
        </w:rPr>
        <w:t xml:space="preserve"> Chancelarias Portuguesas. D. João I</w:t>
      </w:r>
      <w:r w:rsidRPr="005219C9">
        <w:rPr>
          <w:rFonts w:ascii="Times New Roman" w:hAnsi="Times New Roman"/>
          <w:iCs/>
          <w:sz w:val="20"/>
          <w:szCs w:val="20"/>
        </w:rPr>
        <w:t xml:space="preserve"> 1984: p. 129, doc., 252.</w:t>
      </w:r>
    </w:p>
  </w:footnote>
  <w:footnote w:id="217">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i/>
          <w:iCs/>
          <w:sz w:val="20"/>
          <w:szCs w:val="20"/>
        </w:rPr>
        <w:t xml:space="preserve"> Chancelarias Portuguesas. D. João I</w:t>
      </w:r>
      <w:r w:rsidRPr="005219C9">
        <w:rPr>
          <w:rFonts w:ascii="Times New Roman" w:hAnsi="Times New Roman"/>
          <w:iCs/>
          <w:sz w:val="20"/>
          <w:szCs w:val="20"/>
        </w:rPr>
        <w:t xml:space="preserve"> 1984: p.831, doc., II-841.</w:t>
      </w:r>
    </w:p>
  </w:footnote>
  <w:footnote w:id="218">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i/>
          <w:sz w:val="20"/>
          <w:szCs w:val="20"/>
        </w:rPr>
        <w:t xml:space="preserve"> Chancelarias Portuguesas. D. João I</w:t>
      </w:r>
      <w:r w:rsidRPr="005219C9">
        <w:rPr>
          <w:rFonts w:ascii="Times New Roman" w:hAnsi="Times New Roman"/>
          <w:sz w:val="20"/>
          <w:szCs w:val="20"/>
        </w:rPr>
        <w:t xml:space="preserve"> 1984: p. 56, doc., IV-70.</w:t>
      </w:r>
    </w:p>
  </w:footnote>
  <w:footnote w:id="219">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i/>
          <w:sz w:val="20"/>
          <w:szCs w:val="20"/>
        </w:rPr>
        <w:t xml:space="preserve"> Ordenações Afonsinas </w:t>
      </w:r>
      <w:r w:rsidRPr="005219C9">
        <w:rPr>
          <w:rFonts w:ascii="Times New Roman" w:hAnsi="Times New Roman"/>
          <w:sz w:val="20"/>
          <w:szCs w:val="20"/>
        </w:rPr>
        <w:t>1998: pp. 239-240.</w:t>
      </w:r>
    </w:p>
  </w:footnote>
  <w:footnote w:id="22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MARTINS 2011: p. 25.</w:t>
      </w:r>
    </w:p>
  </w:footnote>
  <w:footnote w:id="22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rPr>
        <w:t xml:space="preserve"> Ordenações Afonsinas</w:t>
      </w:r>
      <w:r w:rsidRPr="005219C9">
        <w:rPr>
          <w:rFonts w:ascii="Times New Roman" w:hAnsi="Times New Roman" w:cs="Times New Roman"/>
        </w:rPr>
        <w:t xml:space="preserve"> 1998: p. 442.</w:t>
      </w:r>
    </w:p>
  </w:footnote>
  <w:footnote w:id="22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MARTINS 2011: p. 23.</w:t>
      </w:r>
    </w:p>
  </w:footnote>
  <w:footnote w:id="22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rPr>
        <w:t xml:space="preserve"> Ordenações Afonsinas </w:t>
      </w:r>
      <w:r w:rsidRPr="005219C9">
        <w:rPr>
          <w:rFonts w:ascii="Times New Roman" w:hAnsi="Times New Roman" w:cs="Times New Roman"/>
        </w:rPr>
        <w:t>1998:</w:t>
      </w:r>
      <w:r w:rsidRPr="005219C9">
        <w:rPr>
          <w:rFonts w:ascii="Times New Roman" w:hAnsi="Times New Roman" w:cs="Times New Roman"/>
          <w:i/>
        </w:rPr>
        <w:t xml:space="preserve"> </w:t>
      </w:r>
      <w:r w:rsidRPr="005219C9">
        <w:rPr>
          <w:rFonts w:ascii="Times New Roman" w:hAnsi="Times New Roman" w:cs="Times New Roman"/>
        </w:rPr>
        <w:t>p. 442.</w:t>
      </w:r>
    </w:p>
  </w:footnote>
  <w:footnote w:id="22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rPr>
        <w:t xml:space="preserve"> Ordenações Afonsinas </w:t>
      </w:r>
      <w:r w:rsidRPr="005219C9">
        <w:rPr>
          <w:rFonts w:ascii="Times New Roman" w:hAnsi="Times New Roman" w:cs="Times New Roman"/>
        </w:rPr>
        <w:t>1998:</w:t>
      </w:r>
      <w:r w:rsidRPr="005219C9">
        <w:rPr>
          <w:rFonts w:ascii="Times New Roman" w:hAnsi="Times New Roman" w:cs="Times New Roman"/>
          <w:i/>
        </w:rPr>
        <w:t xml:space="preserve"> </w:t>
      </w:r>
      <w:r w:rsidRPr="005219C9">
        <w:rPr>
          <w:rFonts w:ascii="Times New Roman" w:hAnsi="Times New Roman" w:cs="Times New Roman"/>
        </w:rPr>
        <w:t>p. 442.</w:t>
      </w:r>
    </w:p>
  </w:footnote>
  <w:footnote w:id="22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MARTINS 2011: p. 23.</w:t>
      </w:r>
    </w:p>
  </w:footnote>
  <w:footnote w:id="226">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i/>
          <w:sz w:val="20"/>
          <w:szCs w:val="20"/>
        </w:rPr>
        <w:t xml:space="preserve"> Chancelarias Portuguesas. D. Duarte </w:t>
      </w:r>
      <w:r w:rsidRPr="005219C9">
        <w:rPr>
          <w:rFonts w:ascii="Times New Roman" w:hAnsi="Times New Roman"/>
          <w:sz w:val="20"/>
          <w:szCs w:val="20"/>
        </w:rPr>
        <w:t>1998: p.87, doc., 859.</w:t>
      </w:r>
    </w:p>
  </w:footnote>
  <w:footnote w:id="227">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i/>
          <w:sz w:val="20"/>
          <w:szCs w:val="20"/>
        </w:rPr>
        <w:t xml:space="preserve"> Monumenta Henricina</w:t>
      </w:r>
      <w:r w:rsidRPr="005219C9">
        <w:rPr>
          <w:rFonts w:ascii="Times New Roman" w:hAnsi="Times New Roman"/>
          <w:sz w:val="20"/>
          <w:szCs w:val="20"/>
        </w:rPr>
        <w:t xml:space="preserve"> 1960-1974: p. 85.</w:t>
      </w:r>
    </w:p>
  </w:footnote>
  <w:footnote w:id="228">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i/>
          <w:sz w:val="20"/>
          <w:szCs w:val="20"/>
        </w:rPr>
        <w:t xml:space="preserve"> Monumenta Henricina</w:t>
      </w:r>
      <w:r w:rsidRPr="005219C9">
        <w:rPr>
          <w:rFonts w:ascii="Times New Roman" w:hAnsi="Times New Roman"/>
          <w:sz w:val="20"/>
          <w:szCs w:val="20"/>
        </w:rPr>
        <w:t xml:space="preserve"> 1960-1974: p. 126.</w:t>
      </w:r>
    </w:p>
  </w:footnote>
  <w:footnote w:id="229">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i/>
          <w:sz w:val="20"/>
          <w:szCs w:val="20"/>
        </w:rPr>
        <w:t xml:space="preserve"> Monumenta Henricina</w:t>
      </w:r>
      <w:r w:rsidRPr="005219C9">
        <w:rPr>
          <w:rFonts w:ascii="Times New Roman" w:hAnsi="Times New Roman"/>
          <w:sz w:val="20"/>
          <w:szCs w:val="20"/>
        </w:rPr>
        <w:t xml:space="preserve"> 1960-1974: pp. 321-322.</w:t>
      </w:r>
    </w:p>
  </w:footnote>
  <w:footnote w:id="23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ALVES 2000: p. 586. </w:t>
      </w:r>
    </w:p>
  </w:footnote>
  <w:footnote w:id="23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BARROS 1945-1954: p. 62. </w:t>
      </w:r>
    </w:p>
  </w:footnote>
  <w:footnote w:id="23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BARROS 1945-1954: p. 63.</w:t>
      </w:r>
    </w:p>
  </w:footnote>
  <w:footnote w:id="23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SANTANA 1998: p. 48. </w:t>
      </w:r>
    </w:p>
  </w:footnote>
  <w:footnote w:id="234">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DIAS 1961: pp. 9-10.</w:t>
      </w:r>
    </w:p>
  </w:footnote>
  <w:footnote w:id="235">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DIAS 1961: pp. 9-10.</w:t>
      </w:r>
    </w:p>
  </w:footnote>
  <w:footnote w:id="236">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DIAS 1961: p. 9.</w:t>
      </w:r>
    </w:p>
  </w:footnote>
  <w:footnote w:id="237">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DIAS 1961: p. 10.</w:t>
      </w:r>
    </w:p>
  </w:footnote>
  <w:footnote w:id="238">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DIAS 1961: p. 10.</w:t>
      </w:r>
    </w:p>
  </w:footnote>
  <w:footnote w:id="239">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DIAS 1961: p. 10.</w:t>
      </w:r>
    </w:p>
  </w:footnote>
  <w:footnote w:id="240">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DIAS 1961: p.10.</w:t>
      </w:r>
    </w:p>
  </w:footnote>
  <w:footnote w:id="241">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DIAS 1961: p. 10.</w:t>
      </w:r>
    </w:p>
  </w:footnote>
  <w:footnote w:id="24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RAU 1982. </w:t>
      </w:r>
    </w:p>
  </w:footnote>
  <w:footnote w:id="243">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DUARTE 1998.  </w:t>
      </w:r>
    </w:p>
  </w:footnote>
  <w:footnote w:id="244">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BARROS 1950: p. 504.</w:t>
      </w:r>
    </w:p>
  </w:footnote>
  <w:footnote w:id="245">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COELHO 1990: p. 70.</w:t>
      </w:r>
    </w:p>
  </w:footnote>
  <w:footnote w:id="246">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A.N.T.T., Além Douro, liv. 3, fi. 36v-37 In MARQUES 2009: p. 118.</w:t>
      </w:r>
    </w:p>
  </w:footnote>
  <w:footnote w:id="24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A.N.T.T., Chancelaria Afonso V, Livro 8, fólio 106v. In DUARTE 1993: p. 355.</w:t>
      </w:r>
    </w:p>
  </w:footnote>
  <w:footnote w:id="248">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A.N.T.T., Chancelaria Afonso V, Livro 17, fólio 47v. In DUARTE 1993: p. 355. </w:t>
      </w:r>
    </w:p>
  </w:footnote>
  <w:footnote w:id="24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DUARTE 1998: p. 453. </w:t>
      </w:r>
    </w:p>
  </w:footnote>
  <w:footnote w:id="25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DIAS 1961: p. 10.</w:t>
      </w:r>
    </w:p>
  </w:footnote>
  <w:footnote w:id="25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DUARTE 1998: p. 472.</w:t>
      </w:r>
    </w:p>
  </w:footnote>
  <w:footnote w:id="25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FREIRE 1909: p. 269.</w:t>
      </w:r>
    </w:p>
  </w:footnote>
  <w:footnote w:id="253">
    <w:p w:rsidR="00A55E03" w:rsidRPr="005219C9" w:rsidRDefault="00A55E03" w:rsidP="0011294E">
      <w:pPr>
        <w:pStyle w:val="Textodenotaderodap"/>
        <w:jc w:val="both"/>
        <w:rPr>
          <w:rFonts w:ascii="Times New Roman" w:hAnsi="Times New Roman" w:cs="Times New Roman"/>
          <w:i/>
        </w:rPr>
      </w:pPr>
      <w:r w:rsidRPr="005219C9">
        <w:rPr>
          <w:rStyle w:val="Refdenotaderodap"/>
          <w:rFonts w:ascii="Times New Roman" w:hAnsi="Times New Roman" w:cs="Times New Roman"/>
        </w:rPr>
        <w:footnoteRef/>
      </w:r>
      <w:r w:rsidRPr="005219C9">
        <w:rPr>
          <w:rFonts w:ascii="Times New Roman" w:hAnsi="Times New Roman" w:cs="Times New Roman"/>
        </w:rPr>
        <w:t xml:space="preserve"> GALEGO e DAVEAU 1986: pp. 93-94.</w:t>
      </w:r>
    </w:p>
  </w:footnote>
  <w:footnote w:id="254">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eastAsia="Calibri" w:hAnsi="Times New Roman"/>
          <w:sz w:val="20"/>
          <w:szCs w:val="20"/>
        </w:rPr>
        <w:t xml:space="preserve"> MORENO 2003: pp. 107- 109.</w:t>
      </w:r>
    </w:p>
  </w:footnote>
  <w:footnote w:id="255">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eastAsia="Calibri" w:hAnsi="Times New Roman"/>
          <w:sz w:val="20"/>
          <w:szCs w:val="20"/>
        </w:rPr>
        <w:t xml:space="preserve"> MORENO 2003: p. 109-110.</w:t>
      </w:r>
    </w:p>
  </w:footnote>
  <w:footnote w:id="25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SILVA 1994: p. 231. </w:t>
      </w:r>
    </w:p>
  </w:footnote>
  <w:footnote w:id="25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ALVES 2000: p. 78. </w:t>
      </w:r>
    </w:p>
  </w:footnote>
  <w:footnote w:id="25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ALVES 2000: p. 79.</w:t>
      </w:r>
    </w:p>
  </w:footnote>
  <w:footnote w:id="25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NUNES 2004: p. 62. </w:t>
      </w:r>
    </w:p>
  </w:footnote>
  <w:footnote w:id="260">
    <w:p w:rsidR="00A55E03" w:rsidRPr="005219C9" w:rsidRDefault="00A55E03" w:rsidP="0011294E">
      <w:pPr>
        <w:pStyle w:val="Textodenotaderodap"/>
        <w:jc w:val="both"/>
        <w:rPr>
          <w:rFonts w:ascii="Times New Roman" w:hAnsi="Times New Roman" w:cs="Times New Roman"/>
          <w:color w:val="FF0000"/>
        </w:rPr>
      </w:pPr>
      <w:r w:rsidRPr="005219C9">
        <w:rPr>
          <w:rStyle w:val="Refdenotaderodap"/>
          <w:rFonts w:ascii="Times New Roman" w:hAnsi="Times New Roman" w:cs="Times New Roman"/>
        </w:rPr>
        <w:footnoteRef/>
      </w:r>
      <w:r w:rsidRPr="005219C9">
        <w:rPr>
          <w:rFonts w:ascii="Times New Roman" w:hAnsi="Times New Roman" w:cs="Times New Roman"/>
          <w:iCs/>
        </w:rPr>
        <w:t xml:space="preserve"> ALVES 2000: p. 789.</w:t>
      </w:r>
    </w:p>
  </w:footnote>
  <w:footnote w:id="26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CAPELA e MATOS e BORRALHEIRO 2006: p. 122.</w:t>
      </w:r>
    </w:p>
  </w:footnote>
  <w:footnote w:id="26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COSTA 1706-1712: p. 431.</w:t>
      </w:r>
    </w:p>
  </w:footnote>
  <w:footnote w:id="263">
    <w:p w:rsidR="00A55E03" w:rsidRPr="005219C9" w:rsidRDefault="00A55E03" w:rsidP="0011294E">
      <w:pPr>
        <w:jc w:val="both"/>
        <w:rPr>
          <w:rFonts w:ascii="Times New Roman" w:hAnsi="Times New Roman"/>
          <w:i/>
          <w:iCs/>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MENDES 1981.</w:t>
      </w:r>
    </w:p>
  </w:footnote>
  <w:footnote w:id="264">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MARQUES 2002: p. 220.</w:t>
      </w:r>
    </w:p>
    <w:p w:rsidR="00A55E03" w:rsidRPr="005219C9" w:rsidRDefault="00A55E03" w:rsidP="0011294E">
      <w:pPr>
        <w:jc w:val="both"/>
        <w:rPr>
          <w:rFonts w:ascii="Times New Roman" w:hAnsi="Times New Roman"/>
          <w:sz w:val="20"/>
          <w:szCs w:val="20"/>
        </w:rPr>
      </w:pPr>
    </w:p>
  </w:footnote>
  <w:footnote w:id="26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1990-91: pp. 91-92. </w:t>
      </w:r>
    </w:p>
  </w:footnote>
  <w:footnote w:id="26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1990-1991: p. 90. </w:t>
      </w:r>
    </w:p>
  </w:footnote>
  <w:footnote w:id="267">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ALMEIDA 1989: pp. 38-54.</w:t>
      </w:r>
    </w:p>
  </w:footnote>
  <w:footnote w:id="268">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00D4737C">
        <w:rPr>
          <w:rFonts w:ascii="Times New Roman" w:hAnsi="Times New Roman"/>
          <w:sz w:val="20"/>
          <w:szCs w:val="20"/>
        </w:rPr>
        <w:t xml:space="preserve"> Vd. Nota: 79</w:t>
      </w:r>
      <w:r w:rsidRPr="005219C9">
        <w:rPr>
          <w:rFonts w:ascii="Times New Roman" w:hAnsi="Times New Roman"/>
          <w:sz w:val="20"/>
          <w:szCs w:val="20"/>
        </w:rPr>
        <w:t>.</w:t>
      </w:r>
    </w:p>
  </w:footnote>
  <w:footnote w:id="269">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TEIXEIRA 1996: p. 195.</w:t>
      </w:r>
    </w:p>
  </w:footnote>
  <w:footnote w:id="27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1990-91: p. 61.</w:t>
      </w:r>
    </w:p>
  </w:footnote>
  <w:footnote w:id="271">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ALMEIDA 1978: pp. 47-48.</w:t>
      </w:r>
    </w:p>
  </w:footnote>
  <w:footnote w:id="272">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MATTOSO 1982: pp. 89-90.</w:t>
      </w:r>
    </w:p>
  </w:footnote>
  <w:footnote w:id="27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1990-91: p. 115-116.</w:t>
      </w:r>
    </w:p>
  </w:footnote>
  <w:footnote w:id="27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MONTEIRO 1999: p. 34.</w:t>
      </w:r>
    </w:p>
  </w:footnote>
  <w:footnote w:id="27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1998: pp. 814-819. MONTEIRO p. 34-35.</w:t>
      </w:r>
    </w:p>
  </w:footnote>
  <w:footnote w:id="27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MONTEIRO 1999: p. 33.  </w:t>
      </w:r>
    </w:p>
  </w:footnote>
  <w:footnote w:id="27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1990-91: pp. 67-68.</w:t>
      </w:r>
    </w:p>
  </w:footnote>
  <w:footnote w:id="27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1998: p. 803.</w:t>
      </w:r>
    </w:p>
  </w:footnote>
  <w:footnote w:id="27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MATEOS 1988: p. 135.</w:t>
      </w:r>
    </w:p>
  </w:footnote>
  <w:footnote w:id="28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MORA-FIGUEIROA 1992: pp. 652-653.</w:t>
      </w:r>
    </w:p>
  </w:footnote>
  <w:footnote w:id="28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MORA-FIGUEIROA 2001: pp. 5-6.</w:t>
      </w:r>
    </w:p>
  </w:footnote>
  <w:footnote w:id="28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MORA-FIGUEIROA 2006: p. 25.</w:t>
      </w:r>
    </w:p>
  </w:footnote>
  <w:footnote w:id="28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MORA-FIGUEIROA 2006: p. 47.</w:t>
      </w:r>
    </w:p>
  </w:footnote>
  <w:footnote w:id="284">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BRANCO 1990. </w:t>
      </w:r>
    </w:p>
  </w:footnote>
  <w:footnote w:id="28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rPr>
        <w:t xml:space="preserve"> Chancelarias Portuguesas. D. Afonso III</w:t>
      </w:r>
      <w:r w:rsidRPr="005219C9">
        <w:rPr>
          <w:rFonts w:ascii="Times New Roman" w:hAnsi="Times New Roman" w:cs="Times New Roman"/>
        </w:rPr>
        <w:t xml:space="preserve">, Vol.1, doc. 580. Alcáçova: “Designa a zona senhorial ou a área militar reservada de uma fortificação urbana, que se encontra isolada fisicamente do restante espaço amuralhado e é dotada de autonomia defensiva”. </w:t>
      </w:r>
      <w:r w:rsidRPr="005219C9">
        <w:rPr>
          <w:rFonts w:ascii="Times New Roman" w:hAnsi="Times New Roman" w:cs="Times New Roman"/>
          <w:i/>
        </w:rPr>
        <w:t>In</w:t>
      </w:r>
      <w:r w:rsidRPr="005219C9">
        <w:rPr>
          <w:rFonts w:ascii="Times New Roman" w:hAnsi="Times New Roman" w:cs="Times New Roman"/>
        </w:rPr>
        <w:t xml:space="preserve"> ALARCÃO e BARROCA</w:t>
      </w:r>
      <w:r w:rsidRPr="005219C9">
        <w:rPr>
          <w:rFonts w:ascii="Times New Roman" w:hAnsi="Times New Roman" w:cs="Times New Roman"/>
          <w:bCs/>
        </w:rPr>
        <w:t xml:space="preserve"> 2012: p.</w:t>
      </w:r>
      <w:r w:rsidRPr="005219C9">
        <w:rPr>
          <w:rFonts w:ascii="Times New Roman" w:hAnsi="Times New Roman" w:cs="Times New Roman"/>
        </w:rPr>
        <w:t xml:space="preserve"> 20. </w:t>
      </w:r>
    </w:p>
  </w:footnote>
  <w:footnote w:id="28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rPr>
        <w:t>Crónica Geral de Espanha de 1344</w:t>
      </w:r>
      <w:r w:rsidRPr="005219C9">
        <w:rPr>
          <w:rFonts w:ascii="Times New Roman" w:hAnsi="Times New Roman" w:cs="Times New Roman"/>
        </w:rPr>
        <w:t xml:space="preserve"> 1951-1961: p. 243.  </w:t>
      </w:r>
    </w:p>
  </w:footnote>
  <w:footnote w:id="28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rPr>
        <w:t>Chancelaria D. Afonso IV</w:t>
      </w:r>
      <w:r w:rsidRPr="005219C9">
        <w:rPr>
          <w:rFonts w:ascii="Times New Roman" w:hAnsi="Times New Roman" w:cs="Times New Roman"/>
        </w:rPr>
        <w:t xml:space="preserve"> 1990-1992: pp. 382-384, doc., 250.</w:t>
      </w:r>
    </w:p>
  </w:footnote>
  <w:footnote w:id="288">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Ao contrário das cercas de época românica, as baixo-medievais tendem a possuir um grande número de portas que recebem, normalmente, o nome da vila vizinha cuja direção tomavam. ALMEIDA 1992: p. 140. </w:t>
      </w:r>
    </w:p>
  </w:footnote>
  <w:footnote w:id="28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50.</w:t>
      </w:r>
    </w:p>
  </w:footnote>
  <w:footnote w:id="29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1990-91: p. 125.</w:t>
      </w:r>
    </w:p>
  </w:footnote>
  <w:footnote w:id="291">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BARROS 1950: p. 62. </w:t>
      </w:r>
    </w:p>
  </w:footnote>
  <w:footnote w:id="29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Mário Barroca sustenta “ o uso de boca-de-fogo está documentada desde a crise de 1383. Com efeito, Fernão Lopes refere a presença de trons nos cercos de Lisboa e Almada, em 1384, e na Batalha de Aljubarrota, em 14 de Agosto de 1385, onde o cronista regista que forças castelhanas possuíam 16 trons”. In BARROCA 2003: p. 95. </w:t>
      </w:r>
    </w:p>
  </w:footnote>
  <w:footnote w:id="29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BARROCA </w:t>
      </w:r>
      <w:r w:rsidRPr="005219C9">
        <w:rPr>
          <w:rFonts w:ascii="Times New Roman" w:hAnsi="Times New Roman" w:cs="Times New Roman"/>
          <w:bCs/>
        </w:rPr>
        <w:t>2003: p. 96.</w:t>
      </w:r>
    </w:p>
  </w:footnote>
  <w:footnote w:id="29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MORA-FIGUEIROA 2006: p. 25. </w:t>
      </w:r>
    </w:p>
  </w:footnote>
  <w:footnote w:id="29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O fosso apresenta 15 m de largura e 5 de profundidade.</w:t>
      </w:r>
    </w:p>
  </w:footnote>
  <w:footnote w:id="296">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bCs/>
          <w:sz w:val="20"/>
          <w:szCs w:val="20"/>
        </w:rPr>
        <w:t xml:space="preserve"> MONTEIRO</w:t>
      </w:r>
      <w:r w:rsidRPr="005219C9">
        <w:rPr>
          <w:rFonts w:ascii="Times New Roman" w:hAnsi="Times New Roman"/>
          <w:bCs/>
          <w:color w:val="333333"/>
          <w:sz w:val="20"/>
          <w:szCs w:val="20"/>
        </w:rPr>
        <w:t xml:space="preserve"> 1999: p. </w:t>
      </w:r>
      <w:r w:rsidRPr="005219C9">
        <w:rPr>
          <w:rFonts w:ascii="Times New Roman" w:hAnsi="Times New Roman"/>
          <w:sz w:val="20"/>
          <w:szCs w:val="20"/>
        </w:rPr>
        <w:t>93.</w:t>
      </w:r>
    </w:p>
  </w:footnote>
  <w:footnote w:id="29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ALARCÃO e BARROCA 2012: p. 247. </w:t>
      </w:r>
    </w:p>
  </w:footnote>
  <w:footnote w:id="298">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A conversão das medidas apresentadas na planta do Duarte de Armas: 1 vara corresponde a 110 cm, um palmo corresponde a 22 cm e por um último pelo sinal + corresponde a meia vara (55 cm).</w:t>
      </w:r>
    </w:p>
  </w:footnote>
  <w:footnote w:id="29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GOMES 2003: p. 101.   </w:t>
      </w:r>
    </w:p>
  </w:footnote>
  <w:footnote w:id="30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MENDES 1981: </w:t>
      </w:r>
      <w:r w:rsidRPr="005219C9">
        <w:rPr>
          <w:rFonts w:ascii="Times New Roman" w:hAnsi="Times New Roman" w:cs="Times New Roman"/>
          <w:iCs/>
        </w:rPr>
        <w:t xml:space="preserve">pp. 292-293.  </w:t>
      </w:r>
    </w:p>
  </w:footnote>
  <w:footnote w:id="30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Ver as figura 12 e 13 do nosso apêndice cartográfico.</w:t>
      </w:r>
    </w:p>
  </w:footnote>
  <w:footnote w:id="30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NETO 1995.   </w:t>
      </w:r>
    </w:p>
  </w:footnote>
  <w:footnote w:id="303">
    <w:p w:rsidR="00A55E03" w:rsidRPr="005219C9" w:rsidRDefault="00A55E03" w:rsidP="0011294E">
      <w:pPr>
        <w:shd w:val="clear" w:color="auto" w:fill="FFFFFF"/>
        <w:jc w:val="both"/>
        <w:rPr>
          <w:rFonts w:ascii="Times New Roman" w:hAnsi="Times New Roman"/>
          <w:bCs/>
          <w:sz w:val="20"/>
          <w:szCs w:val="20"/>
        </w:rPr>
      </w:pPr>
      <w:r w:rsidRPr="005219C9">
        <w:rPr>
          <w:rStyle w:val="Refdenotaderodap"/>
          <w:rFonts w:ascii="Times New Roman" w:hAnsi="Times New Roman"/>
          <w:sz w:val="20"/>
          <w:szCs w:val="20"/>
        </w:rPr>
        <w:footnoteRef/>
      </w:r>
      <w:r w:rsidRPr="005219C9">
        <w:rPr>
          <w:rFonts w:ascii="Times New Roman" w:hAnsi="Times New Roman"/>
          <w:bCs/>
          <w:sz w:val="20"/>
          <w:szCs w:val="20"/>
        </w:rPr>
        <w:t>CORREIA 2010: p. 337.</w:t>
      </w:r>
    </w:p>
  </w:footnote>
  <w:footnote w:id="304">
    <w:p w:rsidR="00A55E03" w:rsidRPr="005219C9" w:rsidRDefault="00A55E03" w:rsidP="0011294E">
      <w:pPr>
        <w:autoSpaceDE w:val="0"/>
        <w:autoSpaceDN w:val="0"/>
        <w:adjustRightInd w:val="0"/>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Decreto-lei nº 37/728, Diário do Governo, I Série, n.º 4, de 5-01-1950.</w:t>
      </w:r>
    </w:p>
  </w:footnote>
  <w:footnote w:id="30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Revista </w:t>
      </w:r>
      <w:r w:rsidRPr="005219C9">
        <w:rPr>
          <w:rFonts w:ascii="Times New Roman" w:hAnsi="Times New Roman" w:cs="Times New Roman"/>
          <w:i/>
        </w:rPr>
        <w:t>O Ocidente</w:t>
      </w:r>
      <w:r w:rsidRPr="005219C9">
        <w:rPr>
          <w:rFonts w:ascii="Times New Roman" w:hAnsi="Times New Roman" w:cs="Times New Roman"/>
        </w:rPr>
        <w:t xml:space="preserve">, Vol. 1, 12, 1878, p. 94. In CORREIA 2010: p. 337.   </w:t>
      </w:r>
    </w:p>
  </w:footnote>
  <w:footnote w:id="306">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Para a realização deste estudo acedemos ao inventário de património restaurado pela antiga D.G.E.M.N no site www.monumentos.pt pesquisando na SIPA “Sistema de Informação para o Património Arquitetónico”. </w:t>
      </w:r>
    </w:p>
  </w:footnote>
  <w:footnote w:id="30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ALMEIDA 2001: p. 144. </w:t>
      </w:r>
    </w:p>
  </w:footnote>
  <w:footnote w:id="30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bCs/>
        </w:rPr>
        <w:t xml:space="preserve"> GOMES 2010.</w:t>
      </w:r>
    </w:p>
  </w:footnote>
  <w:footnote w:id="309">
    <w:p w:rsidR="00A55E03" w:rsidRPr="005219C9" w:rsidRDefault="00A55E03" w:rsidP="0011294E">
      <w:pPr>
        <w:shd w:val="clear" w:color="auto" w:fill="FFFFFF"/>
        <w:jc w:val="both"/>
        <w:rPr>
          <w:rFonts w:ascii="Times New Roman" w:hAnsi="Times New Roman"/>
          <w:bCs/>
          <w:i/>
          <w:sz w:val="20"/>
          <w:szCs w:val="20"/>
        </w:rPr>
      </w:pPr>
      <w:r w:rsidRPr="005219C9">
        <w:rPr>
          <w:rStyle w:val="Refdenotaderodap"/>
          <w:rFonts w:ascii="Times New Roman" w:hAnsi="Times New Roman"/>
          <w:sz w:val="20"/>
          <w:szCs w:val="20"/>
        </w:rPr>
        <w:footnoteRef/>
      </w:r>
      <w:r w:rsidRPr="005219C9">
        <w:rPr>
          <w:rFonts w:ascii="Times New Roman" w:hAnsi="Times New Roman"/>
          <w:bCs/>
          <w:sz w:val="20"/>
          <w:szCs w:val="20"/>
        </w:rPr>
        <w:t xml:space="preserve"> GOMES 2010: p. 267.</w:t>
      </w:r>
    </w:p>
  </w:footnote>
  <w:footnote w:id="31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bCs/>
        </w:rPr>
        <w:t xml:space="preserve"> GOMES2010</w:t>
      </w:r>
      <w:r w:rsidRPr="005219C9">
        <w:rPr>
          <w:rFonts w:ascii="Times New Roman" w:hAnsi="Times New Roman" w:cs="Times New Roman"/>
          <w:bCs/>
          <w:i/>
        </w:rPr>
        <w:t xml:space="preserve">: </w:t>
      </w:r>
      <w:r w:rsidRPr="005219C9">
        <w:rPr>
          <w:rFonts w:ascii="Times New Roman" w:hAnsi="Times New Roman" w:cs="Times New Roman"/>
          <w:bCs/>
        </w:rPr>
        <w:t>p. 268.</w:t>
      </w:r>
    </w:p>
  </w:footnote>
  <w:footnote w:id="31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bCs/>
        </w:rPr>
        <w:t xml:space="preserve"> GOMES 2010: p. 265.</w:t>
      </w:r>
    </w:p>
  </w:footnote>
  <w:footnote w:id="31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Planta da Praça de Monforte de Rio Livre na província de Trás-os-Montes da autoria de ajudante Engenheiro José Monteiro de Carvalho (1753).</w:t>
      </w:r>
    </w:p>
  </w:footnote>
  <w:footnote w:id="31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GOMES 2010: pp. 76-79.  </w:t>
      </w:r>
    </w:p>
  </w:footnote>
  <w:footnote w:id="31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bCs/>
        </w:rPr>
        <w:t xml:space="preserve"> MONTEIRO</w:t>
      </w:r>
      <w:r w:rsidRPr="005219C9">
        <w:rPr>
          <w:rFonts w:ascii="Times New Roman" w:eastAsia="Times New Roman" w:hAnsi="Times New Roman" w:cs="Times New Roman"/>
          <w:bCs/>
          <w:lang w:eastAsia="pt-PT"/>
        </w:rPr>
        <w:t xml:space="preserve"> 1999: p</w:t>
      </w:r>
      <w:r w:rsidRPr="005219C9">
        <w:rPr>
          <w:rFonts w:ascii="Times New Roman" w:hAnsi="Times New Roman" w:cs="Times New Roman"/>
        </w:rPr>
        <w:t xml:space="preserve">. 222.  </w:t>
      </w:r>
    </w:p>
  </w:footnote>
  <w:footnote w:id="31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Ver mapa 13 do nosso apêndice cartográfico.  </w:t>
      </w:r>
    </w:p>
  </w:footnote>
  <w:footnote w:id="31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153.</w:t>
      </w:r>
    </w:p>
  </w:footnote>
  <w:footnote w:id="31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299. </w:t>
      </w:r>
    </w:p>
  </w:footnote>
  <w:footnote w:id="31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88.</w:t>
      </w:r>
    </w:p>
  </w:footnote>
  <w:footnote w:id="31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89.</w:t>
      </w:r>
    </w:p>
  </w:footnote>
  <w:footnote w:id="320">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Elementos que se expressam na instituição de feiras, sistematicamente ligadas a esses novos locais. A importância e vitalidade desta feira expressam-se bem no facto de ainda aí se realizar há poucas décadas atrás, apesar da vila se encontrar despovoada desde o início do século XIX. TEIXEIRA 1996: p. 155. </w:t>
      </w:r>
    </w:p>
  </w:footnote>
  <w:footnote w:id="32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533. BARRADAS 1956: p. 202.</w:t>
      </w:r>
    </w:p>
  </w:footnote>
  <w:footnote w:id="32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533. </w:t>
      </w:r>
    </w:p>
  </w:footnote>
  <w:footnote w:id="323">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hyperlink r:id="rId1" w:history="1">
        <w:r w:rsidRPr="005219C9">
          <w:rPr>
            <w:rStyle w:val="Hiperligao"/>
            <w:rFonts w:ascii="Times New Roman" w:hAnsi="Times New Roman"/>
            <w:sz w:val="20"/>
            <w:szCs w:val="20"/>
          </w:rPr>
          <w:t>www.monumentos.pt</w:t>
        </w:r>
      </w:hyperlink>
    </w:p>
  </w:footnote>
  <w:footnote w:id="32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FREITAS 2001: p. 385.</w:t>
      </w:r>
    </w:p>
  </w:footnote>
  <w:footnote w:id="32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542. BARRADAS 1956: p. 59. </w:t>
      </w:r>
    </w:p>
  </w:footnote>
  <w:footnote w:id="32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i/>
          <w:iCs/>
        </w:rPr>
        <w:t>Albergaria et aldeola de ponte de Domente</w:t>
      </w:r>
      <w:r w:rsidRPr="005219C9">
        <w:rPr>
          <w:rFonts w:ascii="Times New Roman" w:hAnsi="Times New Roman" w:cs="Times New Roman"/>
        </w:rPr>
        <w:t xml:space="preserve">". PMH – </w:t>
      </w:r>
      <w:r w:rsidRPr="005219C9">
        <w:rPr>
          <w:rFonts w:ascii="Times New Roman" w:hAnsi="Times New Roman" w:cs="Times New Roman"/>
          <w:i/>
          <w:lang w:val="fr-FR"/>
        </w:rPr>
        <w:t xml:space="preserve">Inquisitiones: </w:t>
      </w:r>
      <w:r w:rsidRPr="005219C9">
        <w:rPr>
          <w:rFonts w:ascii="Times New Roman" w:hAnsi="Times New Roman" w:cs="Times New Roman"/>
          <w:lang w:val="fr-FR"/>
        </w:rPr>
        <w:t>p.1344.</w:t>
      </w:r>
    </w:p>
  </w:footnote>
  <w:footnote w:id="32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RODRÍGUEZ COLMENERO 1987: pp. 421-422. nº 305.</w:t>
      </w:r>
    </w:p>
  </w:footnote>
  <w:footnote w:id="32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M(arco). NVM(erio). NVMERIANO NOB(ilissimo) / CAES(ari). AVG(usto) In LEMOS 1993: p.544. nº 896.</w:t>
      </w:r>
    </w:p>
  </w:footnote>
  <w:footnote w:id="32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pp. 544-545. nº 896.</w:t>
      </w:r>
    </w:p>
  </w:footnote>
  <w:footnote w:id="33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ALMEIDA 1987: p. 138.</w:t>
      </w:r>
    </w:p>
  </w:footnote>
  <w:footnote w:id="33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GOMES 2003: p. 68. </w:t>
      </w:r>
    </w:p>
  </w:footnote>
  <w:footnote w:id="33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GOMES 2003: p.77. </w:t>
      </w:r>
    </w:p>
  </w:footnote>
  <w:footnote w:id="333">
    <w:p w:rsidR="00A55E03" w:rsidRPr="005219C9" w:rsidRDefault="00A55E03" w:rsidP="0011294E">
      <w:pPr>
        <w:jc w:val="both"/>
        <w:rPr>
          <w:rFonts w:ascii="Times New Roman" w:hAnsi="Times New Roman"/>
          <w:iCs/>
          <w:sz w:val="20"/>
          <w:szCs w:val="20"/>
        </w:rPr>
      </w:pPr>
      <w:r w:rsidRPr="005219C9">
        <w:rPr>
          <w:rStyle w:val="Refdenotaderodap"/>
          <w:rFonts w:ascii="Times New Roman" w:hAnsi="Times New Roman"/>
          <w:sz w:val="20"/>
          <w:szCs w:val="20"/>
        </w:rPr>
        <w:footnoteRef/>
      </w:r>
      <w:r w:rsidRPr="005219C9">
        <w:rPr>
          <w:rFonts w:ascii="Times New Roman" w:hAnsi="Times New Roman"/>
          <w:iCs/>
          <w:sz w:val="20"/>
          <w:szCs w:val="20"/>
        </w:rPr>
        <w:t xml:space="preserve"> ALVES 2000: p. 67.</w:t>
      </w:r>
    </w:p>
  </w:footnote>
  <w:footnote w:id="33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GOMES 2003: p. 85.</w:t>
      </w:r>
    </w:p>
  </w:footnote>
  <w:footnote w:id="33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CAPELA e MATOS e BORRALHEIRO 2006: p.122.</w:t>
      </w:r>
    </w:p>
  </w:footnote>
  <w:footnote w:id="33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PMH –</w:t>
      </w:r>
      <w:r w:rsidRPr="005219C9">
        <w:rPr>
          <w:rFonts w:ascii="Times New Roman" w:hAnsi="Times New Roman" w:cs="Times New Roman"/>
          <w:i/>
          <w:lang w:val="fr-FR"/>
        </w:rPr>
        <w:t xml:space="preserve">Inquisitiones: </w:t>
      </w:r>
      <w:r w:rsidRPr="005219C9">
        <w:rPr>
          <w:rFonts w:ascii="Times New Roman" w:hAnsi="Times New Roman" w:cs="Times New Roman"/>
          <w:lang w:val="fr-FR"/>
        </w:rPr>
        <w:t>pp. 1345 – 1346.</w:t>
      </w:r>
    </w:p>
  </w:footnote>
  <w:footnote w:id="33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516 – 517.</w:t>
      </w:r>
    </w:p>
  </w:footnote>
  <w:footnote w:id="33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65.</w:t>
      </w:r>
    </w:p>
  </w:footnote>
  <w:footnote w:id="339">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PMH – </w:t>
      </w:r>
      <w:r w:rsidRPr="005219C9">
        <w:rPr>
          <w:rFonts w:ascii="Times New Roman" w:hAnsi="Times New Roman" w:cs="Times New Roman"/>
          <w:i/>
          <w:lang w:val="fr-FR"/>
        </w:rPr>
        <w:t xml:space="preserve">Inquisitiones: </w:t>
      </w:r>
      <w:r w:rsidRPr="005219C9">
        <w:rPr>
          <w:rFonts w:ascii="Times New Roman" w:hAnsi="Times New Roman" w:cs="Times New Roman"/>
          <w:lang w:val="fr-FR"/>
        </w:rPr>
        <w:t xml:space="preserve">p. 1348. </w:t>
      </w:r>
    </w:p>
  </w:footnote>
  <w:footnote w:id="340">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Pr>
          <w:rFonts w:ascii="Times New Roman" w:hAnsi="Times New Roman" w:cs="Times New Roman"/>
        </w:rPr>
        <w:t xml:space="preserve"> </w:t>
      </w:r>
      <w:r w:rsidRPr="005219C9">
        <w:rPr>
          <w:rFonts w:ascii="Times New Roman" w:hAnsi="Times New Roman" w:cs="Times New Roman"/>
        </w:rPr>
        <w:t xml:space="preserve">Retirado de: </w:t>
      </w:r>
      <w:hyperlink r:id="rId2" w:history="1">
        <w:r w:rsidRPr="005219C9">
          <w:rPr>
            <w:rStyle w:val="Hiperligao"/>
            <w:rFonts w:ascii="Times New Roman" w:hAnsi="Times New Roman" w:cs="Times New Roman"/>
          </w:rPr>
          <w:t>http://www.monumentos.pt/Site/APP_PagesUser/SIPA.aspx?id=12657</w:t>
        </w:r>
      </w:hyperlink>
      <w:proofErr w:type="gramStart"/>
      <w:r w:rsidRPr="005219C9">
        <w:rPr>
          <w:rFonts w:ascii="Times New Roman" w:hAnsi="Times New Roman" w:cs="Times New Roman"/>
        </w:rPr>
        <w:t>..([</w:t>
      </w:r>
      <w:proofErr w:type="gramEnd"/>
      <w:r w:rsidRPr="005219C9">
        <w:rPr>
          <w:rFonts w:ascii="Times New Roman" w:hAnsi="Times New Roman" w:cs="Times New Roman"/>
        </w:rPr>
        <w:t xml:space="preserve">  Consultado a 2015.05.07]). </w:t>
      </w:r>
    </w:p>
  </w:footnote>
  <w:footnote w:id="341">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ALVES 1931: pp. 692-693. </w:t>
      </w:r>
    </w:p>
  </w:footnote>
  <w:footnote w:id="342">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45.</w:t>
      </w:r>
    </w:p>
  </w:footnote>
  <w:footnote w:id="343">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MARTINS 1990: pp. 228-229.</w:t>
      </w:r>
    </w:p>
  </w:footnote>
  <w:footnote w:id="344">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103. </w:t>
      </w:r>
    </w:p>
  </w:footnote>
  <w:footnote w:id="345">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TEIXEIRA 1996: p. 56.</w:t>
      </w:r>
    </w:p>
  </w:footnote>
  <w:footnote w:id="346">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CAPELA e MATOS e BORRALHEIRO 2006: p. 122. </w:t>
      </w:r>
    </w:p>
  </w:footnote>
  <w:footnote w:id="347">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Retirado de: </w:t>
      </w:r>
      <w:hyperlink r:id="rId3" w:history="1">
        <w:r w:rsidRPr="005219C9">
          <w:rPr>
            <w:rStyle w:val="Hiperligao"/>
            <w:rFonts w:ascii="Times New Roman" w:hAnsi="Times New Roman" w:cs="Times New Roman"/>
          </w:rPr>
          <w:t>http://www.monumentos.pt/Site/APP_PagesUser/SIPA.aspx?id=12659</w:t>
        </w:r>
      </w:hyperlink>
      <w:proofErr w:type="gramStart"/>
      <w:r w:rsidRPr="005219C9">
        <w:rPr>
          <w:rFonts w:ascii="Times New Roman" w:hAnsi="Times New Roman" w:cs="Times New Roman"/>
        </w:rPr>
        <w:t>. .([</w:t>
      </w:r>
      <w:proofErr w:type="gramEnd"/>
      <w:r w:rsidRPr="005219C9">
        <w:rPr>
          <w:rFonts w:ascii="Times New Roman" w:hAnsi="Times New Roman" w:cs="Times New Roman"/>
        </w:rPr>
        <w:t xml:space="preserve"> Consultado a 2015.05.04]). </w:t>
      </w:r>
    </w:p>
  </w:footnote>
  <w:footnote w:id="348">
    <w:p w:rsidR="00A55E03" w:rsidRPr="005219C9" w:rsidRDefault="00A55E03" w:rsidP="0011294E">
      <w:pPr>
        <w:pStyle w:val="Textodenotaderodap"/>
        <w:jc w:val="both"/>
        <w:rPr>
          <w:rFonts w:ascii="Times New Roman" w:hAnsi="Times New Roman" w:cs="Times New Roman"/>
        </w:rPr>
      </w:pPr>
      <w:r w:rsidRPr="005219C9">
        <w:rPr>
          <w:rStyle w:val="Refdenotaderodap"/>
          <w:rFonts w:ascii="Times New Roman" w:hAnsi="Times New Roman" w:cs="Times New Roman"/>
        </w:rPr>
        <w:footnoteRef/>
      </w:r>
      <w:r w:rsidRPr="005219C9">
        <w:rPr>
          <w:rFonts w:ascii="Times New Roman" w:hAnsi="Times New Roman" w:cs="Times New Roman"/>
        </w:rPr>
        <w:t xml:space="preserve"> LEMOS 1993: p. 558. </w:t>
      </w:r>
    </w:p>
  </w:footnote>
  <w:footnote w:id="349">
    <w:p w:rsidR="00A55E03" w:rsidRPr="005219C9" w:rsidRDefault="00A55E03" w:rsidP="0011294E">
      <w:pPr>
        <w:jc w:val="both"/>
        <w:rPr>
          <w:rFonts w:ascii="Times New Roman" w:hAnsi="Times New Roman"/>
          <w:sz w:val="20"/>
          <w:szCs w:val="20"/>
        </w:rPr>
      </w:pPr>
      <w:r w:rsidRPr="005219C9">
        <w:rPr>
          <w:rStyle w:val="Refdenotaderodap"/>
          <w:rFonts w:ascii="Times New Roman" w:hAnsi="Times New Roman"/>
          <w:sz w:val="20"/>
          <w:szCs w:val="20"/>
        </w:rPr>
        <w:footnoteRef/>
      </w:r>
      <w:r w:rsidRPr="005219C9">
        <w:rPr>
          <w:rFonts w:ascii="Times New Roman" w:hAnsi="Times New Roman"/>
          <w:sz w:val="20"/>
          <w:szCs w:val="20"/>
        </w:rPr>
        <w:t xml:space="preserve"> ALMEIDA 1970: p. 112.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E03" w:rsidRDefault="00A55E0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13784"/>
    <w:multiLevelType w:val="multilevel"/>
    <w:tmpl w:val="F19219A4"/>
    <w:lvl w:ilvl="0">
      <w:start w:val="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85A2428"/>
    <w:multiLevelType w:val="hybridMultilevel"/>
    <w:tmpl w:val="A36ACB20"/>
    <w:lvl w:ilvl="0" w:tplc="08160001">
      <w:start w:val="1"/>
      <w:numFmt w:val="bullet"/>
      <w:lvlText w:val=""/>
      <w:lvlJc w:val="left"/>
      <w:pPr>
        <w:ind w:left="1400" w:hanging="360"/>
      </w:pPr>
      <w:rPr>
        <w:rFonts w:ascii="Symbol" w:hAnsi="Symbol" w:hint="default"/>
      </w:rPr>
    </w:lvl>
    <w:lvl w:ilvl="1" w:tplc="08160003" w:tentative="1">
      <w:start w:val="1"/>
      <w:numFmt w:val="bullet"/>
      <w:lvlText w:val="o"/>
      <w:lvlJc w:val="left"/>
      <w:pPr>
        <w:ind w:left="2120" w:hanging="360"/>
      </w:pPr>
      <w:rPr>
        <w:rFonts w:ascii="Courier New" w:hAnsi="Courier New" w:cs="Courier New" w:hint="default"/>
      </w:rPr>
    </w:lvl>
    <w:lvl w:ilvl="2" w:tplc="08160005" w:tentative="1">
      <w:start w:val="1"/>
      <w:numFmt w:val="bullet"/>
      <w:lvlText w:val=""/>
      <w:lvlJc w:val="left"/>
      <w:pPr>
        <w:ind w:left="2840" w:hanging="360"/>
      </w:pPr>
      <w:rPr>
        <w:rFonts w:ascii="Wingdings" w:hAnsi="Wingdings" w:hint="default"/>
      </w:rPr>
    </w:lvl>
    <w:lvl w:ilvl="3" w:tplc="08160001" w:tentative="1">
      <w:start w:val="1"/>
      <w:numFmt w:val="bullet"/>
      <w:lvlText w:val=""/>
      <w:lvlJc w:val="left"/>
      <w:pPr>
        <w:ind w:left="3560" w:hanging="360"/>
      </w:pPr>
      <w:rPr>
        <w:rFonts w:ascii="Symbol" w:hAnsi="Symbol" w:hint="default"/>
      </w:rPr>
    </w:lvl>
    <w:lvl w:ilvl="4" w:tplc="08160003" w:tentative="1">
      <w:start w:val="1"/>
      <w:numFmt w:val="bullet"/>
      <w:lvlText w:val="o"/>
      <w:lvlJc w:val="left"/>
      <w:pPr>
        <w:ind w:left="4280" w:hanging="360"/>
      </w:pPr>
      <w:rPr>
        <w:rFonts w:ascii="Courier New" w:hAnsi="Courier New" w:cs="Courier New" w:hint="default"/>
      </w:rPr>
    </w:lvl>
    <w:lvl w:ilvl="5" w:tplc="08160005" w:tentative="1">
      <w:start w:val="1"/>
      <w:numFmt w:val="bullet"/>
      <w:lvlText w:val=""/>
      <w:lvlJc w:val="left"/>
      <w:pPr>
        <w:ind w:left="5000" w:hanging="360"/>
      </w:pPr>
      <w:rPr>
        <w:rFonts w:ascii="Wingdings" w:hAnsi="Wingdings" w:hint="default"/>
      </w:rPr>
    </w:lvl>
    <w:lvl w:ilvl="6" w:tplc="08160001" w:tentative="1">
      <w:start w:val="1"/>
      <w:numFmt w:val="bullet"/>
      <w:lvlText w:val=""/>
      <w:lvlJc w:val="left"/>
      <w:pPr>
        <w:ind w:left="5720" w:hanging="360"/>
      </w:pPr>
      <w:rPr>
        <w:rFonts w:ascii="Symbol" w:hAnsi="Symbol" w:hint="default"/>
      </w:rPr>
    </w:lvl>
    <w:lvl w:ilvl="7" w:tplc="08160003" w:tentative="1">
      <w:start w:val="1"/>
      <w:numFmt w:val="bullet"/>
      <w:lvlText w:val="o"/>
      <w:lvlJc w:val="left"/>
      <w:pPr>
        <w:ind w:left="6440" w:hanging="360"/>
      </w:pPr>
      <w:rPr>
        <w:rFonts w:ascii="Courier New" w:hAnsi="Courier New" w:cs="Courier New" w:hint="default"/>
      </w:rPr>
    </w:lvl>
    <w:lvl w:ilvl="8" w:tplc="08160005" w:tentative="1">
      <w:start w:val="1"/>
      <w:numFmt w:val="bullet"/>
      <w:lvlText w:val=""/>
      <w:lvlJc w:val="left"/>
      <w:pPr>
        <w:ind w:left="7160" w:hanging="360"/>
      </w:pPr>
      <w:rPr>
        <w:rFonts w:ascii="Wingdings" w:hAnsi="Wingdings" w:hint="default"/>
      </w:rPr>
    </w:lvl>
  </w:abstractNum>
  <w:abstractNum w:abstractNumId="2">
    <w:nsid w:val="0A3F45A7"/>
    <w:multiLevelType w:val="hybridMultilevel"/>
    <w:tmpl w:val="EC52AFCC"/>
    <w:lvl w:ilvl="0" w:tplc="EB50F65C">
      <w:start w:val="1"/>
      <w:numFmt w:val="decimal"/>
      <w:lvlText w:val="%1."/>
      <w:lvlJc w:val="left"/>
      <w:pPr>
        <w:ind w:left="1416" w:hanging="360"/>
      </w:pPr>
      <w:rPr>
        <w:rFonts w:hint="default"/>
      </w:rPr>
    </w:lvl>
    <w:lvl w:ilvl="1" w:tplc="08160019" w:tentative="1">
      <w:start w:val="1"/>
      <w:numFmt w:val="lowerLetter"/>
      <w:lvlText w:val="%2."/>
      <w:lvlJc w:val="left"/>
      <w:pPr>
        <w:ind w:left="2136" w:hanging="360"/>
      </w:pPr>
    </w:lvl>
    <w:lvl w:ilvl="2" w:tplc="0816001B" w:tentative="1">
      <w:start w:val="1"/>
      <w:numFmt w:val="lowerRoman"/>
      <w:lvlText w:val="%3."/>
      <w:lvlJc w:val="right"/>
      <w:pPr>
        <w:ind w:left="2856" w:hanging="180"/>
      </w:pPr>
    </w:lvl>
    <w:lvl w:ilvl="3" w:tplc="0816000F" w:tentative="1">
      <w:start w:val="1"/>
      <w:numFmt w:val="decimal"/>
      <w:lvlText w:val="%4."/>
      <w:lvlJc w:val="left"/>
      <w:pPr>
        <w:ind w:left="3576" w:hanging="360"/>
      </w:pPr>
    </w:lvl>
    <w:lvl w:ilvl="4" w:tplc="08160019" w:tentative="1">
      <w:start w:val="1"/>
      <w:numFmt w:val="lowerLetter"/>
      <w:lvlText w:val="%5."/>
      <w:lvlJc w:val="left"/>
      <w:pPr>
        <w:ind w:left="4296" w:hanging="360"/>
      </w:pPr>
    </w:lvl>
    <w:lvl w:ilvl="5" w:tplc="0816001B" w:tentative="1">
      <w:start w:val="1"/>
      <w:numFmt w:val="lowerRoman"/>
      <w:lvlText w:val="%6."/>
      <w:lvlJc w:val="right"/>
      <w:pPr>
        <w:ind w:left="5016" w:hanging="180"/>
      </w:pPr>
    </w:lvl>
    <w:lvl w:ilvl="6" w:tplc="0816000F" w:tentative="1">
      <w:start w:val="1"/>
      <w:numFmt w:val="decimal"/>
      <w:lvlText w:val="%7."/>
      <w:lvlJc w:val="left"/>
      <w:pPr>
        <w:ind w:left="5736" w:hanging="360"/>
      </w:pPr>
    </w:lvl>
    <w:lvl w:ilvl="7" w:tplc="08160019" w:tentative="1">
      <w:start w:val="1"/>
      <w:numFmt w:val="lowerLetter"/>
      <w:lvlText w:val="%8."/>
      <w:lvlJc w:val="left"/>
      <w:pPr>
        <w:ind w:left="6456" w:hanging="360"/>
      </w:pPr>
    </w:lvl>
    <w:lvl w:ilvl="8" w:tplc="0816001B" w:tentative="1">
      <w:start w:val="1"/>
      <w:numFmt w:val="lowerRoman"/>
      <w:lvlText w:val="%9."/>
      <w:lvlJc w:val="right"/>
      <w:pPr>
        <w:ind w:left="7176" w:hanging="180"/>
      </w:pPr>
    </w:lvl>
  </w:abstractNum>
  <w:abstractNum w:abstractNumId="3">
    <w:nsid w:val="23564718"/>
    <w:multiLevelType w:val="hybridMultilevel"/>
    <w:tmpl w:val="6902F170"/>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4">
    <w:nsid w:val="266D6012"/>
    <w:multiLevelType w:val="multilevel"/>
    <w:tmpl w:val="B42C74D2"/>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E246806"/>
    <w:multiLevelType w:val="hybridMultilevel"/>
    <w:tmpl w:val="EC96FFE6"/>
    <w:lvl w:ilvl="0" w:tplc="0AB63F32">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37544CE1"/>
    <w:multiLevelType w:val="hybridMultilevel"/>
    <w:tmpl w:val="08F0622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398F6466"/>
    <w:multiLevelType w:val="hybridMultilevel"/>
    <w:tmpl w:val="E2F0AB10"/>
    <w:lvl w:ilvl="0" w:tplc="D15682E4">
      <w:start w:val="1"/>
      <w:numFmt w:val="decimal"/>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8">
    <w:nsid w:val="3A9233DA"/>
    <w:multiLevelType w:val="hybridMultilevel"/>
    <w:tmpl w:val="CA5808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3C815DB1"/>
    <w:multiLevelType w:val="hybridMultilevel"/>
    <w:tmpl w:val="4B0ED2C2"/>
    <w:lvl w:ilvl="0" w:tplc="0816000F">
      <w:start w:val="1"/>
      <w:numFmt w:val="decimal"/>
      <w:lvlText w:val="%1."/>
      <w:lvlJc w:val="left"/>
      <w:pPr>
        <w:ind w:left="2064" w:hanging="360"/>
      </w:pPr>
    </w:lvl>
    <w:lvl w:ilvl="1" w:tplc="08160019" w:tentative="1">
      <w:start w:val="1"/>
      <w:numFmt w:val="lowerLetter"/>
      <w:lvlText w:val="%2."/>
      <w:lvlJc w:val="left"/>
      <w:pPr>
        <w:ind w:left="2784" w:hanging="360"/>
      </w:pPr>
    </w:lvl>
    <w:lvl w:ilvl="2" w:tplc="0816001B" w:tentative="1">
      <w:start w:val="1"/>
      <w:numFmt w:val="lowerRoman"/>
      <w:lvlText w:val="%3."/>
      <w:lvlJc w:val="right"/>
      <w:pPr>
        <w:ind w:left="3504" w:hanging="180"/>
      </w:pPr>
    </w:lvl>
    <w:lvl w:ilvl="3" w:tplc="0816000F" w:tentative="1">
      <w:start w:val="1"/>
      <w:numFmt w:val="decimal"/>
      <w:lvlText w:val="%4."/>
      <w:lvlJc w:val="left"/>
      <w:pPr>
        <w:ind w:left="4224" w:hanging="360"/>
      </w:pPr>
    </w:lvl>
    <w:lvl w:ilvl="4" w:tplc="08160019" w:tentative="1">
      <w:start w:val="1"/>
      <w:numFmt w:val="lowerLetter"/>
      <w:lvlText w:val="%5."/>
      <w:lvlJc w:val="left"/>
      <w:pPr>
        <w:ind w:left="4944" w:hanging="360"/>
      </w:pPr>
    </w:lvl>
    <w:lvl w:ilvl="5" w:tplc="0816001B" w:tentative="1">
      <w:start w:val="1"/>
      <w:numFmt w:val="lowerRoman"/>
      <w:lvlText w:val="%6."/>
      <w:lvlJc w:val="right"/>
      <w:pPr>
        <w:ind w:left="5664" w:hanging="180"/>
      </w:pPr>
    </w:lvl>
    <w:lvl w:ilvl="6" w:tplc="0816000F" w:tentative="1">
      <w:start w:val="1"/>
      <w:numFmt w:val="decimal"/>
      <w:lvlText w:val="%7."/>
      <w:lvlJc w:val="left"/>
      <w:pPr>
        <w:ind w:left="6384" w:hanging="360"/>
      </w:pPr>
    </w:lvl>
    <w:lvl w:ilvl="7" w:tplc="08160019" w:tentative="1">
      <w:start w:val="1"/>
      <w:numFmt w:val="lowerLetter"/>
      <w:lvlText w:val="%8."/>
      <w:lvlJc w:val="left"/>
      <w:pPr>
        <w:ind w:left="7104" w:hanging="360"/>
      </w:pPr>
    </w:lvl>
    <w:lvl w:ilvl="8" w:tplc="0816001B" w:tentative="1">
      <w:start w:val="1"/>
      <w:numFmt w:val="lowerRoman"/>
      <w:lvlText w:val="%9."/>
      <w:lvlJc w:val="right"/>
      <w:pPr>
        <w:ind w:left="7824" w:hanging="180"/>
      </w:pPr>
    </w:lvl>
  </w:abstractNum>
  <w:abstractNum w:abstractNumId="10">
    <w:nsid w:val="3F210D91"/>
    <w:multiLevelType w:val="hybridMultilevel"/>
    <w:tmpl w:val="3BF69F7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409B4675"/>
    <w:multiLevelType w:val="hybridMultilevel"/>
    <w:tmpl w:val="7608A40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413A071F"/>
    <w:multiLevelType w:val="multilevel"/>
    <w:tmpl w:val="FFFFFFFF"/>
    <w:lvl w:ilvl="0">
      <w:start w:val="1"/>
      <w:numFmt w:val="none"/>
      <w:pStyle w:val="Ttulo1"/>
      <w:suff w:val="nothing"/>
      <w:lvlText w:val=""/>
      <w:lvlJc w:val="left"/>
      <w:pPr>
        <w:tabs>
          <w:tab w:val="num" w:pos="432"/>
        </w:tabs>
        <w:ind w:left="432" w:hanging="432"/>
      </w:pPr>
      <w:rPr>
        <w:rFonts w:cs="Times New Roman"/>
      </w:rPr>
    </w:lvl>
    <w:lvl w:ilvl="1">
      <w:start w:val="1"/>
      <w:numFmt w:val="none"/>
      <w:pStyle w:val="Ttulo2"/>
      <w:suff w:val="nothing"/>
      <w:lvlText w:val=""/>
      <w:lvlJc w:val="left"/>
      <w:pPr>
        <w:tabs>
          <w:tab w:val="num" w:pos="576"/>
        </w:tabs>
        <w:ind w:left="576" w:hanging="576"/>
      </w:pPr>
      <w:rPr>
        <w:rFonts w:cs="Times New Roman"/>
      </w:rPr>
    </w:lvl>
    <w:lvl w:ilvl="2">
      <w:start w:val="1"/>
      <w:numFmt w:val="none"/>
      <w:pStyle w:val="Ttulo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3">
    <w:nsid w:val="482B60E9"/>
    <w:multiLevelType w:val="hybridMultilevel"/>
    <w:tmpl w:val="3446E2D2"/>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4">
    <w:nsid w:val="5013205F"/>
    <w:multiLevelType w:val="multilevel"/>
    <w:tmpl w:val="DADE273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50201278"/>
    <w:multiLevelType w:val="hybridMultilevel"/>
    <w:tmpl w:val="96FCA5EE"/>
    <w:lvl w:ilvl="0" w:tplc="0816000F">
      <w:start w:val="1"/>
      <w:numFmt w:val="decimal"/>
      <w:lvlText w:val="%1."/>
      <w:lvlJc w:val="left"/>
      <w:pPr>
        <w:ind w:left="1429" w:hanging="360"/>
      </w:pPr>
    </w:lvl>
    <w:lvl w:ilvl="1" w:tplc="08160019" w:tentative="1">
      <w:start w:val="1"/>
      <w:numFmt w:val="lowerLetter"/>
      <w:lvlText w:val="%2."/>
      <w:lvlJc w:val="left"/>
      <w:pPr>
        <w:ind w:left="2149" w:hanging="360"/>
      </w:pPr>
    </w:lvl>
    <w:lvl w:ilvl="2" w:tplc="0816001B" w:tentative="1">
      <w:start w:val="1"/>
      <w:numFmt w:val="lowerRoman"/>
      <w:lvlText w:val="%3."/>
      <w:lvlJc w:val="right"/>
      <w:pPr>
        <w:ind w:left="2869" w:hanging="180"/>
      </w:pPr>
    </w:lvl>
    <w:lvl w:ilvl="3" w:tplc="0816000F" w:tentative="1">
      <w:start w:val="1"/>
      <w:numFmt w:val="decimal"/>
      <w:lvlText w:val="%4."/>
      <w:lvlJc w:val="left"/>
      <w:pPr>
        <w:ind w:left="3589" w:hanging="360"/>
      </w:pPr>
    </w:lvl>
    <w:lvl w:ilvl="4" w:tplc="08160019" w:tentative="1">
      <w:start w:val="1"/>
      <w:numFmt w:val="lowerLetter"/>
      <w:lvlText w:val="%5."/>
      <w:lvlJc w:val="left"/>
      <w:pPr>
        <w:ind w:left="4309" w:hanging="360"/>
      </w:pPr>
    </w:lvl>
    <w:lvl w:ilvl="5" w:tplc="0816001B" w:tentative="1">
      <w:start w:val="1"/>
      <w:numFmt w:val="lowerRoman"/>
      <w:lvlText w:val="%6."/>
      <w:lvlJc w:val="right"/>
      <w:pPr>
        <w:ind w:left="5029" w:hanging="180"/>
      </w:pPr>
    </w:lvl>
    <w:lvl w:ilvl="6" w:tplc="0816000F" w:tentative="1">
      <w:start w:val="1"/>
      <w:numFmt w:val="decimal"/>
      <w:lvlText w:val="%7."/>
      <w:lvlJc w:val="left"/>
      <w:pPr>
        <w:ind w:left="5749" w:hanging="360"/>
      </w:pPr>
    </w:lvl>
    <w:lvl w:ilvl="7" w:tplc="08160019" w:tentative="1">
      <w:start w:val="1"/>
      <w:numFmt w:val="lowerLetter"/>
      <w:lvlText w:val="%8."/>
      <w:lvlJc w:val="left"/>
      <w:pPr>
        <w:ind w:left="6469" w:hanging="360"/>
      </w:pPr>
    </w:lvl>
    <w:lvl w:ilvl="8" w:tplc="0816001B" w:tentative="1">
      <w:start w:val="1"/>
      <w:numFmt w:val="lowerRoman"/>
      <w:lvlText w:val="%9."/>
      <w:lvlJc w:val="right"/>
      <w:pPr>
        <w:ind w:left="7189" w:hanging="180"/>
      </w:pPr>
    </w:lvl>
  </w:abstractNum>
  <w:abstractNum w:abstractNumId="16">
    <w:nsid w:val="5357037B"/>
    <w:multiLevelType w:val="hybridMultilevel"/>
    <w:tmpl w:val="019E5B30"/>
    <w:lvl w:ilvl="0" w:tplc="42B6C682">
      <w:start w:val="1"/>
      <w:numFmt w:val="decimal"/>
      <w:lvlText w:val="%1."/>
      <w:lvlJc w:val="left"/>
      <w:pPr>
        <w:ind w:left="720" w:hanging="360"/>
      </w:pPr>
      <w:rPr>
        <w:rFonts w:ascii="Times New Roman" w:eastAsiaTheme="minorHAnsi" w:hAnsi="Times New Roman" w:cs="Times New Roman" w:hint="default"/>
        <w:b w:val="0"/>
        <w:sz w:val="24"/>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5D3334C2"/>
    <w:multiLevelType w:val="multilevel"/>
    <w:tmpl w:val="AC0AA63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5D6C32FA"/>
    <w:multiLevelType w:val="hybridMultilevel"/>
    <w:tmpl w:val="729E9C3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60EF0558"/>
    <w:multiLevelType w:val="multilevel"/>
    <w:tmpl w:val="7478B84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6B0564FB"/>
    <w:multiLevelType w:val="hybridMultilevel"/>
    <w:tmpl w:val="B600BED4"/>
    <w:lvl w:ilvl="0" w:tplc="98C079E2">
      <w:start w:val="1"/>
      <w:numFmt w:val="upperRoman"/>
      <w:lvlText w:val="%1)"/>
      <w:lvlJc w:val="left"/>
      <w:pPr>
        <w:ind w:left="1344" w:hanging="720"/>
      </w:pPr>
      <w:rPr>
        <w:rFonts w:hint="default"/>
      </w:rPr>
    </w:lvl>
    <w:lvl w:ilvl="1" w:tplc="08160019" w:tentative="1">
      <w:start w:val="1"/>
      <w:numFmt w:val="lowerLetter"/>
      <w:lvlText w:val="%2."/>
      <w:lvlJc w:val="left"/>
      <w:pPr>
        <w:ind w:left="1704" w:hanging="360"/>
      </w:pPr>
    </w:lvl>
    <w:lvl w:ilvl="2" w:tplc="0816001B" w:tentative="1">
      <w:start w:val="1"/>
      <w:numFmt w:val="lowerRoman"/>
      <w:lvlText w:val="%3."/>
      <w:lvlJc w:val="right"/>
      <w:pPr>
        <w:ind w:left="2424" w:hanging="180"/>
      </w:pPr>
    </w:lvl>
    <w:lvl w:ilvl="3" w:tplc="0816000F" w:tentative="1">
      <w:start w:val="1"/>
      <w:numFmt w:val="decimal"/>
      <w:lvlText w:val="%4."/>
      <w:lvlJc w:val="left"/>
      <w:pPr>
        <w:ind w:left="3144" w:hanging="360"/>
      </w:pPr>
    </w:lvl>
    <w:lvl w:ilvl="4" w:tplc="08160019" w:tentative="1">
      <w:start w:val="1"/>
      <w:numFmt w:val="lowerLetter"/>
      <w:lvlText w:val="%5."/>
      <w:lvlJc w:val="left"/>
      <w:pPr>
        <w:ind w:left="3864" w:hanging="360"/>
      </w:pPr>
    </w:lvl>
    <w:lvl w:ilvl="5" w:tplc="0816001B" w:tentative="1">
      <w:start w:val="1"/>
      <w:numFmt w:val="lowerRoman"/>
      <w:lvlText w:val="%6."/>
      <w:lvlJc w:val="right"/>
      <w:pPr>
        <w:ind w:left="4584" w:hanging="180"/>
      </w:pPr>
    </w:lvl>
    <w:lvl w:ilvl="6" w:tplc="0816000F" w:tentative="1">
      <w:start w:val="1"/>
      <w:numFmt w:val="decimal"/>
      <w:lvlText w:val="%7."/>
      <w:lvlJc w:val="left"/>
      <w:pPr>
        <w:ind w:left="5304" w:hanging="360"/>
      </w:pPr>
    </w:lvl>
    <w:lvl w:ilvl="7" w:tplc="08160019" w:tentative="1">
      <w:start w:val="1"/>
      <w:numFmt w:val="lowerLetter"/>
      <w:lvlText w:val="%8."/>
      <w:lvlJc w:val="left"/>
      <w:pPr>
        <w:ind w:left="6024" w:hanging="360"/>
      </w:pPr>
    </w:lvl>
    <w:lvl w:ilvl="8" w:tplc="0816001B" w:tentative="1">
      <w:start w:val="1"/>
      <w:numFmt w:val="lowerRoman"/>
      <w:lvlText w:val="%9."/>
      <w:lvlJc w:val="right"/>
      <w:pPr>
        <w:ind w:left="6744" w:hanging="180"/>
      </w:pPr>
    </w:lvl>
  </w:abstractNum>
  <w:abstractNum w:abstractNumId="21">
    <w:nsid w:val="707224EC"/>
    <w:multiLevelType w:val="hybridMultilevel"/>
    <w:tmpl w:val="E5047A5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74104B14"/>
    <w:multiLevelType w:val="hybridMultilevel"/>
    <w:tmpl w:val="3C760D2C"/>
    <w:lvl w:ilvl="0" w:tplc="4CAAAF8C">
      <w:start w:val="1"/>
      <w:numFmt w:val="decimal"/>
      <w:lvlText w:val="%1-"/>
      <w:lvlJc w:val="left"/>
      <w:pPr>
        <w:ind w:left="720" w:hanging="360"/>
      </w:pPr>
      <w:rPr>
        <w:rFonts w:ascii="Times New Roman" w:eastAsiaTheme="minorHAnsi" w:hAnsi="Times New Roman" w:cs="Times New Roman" w:hint="default"/>
        <w:b w:val="0"/>
        <w:sz w:val="24"/>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nsid w:val="75B20340"/>
    <w:multiLevelType w:val="hybridMultilevel"/>
    <w:tmpl w:val="59D0EB9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nsid w:val="79422877"/>
    <w:multiLevelType w:val="multilevel"/>
    <w:tmpl w:val="2C762E08"/>
    <w:lvl w:ilvl="0">
      <w:start w:val="1"/>
      <w:numFmt w:val="decimal"/>
      <w:lvlText w:val="%1"/>
      <w:lvlJc w:val="left"/>
      <w:pPr>
        <w:ind w:left="360" w:hanging="360"/>
      </w:pPr>
      <w:rPr>
        <w:rFonts w:hint="default"/>
      </w:rPr>
    </w:lvl>
    <w:lvl w:ilvl="1">
      <w:start w:val="1"/>
      <w:numFmt w:val="decimal"/>
      <w:lvlText w:val="%1.%2"/>
      <w:lvlJc w:val="left"/>
      <w:pPr>
        <w:ind w:left="1704" w:hanging="360"/>
      </w:pPr>
      <w:rPr>
        <w:rFonts w:hint="default"/>
      </w:rPr>
    </w:lvl>
    <w:lvl w:ilvl="2">
      <w:start w:val="1"/>
      <w:numFmt w:val="decimal"/>
      <w:lvlText w:val="%1.%2.%3"/>
      <w:lvlJc w:val="left"/>
      <w:pPr>
        <w:ind w:left="3408" w:hanging="720"/>
      </w:pPr>
      <w:rPr>
        <w:rFonts w:hint="default"/>
      </w:rPr>
    </w:lvl>
    <w:lvl w:ilvl="3">
      <w:start w:val="1"/>
      <w:numFmt w:val="decimal"/>
      <w:lvlText w:val="%1.%2.%3.%4"/>
      <w:lvlJc w:val="left"/>
      <w:pPr>
        <w:ind w:left="4752" w:hanging="720"/>
      </w:pPr>
      <w:rPr>
        <w:rFonts w:hint="default"/>
      </w:rPr>
    </w:lvl>
    <w:lvl w:ilvl="4">
      <w:start w:val="1"/>
      <w:numFmt w:val="decimal"/>
      <w:lvlText w:val="%1.%2.%3.%4.%5"/>
      <w:lvlJc w:val="left"/>
      <w:pPr>
        <w:ind w:left="6456" w:hanging="1080"/>
      </w:pPr>
      <w:rPr>
        <w:rFonts w:hint="default"/>
      </w:rPr>
    </w:lvl>
    <w:lvl w:ilvl="5">
      <w:start w:val="1"/>
      <w:numFmt w:val="decimal"/>
      <w:lvlText w:val="%1.%2.%3.%4.%5.%6"/>
      <w:lvlJc w:val="left"/>
      <w:pPr>
        <w:ind w:left="7800" w:hanging="1080"/>
      </w:pPr>
      <w:rPr>
        <w:rFonts w:hint="default"/>
      </w:rPr>
    </w:lvl>
    <w:lvl w:ilvl="6">
      <w:start w:val="1"/>
      <w:numFmt w:val="decimal"/>
      <w:lvlText w:val="%1.%2.%3.%4.%5.%6.%7"/>
      <w:lvlJc w:val="left"/>
      <w:pPr>
        <w:ind w:left="9504" w:hanging="1440"/>
      </w:pPr>
      <w:rPr>
        <w:rFonts w:hint="default"/>
      </w:rPr>
    </w:lvl>
    <w:lvl w:ilvl="7">
      <w:start w:val="1"/>
      <w:numFmt w:val="decimal"/>
      <w:lvlText w:val="%1.%2.%3.%4.%5.%6.%7.%8"/>
      <w:lvlJc w:val="left"/>
      <w:pPr>
        <w:ind w:left="10848" w:hanging="1440"/>
      </w:pPr>
      <w:rPr>
        <w:rFonts w:hint="default"/>
      </w:rPr>
    </w:lvl>
    <w:lvl w:ilvl="8">
      <w:start w:val="1"/>
      <w:numFmt w:val="decimal"/>
      <w:lvlText w:val="%1.%2.%3.%4.%5.%6.%7.%8.%9"/>
      <w:lvlJc w:val="left"/>
      <w:pPr>
        <w:ind w:left="12552" w:hanging="1800"/>
      </w:pPr>
      <w:rPr>
        <w:rFonts w:hint="default"/>
      </w:rPr>
    </w:lvl>
  </w:abstractNum>
  <w:num w:numId="1">
    <w:abstractNumId w:val="12"/>
  </w:num>
  <w:num w:numId="2">
    <w:abstractNumId w:val="17"/>
  </w:num>
  <w:num w:numId="3">
    <w:abstractNumId w:val="14"/>
  </w:num>
  <w:num w:numId="4">
    <w:abstractNumId w:val="15"/>
  </w:num>
  <w:num w:numId="5">
    <w:abstractNumId w:val="13"/>
  </w:num>
  <w:num w:numId="6">
    <w:abstractNumId w:val="11"/>
  </w:num>
  <w:num w:numId="7">
    <w:abstractNumId w:val="3"/>
  </w:num>
  <w:num w:numId="8">
    <w:abstractNumId w:val="1"/>
  </w:num>
  <w:num w:numId="9">
    <w:abstractNumId w:val="2"/>
  </w:num>
  <w:num w:numId="10">
    <w:abstractNumId w:val="23"/>
  </w:num>
  <w:num w:numId="11">
    <w:abstractNumId w:val="0"/>
  </w:num>
  <w:num w:numId="12">
    <w:abstractNumId w:val="7"/>
  </w:num>
  <w:num w:numId="13">
    <w:abstractNumId w:val="8"/>
  </w:num>
  <w:num w:numId="14">
    <w:abstractNumId w:val="5"/>
  </w:num>
  <w:num w:numId="15">
    <w:abstractNumId w:val="10"/>
  </w:num>
  <w:num w:numId="16">
    <w:abstractNumId w:val="19"/>
  </w:num>
  <w:num w:numId="17">
    <w:abstractNumId w:val="4"/>
  </w:num>
  <w:num w:numId="18">
    <w:abstractNumId w:val="20"/>
  </w:num>
  <w:num w:numId="19">
    <w:abstractNumId w:val="9"/>
  </w:num>
  <w:num w:numId="20">
    <w:abstractNumId w:val="24"/>
  </w:num>
  <w:num w:numId="21">
    <w:abstractNumId w:val="6"/>
  </w:num>
  <w:num w:numId="22">
    <w:abstractNumId w:val="22"/>
  </w:num>
  <w:num w:numId="23">
    <w:abstractNumId w:val="16"/>
  </w:num>
  <w:num w:numId="24">
    <w:abstractNumId w:val="18"/>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08"/>
  <w:hyphenationZone w:val="425"/>
  <w:characterSpacingControl w:val="doNotCompress"/>
  <w:footnotePr>
    <w:footnote w:id="-1"/>
    <w:footnote w:id="0"/>
  </w:footnotePr>
  <w:endnotePr>
    <w:endnote w:id="-1"/>
    <w:endnote w:id="0"/>
  </w:endnotePr>
  <w:compat/>
  <w:rsids>
    <w:rsidRoot w:val="00C16E46"/>
    <w:rsid w:val="00023B48"/>
    <w:rsid w:val="00055F90"/>
    <w:rsid w:val="0005741D"/>
    <w:rsid w:val="00066ECE"/>
    <w:rsid w:val="00111F9D"/>
    <w:rsid w:val="0011294E"/>
    <w:rsid w:val="001C6178"/>
    <w:rsid w:val="001D7C5B"/>
    <w:rsid w:val="001E2944"/>
    <w:rsid w:val="002128BC"/>
    <w:rsid w:val="002814A3"/>
    <w:rsid w:val="00284F50"/>
    <w:rsid w:val="002A5E0E"/>
    <w:rsid w:val="002D1D01"/>
    <w:rsid w:val="002D36B1"/>
    <w:rsid w:val="003710AC"/>
    <w:rsid w:val="003B23C4"/>
    <w:rsid w:val="003F2CD1"/>
    <w:rsid w:val="00407FBF"/>
    <w:rsid w:val="0043020D"/>
    <w:rsid w:val="0049747C"/>
    <w:rsid w:val="004B6E16"/>
    <w:rsid w:val="004F4205"/>
    <w:rsid w:val="00511BFE"/>
    <w:rsid w:val="005171C1"/>
    <w:rsid w:val="005877B2"/>
    <w:rsid w:val="005E164D"/>
    <w:rsid w:val="00644EC9"/>
    <w:rsid w:val="00650A19"/>
    <w:rsid w:val="00680DE8"/>
    <w:rsid w:val="00694D5E"/>
    <w:rsid w:val="006F16B6"/>
    <w:rsid w:val="0071004A"/>
    <w:rsid w:val="00756D8B"/>
    <w:rsid w:val="00777812"/>
    <w:rsid w:val="007D4392"/>
    <w:rsid w:val="00802E0F"/>
    <w:rsid w:val="00852EB3"/>
    <w:rsid w:val="00891D04"/>
    <w:rsid w:val="008E64AF"/>
    <w:rsid w:val="00915699"/>
    <w:rsid w:val="00937701"/>
    <w:rsid w:val="00940D86"/>
    <w:rsid w:val="00942EAE"/>
    <w:rsid w:val="00953034"/>
    <w:rsid w:val="009B6425"/>
    <w:rsid w:val="009D2BEB"/>
    <w:rsid w:val="009E24E9"/>
    <w:rsid w:val="009E508E"/>
    <w:rsid w:val="009F6BE7"/>
    <w:rsid w:val="00A31534"/>
    <w:rsid w:val="00A55E03"/>
    <w:rsid w:val="00A64C6D"/>
    <w:rsid w:val="00A77C85"/>
    <w:rsid w:val="00AB5E7D"/>
    <w:rsid w:val="00B22A56"/>
    <w:rsid w:val="00B258FE"/>
    <w:rsid w:val="00BE0B83"/>
    <w:rsid w:val="00BF5C61"/>
    <w:rsid w:val="00C015CF"/>
    <w:rsid w:val="00C16E46"/>
    <w:rsid w:val="00C44668"/>
    <w:rsid w:val="00C83A00"/>
    <w:rsid w:val="00CF23E3"/>
    <w:rsid w:val="00D170DB"/>
    <w:rsid w:val="00D312BC"/>
    <w:rsid w:val="00D4737C"/>
    <w:rsid w:val="00D52768"/>
    <w:rsid w:val="00D9018C"/>
    <w:rsid w:val="00D977D0"/>
    <w:rsid w:val="00DB7206"/>
    <w:rsid w:val="00DC466C"/>
    <w:rsid w:val="00DF1D60"/>
    <w:rsid w:val="00DF7C8F"/>
    <w:rsid w:val="00E444B6"/>
    <w:rsid w:val="00E71068"/>
    <w:rsid w:val="00EC08CC"/>
    <w:rsid w:val="00EE3313"/>
    <w:rsid w:val="00F10D63"/>
    <w:rsid w:val="00F20F19"/>
    <w:rsid w:val="00F21BFC"/>
    <w:rsid w:val="00F558AE"/>
    <w:rsid w:val="00FA2509"/>
    <w:rsid w:val="00FA52A1"/>
    <w:rsid w:val="00FB544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PT" w:eastAsia="pt-P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C85"/>
  </w:style>
  <w:style w:type="paragraph" w:styleId="Ttulo1">
    <w:name w:val="heading 1"/>
    <w:basedOn w:val="Ttulo"/>
    <w:next w:val="Corpodotexto"/>
    <w:link w:val="Ttulo1Carcter"/>
    <w:uiPriority w:val="9"/>
    <w:qFormat/>
    <w:rsid w:val="00C16E46"/>
    <w:pPr>
      <w:numPr>
        <w:numId w:val="1"/>
      </w:numPr>
      <w:outlineLvl w:val="0"/>
    </w:pPr>
    <w:rPr>
      <w:b/>
      <w:bCs/>
      <w:sz w:val="32"/>
      <w:szCs w:val="32"/>
    </w:rPr>
  </w:style>
  <w:style w:type="paragraph" w:styleId="Ttulo2">
    <w:name w:val="heading 2"/>
    <w:basedOn w:val="Ttulo"/>
    <w:next w:val="Corpodotexto"/>
    <w:link w:val="Ttulo2Carcter"/>
    <w:uiPriority w:val="9"/>
    <w:qFormat/>
    <w:rsid w:val="00C16E46"/>
    <w:pPr>
      <w:numPr>
        <w:ilvl w:val="1"/>
        <w:numId w:val="1"/>
      </w:numPr>
      <w:outlineLvl w:val="1"/>
    </w:pPr>
    <w:rPr>
      <w:b/>
      <w:bCs/>
      <w:iCs/>
      <w:sz w:val="26"/>
    </w:rPr>
  </w:style>
  <w:style w:type="paragraph" w:styleId="Ttulo3">
    <w:name w:val="heading 3"/>
    <w:basedOn w:val="Ttulo"/>
    <w:next w:val="Corpodotexto"/>
    <w:link w:val="Ttulo3Carcter"/>
    <w:uiPriority w:val="99"/>
    <w:qFormat/>
    <w:rsid w:val="00C16E46"/>
    <w:pPr>
      <w:numPr>
        <w:ilvl w:val="2"/>
        <w:numId w:val="1"/>
      </w:numPr>
      <w:outlineLvl w:val="2"/>
    </w:pPr>
    <w:rPr>
      <w:b/>
      <w:bCs/>
      <w:sz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basedOn w:val="Tipodeletrapredefinidodopargrafo"/>
    <w:link w:val="Ttulo1"/>
    <w:uiPriority w:val="9"/>
    <w:rsid w:val="00545737"/>
    <w:rPr>
      <w:rFonts w:asciiTheme="majorHAnsi" w:eastAsiaTheme="majorEastAsia" w:hAnsiTheme="majorHAnsi" w:cstheme="majorBidi"/>
      <w:b/>
      <w:bCs/>
      <w:kern w:val="32"/>
      <w:sz w:val="32"/>
      <w:szCs w:val="32"/>
    </w:rPr>
  </w:style>
  <w:style w:type="character" w:customStyle="1" w:styleId="Ttulo2Carcter">
    <w:name w:val="Título 2 Carácter"/>
    <w:basedOn w:val="Tipodeletrapredefinidodopargrafo"/>
    <w:link w:val="Ttulo2"/>
    <w:uiPriority w:val="9"/>
    <w:rsid w:val="00545737"/>
    <w:rPr>
      <w:rFonts w:asciiTheme="majorHAnsi" w:eastAsiaTheme="majorEastAsia" w:hAnsiTheme="majorHAnsi" w:cstheme="majorBidi"/>
      <w:b/>
      <w:bCs/>
      <w:i/>
      <w:iCs/>
      <w:sz w:val="28"/>
      <w:szCs w:val="28"/>
    </w:rPr>
  </w:style>
  <w:style w:type="character" w:customStyle="1" w:styleId="Ttulo3Carcter">
    <w:name w:val="Título 3 Carácter"/>
    <w:basedOn w:val="Tipodeletrapredefinidodopargrafo"/>
    <w:link w:val="Ttulo3"/>
    <w:uiPriority w:val="9"/>
    <w:semiHidden/>
    <w:rsid w:val="00545737"/>
    <w:rPr>
      <w:rFonts w:asciiTheme="majorHAnsi" w:eastAsiaTheme="majorEastAsia" w:hAnsiTheme="majorHAnsi" w:cstheme="majorBidi"/>
      <w:b/>
      <w:bCs/>
      <w:sz w:val="26"/>
      <w:szCs w:val="26"/>
    </w:rPr>
  </w:style>
  <w:style w:type="paragraph" w:customStyle="1" w:styleId="Estilopadro">
    <w:name w:val="Estilo padrão"/>
    <w:uiPriority w:val="99"/>
    <w:rsid w:val="00C16E46"/>
    <w:pPr>
      <w:widowControl w:val="0"/>
      <w:suppressAutoHyphens/>
      <w:spacing w:line="360" w:lineRule="auto"/>
      <w:ind w:firstLine="567"/>
      <w:jc w:val="both"/>
    </w:pPr>
    <w:rPr>
      <w:rFonts w:ascii="Georgia" w:eastAsia="Arial Unicode MS" w:hAnsi="Georgia" w:cs="Arial Unicode MS"/>
      <w:szCs w:val="24"/>
      <w:lang w:eastAsia="zh-CN" w:bidi="hi-IN"/>
    </w:rPr>
  </w:style>
  <w:style w:type="character" w:customStyle="1" w:styleId="LigaodeInternet">
    <w:name w:val="Ligação de Internet"/>
    <w:uiPriority w:val="99"/>
    <w:rsid w:val="00C16E46"/>
    <w:rPr>
      <w:color w:val="000080"/>
      <w:u w:val="single"/>
    </w:rPr>
  </w:style>
  <w:style w:type="character" w:customStyle="1" w:styleId="Ligaodendice">
    <w:name w:val="Ligação de índice"/>
    <w:uiPriority w:val="99"/>
    <w:rsid w:val="00C16E46"/>
  </w:style>
  <w:style w:type="paragraph" w:styleId="Ttulo">
    <w:name w:val="Title"/>
    <w:basedOn w:val="Estilopadro"/>
    <w:next w:val="Corpodotexto"/>
    <w:link w:val="TtuloCarcter"/>
    <w:uiPriority w:val="99"/>
    <w:qFormat/>
    <w:rsid w:val="00C16E46"/>
    <w:pPr>
      <w:keepNext/>
      <w:spacing w:before="240" w:after="120"/>
    </w:pPr>
    <w:rPr>
      <w:sz w:val="28"/>
      <w:szCs w:val="28"/>
    </w:rPr>
  </w:style>
  <w:style w:type="character" w:customStyle="1" w:styleId="TtuloCarcter">
    <w:name w:val="Título Carácter"/>
    <w:basedOn w:val="Tipodeletrapredefinidodopargrafo"/>
    <w:link w:val="Ttulo"/>
    <w:uiPriority w:val="10"/>
    <w:rsid w:val="00545737"/>
    <w:rPr>
      <w:rFonts w:asciiTheme="majorHAnsi" w:eastAsiaTheme="majorEastAsia" w:hAnsiTheme="majorHAnsi" w:cstheme="majorBidi"/>
      <w:b/>
      <w:bCs/>
      <w:kern w:val="28"/>
      <w:sz w:val="32"/>
      <w:szCs w:val="32"/>
    </w:rPr>
  </w:style>
  <w:style w:type="paragraph" w:customStyle="1" w:styleId="Corpodotexto">
    <w:name w:val="Corpo do texto"/>
    <w:basedOn w:val="Estilopadro"/>
    <w:uiPriority w:val="99"/>
    <w:rsid w:val="00C16E46"/>
    <w:pPr>
      <w:spacing w:after="120"/>
    </w:pPr>
  </w:style>
  <w:style w:type="paragraph" w:styleId="Lista">
    <w:name w:val="List"/>
    <w:basedOn w:val="Corpodotexto"/>
    <w:uiPriority w:val="99"/>
    <w:rsid w:val="00C16E46"/>
    <w:rPr>
      <w:rFonts w:ascii="Times" w:hAnsi="Times"/>
    </w:rPr>
  </w:style>
  <w:style w:type="paragraph" w:styleId="Legenda">
    <w:name w:val="caption"/>
    <w:basedOn w:val="Estilopadro"/>
    <w:uiPriority w:val="99"/>
    <w:qFormat/>
    <w:rsid w:val="00C16E46"/>
    <w:pPr>
      <w:suppressLineNumbers/>
      <w:spacing w:before="120" w:after="120"/>
    </w:pPr>
    <w:rPr>
      <w:rFonts w:ascii="Times" w:hAnsi="Times"/>
      <w:i/>
      <w:iCs/>
      <w:sz w:val="20"/>
    </w:rPr>
  </w:style>
  <w:style w:type="paragraph" w:customStyle="1" w:styleId="ndice">
    <w:name w:val="Índice"/>
    <w:basedOn w:val="Estilopadro"/>
    <w:uiPriority w:val="99"/>
    <w:rsid w:val="00C16E46"/>
    <w:pPr>
      <w:suppressLineNumbers/>
    </w:pPr>
    <w:rPr>
      <w:rFonts w:ascii="Times" w:hAnsi="Times"/>
    </w:rPr>
  </w:style>
  <w:style w:type="paragraph" w:styleId="Cabealho">
    <w:name w:val="header"/>
    <w:basedOn w:val="Estilopadro"/>
    <w:link w:val="CabealhoCarcter"/>
    <w:uiPriority w:val="99"/>
    <w:rsid w:val="00C16E46"/>
    <w:pPr>
      <w:suppressLineNumbers/>
      <w:tabs>
        <w:tab w:val="center" w:pos="4535"/>
        <w:tab w:val="right" w:pos="9071"/>
      </w:tabs>
    </w:pPr>
  </w:style>
  <w:style w:type="character" w:customStyle="1" w:styleId="CabealhoCarcter">
    <w:name w:val="Cabeçalho Carácter"/>
    <w:basedOn w:val="Tipodeletrapredefinidodopargrafo"/>
    <w:link w:val="Cabealho"/>
    <w:uiPriority w:val="99"/>
    <w:semiHidden/>
    <w:rsid w:val="00545737"/>
  </w:style>
  <w:style w:type="paragraph" w:styleId="Rodap">
    <w:name w:val="footer"/>
    <w:basedOn w:val="Estilopadro"/>
    <w:link w:val="RodapCarcter"/>
    <w:uiPriority w:val="99"/>
    <w:rsid w:val="00C16E46"/>
    <w:pPr>
      <w:suppressLineNumbers/>
      <w:tabs>
        <w:tab w:val="center" w:pos="4535"/>
        <w:tab w:val="right" w:pos="9071"/>
      </w:tabs>
    </w:pPr>
  </w:style>
  <w:style w:type="character" w:customStyle="1" w:styleId="RodapCarcter">
    <w:name w:val="Rodapé Carácter"/>
    <w:basedOn w:val="Tipodeletrapredefinidodopargrafo"/>
    <w:link w:val="Rodap"/>
    <w:uiPriority w:val="99"/>
    <w:rsid w:val="00545737"/>
  </w:style>
  <w:style w:type="paragraph" w:customStyle="1" w:styleId="Cabealhoesquerda">
    <w:name w:val="Cabeçalho à esquerda"/>
    <w:basedOn w:val="Estilopadro"/>
    <w:uiPriority w:val="99"/>
    <w:rsid w:val="00C16E46"/>
    <w:pPr>
      <w:suppressLineNumbers/>
      <w:tabs>
        <w:tab w:val="center" w:pos="4535"/>
        <w:tab w:val="right" w:pos="9071"/>
      </w:tabs>
    </w:pPr>
  </w:style>
  <w:style w:type="paragraph" w:customStyle="1" w:styleId="Primeiropargrafo">
    <w:name w:val="Primeiro parágrafo"/>
    <w:basedOn w:val="Estilopadro"/>
    <w:uiPriority w:val="99"/>
    <w:rsid w:val="00C16E46"/>
    <w:pPr>
      <w:ind w:firstLine="0"/>
    </w:pPr>
  </w:style>
  <w:style w:type="paragraph" w:customStyle="1" w:styleId="Ttulodondicedecontedo">
    <w:name w:val="Título do índice de conteúdo"/>
    <w:basedOn w:val="Ttulo"/>
    <w:uiPriority w:val="99"/>
    <w:rsid w:val="00C16E46"/>
    <w:pPr>
      <w:suppressLineNumbers/>
      <w:ind w:firstLine="0"/>
    </w:pPr>
    <w:rPr>
      <w:b/>
      <w:bCs/>
      <w:sz w:val="32"/>
      <w:szCs w:val="32"/>
    </w:rPr>
  </w:style>
  <w:style w:type="paragraph" w:customStyle="1" w:styleId="Contedo1">
    <w:name w:val="Conteúdo 1"/>
    <w:basedOn w:val="ndice"/>
    <w:uiPriority w:val="99"/>
    <w:rsid w:val="00C16E46"/>
    <w:pPr>
      <w:tabs>
        <w:tab w:val="right" w:leader="dot" w:pos="8504"/>
      </w:tabs>
      <w:ind w:firstLine="0"/>
    </w:pPr>
    <w:rPr>
      <w:rFonts w:ascii="Georgia" w:hAnsi="Georgia"/>
    </w:rPr>
  </w:style>
  <w:style w:type="paragraph" w:customStyle="1" w:styleId="Contedo2">
    <w:name w:val="Conteúdo 2"/>
    <w:basedOn w:val="ndice"/>
    <w:uiPriority w:val="99"/>
    <w:rsid w:val="00C16E46"/>
    <w:pPr>
      <w:tabs>
        <w:tab w:val="right" w:leader="dot" w:pos="8504"/>
      </w:tabs>
      <w:ind w:left="283" w:firstLine="0"/>
    </w:pPr>
    <w:rPr>
      <w:rFonts w:ascii="Georgia" w:hAnsi="Georgia"/>
    </w:rPr>
  </w:style>
  <w:style w:type="paragraph" w:customStyle="1" w:styleId="Contedo3">
    <w:name w:val="Conteúdo 3"/>
    <w:basedOn w:val="ndice"/>
    <w:uiPriority w:val="99"/>
    <w:rsid w:val="00C16E46"/>
    <w:pPr>
      <w:tabs>
        <w:tab w:val="right" w:leader="dot" w:pos="8504"/>
      </w:tabs>
      <w:ind w:left="566" w:firstLine="0"/>
    </w:pPr>
    <w:rPr>
      <w:rFonts w:ascii="Georgia" w:hAnsi="Georgia"/>
    </w:rPr>
  </w:style>
  <w:style w:type="paragraph" w:customStyle="1" w:styleId="Contedo4">
    <w:name w:val="Conteúdo 4"/>
    <w:basedOn w:val="ndice"/>
    <w:uiPriority w:val="99"/>
    <w:rsid w:val="00C16E46"/>
    <w:pPr>
      <w:tabs>
        <w:tab w:val="right" w:leader="dot" w:pos="8504"/>
      </w:tabs>
      <w:ind w:left="849" w:firstLine="0"/>
    </w:pPr>
    <w:rPr>
      <w:rFonts w:ascii="Georgia" w:hAnsi="Georgia"/>
    </w:rPr>
  </w:style>
  <w:style w:type="paragraph" w:styleId="Textodecomentrio">
    <w:name w:val="annotation text"/>
    <w:basedOn w:val="Normal"/>
    <w:link w:val="TextodecomentrioCarcter"/>
    <w:uiPriority w:val="99"/>
    <w:semiHidden/>
    <w:rsid w:val="00C16E46"/>
    <w:rPr>
      <w:sz w:val="20"/>
      <w:szCs w:val="20"/>
    </w:rPr>
  </w:style>
  <w:style w:type="character" w:customStyle="1" w:styleId="TextodecomentrioCarcter">
    <w:name w:val="Texto de comentário Carácter"/>
    <w:basedOn w:val="Tipodeletrapredefinidodopargrafo"/>
    <w:link w:val="Textodecomentrio"/>
    <w:uiPriority w:val="99"/>
    <w:semiHidden/>
    <w:locked/>
    <w:rsid w:val="00C16E46"/>
    <w:rPr>
      <w:rFonts w:cs="Times New Roman"/>
      <w:sz w:val="20"/>
      <w:szCs w:val="20"/>
    </w:rPr>
  </w:style>
  <w:style w:type="character" w:styleId="Refdecomentrio">
    <w:name w:val="annotation reference"/>
    <w:basedOn w:val="Tipodeletrapredefinidodopargrafo"/>
    <w:uiPriority w:val="99"/>
    <w:semiHidden/>
    <w:rsid w:val="00C16E46"/>
    <w:rPr>
      <w:rFonts w:cs="Times New Roman"/>
      <w:sz w:val="16"/>
      <w:szCs w:val="16"/>
    </w:rPr>
  </w:style>
  <w:style w:type="paragraph" w:styleId="Textodebalo">
    <w:name w:val="Balloon Text"/>
    <w:basedOn w:val="Normal"/>
    <w:link w:val="TextodebaloCarcter"/>
    <w:uiPriority w:val="99"/>
    <w:semiHidden/>
    <w:rsid w:val="005E164D"/>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45737"/>
    <w:rPr>
      <w:rFonts w:ascii="Times New Roman" w:hAnsi="Times New Roman"/>
      <w:sz w:val="0"/>
      <w:szCs w:val="0"/>
    </w:rPr>
  </w:style>
  <w:style w:type="paragraph" w:styleId="Assuntodecomentrio">
    <w:name w:val="annotation subject"/>
    <w:basedOn w:val="Textodecomentrio"/>
    <w:next w:val="Textodecomentrio"/>
    <w:link w:val="AssuntodecomentrioCarcter"/>
    <w:uiPriority w:val="99"/>
    <w:semiHidden/>
    <w:unhideWhenUsed/>
    <w:rsid w:val="00DC466C"/>
    <w:rPr>
      <w:b/>
      <w:bCs/>
    </w:rPr>
  </w:style>
  <w:style w:type="character" w:customStyle="1" w:styleId="AssuntodecomentrioCarcter">
    <w:name w:val="Assunto de comentário Carácter"/>
    <w:basedOn w:val="TextodecomentrioCarcter"/>
    <w:link w:val="Assuntodecomentrio"/>
    <w:uiPriority w:val="99"/>
    <w:semiHidden/>
    <w:rsid w:val="00DC466C"/>
    <w:rPr>
      <w:rFonts w:cs="Times New Roman"/>
      <w:b/>
      <w:bCs/>
      <w:sz w:val="20"/>
      <w:szCs w:val="20"/>
    </w:rPr>
  </w:style>
  <w:style w:type="paragraph" w:styleId="PargrafodaLista">
    <w:name w:val="List Paragraph"/>
    <w:basedOn w:val="Normal"/>
    <w:uiPriority w:val="34"/>
    <w:qFormat/>
    <w:rsid w:val="0011294E"/>
    <w:pPr>
      <w:spacing w:after="200" w:line="276" w:lineRule="auto"/>
      <w:ind w:left="720"/>
      <w:contextualSpacing/>
    </w:pPr>
    <w:rPr>
      <w:rFonts w:asciiTheme="minorHAnsi" w:eastAsiaTheme="minorHAnsi" w:hAnsiTheme="minorHAnsi" w:cstheme="minorBidi"/>
      <w:lang w:eastAsia="en-US"/>
    </w:rPr>
  </w:style>
  <w:style w:type="paragraph" w:styleId="Textodenotaderodap">
    <w:name w:val="footnote text"/>
    <w:basedOn w:val="Normal"/>
    <w:link w:val="TextodenotaderodapCarcter"/>
    <w:uiPriority w:val="99"/>
    <w:unhideWhenUsed/>
    <w:rsid w:val="0011294E"/>
    <w:rPr>
      <w:rFonts w:asciiTheme="minorHAnsi" w:eastAsiaTheme="minorHAnsi" w:hAnsiTheme="minorHAnsi" w:cstheme="minorBidi"/>
      <w:sz w:val="20"/>
      <w:szCs w:val="20"/>
      <w:lang w:eastAsia="en-US"/>
    </w:rPr>
  </w:style>
  <w:style w:type="character" w:customStyle="1" w:styleId="TextodenotaderodapCarcter">
    <w:name w:val="Texto de nota de rodapé Carácter"/>
    <w:basedOn w:val="Tipodeletrapredefinidodopargrafo"/>
    <w:link w:val="Textodenotaderodap"/>
    <w:uiPriority w:val="99"/>
    <w:rsid w:val="0011294E"/>
    <w:rPr>
      <w:rFonts w:asciiTheme="minorHAnsi" w:eastAsiaTheme="minorHAnsi" w:hAnsiTheme="minorHAnsi" w:cstheme="minorBidi"/>
      <w:sz w:val="20"/>
      <w:szCs w:val="20"/>
      <w:lang w:eastAsia="en-US"/>
    </w:rPr>
  </w:style>
  <w:style w:type="character" w:styleId="Refdenotaderodap">
    <w:name w:val="footnote reference"/>
    <w:basedOn w:val="Tipodeletrapredefinidodopargrafo"/>
    <w:uiPriority w:val="99"/>
    <w:semiHidden/>
    <w:unhideWhenUsed/>
    <w:rsid w:val="0011294E"/>
    <w:rPr>
      <w:vertAlign w:val="superscript"/>
    </w:rPr>
  </w:style>
  <w:style w:type="character" w:styleId="Hiperligao">
    <w:name w:val="Hyperlink"/>
    <w:basedOn w:val="Tipodeletrapredefinidodopargrafo"/>
    <w:uiPriority w:val="99"/>
    <w:unhideWhenUsed/>
    <w:rsid w:val="0011294E"/>
    <w:rPr>
      <w:color w:val="0000FF" w:themeColor="hyperlink"/>
      <w:u w:val="single"/>
    </w:rPr>
  </w:style>
  <w:style w:type="paragraph" w:customStyle="1" w:styleId="Default">
    <w:name w:val="Default"/>
    <w:rsid w:val="0011294E"/>
    <w:pPr>
      <w:autoSpaceDE w:val="0"/>
      <w:autoSpaceDN w:val="0"/>
      <w:adjustRightInd w:val="0"/>
    </w:pPr>
    <w:rPr>
      <w:rFonts w:ascii="Courier New" w:eastAsiaTheme="minorHAnsi" w:hAnsi="Courier New" w:cs="Courier New"/>
      <w:color w:val="000000"/>
      <w:sz w:val="24"/>
      <w:szCs w:val="24"/>
      <w:lang w:eastAsia="en-US"/>
    </w:rPr>
  </w:style>
  <w:style w:type="character" w:customStyle="1" w:styleId="text3">
    <w:name w:val="text3"/>
    <w:basedOn w:val="Tipodeletrapredefinidodopargrafo"/>
    <w:rsid w:val="0011294E"/>
  </w:style>
  <w:style w:type="character" w:customStyle="1" w:styleId="apple-converted-space">
    <w:name w:val="apple-converted-space"/>
    <w:basedOn w:val="Tipodeletrapredefinidodopargrafo"/>
    <w:rsid w:val="0011294E"/>
  </w:style>
  <w:style w:type="table" w:styleId="Tabelacomgrelha">
    <w:name w:val="Table Grid"/>
    <w:basedOn w:val="Tabelanormal"/>
    <w:uiPriority w:val="59"/>
    <w:locked/>
    <w:rsid w:val="0011294E"/>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elha1">
    <w:name w:val="Tabela com grelha1"/>
    <w:basedOn w:val="Tabelanormal"/>
    <w:next w:val="Tabelacomgrelha"/>
    <w:uiPriority w:val="59"/>
    <w:rsid w:val="0011294E"/>
    <w:pPr>
      <w:ind w:firstLine="624"/>
      <w:jc w:val="both"/>
    </w:pPr>
    <w:rPr>
      <w:rFonts w:ascii="Times New Roman" w:eastAsiaTheme="minorHAnsi" w:hAnsi="Times New Roman" w:cstheme="minorBidi"/>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Tipodeletrapredefinidodopargrafo"/>
    <w:rsid w:val="0011294E"/>
  </w:style>
  <w:style w:type="paragraph" w:styleId="Ttulodondice">
    <w:name w:val="TOC Heading"/>
    <w:basedOn w:val="Ttulo1"/>
    <w:next w:val="Normal"/>
    <w:uiPriority w:val="39"/>
    <w:unhideWhenUsed/>
    <w:qFormat/>
    <w:rsid w:val="0011294E"/>
    <w:pPr>
      <w:keepLines/>
      <w:widowControl/>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sz w:val="28"/>
      <w:szCs w:val="28"/>
      <w:lang w:eastAsia="en-US" w:bidi="ar-SA"/>
    </w:rPr>
  </w:style>
  <w:style w:type="paragraph" w:styleId="ndice2">
    <w:name w:val="toc 2"/>
    <w:basedOn w:val="Normal"/>
    <w:next w:val="Normal"/>
    <w:autoRedefine/>
    <w:uiPriority w:val="39"/>
    <w:unhideWhenUsed/>
    <w:locked/>
    <w:rsid w:val="0011294E"/>
    <w:pPr>
      <w:tabs>
        <w:tab w:val="right" w:leader="dot" w:pos="8494"/>
      </w:tabs>
      <w:spacing w:after="100" w:line="276" w:lineRule="auto"/>
      <w:ind w:left="220"/>
      <w:jc w:val="both"/>
    </w:pPr>
    <w:rPr>
      <w:rFonts w:ascii="Times New Roman" w:eastAsiaTheme="minorHAnsi" w:hAnsi="Times New Roman"/>
      <w:noProof/>
      <w:sz w:val="24"/>
      <w:szCs w:val="24"/>
      <w:lang w:eastAsia="en-US"/>
    </w:rPr>
  </w:style>
  <w:style w:type="paragraph" w:styleId="ndice1">
    <w:name w:val="toc 1"/>
    <w:basedOn w:val="Normal"/>
    <w:next w:val="Normal"/>
    <w:autoRedefine/>
    <w:uiPriority w:val="39"/>
    <w:locked/>
    <w:rsid w:val="00FA52A1"/>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armento.uminho.pt/docs/ndat/rg/RG054_04.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madan.publ.pt/13AdendaIX.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niarq.net/uploads/4/7/1/5/4715235/cardoso_2008b.pdf"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csarmento.uminho.pt/ndat_63.asp?filtro_ano=1947"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monumentos.pt/Site/APP_PagesUser/SIPA.aspx?id=12659" TargetMode="External"/><Relationship Id="rId2" Type="http://schemas.openxmlformats.org/officeDocument/2006/relationships/hyperlink" Target="http://www.monumentos.pt/Site/APP_PagesUser/SIPA.aspx?id=12657" TargetMode="External"/><Relationship Id="rId1" Type="http://schemas.openxmlformats.org/officeDocument/2006/relationships/hyperlink" Target="http://www.monumentos.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B07D06-CD1B-45F7-BF06-141E40802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161</Pages>
  <Words>48955</Words>
  <Characters>264360</Characters>
  <Application>Microsoft Office Word</Application>
  <DocSecurity>0</DocSecurity>
  <Lines>2203</Lines>
  <Paragraphs>625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Lucas Soares</dc:creator>
  <cp:keywords/>
  <dc:description/>
  <cp:lastModifiedBy>Ana Paiva</cp:lastModifiedBy>
  <cp:revision>34</cp:revision>
  <cp:lastPrinted>2015-09-22T22:06:00Z</cp:lastPrinted>
  <dcterms:created xsi:type="dcterms:W3CDTF">2015-03-31T15:16:00Z</dcterms:created>
  <dcterms:modified xsi:type="dcterms:W3CDTF">2016-01-26T22:56:00Z</dcterms:modified>
</cp:coreProperties>
</file>