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1D" w:rsidRDefault="009411E7" w:rsidP="00802E2A">
      <w:pPr>
        <w:pStyle w:val="Heading1"/>
      </w:pPr>
      <w:r>
        <w:t>Papel da T</w:t>
      </w:r>
      <w:r w:rsidR="00D405B8">
        <w:t xml:space="preserve">ecnologia BIM </w:t>
      </w:r>
      <w:r>
        <w:t>na Gestão da Informação na</w:t>
      </w:r>
      <w:r w:rsidR="00D405B8">
        <w:t xml:space="preserve"> </w:t>
      </w:r>
      <w:r>
        <w:t>C</w:t>
      </w:r>
      <w:r w:rsidR="00D405B8">
        <w:t xml:space="preserve">onstrução </w:t>
      </w:r>
    </w:p>
    <w:p w:rsidR="00D7471D" w:rsidRDefault="00D405B8" w:rsidP="00802E2A">
      <w:pPr>
        <w:pStyle w:val="Heading2"/>
        <w:rPr>
          <w:rFonts w:eastAsia="Times New Roman"/>
        </w:rPr>
      </w:pPr>
      <w:r>
        <w:rPr>
          <w:rFonts w:eastAsia="Times New Roman"/>
        </w:rPr>
        <w:t xml:space="preserve">Resumo </w:t>
      </w:r>
    </w:p>
    <w:p w:rsidR="003C0CE4" w:rsidRDefault="003C0CE4" w:rsidP="00A51EA0">
      <w:r>
        <w:t>No presente artigo faz-se uma apresentação da tecnologia BIM (</w:t>
      </w:r>
      <w:proofErr w:type="spellStart"/>
      <w:r>
        <w:rPr>
          <w:i/>
        </w:rPr>
        <w:t>Building</w:t>
      </w:r>
      <w:proofErr w:type="spellEnd"/>
      <w:r>
        <w:rPr>
          <w:i/>
        </w:rPr>
        <w:t xml:space="preserve"> </w:t>
      </w:r>
      <w:proofErr w:type="spellStart"/>
      <w:r>
        <w:rPr>
          <w:i/>
        </w:rPr>
        <w:t>Information</w:t>
      </w:r>
      <w:proofErr w:type="spellEnd"/>
      <w:r>
        <w:rPr>
          <w:i/>
        </w:rPr>
        <w:t xml:space="preserve"> </w:t>
      </w:r>
      <w:proofErr w:type="spellStart"/>
      <w:r>
        <w:rPr>
          <w:i/>
        </w:rPr>
        <w:t>Model</w:t>
      </w:r>
      <w:proofErr w:type="spellEnd"/>
      <w:r>
        <w:t xml:space="preserve"> ou Modelo de Informação par</w:t>
      </w:r>
      <w:bookmarkStart w:id="0" w:name="_GoBack"/>
      <w:bookmarkEnd w:id="0"/>
      <w:r>
        <w:t>a a Construção)</w:t>
      </w:r>
      <w:r w:rsidR="003B37E9">
        <w:t xml:space="preserve"> tendo em conta o seu papel de agente de integração de diferentes tipos de informação e de ferramentas que são utilizadas ao longo do ciclo de vida dos edifícios. É esta característica</w:t>
      </w:r>
      <w:r w:rsidR="00A53036">
        <w:t xml:space="preserve"> definidora</w:t>
      </w:r>
      <w:r w:rsidR="003B37E9">
        <w:t xml:space="preserve"> dos BIM que os tornam </w:t>
      </w:r>
      <w:r w:rsidR="00A53036">
        <w:t>essenciais para</w:t>
      </w:r>
      <w:r w:rsidR="003B37E9">
        <w:t xml:space="preserve"> a automatização de diferentes tipos de tarefas do processo construtivo</w:t>
      </w:r>
      <w:r w:rsidR="00A53036">
        <w:t>, em particular daquelas que envolvem a participação conjunta de diversos intervenientes</w:t>
      </w:r>
      <w:r w:rsidR="003B37E9">
        <w:t>.</w:t>
      </w:r>
    </w:p>
    <w:p w:rsidR="00ED6890" w:rsidRDefault="00665421" w:rsidP="00A51EA0">
      <w:r>
        <w:t>É sublinhado o papel fundamental que os especialistas da construção têm a desempenhar no desenvolvimento e na aplicação desta tecnologia ainda jovem. Aponta-se ainda alguns</w:t>
      </w:r>
      <w:r w:rsidR="009C6D39">
        <w:t xml:space="preserve"> obstáculos à disseminação do uso generalizado dos BIM e um conjunto de desafios que se colocam, em particular às instituições ligadas ao ensino</w:t>
      </w:r>
      <w:r w:rsidR="0006354D">
        <w:t>, relacionados com as competências necessárias ao uso eficiente desta tecnologia</w:t>
      </w:r>
      <w:r w:rsidR="009C6D39">
        <w:t>.</w:t>
      </w:r>
    </w:p>
    <w:p w:rsidR="00D7471D" w:rsidRDefault="00D405B8" w:rsidP="00802E2A">
      <w:pPr>
        <w:pStyle w:val="Heading2"/>
        <w:rPr>
          <w:rFonts w:eastAsia="Times New Roman"/>
        </w:rPr>
      </w:pPr>
      <w:r>
        <w:rPr>
          <w:rFonts w:eastAsia="Times New Roman"/>
        </w:rPr>
        <w:t xml:space="preserve">Introdução: Da arte ao processo </w:t>
      </w:r>
    </w:p>
    <w:p w:rsidR="00D32BF5" w:rsidRDefault="00D32BF5" w:rsidP="00B37292">
      <w:r w:rsidRPr="00D32BF5">
        <w:t xml:space="preserve">Na construção civil, como em outras áreas produtivas, à medida que as exigências para o aumento de produtividade se tornam mais explícitas, maior é a tendência para estudar e optimizar os procedimentos de trabalho, resultando frequentemente no desenvolvimento de </w:t>
      </w:r>
      <w:r w:rsidR="00CB1890">
        <w:t>fluxos de trabalho</w:t>
      </w:r>
      <w:r w:rsidRPr="00D32BF5">
        <w:t xml:space="preserve"> com </w:t>
      </w:r>
      <w:proofErr w:type="gramStart"/>
      <w:r w:rsidRPr="00D32BF5">
        <w:rPr>
          <w:i/>
        </w:rPr>
        <w:t>inputs</w:t>
      </w:r>
      <w:proofErr w:type="gramEnd"/>
      <w:r w:rsidRPr="00D32BF5">
        <w:t xml:space="preserve"> e </w:t>
      </w:r>
      <w:r w:rsidRPr="00D32BF5">
        <w:rPr>
          <w:i/>
        </w:rPr>
        <w:t>outputs</w:t>
      </w:r>
      <w:r w:rsidRPr="00D32BF5">
        <w:t xml:space="preserve"> bem definidos</w:t>
      </w:r>
      <w:r w:rsidR="003968A6">
        <w:t xml:space="preserve">. </w:t>
      </w:r>
      <w:r w:rsidRPr="00D32BF5">
        <w:t>Na prática, estas influências conduzem a um incentivo à padronização na construção – à parametrização na fase de projecto e à pré-fabricação e industrialização na fase de execução.</w:t>
      </w:r>
    </w:p>
    <w:p w:rsidR="00A51EA0" w:rsidRDefault="00A51EA0" w:rsidP="00175709">
      <w:pPr>
        <w:keepNext/>
        <w:jc w:val="center"/>
      </w:pPr>
      <w:r>
        <w:rPr>
          <w:noProof/>
        </w:rPr>
        <w:drawing>
          <wp:inline distT="0" distB="0" distL="0" distR="0" wp14:anchorId="2F9DD497" wp14:editId="54F1607F">
            <wp:extent cx="5330825" cy="2194560"/>
            <wp:effectExtent l="0" t="0" r="317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5330825" cy="2194560"/>
                    </a:xfrm>
                    <a:prstGeom prst="rect">
                      <a:avLst/>
                    </a:prstGeom>
                    <a:noFill/>
                  </pic:spPr>
                </pic:pic>
              </a:graphicData>
            </a:graphic>
          </wp:inline>
        </w:drawing>
      </w:r>
    </w:p>
    <w:p w:rsidR="00D32BF5" w:rsidRDefault="00A51EA0" w:rsidP="00175709">
      <w:pPr>
        <w:pStyle w:val="Caption"/>
      </w:pPr>
      <w:bookmarkStart w:id="1" w:name="_Ref315961508"/>
      <w:r>
        <w:t xml:space="preserve">Fig. </w:t>
      </w:r>
      <w:fldSimple w:instr=" SEQ Fig. \* ARABIC ">
        <w:r w:rsidR="005F3761">
          <w:rPr>
            <w:noProof/>
          </w:rPr>
          <w:t>1</w:t>
        </w:r>
      </w:fldSimple>
      <w:bookmarkEnd w:id="1"/>
      <w:r>
        <w:t xml:space="preserve"> - </w:t>
      </w:r>
      <w:r w:rsidRPr="00A51EA0">
        <w:t xml:space="preserve">Arte, práticas e processos. </w:t>
      </w:r>
      <w:r w:rsidRPr="00175709">
        <w:t>Adaptado</w:t>
      </w:r>
      <w:r w:rsidRPr="00A51EA0">
        <w:t xml:space="preserve"> a partir de</w:t>
      </w:r>
      <w:r>
        <w:t xml:space="preserve"> </w:t>
      </w:r>
      <w:r>
        <w:fldChar w:fldCharType="begin"/>
      </w:r>
      <w:r>
        <w:instrText xml:space="preserve"> ADDIN EN.CITE &lt;EndNote&gt;&lt;Cite&gt;&lt;Author&gt;Grieves&lt;/Author&gt;&lt;Year&gt;2006&lt;/Year&gt;&lt;RecNum&gt;44&lt;/RecNum&gt;&lt;DisplayText&gt;(Grieves 2006)&lt;/DisplayText&gt;&lt;record&gt;&lt;rec-number&gt;44&lt;/rec-number&gt;&lt;foreign-keys&gt;&lt;key app="EN" db-id="d59t2pz99vs5xpeefx3pexd9ttxe2w09dzzx"&gt;44&lt;/key&gt;&lt;/foreign-keys&gt;&lt;ref-type name="Book"&gt;6&lt;/ref-type&gt;&lt;contributors&gt;&lt;authors&gt;&lt;author&gt;Michael Grieves&lt;/author&gt;&lt;/authors&gt;&lt;/contributors&gt;&lt;titles&gt;&lt;title&gt;Product Lifecycle Management&lt;/title&gt;&lt;/titles&gt;&lt;pages&gt;318&lt;/pages&gt;&lt;dates&gt;&lt;year&gt;2006&lt;/year&gt;&lt;/dates&gt;&lt;pub-location&gt;Nova Iorque&lt;/pub-location&gt;&lt;publisher&gt;McGraw-Hill&lt;/publisher&gt;&lt;isbn&gt;0-07-145230-3&lt;/isbn&gt;&lt;urls&gt;&lt;/urls&gt;&lt;/record&gt;&lt;/Cite&gt;&lt;/EndNote&gt;</w:instrText>
      </w:r>
      <w:r>
        <w:fldChar w:fldCharType="separate"/>
      </w:r>
      <w:r>
        <w:rPr>
          <w:noProof/>
        </w:rPr>
        <w:t>(</w:t>
      </w:r>
      <w:hyperlink w:anchor="_ENREF_1" w:tooltip="Grieves, 2006 #44" w:history="1">
        <w:r>
          <w:rPr>
            <w:noProof/>
          </w:rPr>
          <w:t>Grieves 2006</w:t>
        </w:r>
      </w:hyperlink>
      <w:r>
        <w:rPr>
          <w:noProof/>
        </w:rPr>
        <w:t>)</w:t>
      </w:r>
      <w:r>
        <w:fldChar w:fldCharType="end"/>
      </w:r>
      <w:r>
        <w:t>.</w:t>
      </w:r>
    </w:p>
    <w:p w:rsidR="00A82EEB" w:rsidRDefault="00D405B8" w:rsidP="00A51EA0">
      <w:r>
        <w:t>Segundo a</w:t>
      </w:r>
      <w:r w:rsidR="003968A6">
        <w:t xml:space="preserve"> </w:t>
      </w:r>
      <w:r w:rsidR="003968A6">
        <w:fldChar w:fldCharType="begin"/>
      </w:r>
      <w:r w:rsidR="003968A6">
        <w:instrText xml:space="preserve"> REF _Ref315961508 \h </w:instrText>
      </w:r>
      <w:r w:rsidR="003968A6">
        <w:fldChar w:fldCharType="separate"/>
      </w:r>
      <w:r w:rsidR="003968A6">
        <w:t xml:space="preserve">Fig. </w:t>
      </w:r>
      <w:r w:rsidR="003968A6">
        <w:rPr>
          <w:noProof/>
        </w:rPr>
        <w:t>1</w:t>
      </w:r>
      <w:r w:rsidR="003968A6">
        <w:fldChar w:fldCharType="end"/>
      </w:r>
      <w:r>
        <w:t xml:space="preserve">, as actividades da construção podem ser classificadas em função da maior ou menor precisão com que é possível descrever à partida os respectivos dados e </w:t>
      </w:r>
      <w:r w:rsidR="0094719A">
        <w:t xml:space="preserve">os </w:t>
      </w:r>
      <w:r>
        <w:t xml:space="preserve">seus resultados. A preparação de um estudo prévio por parte de um arquitecto, por exemplo, pode partir de elementos diversos do contexto local ou global, que são tidos em conta ao longo de um </w:t>
      </w:r>
      <w:r w:rsidR="00605438">
        <w:t>percurso</w:t>
      </w:r>
      <w:r>
        <w:t xml:space="preserve"> em larga medida arbitrário que resulta na definição dos aspectos fundamentais do projecto. Do lado oposto deste espectro de actividades estará, por exemplo, a impressão de peças escritas do projecto de execução</w:t>
      </w:r>
      <w:r w:rsidR="003E2752">
        <w:t>, cuja execução é um processo</w:t>
      </w:r>
      <w:r w:rsidR="00DD2B79">
        <w:t xml:space="preserve"> em larga medida</w:t>
      </w:r>
      <w:r w:rsidR="003E2752">
        <w:t xml:space="preserve"> mecânico</w:t>
      </w:r>
      <w:r>
        <w:t>.</w:t>
      </w:r>
    </w:p>
    <w:p w:rsidR="00D7471D" w:rsidRDefault="00B96897" w:rsidP="00A51EA0">
      <w:r>
        <w:t xml:space="preserve">A maior parte das tarefas a realizar ao longo do processo construtivo estarão numa posição intermédia nesta escala, isto é, são práticas de trabalho que </w:t>
      </w:r>
      <w:r w:rsidR="00D405B8">
        <w:t xml:space="preserve">se </w:t>
      </w:r>
      <w:r w:rsidR="00B83A0B">
        <w:t>baseiam</w:t>
      </w:r>
      <w:r w:rsidR="00D405B8">
        <w:t xml:space="preserve"> num </w:t>
      </w:r>
      <w:r w:rsidR="00D405B8">
        <w:lastRenderedPageBreak/>
        <w:t xml:space="preserve">misto de dados de diferentes tipos para atingir um resultado que será </w:t>
      </w:r>
      <w:r>
        <w:t>aferido</w:t>
      </w:r>
      <w:r w:rsidR="00D405B8">
        <w:t xml:space="preserve"> segundo um conjunto de parâmetros objectivos e de avaliações subjectivas. </w:t>
      </w:r>
    </w:p>
    <w:p w:rsidR="00D7471D" w:rsidRDefault="000122A1" w:rsidP="00B83A0B">
      <w:r>
        <w:t>D</w:t>
      </w:r>
      <w:r w:rsidR="00D405B8">
        <w:t>isciplinas como a qualidade na construção têm contribuído para definir de forma mais rigorosa os dados e os resu</w:t>
      </w:r>
      <w:r w:rsidR="008E7B21">
        <w:t xml:space="preserve">ltados de actividades, isto é, para </w:t>
      </w:r>
      <w:r w:rsidR="00D405B8">
        <w:t xml:space="preserve">o esforço de transformar práticas em processos. </w:t>
      </w:r>
    </w:p>
    <w:p w:rsidR="00D7471D" w:rsidRDefault="00D405B8" w:rsidP="00B83A0B">
      <w:r>
        <w:t>Em síntese, o processo construtivo é composto por actividades rigorosamente parametrizáveis e, necessária e desejavelmente, por outras que são desenvolvidas segundo um percurso arbitrário. É importante distinguir claramente estes dois tipos de actividade e caracterizar devidamente as primeiras buscando os ganhos de eficiência</w:t>
      </w:r>
      <w:r w:rsidR="00370DBD">
        <w:t xml:space="preserve"> </w:t>
      </w:r>
      <w:r w:rsidR="006A0E45">
        <w:t>decorrentes da</w:t>
      </w:r>
      <w:r w:rsidR="00370DBD">
        <w:t> sua automatização.</w:t>
      </w:r>
    </w:p>
    <w:p w:rsidR="00D7471D" w:rsidRDefault="00D405B8" w:rsidP="005549EB">
      <w:pPr>
        <w:rPr>
          <w:rFonts w:eastAsia="Times New Roman"/>
        </w:rPr>
      </w:pPr>
      <w:r>
        <w:t>Nas últimas décadas do século XX, a transformação das tarefas no sentido da automatização foi devida</w:t>
      </w:r>
      <w:r w:rsidR="00734F74">
        <w:t xml:space="preserve"> fundamentalmente</w:t>
      </w:r>
      <w:r>
        <w:t xml:space="preserve"> ao desenvolvimento de al</w:t>
      </w:r>
      <w:r w:rsidR="00B44A19">
        <w:t xml:space="preserve">goritmos de cálculo automático e de ferramentas de desenho assistido por computador </w:t>
      </w:r>
      <w:r>
        <w:t>com o objectivo de tornar mais expedita a realização de tarefas repetitivas e</w:t>
      </w:r>
      <w:r w:rsidR="005549EB">
        <w:t xml:space="preserve"> trabalhosas, isto é, um desenvolvimento essencialmente </w:t>
      </w:r>
      <w:proofErr w:type="spellStart"/>
      <w:r w:rsidR="005549EB" w:rsidRPr="005549EB">
        <w:rPr>
          <w:i/>
        </w:rPr>
        <w:t>b</w:t>
      </w:r>
      <w:r w:rsidRPr="005549EB">
        <w:rPr>
          <w:rFonts w:eastAsia="Times New Roman"/>
          <w:i/>
        </w:rPr>
        <w:t>ottom-up</w:t>
      </w:r>
      <w:proofErr w:type="spellEnd"/>
      <w:r w:rsidR="00A82EEB">
        <w:rPr>
          <w:rFonts w:eastAsia="Times New Roman"/>
        </w:rPr>
        <w:t>, com um relevante contributo dos profissionais da construção.</w:t>
      </w:r>
    </w:p>
    <w:p w:rsidR="00D7471D" w:rsidRDefault="00E14B81" w:rsidP="001B0DA6">
      <w:pPr>
        <w:pStyle w:val="NormalWeb"/>
      </w:pPr>
      <w:r>
        <w:t>Desde os finais da década de 90</w:t>
      </w:r>
      <w:r w:rsidR="00D405B8">
        <w:t xml:space="preserve">, esta evolução tem sido suportada </w:t>
      </w:r>
      <w:r w:rsidR="001403D0">
        <w:t>de forma crescente</w:t>
      </w:r>
      <w:r w:rsidR="00D405B8">
        <w:t xml:space="preserve"> pelo</w:t>
      </w:r>
      <w:r w:rsidR="001B0DA6">
        <w:t xml:space="preserve"> </w:t>
      </w:r>
      <w:r w:rsidR="00D405B8">
        <w:t xml:space="preserve">desenvolvimento de novos modelos de </w:t>
      </w:r>
      <w:r w:rsidR="00F01812">
        <w:t>informação</w:t>
      </w:r>
      <w:r w:rsidR="00D405B8">
        <w:t xml:space="preserve"> que permitem representar mais adequadamente os produtos da construção e os recursos necessários à sua concretização. </w:t>
      </w:r>
      <w:r w:rsidR="001B0DA6">
        <w:t xml:space="preserve">Este esforço tem vindo a ser liderado por um </w:t>
      </w:r>
      <w:r w:rsidR="008958BF">
        <w:t xml:space="preserve">pequeno </w:t>
      </w:r>
      <w:r w:rsidR="001B0DA6">
        <w:t>conjunto de organizaçõ</w:t>
      </w:r>
      <w:r w:rsidR="00B216AF">
        <w:t>es de características distintas</w:t>
      </w:r>
      <w:r w:rsidR="001B0DA6">
        <w:t xml:space="preserve"> que tem desenvolvido modelos </w:t>
      </w:r>
      <w:r w:rsidR="001403D0">
        <w:t>de</w:t>
      </w:r>
      <w:r w:rsidR="001B0DA6">
        <w:t xml:space="preserve"> </w:t>
      </w:r>
      <w:r w:rsidR="001403D0">
        <w:t>informação</w:t>
      </w:r>
      <w:r w:rsidR="00B8397B">
        <w:t xml:space="preserve"> de âmbito abrangente</w:t>
      </w:r>
      <w:r w:rsidR="001B0DA6">
        <w:t>.</w:t>
      </w:r>
    </w:p>
    <w:p w:rsidR="00276046" w:rsidRDefault="002F293F" w:rsidP="00276046">
      <w:pPr>
        <w:pStyle w:val="NormalWeb"/>
      </w:pPr>
      <w:r>
        <w:t xml:space="preserve">É este desenvolvimento, marcadamente </w:t>
      </w:r>
      <w:r>
        <w:rPr>
          <w:i/>
        </w:rPr>
        <w:t>top-</w:t>
      </w:r>
      <w:proofErr w:type="spellStart"/>
      <w:r>
        <w:rPr>
          <w:i/>
        </w:rPr>
        <w:t>down</w:t>
      </w:r>
      <w:proofErr w:type="spellEnd"/>
      <w:r w:rsidR="00CB3963">
        <w:t>,</w:t>
      </w:r>
      <w:r>
        <w:t xml:space="preserve"> de modelos de </w:t>
      </w:r>
      <w:r w:rsidR="00D45384">
        <w:t>informação</w:t>
      </w:r>
      <w:r>
        <w:t xml:space="preserve"> que tem criado as condições necessárias</w:t>
      </w:r>
      <w:r w:rsidR="00F37933">
        <w:t xml:space="preserve"> para a elaboração de aplicações que </w:t>
      </w:r>
      <w:r w:rsidR="00BC1280">
        <w:t xml:space="preserve">permitem a transferência de dados entre os intervenientes do processo construtivo e </w:t>
      </w:r>
      <w:r w:rsidR="00CA63B6">
        <w:t xml:space="preserve">a </w:t>
      </w:r>
      <w:r w:rsidR="00BC1280">
        <w:t>automatização das tarefas</w:t>
      </w:r>
      <w:r w:rsidR="00D72758">
        <w:t xml:space="preserve"> que estes realizam</w:t>
      </w:r>
      <w:r w:rsidR="00BC1280">
        <w:t>.</w:t>
      </w:r>
      <w:r w:rsidR="00276046">
        <w:t xml:space="preserve"> </w:t>
      </w:r>
    </w:p>
    <w:p w:rsidR="00D7471D" w:rsidRDefault="00D405B8" w:rsidP="00956005">
      <w:pPr>
        <w:rPr>
          <w:rFonts w:eastAsia="Times New Roman"/>
        </w:rPr>
      </w:pPr>
      <w:r>
        <w:rPr>
          <w:rFonts w:eastAsia="Times New Roman"/>
        </w:rPr>
        <w:t>O papel dos especialistas da construção</w:t>
      </w:r>
      <w:r w:rsidR="00FE3E1C">
        <w:rPr>
          <w:rFonts w:eastAsia="Times New Roman"/>
        </w:rPr>
        <w:t xml:space="preserve"> na área dos sistemas de informação inclui, portanto, não só o desenvolvimento</w:t>
      </w:r>
      <w:r w:rsidR="007A0204">
        <w:rPr>
          <w:rFonts w:eastAsia="Times New Roman"/>
        </w:rPr>
        <w:t xml:space="preserve"> e a validação crítica</w:t>
      </w:r>
      <w:r w:rsidR="00FE3E1C">
        <w:rPr>
          <w:rFonts w:eastAsia="Times New Roman"/>
        </w:rPr>
        <w:t xml:space="preserve"> de métodos de cálculo eficientes, mas também de formatos padrão que suportem os seus processos e práticas profissionais.</w:t>
      </w:r>
    </w:p>
    <w:p w:rsidR="00D7471D" w:rsidRDefault="00D405B8" w:rsidP="00802E2A">
      <w:pPr>
        <w:pStyle w:val="Heading2"/>
        <w:rPr>
          <w:rFonts w:eastAsia="Times New Roman"/>
        </w:rPr>
      </w:pPr>
      <w:r>
        <w:rPr>
          <w:rFonts w:eastAsia="Times New Roman"/>
        </w:rPr>
        <w:t xml:space="preserve">Os BIM na automatização de </w:t>
      </w:r>
      <w:r w:rsidR="00894B4A">
        <w:rPr>
          <w:rFonts w:eastAsia="Times New Roman"/>
        </w:rPr>
        <w:t>tarefas</w:t>
      </w:r>
      <w:r>
        <w:rPr>
          <w:rFonts w:eastAsia="Times New Roman"/>
        </w:rPr>
        <w:t xml:space="preserve"> </w:t>
      </w:r>
    </w:p>
    <w:p w:rsidR="008760E7" w:rsidRDefault="008760E7" w:rsidP="00A37512">
      <w:pPr>
        <w:rPr>
          <w:rFonts w:eastAsia="Times New Roman"/>
        </w:rPr>
      </w:pPr>
      <w:r w:rsidRPr="008760E7">
        <w:rPr>
          <w:rFonts w:eastAsia="Times New Roman"/>
        </w:rPr>
        <w:t xml:space="preserve">Actualmente a designação BIM tem vindo a ser atribuída quer aos modelos de </w:t>
      </w:r>
      <w:r w:rsidR="00920EFA">
        <w:rPr>
          <w:rFonts w:eastAsia="Times New Roman"/>
        </w:rPr>
        <w:t>informação</w:t>
      </w:r>
      <w:r w:rsidRPr="008760E7">
        <w:rPr>
          <w:rFonts w:eastAsia="Times New Roman"/>
        </w:rPr>
        <w:t xml:space="preserve"> que representam os produtos da construção, quer às aplicações informáticas a que estão subjacentes. Assim, pode definir-se BIM como um conjunto de métodos e de ferramentas que permitem a parametrização e respectiva representação de produtos da construção</w:t>
      </w:r>
      <w:r w:rsidR="00E87F04">
        <w:rPr>
          <w:rFonts w:eastAsia="Times New Roman"/>
        </w:rPr>
        <w:t xml:space="preserve"> ao longo de todo o seu ciclo de vida</w:t>
      </w:r>
      <w:r w:rsidRPr="008760E7">
        <w:rPr>
          <w:rFonts w:eastAsia="Times New Roman"/>
        </w:rPr>
        <w:t>, seus componentes e recursos necessários ao seu desenvolvimento.</w:t>
      </w:r>
    </w:p>
    <w:p w:rsidR="00F87638" w:rsidRDefault="0074294C" w:rsidP="00A37512">
      <w:pPr>
        <w:rPr>
          <w:rFonts w:eastAsia="Times New Roman"/>
        </w:rPr>
      </w:pPr>
      <w:r>
        <w:rPr>
          <w:rFonts w:eastAsia="Times New Roman"/>
        </w:rPr>
        <w:t xml:space="preserve">Embora existam actualmente diversos produtos comerciais com grande abrangência nesta área, </w:t>
      </w:r>
      <w:r w:rsidR="009C23CA">
        <w:rPr>
          <w:rFonts w:eastAsia="Times New Roman"/>
        </w:rPr>
        <w:t>só a existência de um modelo de dados aberto</w:t>
      </w:r>
      <w:r w:rsidR="00EF7FE6">
        <w:rPr>
          <w:rFonts w:eastAsia="Times New Roman"/>
        </w:rPr>
        <w:t>, o IFC (</w:t>
      </w:r>
      <w:proofErr w:type="spellStart"/>
      <w:r w:rsidR="00EF7FE6">
        <w:rPr>
          <w:rFonts w:eastAsia="Times New Roman"/>
          <w:i/>
        </w:rPr>
        <w:t>Industry</w:t>
      </w:r>
      <w:proofErr w:type="spellEnd"/>
      <w:r w:rsidR="00EF7FE6">
        <w:rPr>
          <w:rFonts w:eastAsia="Times New Roman"/>
          <w:i/>
        </w:rPr>
        <w:t xml:space="preserve"> Foundation Classes</w:t>
      </w:r>
      <w:r w:rsidR="00EF7FE6">
        <w:rPr>
          <w:rFonts w:eastAsia="Times New Roman"/>
        </w:rPr>
        <w:t xml:space="preserve">) </w:t>
      </w:r>
      <w:r w:rsidR="00234BC5">
        <w:rPr>
          <w:rFonts w:eastAsia="Times New Roman"/>
        </w:rPr>
        <w:t>tem vindo a</w:t>
      </w:r>
      <w:r w:rsidR="00EF7FE6">
        <w:rPr>
          <w:rFonts w:eastAsia="Times New Roman"/>
        </w:rPr>
        <w:t xml:space="preserve"> permitir </w:t>
      </w:r>
      <w:r w:rsidR="007927B4">
        <w:rPr>
          <w:rFonts w:eastAsia="Times New Roman"/>
        </w:rPr>
        <w:t>o desenvolvimento de</w:t>
      </w:r>
      <w:r w:rsidR="00EF7FE6">
        <w:rPr>
          <w:rFonts w:eastAsia="Times New Roman"/>
        </w:rPr>
        <w:t xml:space="preserve"> </w:t>
      </w:r>
      <w:r w:rsidR="00B24BA2">
        <w:rPr>
          <w:rFonts w:eastAsia="Times New Roman"/>
        </w:rPr>
        <w:t xml:space="preserve">aplicações BIM </w:t>
      </w:r>
      <w:r w:rsidR="00A56166">
        <w:rPr>
          <w:rFonts w:eastAsia="Times New Roman"/>
        </w:rPr>
        <w:t>para as mais diversas tarefas do processo construtivo.</w:t>
      </w:r>
    </w:p>
    <w:p w:rsidR="00D7471D" w:rsidRDefault="00016DFF" w:rsidP="00016DFF">
      <w:r>
        <w:rPr>
          <w:rFonts w:eastAsia="Times New Roman"/>
        </w:rPr>
        <w:t xml:space="preserve">As ferramentas actualmente disponíveis permitem, por exemplo, a automatização do </w:t>
      </w:r>
      <w:r w:rsidR="00D405B8">
        <w:t xml:space="preserve">desenvolvimento </w:t>
      </w:r>
      <w:r>
        <w:t>de peças desenhadas e escritas de projecto e a detecção de erros em projectos existentes.</w:t>
      </w:r>
      <w:r w:rsidR="002775FB">
        <w:t xml:space="preserve"> Permitem que a informação desenvolvida pelos autores dos projectos seja partilhada de forma eficiente, evitando a necessidade de reintroduzir sucessi</w:t>
      </w:r>
      <w:r w:rsidR="00AB6227">
        <w:t xml:space="preserve">vamente </w:t>
      </w:r>
      <w:r w:rsidR="00ED5B2B">
        <w:t>os mesmo</w:t>
      </w:r>
      <w:r w:rsidR="00AB6227">
        <w:t xml:space="preserve">s </w:t>
      </w:r>
      <w:r w:rsidR="00ED5B2B">
        <w:t>dado</w:t>
      </w:r>
      <w:r w:rsidR="00AB6227">
        <w:t>s</w:t>
      </w:r>
      <w:r w:rsidR="002775FB">
        <w:t>.</w:t>
      </w:r>
      <w:r w:rsidR="00526200">
        <w:t xml:space="preserve"> Existem já ferramentas que efectuam a avaliação da conformidade regulamentar de projectos.</w:t>
      </w:r>
      <w:r w:rsidR="00AB6227">
        <w:t xml:space="preserve"> Nos anos mais recentes têm sido desenvolvidas </w:t>
      </w:r>
      <w:r w:rsidR="005A7A6C">
        <w:t>aplicações</w:t>
      </w:r>
      <w:r w:rsidR="00AB6227">
        <w:t xml:space="preserve"> destinadas a outras fases do processo construtivo, como as que efectuam medições e orçamentos de forma, em larga medida, automática.</w:t>
      </w:r>
    </w:p>
    <w:p w:rsidR="00D7471D" w:rsidRDefault="00ED3AB8" w:rsidP="008F04DB">
      <w:r>
        <w:lastRenderedPageBreak/>
        <w:t>Embora a variedade de usos potenciais para a tecnologia BIM seja enorme</w:t>
      </w:r>
      <w:r w:rsidR="008F04DB">
        <w:t>, a escassa disseminação actual destas ferramentas no meio profissional merece reflexão.</w:t>
      </w:r>
    </w:p>
    <w:p w:rsidR="00D7471D" w:rsidRDefault="00D405B8" w:rsidP="00802E2A">
      <w:pPr>
        <w:pStyle w:val="Heading2"/>
        <w:rPr>
          <w:rFonts w:eastAsia="Times New Roman"/>
        </w:rPr>
      </w:pPr>
      <w:r>
        <w:rPr>
          <w:rFonts w:eastAsia="Times New Roman"/>
        </w:rPr>
        <w:t xml:space="preserve">Obstáculos e oportunidades de desenvolvimento </w:t>
      </w:r>
    </w:p>
    <w:p w:rsidR="00A95A2D" w:rsidRDefault="007C77A1" w:rsidP="00F428C2">
      <w:pPr>
        <w:rPr>
          <w:rFonts w:eastAsia="Times New Roman"/>
        </w:rPr>
      </w:pPr>
      <w:r>
        <w:rPr>
          <w:rFonts w:eastAsia="Times New Roman"/>
        </w:rPr>
        <w:t>A adopção em larga escala do</w:t>
      </w:r>
      <w:r w:rsidR="00C553AE">
        <w:rPr>
          <w:rFonts w:eastAsia="Times New Roman"/>
        </w:rPr>
        <w:t>s</w:t>
      </w:r>
      <w:r>
        <w:rPr>
          <w:rFonts w:eastAsia="Times New Roman"/>
        </w:rPr>
        <w:t xml:space="preserve"> BIM depende de diversos factores, não necessariamente relacionados com aspectos tecnológicos.</w:t>
      </w:r>
      <w:r w:rsidR="000070A9">
        <w:rPr>
          <w:rFonts w:eastAsia="Times New Roman"/>
        </w:rPr>
        <w:t xml:space="preserve"> </w:t>
      </w:r>
    </w:p>
    <w:p w:rsidR="00F428C2" w:rsidRDefault="000070A9" w:rsidP="00F428C2">
      <w:pPr>
        <w:rPr>
          <w:rFonts w:eastAsia="Times New Roman"/>
        </w:rPr>
      </w:pPr>
      <w:r>
        <w:rPr>
          <w:rFonts w:eastAsia="Times New Roman"/>
        </w:rPr>
        <w:t>Um dos obstáculos reconhecidos por profissionais do sector</w:t>
      </w:r>
      <w:r w:rsidR="00943343">
        <w:rPr>
          <w:rFonts w:eastAsia="Times New Roman"/>
        </w:rPr>
        <w:t xml:space="preserve"> da construção</w:t>
      </w:r>
      <w:r>
        <w:rPr>
          <w:rFonts w:eastAsia="Times New Roman"/>
        </w:rPr>
        <w:t xml:space="preserve"> que avaliam a possibilidade de recorrer a ferramentas BIM é justamente o facto de a sua utilização não constituir a norma</w:t>
      </w:r>
      <w:r w:rsidR="00A95A2D">
        <w:rPr>
          <w:rFonts w:eastAsia="Times New Roman"/>
        </w:rPr>
        <w:t>. Assim, a possibilidade de garantir vantagens na partilha de informação, um dos mais relevantes benefícios dos BIM, é fortemente limitada.</w:t>
      </w:r>
      <w:r w:rsidR="001C6112">
        <w:rPr>
          <w:rFonts w:eastAsia="Times New Roman"/>
        </w:rPr>
        <w:t xml:space="preserve"> Esta questão, por vezes designada de problema de cooperação, </w:t>
      </w:r>
      <w:r w:rsidR="00122BCD">
        <w:rPr>
          <w:rFonts w:eastAsia="Times New Roman"/>
        </w:rPr>
        <w:t>coloca-se em diferentes domínios perante tecnologias com potencial para se tornarem um padrão na respectiva área: dado que a sua utilidade está directamente relacionada com a sua popularidade, os benefícios reconhecidos na adopção destas tecnologias são por vezes pouco significativos tendo em conta os respectivos custos.</w:t>
      </w:r>
    </w:p>
    <w:p w:rsidR="00CC0122" w:rsidRDefault="00CC0122" w:rsidP="00F428C2">
      <w:pPr>
        <w:rPr>
          <w:rFonts w:eastAsia="Times New Roman"/>
        </w:rPr>
      </w:pPr>
      <w:r>
        <w:rPr>
          <w:rFonts w:eastAsia="Times New Roman"/>
        </w:rPr>
        <w:t>Um outro obstáculo relevante prende-se com a carência de formatos padrão no sector d</w:t>
      </w:r>
      <w:r w:rsidR="00621C0D">
        <w:rPr>
          <w:rFonts w:eastAsia="Times New Roman"/>
        </w:rPr>
        <w:t>a</w:t>
      </w:r>
      <w:r>
        <w:rPr>
          <w:rFonts w:eastAsia="Times New Roman"/>
        </w:rPr>
        <w:t xml:space="preserve"> construção e, em particular</w:t>
      </w:r>
      <w:r w:rsidR="00DA6245">
        <w:rPr>
          <w:rFonts w:eastAsia="Times New Roman"/>
        </w:rPr>
        <w:t>,</w:t>
      </w:r>
      <w:r>
        <w:rPr>
          <w:rFonts w:eastAsia="Times New Roman"/>
        </w:rPr>
        <w:t xml:space="preserve"> na construção nacional.</w:t>
      </w:r>
      <w:r w:rsidR="00B008B3">
        <w:rPr>
          <w:rFonts w:eastAsia="Times New Roman"/>
        </w:rPr>
        <w:t xml:space="preserve"> Esta carência verifica-se, naturalmente</w:t>
      </w:r>
      <w:r w:rsidR="00F92222">
        <w:rPr>
          <w:rFonts w:eastAsia="Times New Roman"/>
        </w:rPr>
        <w:t>,</w:t>
      </w:r>
      <w:r w:rsidR="00B008B3">
        <w:rPr>
          <w:rFonts w:eastAsia="Times New Roman"/>
        </w:rPr>
        <w:t xml:space="preserve"> n</w:t>
      </w:r>
      <w:r w:rsidR="00F92222">
        <w:rPr>
          <w:rFonts w:eastAsia="Times New Roman"/>
        </w:rPr>
        <w:t>a área específica dos BIM</w:t>
      </w:r>
      <w:r w:rsidR="00B008B3">
        <w:rPr>
          <w:rFonts w:eastAsia="Times New Roman"/>
        </w:rPr>
        <w:t xml:space="preserve"> mas também nas questões da padronização de cadernos de encargos, no estabelecimento de regras de medição, entre outras.</w:t>
      </w:r>
      <w:r w:rsidR="00972CE4">
        <w:rPr>
          <w:rFonts w:eastAsia="Times New Roman"/>
        </w:rPr>
        <w:t xml:space="preserve"> A automatização de tarefas depende claramente da definição destas regras.</w:t>
      </w:r>
    </w:p>
    <w:p w:rsidR="0071560C" w:rsidRDefault="0071560C" w:rsidP="00F428C2">
      <w:r>
        <w:rPr>
          <w:rFonts w:eastAsia="Times New Roman"/>
        </w:rPr>
        <w:t xml:space="preserve">Para além de formatos padrão, é importante que sejam </w:t>
      </w:r>
      <w:r w:rsidR="00970DC9">
        <w:rPr>
          <w:rFonts w:eastAsia="Times New Roman"/>
        </w:rPr>
        <w:t xml:space="preserve">também </w:t>
      </w:r>
      <w:r>
        <w:rPr>
          <w:rFonts w:eastAsia="Times New Roman"/>
        </w:rPr>
        <w:t>padronizados alguns procedimentos relacionados com a modelação BIM.</w:t>
      </w:r>
      <w:r w:rsidR="00CB4C09">
        <w:rPr>
          <w:rFonts w:eastAsia="Times New Roman"/>
        </w:rPr>
        <w:t xml:space="preserve"> </w:t>
      </w:r>
      <w:r w:rsidR="00CB4C09">
        <w:t xml:space="preserve">A obtenção automática de medições, por exemplo, exige que as tarefas ligadas à modelação sejam efectuadas de acordo com regras </w:t>
      </w:r>
      <w:r w:rsidR="00CD2C80">
        <w:t>com aceitação geral</w:t>
      </w:r>
      <w:r w:rsidR="00CB4C09">
        <w:t>.</w:t>
      </w:r>
      <w:r w:rsidR="007A3608">
        <w:t xml:space="preserve"> Existem várias iniciativas a nível internacional que têm resultado em regras de modelação.</w:t>
      </w:r>
      <w:r w:rsidR="00336043">
        <w:t xml:space="preserve"> Dadas as especificidades nacionais do sector da construção que se traduzem, por exemplo, ao nível </w:t>
      </w:r>
      <w:r w:rsidR="006A22DF">
        <w:t>legal</w:t>
      </w:r>
      <w:r w:rsidR="007F3D97">
        <w:t>, não é possível importar estas regras directamente, mantendo-se as características únicas do sector em cada país.</w:t>
      </w:r>
    </w:p>
    <w:p w:rsidR="00F02EDD" w:rsidRDefault="00F02EDD" w:rsidP="00956005">
      <w:r>
        <w:t xml:space="preserve">Como se referiu anteriormente, o desenvolvimento na área dos BIM tem seguido um percurso </w:t>
      </w:r>
      <w:r w:rsidR="00956005">
        <w:t>marcadamente do tipo</w:t>
      </w:r>
      <w:r>
        <w:t xml:space="preserve"> </w:t>
      </w:r>
      <w:r w:rsidRPr="00956005">
        <w:rPr>
          <w:i/>
        </w:rPr>
        <w:t>top-</w:t>
      </w:r>
      <w:proofErr w:type="spellStart"/>
      <w:r w:rsidRPr="00956005">
        <w:rPr>
          <w:i/>
        </w:rPr>
        <w:t>down</w:t>
      </w:r>
      <w:proofErr w:type="spellEnd"/>
      <w:r>
        <w:t xml:space="preserve">, em que um conjunto limitado de entidades define as regras que deverão ser adoptadas pela comunidade profissional. Esta estratégia permitiu o desenvolvimento daquele que é o primeiro formato de representação padrão, ainda que </w:t>
      </w:r>
      <w:proofErr w:type="spellStart"/>
      <w:r w:rsidRPr="00956005">
        <w:rPr>
          <w:i/>
        </w:rPr>
        <w:t>ad-hoc</w:t>
      </w:r>
      <w:proofErr w:type="spellEnd"/>
      <w:proofErr w:type="gramStart"/>
      <w:r>
        <w:t>,</w:t>
      </w:r>
      <w:proofErr w:type="gramEnd"/>
      <w:r>
        <w:t xml:space="preserve"> para a construção tendo em conta as suas diversas valências</w:t>
      </w:r>
      <w:r w:rsidR="00956005">
        <w:t>, o IFC</w:t>
      </w:r>
      <w:r>
        <w:t>. Em contrapartida, este esforço criou uma separação entre as características do modelo</w:t>
      </w:r>
      <w:r w:rsidR="007F478A">
        <w:t xml:space="preserve"> proposto</w:t>
      </w:r>
      <w:r>
        <w:t xml:space="preserve"> e as exigências práti</w:t>
      </w:r>
      <w:r w:rsidR="00956005">
        <w:t>cas da comunidade profissional</w:t>
      </w:r>
      <w:r w:rsidR="007F478A">
        <w:t xml:space="preserve"> actual, que se traduzem em larga medida nos métodos de trabalho correntes</w:t>
      </w:r>
      <w:r w:rsidR="00956005">
        <w:t>.</w:t>
      </w:r>
    </w:p>
    <w:p w:rsidR="00E1573A" w:rsidRDefault="007F478A" w:rsidP="00F428C2">
      <w:r>
        <w:t xml:space="preserve">Os próximos anos serão provavelmente caracterizados por uma maior aproximação destes percursos </w:t>
      </w:r>
      <w:r w:rsidRPr="007F478A">
        <w:rPr>
          <w:i/>
        </w:rPr>
        <w:t>top-</w:t>
      </w:r>
      <w:proofErr w:type="spellStart"/>
      <w:r w:rsidRPr="007F478A">
        <w:rPr>
          <w:i/>
        </w:rPr>
        <w:t>down</w:t>
      </w:r>
      <w:proofErr w:type="spellEnd"/>
      <w:r>
        <w:t xml:space="preserve"> e </w:t>
      </w:r>
      <w:proofErr w:type="spellStart"/>
      <w:r w:rsidRPr="007F478A">
        <w:rPr>
          <w:i/>
        </w:rPr>
        <w:t>bottom-up</w:t>
      </w:r>
      <w:proofErr w:type="spellEnd"/>
      <w:r>
        <w:t>. A disseminação de ferramentas informáticas comerciais cria o contexto adequado para a necessária validação empírica do modelo IFC por parte dos especialistas da construção e convida-os a desenvolver os seus próprios métodos e ferramentas BIM.</w:t>
      </w:r>
    </w:p>
    <w:p w:rsidR="00357180" w:rsidRDefault="00357180" w:rsidP="00357180">
      <w:r>
        <w:t xml:space="preserve">Considera-se que o papel de engenheiros e arquitectos será essencial nesta fase, o que obriga ao desenvolvimento e </w:t>
      </w:r>
      <w:r w:rsidR="007D043B">
        <w:t>à difusão</w:t>
      </w:r>
      <w:r>
        <w:t xml:space="preserve"> de um conjunto de competências que não são tradicionais na sua formação de base</w:t>
      </w:r>
      <w:r w:rsidR="005C6CD4">
        <w:t xml:space="preserve"> actual</w:t>
      </w:r>
      <w:r>
        <w:t xml:space="preserve">. </w:t>
      </w:r>
    </w:p>
    <w:p w:rsidR="00BB1AD1" w:rsidRDefault="00EC1F31" w:rsidP="00F428C2">
      <w:r>
        <w:t>O papel das entidades ligadas ao ensino será também fundamental. Devem adaptar-se ao</w:t>
      </w:r>
      <w:r w:rsidR="00693E42">
        <w:t>s</w:t>
      </w:r>
      <w:r>
        <w:t xml:space="preserve"> BIM, respondendo de acordo com uma visão estratégica própria do perfil desejável dos seus formandos.</w:t>
      </w:r>
      <w:r w:rsidR="00BB1AD1">
        <w:t xml:space="preserve"> </w:t>
      </w:r>
    </w:p>
    <w:p w:rsidR="007F478A" w:rsidRDefault="00BB1AD1" w:rsidP="00F428C2">
      <w:r>
        <w:t xml:space="preserve">Em alguns casos, será adequado encarar as ferramentas BIM do ponto de vista do utilizador, procurando fornecer competências directamente relacionadas com </w:t>
      </w:r>
      <w:r w:rsidR="00042947">
        <w:t xml:space="preserve">o uso de </w:t>
      </w:r>
      <w:r>
        <w:t xml:space="preserve">ferramentas informáticas específicas. Esta estratégia pode encarar-se como uma simples evolução do ensino tradicional do desenho assistido por computador, adaptando-o, </w:t>
      </w:r>
      <w:r>
        <w:lastRenderedPageBreak/>
        <w:t>naturalmente, às novas aplicações informáticas.</w:t>
      </w:r>
      <w:r w:rsidR="00DE7940">
        <w:t xml:space="preserve"> Este perfil será provavelmente o mais indicado para os técnicos a introduzir no imediato nas empresas de construção que não pretendam realizar u</w:t>
      </w:r>
      <w:r w:rsidR="007E0D87">
        <w:t>m esforço significativo em I&amp;D ou</w:t>
      </w:r>
      <w:r w:rsidR="00DE7940">
        <w:t xml:space="preserve"> que prefiram realizar uma transição </w:t>
      </w:r>
      <w:r w:rsidR="007E0D87">
        <w:t xml:space="preserve">mais </w:t>
      </w:r>
      <w:r w:rsidR="00DE7940">
        <w:t xml:space="preserve">suave a partir das práticas de trabalho </w:t>
      </w:r>
      <w:r w:rsidR="003924CB">
        <w:t>actuais</w:t>
      </w:r>
      <w:r w:rsidR="00DE7940">
        <w:t>.</w:t>
      </w:r>
    </w:p>
    <w:p w:rsidR="00DE7940" w:rsidRDefault="00DE7940" w:rsidP="00DE7940">
      <w:r>
        <w:t xml:space="preserve">Nos casos em que se pretenda formar especialistas capazes de intervir no processo de gestão da informação, avaliando os métodos de trabalho correntes e propondo alterações, deve ser exigido um perfil técnico distinto. Nestas situações, para além das competências técnicas específicas do domínio da construção, torna-se necessário que os especialistas da construção possuam conhecimentos de base nas áreas da gestão da informação para a construção e da modelação de dados. Para além deste tipo de competências que deverão ser adquiridas preferencialmente no âmbito do ensino pós-graduado, considera-se essencial que os especialistas da construção disponham de ferramentas informáticas que lhes permitam pesquisar e manipular ficheiros IFC, realizando os seguintes tipos de tarefas: </w:t>
      </w:r>
    </w:p>
    <w:p w:rsidR="00DE7940" w:rsidRDefault="00DE7940" w:rsidP="00DE7940">
      <w:pPr>
        <w:pStyle w:val="ListParagraph"/>
        <w:numPr>
          <w:ilvl w:val="0"/>
          <w:numId w:val="2"/>
        </w:numPr>
      </w:pPr>
      <w:r>
        <w:t xml:space="preserve">Pesquisar entidades na estrutura IFC usando linguagem corrente, preferencialmente em língua portuguesa. </w:t>
      </w:r>
    </w:p>
    <w:p w:rsidR="00DE7940" w:rsidRDefault="00DE7940" w:rsidP="00DE7940">
      <w:pPr>
        <w:pStyle w:val="ListParagraph"/>
        <w:numPr>
          <w:ilvl w:val="0"/>
          <w:numId w:val="2"/>
        </w:numPr>
      </w:pPr>
      <w:r>
        <w:t xml:space="preserve">Importar dados de ficheiros IFC para folhas de cálculo de modo a permitir a automatização de tarefas sem o recurso a linguagens e ambientes de programação. </w:t>
      </w:r>
    </w:p>
    <w:p w:rsidR="00EC1F31" w:rsidRPr="00DE7940" w:rsidRDefault="00DE7940" w:rsidP="00DE7940">
      <w:pPr>
        <w:pStyle w:val="ListParagraph"/>
        <w:numPr>
          <w:ilvl w:val="0"/>
          <w:numId w:val="2"/>
        </w:numPr>
        <w:rPr>
          <w:rFonts w:eastAsia="Times New Roman"/>
        </w:rPr>
      </w:pPr>
      <w:r>
        <w:t xml:space="preserve">Editar a estrutura IFC, modificando o modelo de dados oficial, de modo a suportar os requisitos inerentes às tarefas a realizar pela comunidade profissional. Por outras palavras, criar as condições necessárias a um desenvolvimento do tipo </w:t>
      </w:r>
      <w:proofErr w:type="spellStart"/>
      <w:r w:rsidRPr="00254602">
        <w:rPr>
          <w:i/>
        </w:rPr>
        <w:t>bottom-up</w:t>
      </w:r>
      <w:proofErr w:type="spellEnd"/>
      <w:r>
        <w:t xml:space="preserve"> do modelo IFC em complemento do actual esforço </w:t>
      </w:r>
      <w:r w:rsidRPr="00254602">
        <w:rPr>
          <w:i/>
        </w:rPr>
        <w:t>top-</w:t>
      </w:r>
      <w:proofErr w:type="spellStart"/>
      <w:r w:rsidRPr="00254602">
        <w:rPr>
          <w:i/>
        </w:rPr>
        <w:t>down</w:t>
      </w:r>
      <w:proofErr w:type="spellEnd"/>
      <w:r>
        <w:t>.</w:t>
      </w:r>
    </w:p>
    <w:p w:rsidR="005C77D0" w:rsidRDefault="005C77D0" w:rsidP="005C77D0">
      <w:pPr>
        <w:rPr>
          <w:rFonts w:eastAsia="Times New Roman"/>
        </w:rPr>
      </w:pPr>
      <w:r w:rsidRPr="005C77D0">
        <w:rPr>
          <w:rFonts w:eastAsia="Times New Roman"/>
        </w:rPr>
        <w:t xml:space="preserve">O grupo GEQUALTEC da Faculdade de Engenharia da Universidade do Porto tem vindo a realizar trabalho de investigação na área dos BIM, incluindo a análise de modelos e ferramentas existentes e o desenvolvimento de métodos e aplicações informáticas originais. </w:t>
      </w:r>
      <w:r w:rsidR="00B0175C">
        <w:rPr>
          <w:rFonts w:eastAsia="Times New Roman"/>
        </w:rPr>
        <w:t xml:space="preserve">Apresenta-se na </w:t>
      </w:r>
      <w:r w:rsidR="00B0175C">
        <w:rPr>
          <w:rFonts w:eastAsia="Times New Roman"/>
        </w:rPr>
        <w:fldChar w:fldCharType="begin"/>
      </w:r>
      <w:r w:rsidR="00B0175C">
        <w:rPr>
          <w:rFonts w:eastAsia="Times New Roman"/>
        </w:rPr>
        <w:instrText xml:space="preserve"> REF _Ref316502876 \h </w:instrText>
      </w:r>
      <w:r w:rsidR="00B0175C">
        <w:rPr>
          <w:rFonts w:eastAsia="Times New Roman"/>
        </w:rPr>
      </w:r>
      <w:r w:rsidR="00B0175C">
        <w:rPr>
          <w:rFonts w:eastAsia="Times New Roman"/>
        </w:rPr>
        <w:fldChar w:fldCharType="separate"/>
      </w:r>
      <w:r w:rsidR="00B0175C">
        <w:t xml:space="preserve">Fig. </w:t>
      </w:r>
      <w:r w:rsidR="00B0175C">
        <w:rPr>
          <w:noProof/>
        </w:rPr>
        <w:t>2</w:t>
      </w:r>
      <w:r w:rsidR="00B0175C">
        <w:rPr>
          <w:rFonts w:eastAsia="Times New Roman"/>
        </w:rPr>
        <w:fldChar w:fldCharType="end"/>
      </w:r>
      <w:r w:rsidR="00694E69">
        <w:rPr>
          <w:rFonts w:eastAsia="Times New Roman"/>
        </w:rPr>
        <w:t>, a título de exemplo,</w:t>
      </w:r>
      <w:r w:rsidR="00B0175C">
        <w:rPr>
          <w:rFonts w:eastAsia="Times New Roman"/>
        </w:rPr>
        <w:t xml:space="preserve"> </w:t>
      </w:r>
      <w:r w:rsidR="00B0175C" w:rsidRPr="005C77D0">
        <w:rPr>
          <w:rFonts w:eastAsia="Times New Roman"/>
        </w:rPr>
        <w:t>uma ferramenta web desenvolvida</w:t>
      </w:r>
      <w:r w:rsidR="00B0175C">
        <w:rPr>
          <w:rFonts w:eastAsia="Times New Roman"/>
        </w:rPr>
        <w:t xml:space="preserve"> no âmbito do projecto SIGABIM</w:t>
      </w:r>
      <w:r w:rsidR="00B0175C" w:rsidRPr="005C77D0">
        <w:rPr>
          <w:rFonts w:eastAsia="Times New Roman"/>
        </w:rPr>
        <w:t xml:space="preserve"> com o objectivo de apoiar o ensino e a investigação na área dos BIM por parte de especialistas da construção.</w:t>
      </w:r>
    </w:p>
    <w:p w:rsidR="005F3761" w:rsidRDefault="00BF1D04" w:rsidP="005F3761">
      <w:pPr>
        <w:keepNext/>
        <w:jc w:val="center"/>
      </w:pPr>
      <w:r>
        <w:rPr>
          <w:rFonts w:eastAsia="Times New Roman"/>
          <w:noProof/>
        </w:rPr>
        <w:drawing>
          <wp:inline distT="0" distB="0" distL="0" distR="0" wp14:anchorId="6E028023" wp14:editId="70FAB2ED">
            <wp:extent cx="3838575" cy="2443162"/>
            <wp:effectExtent l="19050" t="19050" r="9525" b="14605"/>
            <wp:docPr id="1" name="Picture 1" descr="C:\Users\JPPM\Desktop\DOCS_VIE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PM\Desktop\DOCS_VIEWER.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488" t="3208" r="14310"/>
                    <a:stretch/>
                  </pic:blipFill>
                  <pic:spPr bwMode="auto">
                    <a:xfrm>
                      <a:off x="0" y="0"/>
                      <a:ext cx="3838577" cy="244316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BF1D04" w:rsidRPr="005C77D0" w:rsidRDefault="005F3761" w:rsidP="00175709">
      <w:pPr>
        <w:pStyle w:val="Caption"/>
        <w:rPr>
          <w:rFonts w:eastAsia="Times New Roman"/>
        </w:rPr>
      </w:pPr>
      <w:bookmarkStart w:id="2" w:name="_Ref316502876"/>
      <w:r>
        <w:t xml:space="preserve">Fig. </w:t>
      </w:r>
      <w:fldSimple w:instr=" SEQ Fig. \* ARABIC ">
        <w:r>
          <w:rPr>
            <w:noProof/>
          </w:rPr>
          <w:t>2</w:t>
        </w:r>
      </w:fldSimple>
      <w:bookmarkEnd w:id="2"/>
      <w:r w:rsidR="00B0175C">
        <w:t xml:space="preserve"> – </w:t>
      </w:r>
      <w:r w:rsidR="00461947">
        <w:t>Ferramenta web desenvolvida no âmbito do projecto SIGABIM</w:t>
      </w:r>
    </w:p>
    <w:p w:rsidR="006E3CF6" w:rsidRDefault="006E3CF6" w:rsidP="00D05FAE">
      <w:pPr>
        <w:pStyle w:val="Heading2"/>
        <w:rPr>
          <w:rFonts w:eastAsia="Times New Roman"/>
        </w:rPr>
      </w:pPr>
      <w:r>
        <w:rPr>
          <w:rFonts w:eastAsia="Times New Roman"/>
        </w:rPr>
        <w:t>Conclusões</w:t>
      </w:r>
    </w:p>
    <w:p w:rsidR="00C70132" w:rsidRDefault="00D05FAE" w:rsidP="005C77D0">
      <w:pPr>
        <w:rPr>
          <w:rFonts w:eastAsia="Times New Roman"/>
        </w:rPr>
      </w:pPr>
      <w:r>
        <w:rPr>
          <w:rFonts w:eastAsia="Times New Roman"/>
        </w:rPr>
        <w:t>Os modelos de informação para a construção permitem representar edifícios e seus componentes</w:t>
      </w:r>
      <w:r w:rsidR="00E25B24">
        <w:rPr>
          <w:rFonts w:eastAsia="Times New Roman"/>
        </w:rPr>
        <w:t xml:space="preserve"> incluindo aspectos que vão para além da sua geometria.</w:t>
      </w:r>
      <w:r w:rsidR="00DF0D6C">
        <w:rPr>
          <w:rFonts w:eastAsia="Times New Roman"/>
        </w:rPr>
        <w:t xml:space="preserve"> É esta capacidade do</w:t>
      </w:r>
      <w:r w:rsidR="00AB01F9">
        <w:rPr>
          <w:rFonts w:eastAsia="Times New Roman"/>
        </w:rPr>
        <w:t>s</w:t>
      </w:r>
      <w:r w:rsidR="00DF0D6C">
        <w:rPr>
          <w:rFonts w:eastAsia="Times New Roman"/>
        </w:rPr>
        <w:t xml:space="preserve"> BIM para gerir</w:t>
      </w:r>
      <w:r w:rsidR="00AB01F9">
        <w:rPr>
          <w:rFonts w:eastAsia="Times New Roman"/>
        </w:rPr>
        <w:t>em</w:t>
      </w:r>
      <w:r w:rsidR="00DF0D6C">
        <w:rPr>
          <w:rFonts w:eastAsia="Times New Roman"/>
        </w:rPr>
        <w:t xml:space="preserve"> informação acerca dos edifícios ao longo do seu ciclo de vida que </w:t>
      </w:r>
      <w:r w:rsidR="00DF0D6C">
        <w:rPr>
          <w:rFonts w:eastAsia="Times New Roman"/>
        </w:rPr>
        <w:lastRenderedPageBreak/>
        <w:t xml:space="preserve">constitui </w:t>
      </w:r>
      <w:r w:rsidR="00984499">
        <w:rPr>
          <w:rFonts w:eastAsia="Times New Roman"/>
        </w:rPr>
        <w:t>a sua principal inovação</w:t>
      </w:r>
      <w:r w:rsidR="00EF61D8">
        <w:rPr>
          <w:rFonts w:eastAsia="Times New Roman"/>
        </w:rPr>
        <w:t xml:space="preserve"> e o seu mais relevante contributo para a gestão da informação na construção</w:t>
      </w:r>
      <w:r w:rsidR="00984499">
        <w:rPr>
          <w:rFonts w:eastAsia="Times New Roman"/>
        </w:rPr>
        <w:t>.</w:t>
      </w:r>
    </w:p>
    <w:p w:rsidR="00F0739F" w:rsidRDefault="00AB01F9" w:rsidP="005C77D0">
      <w:pPr>
        <w:rPr>
          <w:rFonts w:eastAsia="Times New Roman"/>
        </w:rPr>
      </w:pPr>
      <w:r>
        <w:rPr>
          <w:rFonts w:eastAsia="Times New Roman"/>
        </w:rPr>
        <w:t>Apesar da crescente variedade de potenciais usos para os BIM ao longo do processo construtivo, a sua disseminação entre os profissionais da construção é ainda relativamente escassa.</w:t>
      </w:r>
    </w:p>
    <w:p w:rsidR="00A51EA0" w:rsidRDefault="002F2D04" w:rsidP="002D3D0D">
      <w:pPr>
        <w:rPr>
          <w:rFonts w:eastAsia="Times New Roman"/>
        </w:rPr>
      </w:pPr>
      <w:r>
        <w:rPr>
          <w:rFonts w:eastAsia="Times New Roman"/>
        </w:rPr>
        <w:t>O papel dos especialistas do sector da construção é fundamental para o desenvolvimento futuro dos BIM, não só através da validação empírica dos formatos padrão e ferramentas existentes, mas também pelo desenvolvimento de novos usos para a informação que compõe estes modelos.</w:t>
      </w:r>
      <w:r w:rsidR="002D3D0D">
        <w:rPr>
          <w:rFonts w:eastAsia="Times New Roman"/>
        </w:rPr>
        <w:t xml:space="preserve"> É importante que </w:t>
      </w:r>
      <w:r w:rsidR="008D499B">
        <w:rPr>
          <w:rFonts w:eastAsia="Times New Roman"/>
        </w:rPr>
        <w:t>estes profissionais disponham das competências</w:t>
      </w:r>
      <w:r w:rsidR="00363B97">
        <w:rPr>
          <w:rFonts w:eastAsia="Times New Roman"/>
        </w:rPr>
        <w:t xml:space="preserve"> e ferramentas</w:t>
      </w:r>
      <w:r w:rsidR="008D499B">
        <w:rPr>
          <w:rFonts w:eastAsia="Times New Roman"/>
        </w:rPr>
        <w:t xml:space="preserve"> necessárias para </w:t>
      </w:r>
      <w:r w:rsidR="00C27F2C">
        <w:rPr>
          <w:rFonts w:eastAsia="Times New Roman"/>
        </w:rPr>
        <w:t>o</w:t>
      </w:r>
      <w:r w:rsidR="00D04F16">
        <w:rPr>
          <w:rFonts w:eastAsia="Times New Roman"/>
        </w:rPr>
        <w:t xml:space="preserve"> efeito.</w:t>
      </w:r>
    </w:p>
    <w:p w:rsidR="00A449F6" w:rsidRPr="008039C2" w:rsidRDefault="00A449F6" w:rsidP="002D3D0D">
      <w:pPr>
        <w:pStyle w:val="Heading2"/>
        <w:rPr>
          <w:rFonts w:eastAsia="Times New Roman"/>
        </w:rPr>
      </w:pPr>
      <w:r>
        <w:rPr>
          <w:rFonts w:eastAsia="Times New Roman"/>
        </w:rPr>
        <w:t>Referências bibliográficas</w:t>
      </w:r>
    </w:p>
    <w:p w:rsidR="00A51EA0" w:rsidRDefault="00A51EA0" w:rsidP="00BB1AD1">
      <w:pPr>
        <w:pStyle w:val="NormalWeb"/>
      </w:pPr>
    </w:p>
    <w:p w:rsidR="00A51EA0" w:rsidRDefault="00A51EA0" w:rsidP="00A51EA0">
      <w:pPr>
        <w:pStyle w:val="NormalWeb"/>
        <w:rPr>
          <w:noProof/>
        </w:rPr>
      </w:pPr>
      <w:r>
        <w:fldChar w:fldCharType="begin"/>
      </w:r>
      <w:r w:rsidRPr="003C0CE4">
        <w:instrText xml:space="preserve"> ADDIN EN.REFLIST </w:instrText>
      </w:r>
      <w:r>
        <w:fldChar w:fldCharType="separate"/>
      </w:r>
      <w:bookmarkStart w:id="3" w:name="_ENREF_1"/>
      <w:r w:rsidRPr="003C0CE4">
        <w:rPr>
          <w:noProof/>
        </w:rPr>
        <w:t xml:space="preserve">Grieves, M. (2006). </w:t>
      </w:r>
      <w:r w:rsidRPr="003C0CE4">
        <w:rPr>
          <w:noProof/>
          <w:u w:val="single"/>
        </w:rPr>
        <w:t>Product Lifecycle Management</w:t>
      </w:r>
      <w:r w:rsidRPr="003C0CE4">
        <w:rPr>
          <w:noProof/>
        </w:rPr>
        <w:t xml:space="preserve">. </w:t>
      </w:r>
      <w:r>
        <w:rPr>
          <w:noProof/>
        </w:rPr>
        <w:t>Nova Iorque, McGraw-Hill.</w:t>
      </w:r>
    </w:p>
    <w:p w:rsidR="00A51EA0" w:rsidRDefault="00A51EA0" w:rsidP="00A51EA0">
      <w:pPr>
        <w:pStyle w:val="NormalWeb"/>
        <w:ind w:left="720" w:hanging="720"/>
        <w:rPr>
          <w:noProof/>
        </w:rPr>
      </w:pPr>
      <w:r>
        <w:rPr>
          <w:noProof/>
        </w:rPr>
        <w:tab/>
      </w:r>
      <w:bookmarkEnd w:id="3"/>
    </w:p>
    <w:p w:rsidR="00A51EA0" w:rsidRDefault="00A51EA0" w:rsidP="00A51EA0">
      <w:pPr>
        <w:pStyle w:val="NormalWeb"/>
        <w:rPr>
          <w:noProof/>
        </w:rPr>
      </w:pPr>
    </w:p>
    <w:p w:rsidR="00D405B8" w:rsidRDefault="00A51EA0" w:rsidP="00BB1AD1">
      <w:pPr>
        <w:pStyle w:val="NormalWeb"/>
      </w:pPr>
      <w:r>
        <w:fldChar w:fldCharType="end"/>
      </w:r>
    </w:p>
    <w:sectPr w:rsidR="00D405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A5782"/>
    <w:multiLevelType w:val="hybridMultilevel"/>
    <w:tmpl w:val="C470960A"/>
    <w:lvl w:ilvl="0" w:tplc="C64CF0DA">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7D8654D5"/>
    <w:multiLevelType w:val="multilevel"/>
    <w:tmpl w:val="66CAE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9t2pz99vs5xpeefx3pexd9ttxe2w09dzzx&quot;&gt;Biblioteca&lt;record-ids&gt;&lt;item&gt;44&lt;/item&gt;&lt;/record-ids&gt;&lt;/item&gt;&lt;/Libraries&gt;"/>
  </w:docVars>
  <w:rsids>
    <w:rsidRoot w:val="00BB686E"/>
    <w:rsid w:val="000070A9"/>
    <w:rsid w:val="000122A1"/>
    <w:rsid w:val="00016DFF"/>
    <w:rsid w:val="00042947"/>
    <w:rsid w:val="0006354D"/>
    <w:rsid w:val="00085616"/>
    <w:rsid w:val="000862A4"/>
    <w:rsid w:val="000C242F"/>
    <w:rsid w:val="00122BCD"/>
    <w:rsid w:val="001403D0"/>
    <w:rsid w:val="001752DD"/>
    <w:rsid w:val="00175709"/>
    <w:rsid w:val="001B0DA6"/>
    <w:rsid w:val="001C6112"/>
    <w:rsid w:val="001D4564"/>
    <w:rsid w:val="001D4F0A"/>
    <w:rsid w:val="00234BC5"/>
    <w:rsid w:val="00254602"/>
    <w:rsid w:val="00276046"/>
    <w:rsid w:val="002775FB"/>
    <w:rsid w:val="002807B0"/>
    <w:rsid w:val="002A4F77"/>
    <w:rsid w:val="002B5063"/>
    <w:rsid w:val="002D3D0D"/>
    <w:rsid w:val="002F293F"/>
    <w:rsid w:val="002F2D04"/>
    <w:rsid w:val="00336043"/>
    <w:rsid w:val="00357180"/>
    <w:rsid w:val="00363B97"/>
    <w:rsid w:val="00370DBD"/>
    <w:rsid w:val="00385584"/>
    <w:rsid w:val="003924CB"/>
    <w:rsid w:val="003968A6"/>
    <w:rsid w:val="003B20A1"/>
    <w:rsid w:val="003B37E9"/>
    <w:rsid w:val="003C0CE4"/>
    <w:rsid w:val="003E2752"/>
    <w:rsid w:val="003F1C36"/>
    <w:rsid w:val="003F2B94"/>
    <w:rsid w:val="00461947"/>
    <w:rsid w:val="004801B1"/>
    <w:rsid w:val="004902B4"/>
    <w:rsid w:val="004A0688"/>
    <w:rsid w:val="004C6C45"/>
    <w:rsid w:val="00526200"/>
    <w:rsid w:val="00540EEE"/>
    <w:rsid w:val="005549EB"/>
    <w:rsid w:val="005845E0"/>
    <w:rsid w:val="005A7A6C"/>
    <w:rsid w:val="005C6CD4"/>
    <w:rsid w:val="005C77D0"/>
    <w:rsid w:val="005F3761"/>
    <w:rsid w:val="00605438"/>
    <w:rsid w:val="0062160C"/>
    <w:rsid w:val="00621C0D"/>
    <w:rsid w:val="00636B38"/>
    <w:rsid w:val="00665421"/>
    <w:rsid w:val="00693E42"/>
    <w:rsid w:val="00694E69"/>
    <w:rsid w:val="006A0E45"/>
    <w:rsid w:val="006A22DF"/>
    <w:rsid w:val="006A7D42"/>
    <w:rsid w:val="006E3CF6"/>
    <w:rsid w:val="006F2DD6"/>
    <w:rsid w:val="007120B1"/>
    <w:rsid w:val="0071560C"/>
    <w:rsid w:val="00723140"/>
    <w:rsid w:val="00734F74"/>
    <w:rsid w:val="00737C6D"/>
    <w:rsid w:val="0074294C"/>
    <w:rsid w:val="007728C7"/>
    <w:rsid w:val="007927B4"/>
    <w:rsid w:val="007A0204"/>
    <w:rsid w:val="007A3608"/>
    <w:rsid w:val="007B2E0E"/>
    <w:rsid w:val="007C77A1"/>
    <w:rsid w:val="007D043B"/>
    <w:rsid w:val="007E0D87"/>
    <w:rsid w:val="007F1CC8"/>
    <w:rsid w:val="007F3D97"/>
    <w:rsid w:val="007F478A"/>
    <w:rsid w:val="00802E2A"/>
    <w:rsid w:val="008039C2"/>
    <w:rsid w:val="00827E66"/>
    <w:rsid w:val="00861DAB"/>
    <w:rsid w:val="008760E7"/>
    <w:rsid w:val="008808CC"/>
    <w:rsid w:val="00894B4A"/>
    <w:rsid w:val="008958BF"/>
    <w:rsid w:val="008D499B"/>
    <w:rsid w:val="008E7B21"/>
    <w:rsid w:val="008F04DB"/>
    <w:rsid w:val="00920EFA"/>
    <w:rsid w:val="009411E7"/>
    <w:rsid w:val="00943343"/>
    <w:rsid w:val="0094719A"/>
    <w:rsid w:val="00956005"/>
    <w:rsid w:val="00966416"/>
    <w:rsid w:val="00967B8F"/>
    <w:rsid w:val="00970DC9"/>
    <w:rsid w:val="00972CE4"/>
    <w:rsid w:val="00984499"/>
    <w:rsid w:val="009C23CA"/>
    <w:rsid w:val="009C6D39"/>
    <w:rsid w:val="00A15E6C"/>
    <w:rsid w:val="00A37512"/>
    <w:rsid w:val="00A449F6"/>
    <w:rsid w:val="00A51EA0"/>
    <w:rsid w:val="00A53036"/>
    <w:rsid w:val="00A56166"/>
    <w:rsid w:val="00A7246E"/>
    <w:rsid w:val="00A82EEB"/>
    <w:rsid w:val="00A95A2D"/>
    <w:rsid w:val="00A97AB0"/>
    <w:rsid w:val="00AA519C"/>
    <w:rsid w:val="00AB01F9"/>
    <w:rsid w:val="00AB6227"/>
    <w:rsid w:val="00AC53F6"/>
    <w:rsid w:val="00AE56D0"/>
    <w:rsid w:val="00B008B3"/>
    <w:rsid w:val="00B0175C"/>
    <w:rsid w:val="00B216AF"/>
    <w:rsid w:val="00B24BA2"/>
    <w:rsid w:val="00B37292"/>
    <w:rsid w:val="00B4464B"/>
    <w:rsid w:val="00B44A19"/>
    <w:rsid w:val="00B4628F"/>
    <w:rsid w:val="00B54028"/>
    <w:rsid w:val="00B8397B"/>
    <w:rsid w:val="00B83A0B"/>
    <w:rsid w:val="00B96897"/>
    <w:rsid w:val="00BB1AD1"/>
    <w:rsid w:val="00BB686E"/>
    <w:rsid w:val="00BC1280"/>
    <w:rsid w:val="00BF1D04"/>
    <w:rsid w:val="00C10565"/>
    <w:rsid w:val="00C27F2C"/>
    <w:rsid w:val="00C553AE"/>
    <w:rsid w:val="00C70132"/>
    <w:rsid w:val="00CA63B6"/>
    <w:rsid w:val="00CB1890"/>
    <w:rsid w:val="00CB3963"/>
    <w:rsid w:val="00CB4C09"/>
    <w:rsid w:val="00CC0122"/>
    <w:rsid w:val="00CD2C80"/>
    <w:rsid w:val="00CD6803"/>
    <w:rsid w:val="00D04F16"/>
    <w:rsid w:val="00D05FAE"/>
    <w:rsid w:val="00D32BF5"/>
    <w:rsid w:val="00D405B8"/>
    <w:rsid w:val="00D45384"/>
    <w:rsid w:val="00D72758"/>
    <w:rsid w:val="00D7471D"/>
    <w:rsid w:val="00DA4181"/>
    <w:rsid w:val="00DA6245"/>
    <w:rsid w:val="00DD2B79"/>
    <w:rsid w:val="00DE7940"/>
    <w:rsid w:val="00DF0D6C"/>
    <w:rsid w:val="00E0748A"/>
    <w:rsid w:val="00E14B81"/>
    <w:rsid w:val="00E1573A"/>
    <w:rsid w:val="00E25B24"/>
    <w:rsid w:val="00E56CB4"/>
    <w:rsid w:val="00E87F04"/>
    <w:rsid w:val="00EC1F31"/>
    <w:rsid w:val="00ED3AB8"/>
    <w:rsid w:val="00ED5B2B"/>
    <w:rsid w:val="00ED6890"/>
    <w:rsid w:val="00EE650D"/>
    <w:rsid w:val="00EF61D8"/>
    <w:rsid w:val="00EF7FE6"/>
    <w:rsid w:val="00F01812"/>
    <w:rsid w:val="00F02EDD"/>
    <w:rsid w:val="00F0739F"/>
    <w:rsid w:val="00F12B8D"/>
    <w:rsid w:val="00F32F1D"/>
    <w:rsid w:val="00F37933"/>
    <w:rsid w:val="00F428C2"/>
    <w:rsid w:val="00F87638"/>
    <w:rsid w:val="00F92222"/>
    <w:rsid w:val="00FC480A"/>
    <w:rsid w:val="00FC506C"/>
    <w:rsid w:val="00FD70A2"/>
    <w:rsid w:val="00FE3E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802E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2E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style>
  <w:style w:type="character" w:customStyle="1" w:styleId="l">
    <w:name w:val="l"/>
    <w:basedOn w:val="DefaultParagraphFont"/>
    <w:rPr>
      <w:b/>
      <w:bCs/>
      <w:color w:val="FF0000"/>
    </w:rPr>
  </w:style>
  <w:style w:type="character" w:customStyle="1" w:styleId="Heading1Char">
    <w:name w:val="Heading 1 Char"/>
    <w:basedOn w:val="DefaultParagraphFont"/>
    <w:link w:val="Heading1"/>
    <w:uiPriority w:val="9"/>
    <w:rsid w:val="00802E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2E2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51EA0"/>
    <w:rPr>
      <w:rFonts w:ascii="Tahoma" w:hAnsi="Tahoma" w:cs="Tahoma"/>
      <w:sz w:val="16"/>
      <w:szCs w:val="16"/>
    </w:rPr>
  </w:style>
  <w:style w:type="character" w:customStyle="1" w:styleId="BalloonTextChar">
    <w:name w:val="Balloon Text Char"/>
    <w:basedOn w:val="DefaultParagraphFont"/>
    <w:link w:val="BalloonText"/>
    <w:uiPriority w:val="99"/>
    <w:semiHidden/>
    <w:rsid w:val="00A51EA0"/>
    <w:rPr>
      <w:rFonts w:ascii="Tahoma" w:eastAsiaTheme="minorEastAsia" w:hAnsi="Tahoma" w:cs="Tahoma"/>
      <w:sz w:val="16"/>
      <w:szCs w:val="16"/>
    </w:rPr>
  </w:style>
  <w:style w:type="paragraph" w:styleId="Caption">
    <w:name w:val="caption"/>
    <w:basedOn w:val="Normal"/>
    <w:next w:val="Normal"/>
    <w:uiPriority w:val="35"/>
    <w:unhideWhenUsed/>
    <w:qFormat/>
    <w:rsid w:val="00175709"/>
    <w:pPr>
      <w:spacing w:after="200"/>
      <w:jc w:val="center"/>
    </w:pPr>
    <w:rPr>
      <w:b/>
      <w:bCs/>
      <w:color w:val="4F81BD" w:themeColor="accent1"/>
      <w:sz w:val="18"/>
      <w:szCs w:val="18"/>
    </w:rPr>
  </w:style>
  <w:style w:type="character" w:styleId="CommentReference">
    <w:name w:val="annotation reference"/>
    <w:basedOn w:val="DefaultParagraphFont"/>
    <w:uiPriority w:val="99"/>
    <w:semiHidden/>
    <w:unhideWhenUsed/>
    <w:rsid w:val="008760E7"/>
    <w:rPr>
      <w:sz w:val="16"/>
      <w:szCs w:val="16"/>
    </w:rPr>
  </w:style>
  <w:style w:type="paragraph" w:styleId="CommentText">
    <w:name w:val="annotation text"/>
    <w:basedOn w:val="Normal"/>
    <w:link w:val="CommentTextChar"/>
    <w:uiPriority w:val="99"/>
    <w:semiHidden/>
    <w:unhideWhenUsed/>
    <w:rsid w:val="008760E7"/>
    <w:rPr>
      <w:sz w:val="20"/>
      <w:szCs w:val="20"/>
    </w:rPr>
  </w:style>
  <w:style w:type="character" w:customStyle="1" w:styleId="CommentTextChar">
    <w:name w:val="Comment Text Char"/>
    <w:basedOn w:val="DefaultParagraphFont"/>
    <w:link w:val="CommentText"/>
    <w:uiPriority w:val="99"/>
    <w:semiHidden/>
    <w:rsid w:val="008760E7"/>
    <w:rPr>
      <w:rFonts w:eastAsiaTheme="minorEastAsia"/>
    </w:rPr>
  </w:style>
  <w:style w:type="paragraph" w:styleId="CommentSubject">
    <w:name w:val="annotation subject"/>
    <w:basedOn w:val="CommentText"/>
    <w:next w:val="CommentText"/>
    <w:link w:val="CommentSubjectChar"/>
    <w:uiPriority w:val="99"/>
    <w:semiHidden/>
    <w:unhideWhenUsed/>
    <w:rsid w:val="008760E7"/>
    <w:rPr>
      <w:b/>
      <w:bCs/>
    </w:rPr>
  </w:style>
  <w:style w:type="character" w:customStyle="1" w:styleId="CommentSubjectChar">
    <w:name w:val="Comment Subject Char"/>
    <w:basedOn w:val="CommentTextChar"/>
    <w:link w:val="CommentSubject"/>
    <w:uiPriority w:val="99"/>
    <w:semiHidden/>
    <w:rsid w:val="008760E7"/>
    <w:rPr>
      <w:rFonts w:eastAsiaTheme="minorEastAsia"/>
      <w:b/>
      <w:bCs/>
    </w:rPr>
  </w:style>
  <w:style w:type="paragraph" w:styleId="ListParagraph">
    <w:name w:val="List Paragraph"/>
    <w:basedOn w:val="Normal"/>
    <w:uiPriority w:val="34"/>
    <w:qFormat/>
    <w:rsid w:val="00DE7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802E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2E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style>
  <w:style w:type="character" w:customStyle="1" w:styleId="l">
    <w:name w:val="l"/>
    <w:basedOn w:val="DefaultParagraphFont"/>
    <w:rPr>
      <w:b/>
      <w:bCs/>
      <w:color w:val="FF0000"/>
    </w:rPr>
  </w:style>
  <w:style w:type="character" w:customStyle="1" w:styleId="Heading1Char">
    <w:name w:val="Heading 1 Char"/>
    <w:basedOn w:val="DefaultParagraphFont"/>
    <w:link w:val="Heading1"/>
    <w:uiPriority w:val="9"/>
    <w:rsid w:val="00802E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2E2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51EA0"/>
    <w:rPr>
      <w:rFonts w:ascii="Tahoma" w:hAnsi="Tahoma" w:cs="Tahoma"/>
      <w:sz w:val="16"/>
      <w:szCs w:val="16"/>
    </w:rPr>
  </w:style>
  <w:style w:type="character" w:customStyle="1" w:styleId="BalloonTextChar">
    <w:name w:val="Balloon Text Char"/>
    <w:basedOn w:val="DefaultParagraphFont"/>
    <w:link w:val="BalloonText"/>
    <w:uiPriority w:val="99"/>
    <w:semiHidden/>
    <w:rsid w:val="00A51EA0"/>
    <w:rPr>
      <w:rFonts w:ascii="Tahoma" w:eastAsiaTheme="minorEastAsia" w:hAnsi="Tahoma" w:cs="Tahoma"/>
      <w:sz w:val="16"/>
      <w:szCs w:val="16"/>
    </w:rPr>
  </w:style>
  <w:style w:type="paragraph" w:styleId="Caption">
    <w:name w:val="caption"/>
    <w:basedOn w:val="Normal"/>
    <w:next w:val="Normal"/>
    <w:uiPriority w:val="35"/>
    <w:unhideWhenUsed/>
    <w:qFormat/>
    <w:rsid w:val="00175709"/>
    <w:pPr>
      <w:spacing w:after="200"/>
      <w:jc w:val="center"/>
    </w:pPr>
    <w:rPr>
      <w:b/>
      <w:bCs/>
      <w:color w:val="4F81BD" w:themeColor="accent1"/>
      <w:sz w:val="18"/>
      <w:szCs w:val="18"/>
    </w:rPr>
  </w:style>
  <w:style w:type="character" w:styleId="CommentReference">
    <w:name w:val="annotation reference"/>
    <w:basedOn w:val="DefaultParagraphFont"/>
    <w:uiPriority w:val="99"/>
    <w:semiHidden/>
    <w:unhideWhenUsed/>
    <w:rsid w:val="008760E7"/>
    <w:rPr>
      <w:sz w:val="16"/>
      <w:szCs w:val="16"/>
    </w:rPr>
  </w:style>
  <w:style w:type="paragraph" w:styleId="CommentText">
    <w:name w:val="annotation text"/>
    <w:basedOn w:val="Normal"/>
    <w:link w:val="CommentTextChar"/>
    <w:uiPriority w:val="99"/>
    <w:semiHidden/>
    <w:unhideWhenUsed/>
    <w:rsid w:val="008760E7"/>
    <w:rPr>
      <w:sz w:val="20"/>
      <w:szCs w:val="20"/>
    </w:rPr>
  </w:style>
  <w:style w:type="character" w:customStyle="1" w:styleId="CommentTextChar">
    <w:name w:val="Comment Text Char"/>
    <w:basedOn w:val="DefaultParagraphFont"/>
    <w:link w:val="CommentText"/>
    <w:uiPriority w:val="99"/>
    <w:semiHidden/>
    <w:rsid w:val="008760E7"/>
    <w:rPr>
      <w:rFonts w:eastAsiaTheme="minorEastAsia"/>
    </w:rPr>
  </w:style>
  <w:style w:type="paragraph" w:styleId="CommentSubject">
    <w:name w:val="annotation subject"/>
    <w:basedOn w:val="CommentText"/>
    <w:next w:val="CommentText"/>
    <w:link w:val="CommentSubjectChar"/>
    <w:uiPriority w:val="99"/>
    <w:semiHidden/>
    <w:unhideWhenUsed/>
    <w:rsid w:val="008760E7"/>
    <w:rPr>
      <w:b/>
      <w:bCs/>
    </w:rPr>
  </w:style>
  <w:style w:type="character" w:customStyle="1" w:styleId="CommentSubjectChar">
    <w:name w:val="Comment Subject Char"/>
    <w:basedOn w:val="CommentTextChar"/>
    <w:link w:val="CommentSubject"/>
    <w:uiPriority w:val="99"/>
    <w:semiHidden/>
    <w:rsid w:val="008760E7"/>
    <w:rPr>
      <w:rFonts w:eastAsiaTheme="minorEastAsia"/>
      <w:b/>
      <w:bCs/>
    </w:rPr>
  </w:style>
  <w:style w:type="paragraph" w:styleId="ListParagraph">
    <w:name w:val="List Paragraph"/>
    <w:basedOn w:val="Normal"/>
    <w:uiPriority w:val="34"/>
    <w:qFormat/>
    <w:rsid w:val="00DE7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2265</TotalTime>
  <Pages>5</Pages>
  <Words>2149</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Papel da tecnologia BIM no contexto dos SI para a construção</vt:lpstr>
    </vt:vector>
  </TitlesOfParts>
  <Company>FEUP</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da tecnologia BIM no contexto dos SI para a construção</dc:title>
  <dc:creator>CICA</dc:creator>
  <cp:lastModifiedBy>CICA</cp:lastModifiedBy>
  <cp:revision>167</cp:revision>
  <dcterms:created xsi:type="dcterms:W3CDTF">2012-01-18T17:56:00Z</dcterms:created>
  <dcterms:modified xsi:type="dcterms:W3CDTF">2012-02-10T19:04:00Z</dcterms:modified>
</cp:coreProperties>
</file>