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A5B75" w14:textId="77777777" w:rsidR="00B86091" w:rsidRDefault="00B86091" w:rsidP="00B86091">
      <w:r>
        <w:rPr>
          <w:noProof/>
        </w:rPr>
        <w:drawing>
          <wp:anchor distT="0" distB="0" distL="114300" distR="114300" simplePos="0" relativeHeight="251658240" behindDoc="0" locked="0" layoutInCell="1" allowOverlap="1" wp14:anchorId="0923F6D1" wp14:editId="43C075FC">
            <wp:simplePos x="0" y="0"/>
            <wp:positionH relativeFrom="column">
              <wp:posOffset>-424</wp:posOffset>
            </wp:positionH>
            <wp:positionV relativeFrom="paragraph">
              <wp:posOffset>-81915</wp:posOffset>
            </wp:positionV>
            <wp:extent cx="2192867" cy="1002628"/>
            <wp:effectExtent l="0" t="0" r="4445" b="1270"/>
            <wp:wrapNone/>
            <wp:docPr id="7" name="Picture 7"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2867" cy="1002628"/>
                    </a:xfrm>
                    <a:prstGeom prst="rect">
                      <a:avLst/>
                    </a:prstGeom>
                  </pic:spPr>
                </pic:pic>
              </a:graphicData>
            </a:graphic>
            <wp14:sizeRelH relativeFrom="page">
              <wp14:pctWidth>0</wp14:pctWidth>
            </wp14:sizeRelH>
            <wp14:sizeRelV relativeFrom="page">
              <wp14:pctHeight>0</wp14:pctHeight>
            </wp14:sizeRelV>
          </wp:anchor>
        </w:drawing>
      </w:r>
    </w:p>
    <w:p w14:paraId="14B35FBD" w14:textId="77777777" w:rsidR="00B86091" w:rsidRDefault="00B86091" w:rsidP="00B86091"/>
    <w:p w14:paraId="406C8D08" w14:textId="77777777" w:rsidR="00B86091" w:rsidRDefault="00B86091" w:rsidP="00B86091"/>
    <w:p w14:paraId="1F6B4EAA" w14:textId="77777777" w:rsidR="00B86091" w:rsidRDefault="00B86091" w:rsidP="00B86091"/>
    <w:p w14:paraId="72B592AA" w14:textId="77777777" w:rsidR="00B86091" w:rsidRDefault="00B86091" w:rsidP="00B86091">
      <w:r>
        <w:softHyphen/>
      </w:r>
      <w:r>
        <w:softHyphen/>
      </w:r>
      <w:r>
        <w:softHyphen/>
      </w:r>
      <w:r>
        <w:softHyphen/>
      </w:r>
    </w:p>
    <w:p w14:paraId="3AC88BD4" w14:textId="77777777" w:rsidR="00B86091" w:rsidRDefault="00B86091" w:rsidP="00B86091"/>
    <w:p w14:paraId="3AA91876" w14:textId="77777777" w:rsidR="00B86091" w:rsidRDefault="00B86091" w:rsidP="00B86091"/>
    <w:p w14:paraId="041C358C" w14:textId="77777777" w:rsidR="00B86091" w:rsidRDefault="00B86091" w:rsidP="00B86091"/>
    <w:p w14:paraId="493EE4B2" w14:textId="77777777" w:rsidR="00B86091" w:rsidRDefault="00B86091" w:rsidP="00B86091"/>
    <w:p w14:paraId="0CD85A48" w14:textId="77777777" w:rsidR="00B86091" w:rsidRDefault="00B86091" w:rsidP="00B86091"/>
    <w:p w14:paraId="630C38EC" w14:textId="77777777" w:rsidR="00B86091" w:rsidRDefault="00B86091" w:rsidP="00B86091">
      <w:r>
        <w:rPr>
          <w:noProof/>
        </w:rPr>
        <mc:AlternateContent>
          <mc:Choice Requires="wps">
            <w:drawing>
              <wp:inline distT="0" distB="0" distL="0" distR="0" wp14:anchorId="497B1804" wp14:editId="125538A2">
                <wp:extent cx="374400" cy="50400"/>
                <wp:effectExtent l="0" t="0" r="6985" b="6985"/>
                <wp:docPr id="1" name="Retângulo 1"/>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735D331E" id="Retângulo 1"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" fillcolor="#ef3340" stroked="f" strokeweight="1pt">
                <w10:anchorlock/>
              </v:rect>
            </w:pict>
          </mc:Fallback>
        </mc:AlternateContent>
      </w:r>
    </w:p>
    <w:p w14:paraId="43A00018" w14:textId="515CBFFB" w:rsidR="00CD18FB" w:rsidRPr="003A12A7" w:rsidRDefault="00CD18FB" w:rsidP="00B86091">
      <w:pPr>
        <w:pStyle w:val="NomeAluno"/>
        <w:rPr>
          <w:b w:val="0"/>
          <w:bCs/>
          <w:kern w:val="1"/>
          <w:sz w:val="28"/>
          <w:szCs w:val="28"/>
          <w:lang w:val="en-US"/>
        </w:rPr>
      </w:pPr>
      <w:r w:rsidRPr="003A12A7">
        <w:rPr>
          <w:b w:val="0"/>
          <w:bCs/>
          <w:kern w:val="1"/>
          <w:sz w:val="28"/>
          <w:szCs w:val="28"/>
          <w:lang w:val="en-US"/>
        </w:rPr>
        <w:t>Private Credit as an Alternativ</w:t>
      </w:r>
      <w:r w:rsidR="003A12A7" w:rsidRPr="003A12A7">
        <w:rPr>
          <w:b w:val="0"/>
          <w:bCs/>
          <w:kern w:val="1"/>
          <w:sz w:val="28"/>
          <w:szCs w:val="28"/>
          <w:lang w:val="en-US"/>
        </w:rPr>
        <w:t xml:space="preserve">e: </w:t>
      </w:r>
      <w:proofErr w:type="gramStart"/>
      <w:r w:rsidR="003A12A7" w:rsidRPr="00EE1A83">
        <w:rPr>
          <w:b w:val="0"/>
          <w:bCs/>
          <w:kern w:val="1"/>
          <w:sz w:val="28"/>
          <w:szCs w:val="28"/>
        </w:rPr>
        <w:t>an</w:t>
      </w:r>
      <w:proofErr w:type="gramEnd"/>
      <w:r w:rsidR="003A12A7">
        <w:rPr>
          <w:b w:val="0"/>
          <w:bCs/>
          <w:kern w:val="1"/>
          <w:sz w:val="28"/>
          <w:szCs w:val="28"/>
          <w:lang w:val="en-US"/>
        </w:rPr>
        <w:t xml:space="preserve"> </w:t>
      </w:r>
      <w:r w:rsidR="00084F65">
        <w:rPr>
          <w:b w:val="0"/>
          <w:bCs/>
          <w:kern w:val="1"/>
          <w:sz w:val="28"/>
          <w:szCs w:val="28"/>
          <w:lang w:val="en-US"/>
        </w:rPr>
        <w:t>A</w:t>
      </w:r>
      <w:r w:rsidR="003A12A7">
        <w:rPr>
          <w:b w:val="0"/>
          <w:bCs/>
          <w:kern w:val="1"/>
          <w:sz w:val="28"/>
          <w:szCs w:val="28"/>
          <w:lang w:val="en-US"/>
        </w:rPr>
        <w:t xml:space="preserve">dvisory </w:t>
      </w:r>
      <w:r w:rsidR="00084F65">
        <w:rPr>
          <w:b w:val="0"/>
          <w:bCs/>
          <w:kern w:val="1"/>
          <w:sz w:val="28"/>
          <w:szCs w:val="28"/>
          <w:lang w:val="en-US"/>
        </w:rPr>
        <w:t>F</w:t>
      </w:r>
      <w:r w:rsidR="003A12A7">
        <w:rPr>
          <w:b w:val="0"/>
          <w:bCs/>
          <w:kern w:val="1"/>
          <w:sz w:val="28"/>
          <w:szCs w:val="28"/>
          <w:lang w:val="en-US"/>
        </w:rPr>
        <w:t>ramework</w:t>
      </w:r>
    </w:p>
    <w:p w14:paraId="3789D783" w14:textId="62A5E595" w:rsidR="00B86091" w:rsidRPr="003A12A7" w:rsidRDefault="00B86091" w:rsidP="00B86091">
      <w:pPr>
        <w:pStyle w:val="NomeAluno"/>
        <w:rPr>
          <w:lang w:val="pt-PT"/>
        </w:rPr>
      </w:pPr>
      <w:r w:rsidRPr="003A12A7">
        <w:rPr>
          <w:lang w:val="pt-PT"/>
        </w:rPr>
        <w:t>Duarte Silva Cunh</w:t>
      </w:r>
      <w:r w:rsidR="003A12A7" w:rsidRPr="003A12A7">
        <w:rPr>
          <w:lang w:val="pt-PT"/>
        </w:rPr>
        <w:t>a</w:t>
      </w:r>
    </w:p>
    <w:p w14:paraId="3E1D92E8" w14:textId="77777777" w:rsidR="00B86091" w:rsidRPr="003A12A7" w:rsidRDefault="00B86091" w:rsidP="00B86091">
      <w:pPr>
        <w:pStyle w:val="NomeAluno"/>
        <w:rPr>
          <w:lang w:val="pt-PT"/>
        </w:rPr>
      </w:pPr>
    </w:p>
    <w:p w14:paraId="0F99B1B7" w14:textId="77777777" w:rsidR="00B86091" w:rsidRPr="003A12A7" w:rsidRDefault="00B86091" w:rsidP="00B86091">
      <w:pPr>
        <w:pStyle w:val="NomeAluno"/>
        <w:rPr>
          <w:lang w:val="pt-PT"/>
        </w:rPr>
      </w:pPr>
    </w:p>
    <w:p w14:paraId="16436E62" w14:textId="77777777" w:rsidR="00B86091" w:rsidRPr="003A12A7" w:rsidRDefault="00B86091" w:rsidP="00B86091">
      <w:pPr>
        <w:pStyle w:val="NomeAluno"/>
        <w:rPr>
          <w:lang w:val="pt-PT"/>
        </w:rPr>
      </w:pPr>
    </w:p>
    <w:p w14:paraId="33EE6238" w14:textId="77777777" w:rsidR="00B86091" w:rsidRDefault="00B86091" w:rsidP="00B86091">
      <w:pPr>
        <w:pStyle w:val="NomeAluno"/>
      </w:pPr>
      <w:r>
        <w:rPr>
          <w:noProof/>
        </w:rPr>
        <mc:AlternateContent>
          <mc:Choice Requires="wps">
            <w:drawing>
              <wp:inline distT="0" distB="0" distL="0" distR="0" wp14:anchorId="6A6A56E5" wp14:editId="0C948A4D">
                <wp:extent cx="374400" cy="50400"/>
                <wp:effectExtent l="0" t="0" r="6985" b="6985"/>
                <wp:docPr id="6" name="Retângulo 6"/>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1620287D" id="Retângulo 6"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" fillcolor="#ef3340" stroked="f" strokeweight="1pt">
                <w10:anchorlock/>
              </v:rect>
            </w:pict>
          </mc:Fallback>
        </mc:AlternateContent>
      </w:r>
    </w:p>
    <w:p w14:paraId="5B3AD629" w14:textId="7BEC84FB" w:rsidR="00B86091" w:rsidRPr="002B21EF" w:rsidRDefault="008F44BD" w:rsidP="00B86091">
      <w:pPr>
        <w:pStyle w:val="Sub-Titulo1"/>
        <w:rPr>
          <w:lang w:val="en-US"/>
        </w:rPr>
      </w:pPr>
      <w:r>
        <w:rPr>
          <w:lang w:val="en-US"/>
        </w:rPr>
        <w:t>I</w:t>
      </w:r>
      <w:r w:rsidR="00B86091" w:rsidRPr="002B21EF">
        <w:rPr>
          <w:lang w:val="en-US"/>
        </w:rPr>
        <w:t xml:space="preserve">nternship </w:t>
      </w:r>
      <w:r>
        <w:rPr>
          <w:lang w:val="en-US"/>
        </w:rPr>
        <w:t>R</w:t>
      </w:r>
      <w:r w:rsidR="00B86091" w:rsidRPr="002B21EF">
        <w:rPr>
          <w:lang w:val="en-US"/>
        </w:rPr>
        <w:t xml:space="preserve">eport </w:t>
      </w:r>
      <w:r w:rsidR="00D51B4E">
        <w:rPr>
          <w:lang w:val="en-US"/>
        </w:rPr>
        <w:t>Plan</w:t>
      </w:r>
    </w:p>
    <w:p w14:paraId="7B36B83C" w14:textId="13F6A6E6" w:rsidR="00B86091" w:rsidRPr="002B21EF" w:rsidRDefault="00B86091" w:rsidP="00B86091">
      <w:pPr>
        <w:pStyle w:val="Sub-Titulo2"/>
        <w:rPr>
          <w:lang w:val="en-US"/>
        </w:rPr>
      </w:pPr>
      <w:proofErr w:type="gramStart"/>
      <w:r>
        <w:rPr>
          <w:lang w:val="en-US"/>
        </w:rPr>
        <w:t xml:space="preserve">Master in </w:t>
      </w:r>
      <w:r w:rsidR="008F44BD">
        <w:rPr>
          <w:lang w:val="en-US"/>
        </w:rPr>
        <w:t>Management</w:t>
      </w:r>
      <w:proofErr w:type="gramEnd"/>
    </w:p>
    <w:p w14:paraId="7D46D1BA" w14:textId="77777777" w:rsidR="00B86091" w:rsidRPr="002B21EF" w:rsidRDefault="00B86091" w:rsidP="00B86091">
      <w:pPr>
        <w:pStyle w:val="Sub-Titulo2"/>
        <w:rPr>
          <w:lang w:val="en-US"/>
        </w:rPr>
      </w:pPr>
    </w:p>
    <w:p w14:paraId="20E8B732" w14:textId="77777777" w:rsidR="00B86091" w:rsidRPr="002B21EF" w:rsidRDefault="00B86091" w:rsidP="00B86091">
      <w:pPr>
        <w:pStyle w:val="Sub-Titulo2"/>
        <w:rPr>
          <w:lang w:val="en-US"/>
        </w:rPr>
      </w:pPr>
    </w:p>
    <w:p w14:paraId="1AC8BEED" w14:textId="77777777" w:rsidR="00B86091" w:rsidRPr="002B21EF" w:rsidRDefault="00B86091" w:rsidP="00B86091">
      <w:pPr>
        <w:pStyle w:val="Sub-Titulo2"/>
        <w:rPr>
          <w:lang w:val="en-US"/>
        </w:rPr>
      </w:pPr>
    </w:p>
    <w:p w14:paraId="225141B2" w14:textId="77777777" w:rsidR="00B86091" w:rsidRPr="002B21EF" w:rsidRDefault="00B86091" w:rsidP="00B86091">
      <w:pPr>
        <w:pStyle w:val="Sub-Titulo2"/>
        <w:rPr>
          <w:lang w:val="en-US"/>
        </w:rPr>
      </w:pPr>
    </w:p>
    <w:p w14:paraId="22521AF7" w14:textId="77777777" w:rsidR="00B86091" w:rsidRPr="002B21EF" w:rsidRDefault="00B86091" w:rsidP="00B86091">
      <w:pPr>
        <w:pStyle w:val="Sub-Titulo2"/>
        <w:rPr>
          <w:lang w:val="en-US"/>
        </w:rPr>
      </w:pPr>
    </w:p>
    <w:p w14:paraId="42E12C47" w14:textId="77777777" w:rsidR="00B86091" w:rsidRPr="002B21EF" w:rsidRDefault="00B86091" w:rsidP="00B86091">
      <w:pPr>
        <w:pStyle w:val="Sub-Titulo2"/>
        <w:rPr>
          <w:lang w:val="en-US"/>
        </w:rPr>
      </w:pPr>
    </w:p>
    <w:p w14:paraId="536C829F" w14:textId="77777777" w:rsidR="00B86091" w:rsidRPr="002B21EF" w:rsidRDefault="00B86091" w:rsidP="00B86091">
      <w:pPr>
        <w:pStyle w:val="Sub-Titulo2"/>
        <w:rPr>
          <w:lang w:val="en-US"/>
        </w:rPr>
      </w:pPr>
    </w:p>
    <w:p w14:paraId="04DBFE02" w14:textId="77777777" w:rsidR="00B86091" w:rsidRPr="002B21EF" w:rsidRDefault="00B86091" w:rsidP="00B86091">
      <w:pPr>
        <w:pStyle w:val="Sub-Titulo2"/>
        <w:rPr>
          <w:lang w:val="en-US"/>
        </w:rPr>
      </w:pPr>
    </w:p>
    <w:p w14:paraId="06AC49F4" w14:textId="77777777" w:rsidR="00B86091" w:rsidRDefault="00B86091" w:rsidP="00B86091">
      <w:pPr>
        <w:pStyle w:val="NomeAluno"/>
      </w:pPr>
      <w:r>
        <w:rPr>
          <w:noProof/>
        </w:rPr>
        <mc:AlternateContent>
          <mc:Choice Requires="wps">
            <w:drawing>
              <wp:inline distT="0" distB="0" distL="0" distR="0" wp14:anchorId="398A7028" wp14:editId="0EFD939D">
                <wp:extent cx="374400" cy="50400"/>
                <wp:effectExtent l="0" t="0" r="6985" b="6985"/>
                <wp:docPr id="8" name="Retângulo 8"/>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11E474DB" id="Retângulo 8"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" fillcolor="#ef3340" stroked="f" strokeweight="1pt">
                <w10:anchorlock/>
              </v:rect>
            </w:pict>
          </mc:Fallback>
        </mc:AlternateContent>
      </w:r>
    </w:p>
    <w:p w14:paraId="1A9DC419" w14:textId="77777777" w:rsidR="00B86091" w:rsidRPr="00D076F0" w:rsidRDefault="00B86091" w:rsidP="00B86091">
      <w:pPr>
        <w:pStyle w:val="Sub-Titulo1"/>
        <w:rPr>
          <w:lang w:val="pt-PT"/>
        </w:rPr>
      </w:pPr>
      <w:proofErr w:type="spellStart"/>
      <w:r w:rsidRPr="00D076F0">
        <w:rPr>
          <w:lang w:val="pt-PT"/>
        </w:rPr>
        <w:t>Supervised</w:t>
      </w:r>
      <w:proofErr w:type="spellEnd"/>
      <w:r w:rsidRPr="00D076F0">
        <w:rPr>
          <w:lang w:val="pt-PT"/>
        </w:rPr>
        <w:t xml:space="preserve"> </w:t>
      </w:r>
      <w:proofErr w:type="spellStart"/>
      <w:r w:rsidRPr="00D076F0">
        <w:rPr>
          <w:lang w:val="pt-PT"/>
        </w:rPr>
        <w:t>by</w:t>
      </w:r>
      <w:proofErr w:type="spellEnd"/>
      <w:r w:rsidRPr="00D076F0">
        <w:rPr>
          <w:lang w:val="pt-PT"/>
        </w:rPr>
        <w:t xml:space="preserve"> </w:t>
      </w:r>
    </w:p>
    <w:p w14:paraId="0E4575A1" w14:textId="77777777" w:rsidR="00D076F0" w:rsidRPr="001209FB" w:rsidRDefault="00D076F0" w:rsidP="00D076F0">
      <w:pPr>
        <w:pStyle w:val="Sub-Titulo1"/>
        <w:rPr>
          <w:lang w:val="pt-PT"/>
        </w:rPr>
      </w:pPr>
      <w:r w:rsidRPr="001209FB">
        <w:rPr>
          <w:b/>
          <w:bCs/>
          <w:lang w:val="pt-PT"/>
        </w:rPr>
        <w:t>Professor Cl</w:t>
      </w:r>
      <w:r>
        <w:rPr>
          <w:b/>
          <w:bCs/>
          <w:lang w:val="pt-PT"/>
        </w:rPr>
        <w:t>áu</w:t>
      </w:r>
      <w:r w:rsidRPr="001209FB">
        <w:rPr>
          <w:b/>
          <w:bCs/>
          <w:lang w:val="pt-PT"/>
        </w:rPr>
        <w:t>dia Alexandra Gon</w:t>
      </w:r>
      <w:r>
        <w:rPr>
          <w:b/>
          <w:bCs/>
          <w:lang w:val="pt-PT"/>
        </w:rPr>
        <w:t>ça</w:t>
      </w:r>
      <w:r w:rsidRPr="001209FB">
        <w:rPr>
          <w:b/>
          <w:bCs/>
          <w:lang w:val="pt-PT"/>
        </w:rPr>
        <w:t xml:space="preserve">lves Correia Ribeiro </w:t>
      </w:r>
    </w:p>
    <w:p w14:paraId="1DB83479" w14:textId="77777777" w:rsidR="00B86091" w:rsidRPr="00D076F0" w:rsidRDefault="00B86091" w:rsidP="00B86091">
      <w:pPr>
        <w:pStyle w:val="Sub-Titulo2"/>
        <w:spacing w:before="0" w:line="288" w:lineRule="auto"/>
        <w:rPr>
          <w:b/>
          <w:lang w:val="pt-PT"/>
        </w:rPr>
      </w:pPr>
    </w:p>
    <w:p w14:paraId="3EC1B96F" w14:textId="77777777" w:rsidR="00B86091" w:rsidRPr="00D076F0" w:rsidRDefault="00B86091" w:rsidP="00B86091">
      <w:pPr>
        <w:pStyle w:val="Sub-Titulo2"/>
        <w:spacing w:before="0" w:line="288" w:lineRule="auto"/>
        <w:rPr>
          <w:b/>
          <w:lang w:val="pt-PT"/>
        </w:rPr>
      </w:pPr>
    </w:p>
    <w:p w14:paraId="28F3A8FF" w14:textId="77777777" w:rsidR="00B86091" w:rsidRPr="00D076F0" w:rsidRDefault="00B86091" w:rsidP="00B86091">
      <w:pPr>
        <w:pStyle w:val="Sub-Titulo2"/>
        <w:spacing w:before="0" w:line="288" w:lineRule="auto"/>
        <w:rPr>
          <w:b/>
          <w:lang w:val="pt-PT"/>
        </w:rPr>
      </w:pPr>
    </w:p>
    <w:p w14:paraId="26A71807" w14:textId="77777777" w:rsidR="00B86091" w:rsidRPr="00D076F0" w:rsidRDefault="00B86091" w:rsidP="00B86091">
      <w:pPr>
        <w:pStyle w:val="Sub-Titulo2"/>
        <w:spacing w:before="0" w:line="288" w:lineRule="auto"/>
        <w:rPr>
          <w:b/>
          <w:lang w:val="pt-PT"/>
        </w:rPr>
      </w:pPr>
    </w:p>
    <w:p w14:paraId="735192C4" w14:textId="77777777" w:rsidR="00B86091" w:rsidRPr="00D076F0" w:rsidRDefault="00B86091" w:rsidP="00B86091">
      <w:pPr>
        <w:pStyle w:val="Sub-Titulo2"/>
        <w:spacing w:before="0" w:line="288" w:lineRule="auto"/>
        <w:rPr>
          <w:b/>
          <w:lang w:val="pt-PT"/>
        </w:rPr>
      </w:pPr>
    </w:p>
    <w:p w14:paraId="24E55680" w14:textId="77777777" w:rsidR="00C43231" w:rsidRDefault="00B86091" w:rsidP="00C43231">
      <w:pPr>
        <w:pStyle w:val="NomeAluno"/>
        <w:rPr>
          <w:lang w:val="en-US"/>
        </w:rPr>
      </w:pPr>
      <w:r>
        <w:rPr>
          <w:noProof/>
        </w:rPr>
        <mc:AlternateContent>
          <mc:Choice Requires="wps">
            <w:drawing>
              <wp:inline distT="0" distB="0" distL="0" distR="0" wp14:anchorId="3114A2C9" wp14:editId="7FB5CE0F">
                <wp:extent cx="374400" cy="50400"/>
                <wp:effectExtent l="0" t="0" r="6985" b="6985"/>
                <wp:docPr id="9" name="Retângulo 9"/>
                <wp:cNvGraphicFramePr/>
                <a:graphic xmlns:a="http://schemas.openxmlformats.org/drawingml/2006/main">
                  <a:graphicData uri="http://schemas.microsoft.com/office/word/2010/wordprocessingShape">
                    <wps:wsp>
                      <wps:cNvSpPr/>
                      <wps:spPr>
                        <a:xfrm>
                          <a:off x="0" y="0"/>
                          <a:ext cx="374400" cy="50400"/>
                        </a:xfrm>
                        <a:prstGeom prst="rect">
                          <a:avLst/>
                        </a:prstGeom>
                        <a:solidFill>
                          <a:srgbClr val="EF33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1B270537" id="Retângulo 9" o:spid="_x0000_s1026" style="width:29.5pt;height: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" fillcolor="#ef3340" stroked="f" strokeweight="1pt">
                <w10:anchorlock/>
              </v:rect>
            </w:pict>
          </mc:Fallback>
        </mc:AlternateContent>
      </w:r>
    </w:p>
    <w:p w14:paraId="7E1633F4" w14:textId="327A9CFD" w:rsidR="00B86091" w:rsidRPr="008617DD" w:rsidRDefault="00E21080" w:rsidP="00C43231">
      <w:pPr>
        <w:pStyle w:val="NomeAluno"/>
        <w:rPr>
          <w:b w:val="0"/>
          <w:bCs/>
        </w:rPr>
      </w:pPr>
      <w:r w:rsidRPr="008617DD">
        <w:rPr>
          <w:b w:val="0"/>
          <w:bCs/>
          <w:lang w:val="en-US"/>
        </w:rPr>
        <w:t>2026</w:t>
      </w:r>
    </w:p>
    <w:p w14:paraId="0D5282DA" w14:textId="469C8940" w:rsidR="00BE47E9" w:rsidRPr="00CC1384" w:rsidRDefault="00BE47E9" w:rsidP="00BE47E9">
      <w:pPr>
        <w:pStyle w:val="NomeAluno"/>
        <w:rPr>
          <w:lang w:val="en-US"/>
        </w:rPr>
        <w:sectPr w:rsidR="00BE47E9" w:rsidRPr="00CC1384" w:rsidSect="00CD4532">
          <w:footerReference w:type="even" r:id="rId9"/>
          <w:footerReference w:type="default" r:id="rId10"/>
          <w:footerReference w:type="first" r:id="rId11"/>
          <w:pgSz w:w="11906" w:h="16838"/>
          <w:pgMar w:top="1701" w:right="1418" w:bottom="1701" w:left="1985" w:header="720" w:footer="720" w:gutter="0"/>
          <w:pgNumType w:fmt="lowerRoman" w:start="1"/>
          <w:cols w:space="720"/>
          <w:titlePg/>
          <w:docGrid w:linePitch="326"/>
        </w:sectPr>
      </w:pPr>
    </w:p>
    <w:p w14:paraId="1FB96661" w14:textId="77777777" w:rsidR="00F32EFF" w:rsidRPr="00F32EFF" w:rsidRDefault="00F32EFF" w:rsidP="00F32EFF">
      <w:pPr>
        <w:rPr>
          <w:rFonts w:ascii="Garamond" w:eastAsiaTheme="majorEastAsia" w:hAnsi="Garamond"/>
          <w:b/>
          <w:bCs/>
          <w:sz w:val="32"/>
          <w:szCs w:val="32"/>
          <w:lang w:val="en-US" w:eastAsia="en-GB"/>
        </w:rPr>
      </w:pPr>
      <w:r w:rsidRPr="00F32EFF">
        <w:rPr>
          <w:rFonts w:ascii="Garamond" w:eastAsiaTheme="majorEastAsia" w:hAnsi="Garamond"/>
          <w:b/>
          <w:bCs/>
          <w:sz w:val="32"/>
          <w:szCs w:val="32"/>
          <w:lang w:val="en-US" w:eastAsia="en-GB"/>
        </w:rPr>
        <w:lastRenderedPageBreak/>
        <w:t xml:space="preserve">Acknowledgements </w:t>
      </w:r>
    </w:p>
    <w:p w14:paraId="051415FC" w14:textId="77777777" w:rsidR="00B1297E" w:rsidRPr="00CC1384" w:rsidRDefault="00B1297E" w:rsidP="00306184">
      <w:pPr>
        <w:rPr>
          <w:rFonts w:eastAsia="Garamond"/>
          <w:lang w:val="en-US"/>
        </w:rPr>
      </w:pPr>
    </w:p>
    <w:p w14:paraId="4B8E4F52" w14:textId="1DE020A1" w:rsidR="000F296A" w:rsidRDefault="000F296A" w:rsidP="000F296A">
      <w:pPr>
        <w:spacing w:line="360" w:lineRule="auto"/>
        <w:ind w:firstLine="360"/>
        <w:jc w:val="both"/>
        <w:rPr>
          <w:rFonts w:ascii="Garamond" w:hAnsi="Garamond"/>
          <w:lang w:val="en-US"/>
        </w:rPr>
      </w:pPr>
      <w:proofErr w:type="gramStart"/>
      <w:r w:rsidRPr="000F296A">
        <w:rPr>
          <w:rFonts w:ascii="Garamond" w:hAnsi="Garamond"/>
          <w:lang w:val="en-US"/>
        </w:rPr>
        <w:t>First of all</w:t>
      </w:r>
      <w:proofErr w:type="gramEnd"/>
      <w:r w:rsidRPr="000F296A">
        <w:rPr>
          <w:rFonts w:ascii="Garamond" w:hAnsi="Garamond"/>
          <w:lang w:val="en-US"/>
        </w:rPr>
        <w:t>, I would like to thank my parents and my girlfriend for all the support they have given me throughout this journey</w:t>
      </w:r>
      <w:r w:rsidR="00900E48">
        <w:rPr>
          <w:rFonts w:ascii="Garamond" w:hAnsi="Garamond"/>
          <w:lang w:val="en-US"/>
        </w:rPr>
        <w:t>.</w:t>
      </w:r>
      <w:r w:rsidRPr="000F296A">
        <w:rPr>
          <w:rFonts w:ascii="Garamond" w:hAnsi="Garamond"/>
          <w:lang w:val="en-US"/>
        </w:rPr>
        <w:t xml:space="preserve"> </w:t>
      </w:r>
      <w:r w:rsidR="00900E48">
        <w:rPr>
          <w:rFonts w:ascii="Garamond" w:hAnsi="Garamond"/>
          <w:lang w:val="en-US"/>
        </w:rPr>
        <w:t>W</w:t>
      </w:r>
      <w:r w:rsidRPr="000F296A">
        <w:rPr>
          <w:rFonts w:ascii="Garamond" w:hAnsi="Garamond"/>
          <w:lang w:val="en-US"/>
        </w:rPr>
        <w:t>ithout your support, this task would certainly have been much harder and more exhausting. In the face of all the unforeseen events that occurred whilst preparing this report, I did not lose heart and faced every obstacle with a view to my future success, always with them there to encourage me and ensure that I did not give up.</w:t>
      </w:r>
    </w:p>
    <w:p w14:paraId="1109AAD1" w14:textId="77777777" w:rsidR="000F296A" w:rsidRDefault="000F296A" w:rsidP="000F296A">
      <w:pPr>
        <w:spacing w:line="360" w:lineRule="auto"/>
        <w:ind w:firstLine="360"/>
        <w:jc w:val="both"/>
        <w:rPr>
          <w:rFonts w:ascii="Garamond" w:hAnsi="Garamond"/>
          <w:lang w:val="en-US"/>
        </w:rPr>
      </w:pPr>
      <w:r w:rsidRPr="000F296A">
        <w:rPr>
          <w:rFonts w:ascii="Garamond" w:hAnsi="Garamond"/>
          <w:lang w:val="en-US"/>
        </w:rPr>
        <w:t xml:space="preserve">Special thanks to my supervisor, Pedro Xavier, who gave me my first opportunity in finance. He taught me a lot, was always available, shared essential tools for content assimilation, and conveyed the values of a boutique environment representing Triple A - Capital &amp; Finance. </w:t>
      </w:r>
    </w:p>
    <w:p w14:paraId="1869FCBB" w14:textId="3AEAC4EE" w:rsidR="000F296A" w:rsidRDefault="000F296A" w:rsidP="000F296A">
      <w:pPr>
        <w:spacing w:line="360" w:lineRule="auto"/>
        <w:ind w:firstLine="360"/>
        <w:jc w:val="both"/>
        <w:rPr>
          <w:rFonts w:ascii="Garamond" w:hAnsi="Garamond"/>
          <w:lang w:val="en-US"/>
        </w:rPr>
      </w:pPr>
      <w:r w:rsidRPr="000F296A">
        <w:rPr>
          <w:rFonts w:ascii="Garamond" w:hAnsi="Garamond"/>
          <w:lang w:val="en-US"/>
        </w:rPr>
        <w:t xml:space="preserve">I want to thank my supervisor, Professor </w:t>
      </w:r>
      <w:proofErr w:type="spellStart"/>
      <w:r w:rsidRPr="000F296A">
        <w:rPr>
          <w:rFonts w:ascii="Garamond" w:hAnsi="Garamond"/>
          <w:lang w:val="en-US"/>
        </w:rPr>
        <w:t>Cláudia</w:t>
      </w:r>
      <w:proofErr w:type="spellEnd"/>
      <w:r w:rsidRPr="000F296A">
        <w:rPr>
          <w:rFonts w:ascii="Garamond" w:hAnsi="Garamond"/>
          <w:lang w:val="en-US"/>
        </w:rPr>
        <w:t xml:space="preserve"> Ribeiro, for the attention, availability, suggestions, and all the contributions given during this process, essential for this report to be carried out. </w:t>
      </w:r>
    </w:p>
    <w:p w14:paraId="353EF073" w14:textId="77777777" w:rsidR="00306184" w:rsidRDefault="000F296A" w:rsidP="000F296A">
      <w:pPr>
        <w:spacing w:line="360" w:lineRule="auto"/>
        <w:ind w:firstLine="360"/>
        <w:jc w:val="both"/>
        <w:rPr>
          <w:rFonts w:ascii="Garamond" w:hAnsi="Garamond"/>
          <w:lang w:val="en-US"/>
        </w:rPr>
      </w:pPr>
      <w:r w:rsidRPr="000F296A">
        <w:rPr>
          <w:rFonts w:ascii="Garamond" w:hAnsi="Garamond"/>
          <w:lang w:val="en-US"/>
        </w:rPr>
        <w:t xml:space="preserve">Finally, I would like to thank all my friends and colleagues who, directly or indirectly, have contributed to this chapter of my life, whether through a word of encouragement, a conversation that </w:t>
      </w:r>
      <w:proofErr w:type="gramStart"/>
      <w:r w:rsidRPr="000F296A">
        <w:rPr>
          <w:rFonts w:ascii="Garamond" w:hAnsi="Garamond"/>
          <w:lang w:val="en-US"/>
        </w:rPr>
        <w:t>opened up</w:t>
      </w:r>
      <w:proofErr w:type="gramEnd"/>
      <w:r w:rsidRPr="000F296A">
        <w:rPr>
          <w:rFonts w:ascii="Garamond" w:hAnsi="Garamond"/>
          <w:lang w:val="en-US"/>
        </w:rPr>
        <w:t xml:space="preserve"> new perspectives, or simply by being there during the most challenging times.</w:t>
      </w:r>
    </w:p>
    <w:p w14:paraId="01E5A194" w14:textId="5788C6C9" w:rsidR="00F32EFF" w:rsidRPr="000F296A" w:rsidRDefault="000F296A" w:rsidP="000F296A">
      <w:pPr>
        <w:spacing w:line="360" w:lineRule="auto"/>
        <w:ind w:firstLine="360"/>
        <w:jc w:val="both"/>
        <w:rPr>
          <w:rFonts w:ascii="Garamond" w:hAnsi="Garamond"/>
          <w:lang w:val="en-US"/>
        </w:rPr>
      </w:pPr>
      <w:r w:rsidRPr="00B44389">
        <w:rPr>
          <w:rFonts w:ascii="Garamond" w:hAnsi="Garamond"/>
          <w:lang w:val="en-US"/>
        </w:rPr>
        <w:br/>
      </w:r>
    </w:p>
    <w:p w14:paraId="46D1F366"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08FA5025"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2ED9E7D7" w14:textId="77777777" w:rsidR="00F32EFF" w:rsidRPr="00306184" w:rsidRDefault="00F32EFF" w:rsidP="00F32EFF">
      <w:pPr>
        <w:rPr>
          <w:rFonts w:ascii="Garamond" w:eastAsiaTheme="majorEastAsia" w:hAnsi="Garamond" w:cstheme="majorBidi"/>
          <w:b/>
          <w:bCs/>
          <w:color w:val="000000" w:themeColor="text1"/>
          <w:lang w:val="en-US"/>
        </w:rPr>
      </w:pPr>
    </w:p>
    <w:p w14:paraId="28A71067"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5876D2ED"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051C3CEB"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34F41518"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538362BE"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4985BB7A"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0DD0AB54"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32CBCD3C"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7C2A4592"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52BEB575" w14:textId="77777777" w:rsidR="00F32EFF" w:rsidRPr="00662DA9" w:rsidRDefault="00F32EFF" w:rsidP="00F32EFF">
      <w:pPr>
        <w:rPr>
          <w:rFonts w:asciiTheme="majorHAnsi" w:eastAsiaTheme="majorEastAsia" w:hAnsiTheme="majorHAnsi" w:cstheme="majorBidi"/>
          <w:b/>
          <w:bCs/>
          <w:color w:val="000000" w:themeColor="text1"/>
          <w:sz w:val="28"/>
          <w:szCs w:val="28"/>
          <w:lang w:val="en-US"/>
        </w:rPr>
      </w:pPr>
    </w:p>
    <w:p w14:paraId="473D6AEF" w14:textId="77777777" w:rsidR="00F32EFF" w:rsidRDefault="00F32EFF" w:rsidP="00F32EFF">
      <w:pPr>
        <w:rPr>
          <w:rFonts w:asciiTheme="majorHAnsi" w:eastAsiaTheme="majorEastAsia" w:hAnsiTheme="majorHAnsi" w:cstheme="majorBidi"/>
          <w:b/>
          <w:bCs/>
          <w:color w:val="000000" w:themeColor="text1"/>
          <w:sz w:val="28"/>
          <w:szCs w:val="28"/>
          <w:lang w:val="en-US"/>
        </w:rPr>
      </w:pPr>
    </w:p>
    <w:p w14:paraId="6632235A" w14:textId="77777777" w:rsidR="00306184" w:rsidRPr="00662DA9" w:rsidRDefault="00306184" w:rsidP="00F32EFF">
      <w:pPr>
        <w:rPr>
          <w:rFonts w:asciiTheme="majorHAnsi" w:eastAsiaTheme="majorEastAsia" w:hAnsiTheme="majorHAnsi" w:cstheme="majorBidi"/>
          <w:b/>
          <w:bCs/>
          <w:color w:val="000000" w:themeColor="text1"/>
          <w:sz w:val="28"/>
          <w:szCs w:val="28"/>
          <w:lang w:val="en-US"/>
        </w:rPr>
      </w:pPr>
    </w:p>
    <w:p w14:paraId="6A0D39FD" w14:textId="77777777" w:rsidR="000F296A" w:rsidRDefault="000F296A" w:rsidP="00F32EFF">
      <w:pPr>
        <w:rPr>
          <w:rFonts w:asciiTheme="majorHAnsi" w:eastAsiaTheme="majorEastAsia" w:hAnsiTheme="majorHAnsi" w:cstheme="majorBidi"/>
          <w:b/>
          <w:bCs/>
          <w:color w:val="000000" w:themeColor="text1"/>
          <w:sz w:val="28"/>
          <w:szCs w:val="28"/>
          <w:lang w:val="en-US"/>
        </w:rPr>
      </w:pPr>
    </w:p>
    <w:p w14:paraId="0A9AA3A4" w14:textId="6FAD651F" w:rsidR="00F32EFF" w:rsidRPr="005845CF" w:rsidRDefault="00F32EFF" w:rsidP="00F32EFF">
      <w:pPr>
        <w:rPr>
          <w:rFonts w:asciiTheme="majorHAnsi" w:eastAsiaTheme="majorEastAsia" w:hAnsiTheme="majorHAnsi" w:cstheme="majorBidi"/>
          <w:b/>
          <w:bCs/>
          <w:color w:val="000000" w:themeColor="text1"/>
          <w:sz w:val="28"/>
          <w:szCs w:val="28"/>
          <w:lang w:val="en-US"/>
        </w:rPr>
      </w:pPr>
      <w:r>
        <w:rPr>
          <w:rFonts w:asciiTheme="majorHAnsi" w:eastAsiaTheme="majorEastAsia" w:hAnsiTheme="majorHAnsi" w:cstheme="majorBidi"/>
          <w:b/>
          <w:bCs/>
          <w:color w:val="000000" w:themeColor="text1"/>
          <w:sz w:val="28"/>
          <w:szCs w:val="28"/>
          <w:lang w:val="en-US"/>
        </w:rPr>
        <w:lastRenderedPageBreak/>
        <w:t>Abstract</w:t>
      </w:r>
    </w:p>
    <w:p w14:paraId="6A72DAA3" w14:textId="77777777" w:rsidR="00C43231" w:rsidRDefault="00C43231" w:rsidP="00C43231">
      <w:pPr>
        <w:tabs>
          <w:tab w:val="left" w:pos="2304"/>
        </w:tabs>
        <w:spacing w:line="360" w:lineRule="auto"/>
        <w:jc w:val="both"/>
        <w:rPr>
          <w:sz w:val="28"/>
          <w:szCs w:val="28"/>
          <w:lang w:val="en-US"/>
        </w:rPr>
      </w:pPr>
    </w:p>
    <w:p w14:paraId="7DBA123C" w14:textId="18F30917" w:rsidR="00324C0A" w:rsidRPr="00324C0A" w:rsidRDefault="00324C0A" w:rsidP="00324C0A">
      <w:pPr>
        <w:spacing w:line="360" w:lineRule="auto"/>
        <w:ind w:firstLine="360"/>
        <w:jc w:val="both"/>
        <w:rPr>
          <w:rFonts w:ascii="Garamond" w:hAnsi="Garamond"/>
          <w:lang w:val="en-US"/>
        </w:rPr>
      </w:pPr>
      <w:r w:rsidRPr="00324C0A">
        <w:rPr>
          <w:rFonts w:ascii="Garamond" w:hAnsi="Garamond"/>
          <w:lang w:val="en-US"/>
        </w:rPr>
        <w:t xml:space="preserve">The report is based on an internship at Triple A - Capital &amp; Finance, a financial boutique that </w:t>
      </w:r>
      <w:r w:rsidR="00FD3EF7">
        <w:rPr>
          <w:rFonts w:ascii="Garamond" w:hAnsi="Garamond"/>
          <w:lang w:val="en-US"/>
        </w:rPr>
        <w:t>serve</w:t>
      </w:r>
      <w:r w:rsidRPr="00324C0A">
        <w:rPr>
          <w:rFonts w:ascii="Garamond" w:hAnsi="Garamond"/>
          <w:lang w:val="en-US"/>
        </w:rPr>
        <w:t>s as a financial advisor</w:t>
      </w:r>
      <w:r w:rsidR="00FD3EF7">
        <w:rPr>
          <w:rFonts w:ascii="Garamond" w:hAnsi="Garamond"/>
          <w:lang w:val="en-US"/>
        </w:rPr>
        <w:t>,</w:t>
      </w:r>
      <w:r w:rsidRPr="00324C0A">
        <w:rPr>
          <w:rFonts w:ascii="Garamond" w:hAnsi="Garamond"/>
          <w:lang w:val="en-US"/>
        </w:rPr>
        <w:t xml:space="preserve"> leveraging new business opportunities </w:t>
      </w:r>
      <w:r w:rsidR="00FD3EF7">
        <w:rPr>
          <w:rFonts w:ascii="Garamond" w:hAnsi="Garamond"/>
          <w:lang w:val="en-US"/>
        </w:rPr>
        <w:t>for</w:t>
      </w:r>
      <w:r w:rsidRPr="00324C0A">
        <w:rPr>
          <w:rFonts w:ascii="Garamond" w:hAnsi="Garamond"/>
          <w:lang w:val="en-US"/>
        </w:rPr>
        <w:t xml:space="preserve"> small and medium-sized companies. The internship provided</w:t>
      </w:r>
      <w:r w:rsidR="00CE256B">
        <w:rPr>
          <w:rFonts w:ascii="Garamond" w:hAnsi="Garamond"/>
          <w:lang w:val="en-US"/>
        </w:rPr>
        <w:t xml:space="preserve"> experi</w:t>
      </w:r>
      <w:r w:rsidR="00F47894">
        <w:rPr>
          <w:rFonts w:ascii="Garamond" w:hAnsi="Garamond"/>
          <w:lang w:val="en-US"/>
        </w:rPr>
        <w:t>ential</w:t>
      </w:r>
      <w:r w:rsidRPr="00324C0A">
        <w:rPr>
          <w:rFonts w:ascii="Garamond" w:hAnsi="Garamond"/>
          <w:lang w:val="en-US"/>
        </w:rPr>
        <w:t xml:space="preserve"> learning </w:t>
      </w:r>
      <w:r w:rsidR="00FD3EF7">
        <w:rPr>
          <w:rFonts w:ascii="Garamond" w:hAnsi="Garamond"/>
          <w:lang w:val="en-US"/>
        </w:rPr>
        <w:t>in</w:t>
      </w:r>
      <w:r w:rsidRPr="00324C0A">
        <w:rPr>
          <w:rFonts w:ascii="Garamond" w:hAnsi="Garamond"/>
          <w:lang w:val="en-US"/>
        </w:rPr>
        <w:t xml:space="preserve"> corporate finance</w:t>
      </w:r>
      <w:r w:rsidR="00FD3EF7">
        <w:rPr>
          <w:rFonts w:ascii="Garamond" w:hAnsi="Garamond"/>
          <w:lang w:val="en-US"/>
        </w:rPr>
        <w:t>, including economic</w:t>
      </w:r>
      <w:r w:rsidRPr="00324C0A">
        <w:rPr>
          <w:rFonts w:ascii="Garamond" w:hAnsi="Garamond"/>
          <w:lang w:val="en-US"/>
        </w:rPr>
        <w:t xml:space="preserve"> </w:t>
      </w:r>
      <w:r w:rsidR="00FD3EF7">
        <w:rPr>
          <w:rFonts w:ascii="Garamond" w:hAnsi="Garamond"/>
          <w:lang w:val="en-US"/>
        </w:rPr>
        <w:t>and</w:t>
      </w:r>
      <w:r w:rsidRPr="00324C0A">
        <w:rPr>
          <w:rFonts w:ascii="Garamond" w:hAnsi="Garamond"/>
          <w:lang w:val="en-US"/>
        </w:rPr>
        <w:t xml:space="preserve"> financial studies and business valuation. The intern was able to g</w:t>
      </w:r>
      <w:r w:rsidR="00385410">
        <w:rPr>
          <w:rFonts w:ascii="Garamond" w:hAnsi="Garamond"/>
          <w:lang w:val="en-US"/>
        </w:rPr>
        <w:t>ain</w:t>
      </w:r>
      <w:r w:rsidRPr="00324C0A">
        <w:rPr>
          <w:rFonts w:ascii="Garamond" w:hAnsi="Garamond"/>
          <w:lang w:val="en-US"/>
        </w:rPr>
        <w:t xml:space="preserve"> the essential knowledge and tools for a more detailed level of analysis</w:t>
      </w:r>
      <w:r w:rsidR="00385410">
        <w:rPr>
          <w:rFonts w:ascii="Garamond" w:hAnsi="Garamond"/>
          <w:lang w:val="en-US"/>
        </w:rPr>
        <w:t>,</w:t>
      </w:r>
      <w:r w:rsidRPr="00324C0A">
        <w:rPr>
          <w:rFonts w:ascii="Garamond" w:hAnsi="Garamond"/>
          <w:lang w:val="en-US"/>
        </w:rPr>
        <w:t xml:space="preserve"> which was determinant </w:t>
      </w:r>
      <w:r w:rsidR="00385410">
        <w:rPr>
          <w:rFonts w:ascii="Garamond" w:hAnsi="Garamond"/>
          <w:lang w:val="en-US"/>
        </w:rPr>
        <w:t>in</w:t>
      </w:r>
      <w:r w:rsidRPr="00324C0A">
        <w:rPr>
          <w:rFonts w:ascii="Garamond" w:hAnsi="Garamond"/>
          <w:lang w:val="en-US"/>
        </w:rPr>
        <w:t xml:space="preserve"> develop</w:t>
      </w:r>
      <w:r w:rsidR="00385410">
        <w:rPr>
          <w:rFonts w:ascii="Garamond" w:hAnsi="Garamond"/>
          <w:lang w:val="en-US"/>
        </w:rPr>
        <w:t>ing</w:t>
      </w:r>
      <w:r w:rsidRPr="00324C0A">
        <w:rPr>
          <w:rFonts w:ascii="Garamond" w:hAnsi="Garamond"/>
          <w:lang w:val="en-US"/>
        </w:rPr>
        <w:t xml:space="preserve"> this report. </w:t>
      </w:r>
    </w:p>
    <w:p w14:paraId="6A462F35" w14:textId="77777777" w:rsidR="000A2111" w:rsidRPr="000A2111" w:rsidRDefault="000D13A7" w:rsidP="000A2111">
      <w:pPr>
        <w:spacing w:line="360" w:lineRule="auto"/>
        <w:ind w:firstLine="360"/>
        <w:jc w:val="both"/>
        <w:rPr>
          <w:rFonts w:ascii="Garamond" w:hAnsi="Garamond"/>
          <w:lang w:val="en-US"/>
        </w:rPr>
      </w:pPr>
      <w:r w:rsidRPr="00FD3EF7">
        <w:rPr>
          <w:rFonts w:ascii="Garamond" w:hAnsi="Garamond"/>
          <w:lang w:val="en-US"/>
        </w:rPr>
        <w:t xml:space="preserve">The subject matter of the current report is Private Credit, which is an alternative financial option and is fast becoming popular in the international market, though still an uncharted territory in Portugal. </w:t>
      </w:r>
      <w:r w:rsidRPr="00C375CF">
        <w:rPr>
          <w:rFonts w:ascii="Garamond" w:hAnsi="Garamond"/>
          <w:lang w:val="en-US"/>
        </w:rPr>
        <w:t xml:space="preserve">The choice of this topic was motivated by its growing importance in international markets and by the lack of studies on this subject in Portugal. </w:t>
      </w:r>
      <w:r w:rsidRPr="00C375CF">
        <w:rPr>
          <w:rFonts w:ascii="Garamond" w:hAnsi="Garamond"/>
          <w:lang w:val="en-US"/>
        </w:rPr>
        <w:br/>
      </w:r>
      <w:r w:rsidRPr="00C43231">
        <w:rPr>
          <w:rFonts w:ascii="Garamond" w:hAnsi="Garamond"/>
          <w:lang w:val="en-US"/>
        </w:rPr>
        <w:t>During the initial phase of the internship, the main emphasis was placed on developing a solid theoretical understanding of private credit and its differences from traditional bank financing.</w:t>
      </w:r>
      <w:r w:rsidR="000A2111">
        <w:rPr>
          <w:rFonts w:ascii="Garamond" w:hAnsi="Garamond"/>
          <w:lang w:val="en-US"/>
        </w:rPr>
        <w:t xml:space="preserve"> </w:t>
      </w:r>
      <w:r w:rsidR="000A2111" w:rsidRPr="000A2111">
        <w:rPr>
          <w:rFonts w:ascii="Garamond" w:hAnsi="Garamond"/>
          <w:lang w:val="en-US"/>
        </w:rPr>
        <w:t>Accordingly, the report comprises a literature review describing the main characteristics and instruments of private credit, which forms the basis for the subsequent analysis. In response to the theoretical and empirical framework, an advisory framework is proposed to support the inclusion of private credit amongst the services provided by the company to its clients. The framework was developed by combining insights from the literature review with the practical component of the work placement.</w:t>
      </w:r>
    </w:p>
    <w:p w14:paraId="7C2A677D" w14:textId="390D21A6" w:rsidR="000E16BB" w:rsidRDefault="000A2111" w:rsidP="000A2111">
      <w:pPr>
        <w:spacing w:line="360" w:lineRule="auto"/>
        <w:ind w:firstLine="360"/>
        <w:jc w:val="both"/>
        <w:rPr>
          <w:rFonts w:ascii="Garamond" w:hAnsi="Garamond"/>
          <w:lang w:val="en-US"/>
        </w:rPr>
      </w:pPr>
      <w:r w:rsidRPr="000A2111">
        <w:rPr>
          <w:rFonts w:ascii="Garamond" w:hAnsi="Garamond"/>
          <w:lang w:val="en-US"/>
        </w:rPr>
        <w:t>For Triple A – Capital &amp; Finance, the output represents a replicable advisory tool that can be applied immediately, enabling the company to integrate private credit into its service offering, differentiate itself in a competitive boutique market, and provide clients with more informed advice across the full spectrum of available financing alternatives.</w:t>
      </w:r>
    </w:p>
    <w:p w14:paraId="2ADA0191" w14:textId="77777777" w:rsidR="000E16BB" w:rsidRDefault="000E16BB" w:rsidP="000A2111">
      <w:pPr>
        <w:spacing w:line="360" w:lineRule="auto"/>
        <w:ind w:firstLine="360"/>
        <w:jc w:val="both"/>
        <w:rPr>
          <w:rFonts w:ascii="Garamond" w:hAnsi="Garamond"/>
          <w:lang w:val="en-US"/>
        </w:rPr>
      </w:pPr>
    </w:p>
    <w:p w14:paraId="6AE45C6C" w14:textId="77777777" w:rsidR="000E16BB" w:rsidRDefault="000E16BB" w:rsidP="000A2111">
      <w:pPr>
        <w:spacing w:line="360" w:lineRule="auto"/>
        <w:ind w:firstLine="360"/>
        <w:jc w:val="both"/>
        <w:rPr>
          <w:rFonts w:ascii="Garamond" w:hAnsi="Garamond"/>
          <w:lang w:val="en-US"/>
        </w:rPr>
      </w:pPr>
    </w:p>
    <w:p w14:paraId="710CBEE6" w14:textId="77777777" w:rsidR="000E16BB" w:rsidRDefault="000E16BB" w:rsidP="000A2111">
      <w:pPr>
        <w:spacing w:line="360" w:lineRule="auto"/>
        <w:ind w:firstLine="360"/>
        <w:jc w:val="both"/>
        <w:rPr>
          <w:rFonts w:ascii="Garamond" w:hAnsi="Garamond"/>
          <w:lang w:val="en-US"/>
        </w:rPr>
      </w:pPr>
    </w:p>
    <w:p w14:paraId="6FB590BD" w14:textId="77777777" w:rsidR="000E16BB" w:rsidRDefault="000E16BB" w:rsidP="000A2111">
      <w:pPr>
        <w:spacing w:line="360" w:lineRule="auto"/>
        <w:ind w:firstLine="360"/>
        <w:jc w:val="both"/>
        <w:rPr>
          <w:rFonts w:ascii="Garamond" w:hAnsi="Garamond"/>
          <w:lang w:val="en-US"/>
        </w:rPr>
      </w:pPr>
    </w:p>
    <w:p w14:paraId="03998185" w14:textId="77777777" w:rsidR="00136CA9" w:rsidRDefault="00136CA9" w:rsidP="000A2111">
      <w:pPr>
        <w:spacing w:line="360" w:lineRule="auto"/>
        <w:ind w:firstLine="360"/>
        <w:jc w:val="both"/>
        <w:rPr>
          <w:rFonts w:ascii="Garamond" w:hAnsi="Garamond"/>
          <w:lang w:val="en-US"/>
        </w:rPr>
      </w:pPr>
    </w:p>
    <w:p w14:paraId="32985B79" w14:textId="77777777" w:rsidR="00136CA9" w:rsidRDefault="00136CA9" w:rsidP="000A2111">
      <w:pPr>
        <w:spacing w:line="360" w:lineRule="auto"/>
        <w:ind w:firstLine="360"/>
        <w:jc w:val="both"/>
        <w:rPr>
          <w:rFonts w:ascii="Garamond" w:hAnsi="Garamond"/>
          <w:lang w:val="en-US"/>
        </w:rPr>
      </w:pPr>
    </w:p>
    <w:p w14:paraId="6602482D" w14:textId="77777777" w:rsidR="0073678C" w:rsidRDefault="0073678C" w:rsidP="000A2111">
      <w:pPr>
        <w:spacing w:line="360" w:lineRule="auto"/>
        <w:ind w:firstLine="360"/>
        <w:jc w:val="both"/>
        <w:rPr>
          <w:rFonts w:ascii="Garamond" w:hAnsi="Garamond"/>
          <w:lang w:val="en-US"/>
        </w:rPr>
      </w:pPr>
    </w:p>
    <w:p w14:paraId="6BD28596" w14:textId="77777777" w:rsidR="0073678C" w:rsidRDefault="0073678C" w:rsidP="00136CA9">
      <w:pPr>
        <w:jc w:val="both"/>
        <w:rPr>
          <w:rFonts w:ascii="Garamond" w:hAnsi="Garamond"/>
          <w:b/>
          <w:bCs/>
          <w:lang w:val="en-US"/>
        </w:rPr>
      </w:pPr>
    </w:p>
    <w:p w14:paraId="42F672FF" w14:textId="061B993E" w:rsidR="00C3013F" w:rsidRPr="00136CA9" w:rsidRDefault="0067293C" w:rsidP="00136CA9">
      <w:pPr>
        <w:jc w:val="both"/>
        <w:rPr>
          <w:rFonts w:ascii="Garamond" w:hAnsi="Garamond"/>
          <w:lang w:val="en-US"/>
        </w:rPr>
      </w:pPr>
      <w:r w:rsidRPr="00136CA9">
        <w:rPr>
          <w:rFonts w:ascii="Garamond" w:hAnsi="Garamond"/>
          <w:b/>
          <w:bCs/>
          <w:lang w:val="en-US"/>
        </w:rPr>
        <w:t xml:space="preserve">Keywords: </w:t>
      </w:r>
      <w:r w:rsidR="00E829CE" w:rsidRPr="00136CA9">
        <w:rPr>
          <w:rFonts w:ascii="Garamond" w:hAnsi="Garamond"/>
          <w:lang w:val="en-US"/>
        </w:rPr>
        <w:t xml:space="preserve">Private Credit, </w:t>
      </w:r>
      <w:r w:rsidR="00EF7975" w:rsidRPr="00136CA9">
        <w:rPr>
          <w:rFonts w:ascii="Garamond" w:hAnsi="Garamond"/>
          <w:lang w:val="en-US"/>
        </w:rPr>
        <w:t xml:space="preserve">Alternative Financing Solutions, </w:t>
      </w:r>
      <w:r w:rsidR="005B1549" w:rsidRPr="00136CA9">
        <w:rPr>
          <w:rFonts w:ascii="Garamond" w:hAnsi="Garamond"/>
          <w:lang w:val="en-US"/>
        </w:rPr>
        <w:t xml:space="preserve">Advisory Framework, </w:t>
      </w:r>
      <w:r w:rsidR="00CE5090" w:rsidRPr="00136CA9">
        <w:rPr>
          <w:rFonts w:ascii="Garamond" w:hAnsi="Garamond"/>
          <w:lang w:val="en-US"/>
        </w:rPr>
        <w:t>Corporate Finance</w:t>
      </w:r>
    </w:p>
    <w:p w14:paraId="2D50BEE4" w14:textId="77777777" w:rsidR="00427D03" w:rsidRDefault="00427D03" w:rsidP="0067293C">
      <w:pPr>
        <w:spacing w:line="360" w:lineRule="auto"/>
        <w:ind w:firstLine="360"/>
        <w:jc w:val="both"/>
        <w:rPr>
          <w:rFonts w:ascii="Garamond" w:hAnsi="Garamond"/>
          <w:lang w:val="en-US"/>
        </w:rPr>
      </w:pPr>
    </w:p>
    <w:p w14:paraId="129614AC" w14:textId="5BF43732" w:rsidR="00975F46" w:rsidRPr="00682998" w:rsidRDefault="00662DA9" w:rsidP="00975F46">
      <w:pPr>
        <w:tabs>
          <w:tab w:val="left" w:pos="2304"/>
        </w:tabs>
        <w:rPr>
          <w:rFonts w:ascii="Garamond" w:eastAsia="Garamond" w:hAnsi="Garamond" w:cs="Garamond"/>
          <w:b/>
          <w:bCs/>
          <w:sz w:val="28"/>
          <w:szCs w:val="28"/>
          <w:lang w:val="pt-PT"/>
        </w:rPr>
      </w:pPr>
      <w:r w:rsidRPr="00682998">
        <w:rPr>
          <w:rFonts w:ascii="Garamond" w:eastAsia="Garamond" w:hAnsi="Garamond" w:cs="Garamond"/>
          <w:b/>
          <w:bCs/>
          <w:sz w:val="28"/>
          <w:szCs w:val="28"/>
          <w:lang w:val="pt-PT"/>
        </w:rPr>
        <w:t>Resumo</w:t>
      </w:r>
    </w:p>
    <w:p w14:paraId="394BEC7D" w14:textId="7B044DFB" w:rsidR="00E63DC1" w:rsidRPr="00682998" w:rsidRDefault="00E63DC1" w:rsidP="00E63DC1">
      <w:pPr>
        <w:tabs>
          <w:tab w:val="left" w:pos="2304"/>
        </w:tabs>
        <w:spacing w:line="360" w:lineRule="auto"/>
        <w:jc w:val="both"/>
        <w:rPr>
          <w:rFonts w:ascii="Garamond" w:eastAsia="Garamond" w:hAnsi="Garamond" w:cs="Garamond"/>
          <w:lang w:val="pt-PT"/>
        </w:rPr>
      </w:pPr>
    </w:p>
    <w:p w14:paraId="35D94F5D" w14:textId="2A2E9D92" w:rsidR="00E63DC1" w:rsidRPr="00682998" w:rsidRDefault="00E63DC1" w:rsidP="00C43231">
      <w:pPr>
        <w:spacing w:line="360" w:lineRule="auto"/>
        <w:ind w:firstLine="360"/>
        <w:jc w:val="both"/>
        <w:rPr>
          <w:rFonts w:ascii="Garamond" w:hAnsi="Garamond"/>
          <w:lang w:val="pt-PT"/>
        </w:rPr>
      </w:pPr>
      <w:r w:rsidRPr="00682998">
        <w:rPr>
          <w:rFonts w:ascii="Garamond" w:hAnsi="Garamond"/>
          <w:lang w:val="pt-PT"/>
        </w:rPr>
        <w:t>O presente relatório resultou do estágio curricular realizado na Triple A – Capital &amp; Finance, uma boutique financeira especializada que oferece soluções de finanças empresariais para PME. O principal objetivo do estágio foi adquirir conhecimentos sobre as funções associadas às finanças empresariais, incluindo análise financeira, fusões e aquisições e avaliação de outras opções financeiras.</w:t>
      </w:r>
    </w:p>
    <w:p w14:paraId="6CC66758" w14:textId="595FB6FD" w:rsidR="00E63DC1" w:rsidRPr="00682998" w:rsidRDefault="00E63DC1" w:rsidP="00C43231">
      <w:pPr>
        <w:spacing w:line="360" w:lineRule="auto"/>
        <w:ind w:firstLine="360"/>
        <w:jc w:val="both"/>
        <w:rPr>
          <w:rFonts w:ascii="Garamond" w:hAnsi="Garamond"/>
          <w:lang w:val="pt-PT"/>
        </w:rPr>
      </w:pPr>
      <w:r w:rsidRPr="00682998">
        <w:rPr>
          <w:rFonts w:ascii="Garamond" w:hAnsi="Garamond"/>
          <w:lang w:val="pt-PT"/>
        </w:rPr>
        <w:t xml:space="preserve">O tema do presente relatório é o Crédito Privado, que constitui uma opção financeira alternativa e está a tornar-se rapidamente popular no mercado internacional, embora ainda seja um território inexplorado em Portugal. A escolha deste tema foi motivada pela sua crescente importância nos mercados internacionais e pela escassez de estudos sobre este assunto em Portugal. </w:t>
      </w:r>
    </w:p>
    <w:p w14:paraId="53627524" w14:textId="77777777" w:rsidR="00573B8D" w:rsidRPr="00682998" w:rsidRDefault="00573B8D" w:rsidP="00573B8D">
      <w:pPr>
        <w:spacing w:line="360" w:lineRule="auto"/>
        <w:ind w:firstLine="360"/>
        <w:jc w:val="both"/>
        <w:rPr>
          <w:rFonts w:ascii="Garamond" w:hAnsi="Garamond"/>
          <w:lang w:val="pt-PT"/>
        </w:rPr>
      </w:pPr>
      <w:r w:rsidRPr="00682998">
        <w:rPr>
          <w:rFonts w:ascii="Garamond" w:hAnsi="Garamond"/>
          <w:lang w:val="pt-PT"/>
        </w:rPr>
        <w:t>Durante a fase inicial do estágio, a ênfase principal foi colocada no desenvolvimento de uma sólida compreensão teórica do crédito privado e das suas diferenças em relação ao financiamento bancário tradicional. Assim, o relatório inclui uma revisão da literatura que descreve as principais características e instrumentos do crédito privado, constituindo a base para a análise subsequente. Com base no quadro teórico e empírico, é proposto um quadro de consultoria para apoiar a inclusão do crédito privado entre os serviços prestados pela empresa aos seus clientes. Este quadro foi desenvolvido através da combinação de insights retirados da revisão da literatura com a componente prática do estágio.</w:t>
      </w:r>
    </w:p>
    <w:p w14:paraId="3C0F3C7A" w14:textId="01358D17" w:rsidR="00573B8D" w:rsidRDefault="00573B8D" w:rsidP="0066352F">
      <w:pPr>
        <w:spacing w:line="360" w:lineRule="auto"/>
        <w:ind w:firstLine="360"/>
        <w:jc w:val="both"/>
        <w:rPr>
          <w:rFonts w:ascii="Garamond" w:hAnsi="Garamond"/>
          <w:lang w:val="pt-PT"/>
        </w:rPr>
      </w:pPr>
      <w:r w:rsidRPr="00682998">
        <w:rPr>
          <w:rFonts w:ascii="Garamond" w:hAnsi="Garamond"/>
          <w:lang w:val="pt-PT"/>
        </w:rPr>
        <w:t>Para a Triple A – Capital &amp; Finance, o resultado representa uma ferramenta de consultoria replicável que pode ser aplicada de imediato, permitindo à empresa integrar o crédito privado na sua oferta de serviços, diferenciar-se num mercado de boutique competitivo e proporcionar aos clientes aconselhamento mais informado em todo o leque de alternativas de financiamento disponíveis.</w:t>
      </w:r>
    </w:p>
    <w:p w14:paraId="0381F081" w14:textId="77777777" w:rsidR="0066352F" w:rsidRDefault="0066352F" w:rsidP="0066352F">
      <w:pPr>
        <w:spacing w:line="360" w:lineRule="auto"/>
        <w:jc w:val="both"/>
        <w:rPr>
          <w:rFonts w:ascii="Garamond" w:hAnsi="Garamond"/>
          <w:lang w:val="pt-PT"/>
        </w:rPr>
      </w:pPr>
    </w:p>
    <w:p w14:paraId="07053D3B" w14:textId="77777777" w:rsidR="0066352F" w:rsidRPr="00682998" w:rsidRDefault="0066352F" w:rsidP="0066352F">
      <w:pPr>
        <w:spacing w:line="360" w:lineRule="auto"/>
        <w:jc w:val="both"/>
        <w:rPr>
          <w:rFonts w:ascii="Garamond" w:hAnsi="Garamond"/>
          <w:lang w:val="pt-PT"/>
        </w:rPr>
      </w:pPr>
    </w:p>
    <w:p w14:paraId="22A3D7AA" w14:textId="77777777" w:rsidR="00975F46" w:rsidRPr="00682998" w:rsidRDefault="00975F46" w:rsidP="00975F46">
      <w:pPr>
        <w:tabs>
          <w:tab w:val="left" w:pos="2304"/>
        </w:tabs>
        <w:rPr>
          <w:rFonts w:ascii="Garamond" w:eastAsia="Garamond" w:hAnsi="Garamond" w:cs="Garamond"/>
          <w:b/>
          <w:bCs/>
          <w:sz w:val="28"/>
          <w:szCs w:val="28"/>
          <w:lang w:val="pt-PT"/>
        </w:rPr>
      </w:pPr>
    </w:p>
    <w:p w14:paraId="02954BAF" w14:textId="77777777" w:rsidR="00975F46" w:rsidRPr="00682998" w:rsidRDefault="00975F46" w:rsidP="00975F46">
      <w:pPr>
        <w:tabs>
          <w:tab w:val="left" w:pos="2304"/>
        </w:tabs>
        <w:rPr>
          <w:rFonts w:ascii="Garamond" w:eastAsia="Garamond" w:hAnsi="Garamond" w:cs="Garamond"/>
          <w:b/>
          <w:bCs/>
          <w:sz w:val="28"/>
          <w:szCs w:val="28"/>
          <w:lang w:val="pt-PT"/>
        </w:rPr>
      </w:pPr>
    </w:p>
    <w:p w14:paraId="26B514F9" w14:textId="77777777" w:rsidR="00C3013F" w:rsidRPr="00682998" w:rsidRDefault="00C3013F" w:rsidP="00975F46">
      <w:pPr>
        <w:tabs>
          <w:tab w:val="left" w:pos="2304"/>
        </w:tabs>
        <w:rPr>
          <w:rFonts w:ascii="Garamond" w:eastAsia="Garamond" w:hAnsi="Garamond" w:cs="Garamond"/>
          <w:b/>
          <w:bCs/>
          <w:sz w:val="28"/>
          <w:szCs w:val="28"/>
          <w:lang w:val="pt-PT"/>
        </w:rPr>
      </w:pPr>
    </w:p>
    <w:p w14:paraId="57B6010B" w14:textId="77777777" w:rsidR="00975F46" w:rsidRPr="00682998" w:rsidRDefault="00975F46" w:rsidP="00BE47E9">
      <w:pPr>
        <w:tabs>
          <w:tab w:val="left" w:pos="2304"/>
        </w:tabs>
        <w:rPr>
          <w:rFonts w:ascii="Garamond" w:eastAsia="Garamond" w:hAnsi="Garamond" w:cs="Garamond"/>
          <w:b/>
          <w:bCs/>
          <w:sz w:val="28"/>
          <w:szCs w:val="28"/>
          <w:lang w:val="pt-PT"/>
        </w:rPr>
      </w:pPr>
    </w:p>
    <w:p w14:paraId="366D76F9" w14:textId="77777777" w:rsidR="00427D03" w:rsidRPr="00682998" w:rsidRDefault="00427D03" w:rsidP="00427D03">
      <w:pPr>
        <w:tabs>
          <w:tab w:val="left" w:pos="2304"/>
        </w:tabs>
        <w:rPr>
          <w:rFonts w:ascii="Garamond" w:eastAsia="Garamond" w:hAnsi="Garamond" w:cs="Garamond"/>
          <w:b/>
          <w:bCs/>
          <w:lang w:val="pt-PT"/>
        </w:rPr>
      </w:pPr>
    </w:p>
    <w:p w14:paraId="67ABC864" w14:textId="4D85CCD2" w:rsidR="00CD4532" w:rsidRPr="00682998" w:rsidRDefault="00691592" w:rsidP="00136CA9">
      <w:pPr>
        <w:tabs>
          <w:tab w:val="left" w:pos="2304"/>
        </w:tabs>
        <w:jc w:val="both"/>
        <w:rPr>
          <w:rFonts w:ascii="Garamond" w:eastAsia="Garamond" w:hAnsi="Garamond" w:cs="Garamond"/>
          <w:lang w:val="pt-PT"/>
        </w:rPr>
      </w:pPr>
      <w:r w:rsidRPr="00682998">
        <w:rPr>
          <w:rFonts w:ascii="Garamond" w:eastAsia="Garamond" w:hAnsi="Garamond" w:cs="Garamond"/>
          <w:b/>
          <w:bCs/>
          <w:lang w:val="pt-PT"/>
        </w:rPr>
        <w:t>Palavras</w:t>
      </w:r>
      <w:r w:rsidR="004708FD" w:rsidRPr="00682998">
        <w:rPr>
          <w:rFonts w:ascii="Garamond" w:eastAsia="Garamond" w:hAnsi="Garamond" w:cs="Garamond"/>
          <w:b/>
          <w:bCs/>
          <w:lang w:val="pt-PT"/>
        </w:rPr>
        <w:t>-c</w:t>
      </w:r>
      <w:r w:rsidRPr="00682998">
        <w:rPr>
          <w:rFonts w:ascii="Garamond" w:eastAsia="Garamond" w:hAnsi="Garamond" w:cs="Garamond"/>
          <w:b/>
          <w:bCs/>
          <w:lang w:val="pt-PT"/>
        </w:rPr>
        <w:t>have</w:t>
      </w:r>
      <w:r w:rsidR="004708FD" w:rsidRPr="00682998">
        <w:rPr>
          <w:rFonts w:ascii="Garamond" w:eastAsia="Garamond" w:hAnsi="Garamond" w:cs="Garamond"/>
          <w:b/>
          <w:bCs/>
          <w:lang w:val="pt-PT"/>
        </w:rPr>
        <w:t xml:space="preserve">: </w:t>
      </w:r>
      <w:r w:rsidR="00427D03" w:rsidRPr="00682998">
        <w:rPr>
          <w:rFonts w:ascii="Garamond" w:eastAsia="Garamond" w:hAnsi="Garamond" w:cs="Garamond"/>
          <w:lang w:val="pt-PT"/>
        </w:rPr>
        <w:t>Crédito Privado, Soluções Alternativas de Financiamento, Estrutura de Consultoria, Finanças Empresariais</w:t>
      </w:r>
    </w:p>
    <w:sdt>
      <w:sdtPr>
        <w:rPr>
          <w:rFonts w:asciiTheme="minorHAnsi" w:eastAsiaTheme="minorHAnsi" w:hAnsiTheme="minorHAnsi" w:cstheme="minorBidi"/>
          <w:b w:val="0"/>
          <w:bCs w:val="0"/>
          <w:color w:val="auto"/>
          <w:kern w:val="2"/>
          <w:sz w:val="24"/>
          <w:szCs w:val="24"/>
          <w:lang w:val="pt-PT" w:eastAsia="en-US"/>
          <w14:ligatures w14:val="standardContextual"/>
        </w:rPr>
        <w:id w:val="-369991113"/>
        <w:docPartObj>
          <w:docPartGallery w:val="Table of Contents"/>
          <w:docPartUnique/>
        </w:docPartObj>
      </w:sdtPr>
      <w:sdtEndPr>
        <w:rPr>
          <w:rFonts w:ascii="Garamond" w:eastAsia="Times New Roman" w:hAnsi="Garamond" w:cs="Times New Roman"/>
          <w:noProof/>
          <w:kern w:val="0"/>
          <w:lang w:val="en-GB" w:eastAsia="pt-PT"/>
          <w14:ligatures w14:val="none"/>
        </w:rPr>
      </w:sdtEndPr>
      <w:sdtContent>
        <w:p w14:paraId="67929D73" w14:textId="6FDD87AD" w:rsidR="00CD4532" w:rsidRPr="00DC6E9C" w:rsidRDefault="003034A8">
          <w:pPr>
            <w:pStyle w:val="Cabealhodondice"/>
            <w:rPr>
              <w:rFonts w:ascii="Garamond" w:hAnsi="Garamond"/>
              <w:color w:val="000000" w:themeColor="text1"/>
            </w:rPr>
          </w:pPr>
          <w:r w:rsidRPr="00DC6E9C">
            <w:rPr>
              <w:rFonts w:ascii="Garamond" w:hAnsi="Garamond"/>
              <w:color w:val="000000" w:themeColor="text1"/>
            </w:rPr>
            <w:t>Table of Contents</w:t>
          </w:r>
        </w:p>
        <w:p w14:paraId="26582763" w14:textId="5430A82B" w:rsidR="0038484B" w:rsidRPr="0038484B" w:rsidRDefault="00B46575">
          <w:pPr>
            <w:pStyle w:val="ndice1"/>
            <w:tabs>
              <w:tab w:val="right" w:leader="dot" w:pos="8493"/>
            </w:tabs>
            <w:rPr>
              <w:rFonts w:eastAsiaTheme="minorEastAsia"/>
              <w:b w:val="0"/>
              <w:bCs w:val="0"/>
              <w:i w:val="0"/>
              <w:iCs w:val="0"/>
              <w:noProof/>
              <w:lang w:val="pt-PT" w:eastAsia="pt-PT"/>
            </w:rPr>
          </w:pPr>
          <w:r w:rsidRPr="0038484B">
            <w:rPr>
              <w:b w:val="0"/>
              <w:bCs w:val="0"/>
              <w:i w:val="0"/>
              <w:iCs w:val="0"/>
              <w:color w:val="000000" w:themeColor="text1"/>
            </w:rPr>
            <w:fldChar w:fldCharType="begin"/>
          </w:r>
          <w:r w:rsidRPr="0038484B">
            <w:rPr>
              <w:b w:val="0"/>
              <w:bCs w:val="0"/>
              <w:i w:val="0"/>
              <w:iCs w:val="0"/>
              <w:color w:val="000000" w:themeColor="text1"/>
            </w:rPr>
            <w:instrText xml:space="preserve"> TOC \o "1-3" \h \z \u </w:instrText>
          </w:r>
          <w:r w:rsidRPr="0038484B">
            <w:rPr>
              <w:b w:val="0"/>
              <w:bCs w:val="0"/>
              <w:i w:val="0"/>
              <w:iCs w:val="0"/>
              <w:color w:val="000000" w:themeColor="text1"/>
            </w:rPr>
            <w:fldChar w:fldCharType="separate"/>
          </w:r>
          <w:hyperlink w:anchor="_Toc233142883" w:history="1">
            <w:r w:rsidR="0038484B" w:rsidRPr="0038484B">
              <w:rPr>
                <w:rStyle w:val="Hiperligao"/>
                <w:b w:val="0"/>
                <w:bCs w:val="0"/>
                <w:i w:val="0"/>
                <w:iCs w:val="0"/>
                <w:noProof/>
                <w:lang w:val="en-US"/>
              </w:rPr>
              <w:t>1. Introduction</w:t>
            </w:r>
            <w:r w:rsidR="0038484B" w:rsidRPr="0038484B">
              <w:rPr>
                <w:b w:val="0"/>
                <w:bCs w:val="0"/>
                <w:i w:val="0"/>
                <w:iCs w:val="0"/>
                <w:noProof/>
                <w:webHidden/>
              </w:rPr>
              <w:tab/>
            </w:r>
            <w:r w:rsidR="0038484B" w:rsidRPr="0038484B">
              <w:rPr>
                <w:b w:val="0"/>
                <w:bCs w:val="0"/>
                <w:i w:val="0"/>
                <w:iCs w:val="0"/>
                <w:noProof/>
                <w:webHidden/>
              </w:rPr>
              <w:fldChar w:fldCharType="begin"/>
            </w:r>
            <w:r w:rsidR="0038484B" w:rsidRPr="0038484B">
              <w:rPr>
                <w:b w:val="0"/>
                <w:bCs w:val="0"/>
                <w:i w:val="0"/>
                <w:iCs w:val="0"/>
                <w:noProof/>
                <w:webHidden/>
              </w:rPr>
              <w:instrText xml:space="preserve"> PAGEREF _Toc233142883 \h </w:instrText>
            </w:r>
            <w:r w:rsidR="0038484B" w:rsidRPr="0038484B">
              <w:rPr>
                <w:b w:val="0"/>
                <w:bCs w:val="0"/>
                <w:i w:val="0"/>
                <w:iCs w:val="0"/>
                <w:noProof/>
                <w:webHidden/>
              </w:rPr>
            </w:r>
            <w:r w:rsidR="0038484B" w:rsidRPr="0038484B">
              <w:rPr>
                <w:b w:val="0"/>
                <w:bCs w:val="0"/>
                <w:i w:val="0"/>
                <w:iCs w:val="0"/>
                <w:noProof/>
                <w:webHidden/>
              </w:rPr>
              <w:fldChar w:fldCharType="separate"/>
            </w:r>
            <w:r w:rsidR="0038484B" w:rsidRPr="0038484B">
              <w:rPr>
                <w:b w:val="0"/>
                <w:bCs w:val="0"/>
                <w:i w:val="0"/>
                <w:iCs w:val="0"/>
                <w:noProof/>
                <w:webHidden/>
              </w:rPr>
              <w:t>1</w:t>
            </w:r>
            <w:r w:rsidR="0038484B" w:rsidRPr="0038484B">
              <w:rPr>
                <w:b w:val="0"/>
                <w:bCs w:val="0"/>
                <w:i w:val="0"/>
                <w:iCs w:val="0"/>
                <w:noProof/>
                <w:webHidden/>
              </w:rPr>
              <w:fldChar w:fldCharType="end"/>
            </w:r>
          </w:hyperlink>
        </w:p>
        <w:p w14:paraId="1EEBCF0B" w14:textId="7FD74517" w:rsidR="0038484B" w:rsidRPr="0038484B" w:rsidRDefault="0038484B">
          <w:pPr>
            <w:pStyle w:val="ndice1"/>
            <w:tabs>
              <w:tab w:val="right" w:leader="dot" w:pos="8493"/>
            </w:tabs>
            <w:rPr>
              <w:rFonts w:eastAsiaTheme="minorEastAsia"/>
              <w:b w:val="0"/>
              <w:bCs w:val="0"/>
              <w:i w:val="0"/>
              <w:iCs w:val="0"/>
              <w:noProof/>
              <w:lang w:val="pt-PT" w:eastAsia="pt-PT"/>
            </w:rPr>
          </w:pPr>
          <w:hyperlink w:anchor="_Toc233142884" w:history="1">
            <w:r w:rsidRPr="0038484B">
              <w:rPr>
                <w:rStyle w:val="Hiperligao"/>
                <w:b w:val="0"/>
                <w:bCs w:val="0"/>
                <w:i w:val="0"/>
                <w:iCs w:val="0"/>
                <w:noProof/>
                <w:lang w:val="en-US"/>
              </w:rPr>
              <w:t>2. The Internship Role and Context</w:t>
            </w:r>
            <w:r w:rsidRPr="0038484B">
              <w:rPr>
                <w:b w:val="0"/>
                <w:bCs w:val="0"/>
                <w:i w:val="0"/>
                <w:iCs w:val="0"/>
                <w:noProof/>
                <w:webHidden/>
              </w:rPr>
              <w:tab/>
            </w:r>
            <w:r w:rsidRPr="0038484B">
              <w:rPr>
                <w:b w:val="0"/>
                <w:bCs w:val="0"/>
                <w:i w:val="0"/>
                <w:iCs w:val="0"/>
                <w:noProof/>
                <w:webHidden/>
              </w:rPr>
              <w:fldChar w:fldCharType="begin"/>
            </w:r>
            <w:r w:rsidRPr="0038484B">
              <w:rPr>
                <w:b w:val="0"/>
                <w:bCs w:val="0"/>
                <w:i w:val="0"/>
                <w:iCs w:val="0"/>
                <w:noProof/>
                <w:webHidden/>
              </w:rPr>
              <w:instrText xml:space="preserve"> PAGEREF _Toc233142884 \h </w:instrText>
            </w:r>
            <w:r w:rsidRPr="0038484B">
              <w:rPr>
                <w:b w:val="0"/>
                <w:bCs w:val="0"/>
                <w:i w:val="0"/>
                <w:iCs w:val="0"/>
                <w:noProof/>
                <w:webHidden/>
              </w:rPr>
            </w:r>
            <w:r w:rsidRPr="0038484B">
              <w:rPr>
                <w:b w:val="0"/>
                <w:bCs w:val="0"/>
                <w:i w:val="0"/>
                <w:iCs w:val="0"/>
                <w:noProof/>
                <w:webHidden/>
              </w:rPr>
              <w:fldChar w:fldCharType="separate"/>
            </w:r>
            <w:r w:rsidRPr="0038484B">
              <w:rPr>
                <w:b w:val="0"/>
                <w:bCs w:val="0"/>
                <w:i w:val="0"/>
                <w:iCs w:val="0"/>
                <w:noProof/>
                <w:webHidden/>
              </w:rPr>
              <w:t>3</w:t>
            </w:r>
            <w:r w:rsidRPr="0038484B">
              <w:rPr>
                <w:b w:val="0"/>
                <w:bCs w:val="0"/>
                <w:i w:val="0"/>
                <w:iCs w:val="0"/>
                <w:noProof/>
                <w:webHidden/>
              </w:rPr>
              <w:fldChar w:fldCharType="end"/>
            </w:r>
          </w:hyperlink>
        </w:p>
        <w:p w14:paraId="577296D0" w14:textId="51631AE9"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885" w:history="1">
            <w:r w:rsidRPr="0038484B">
              <w:rPr>
                <w:rStyle w:val="Hiperligao"/>
                <w:rFonts w:ascii="Garamond" w:hAnsi="Garamond"/>
                <w:b w:val="0"/>
                <w:bCs w:val="0"/>
                <w:noProof/>
                <w:sz w:val="24"/>
                <w:szCs w:val="24"/>
              </w:rPr>
              <w:t>2.1. Analysis of the Corporate Finance and Financial Advisory Market</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_Toc233142885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3</w:t>
            </w:r>
            <w:r w:rsidRPr="0038484B">
              <w:rPr>
                <w:rFonts w:ascii="Garamond" w:hAnsi="Garamond"/>
                <w:b w:val="0"/>
                <w:bCs w:val="0"/>
                <w:noProof/>
                <w:webHidden/>
                <w:sz w:val="24"/>
                <w:szCs w:val="24"/>
              </w:rPr>
              <w:fldChar w:fldCharType="end"/>
            </w:r>
          </w:hyperlink>
        </w:p>
        <w:p w14:paraId="62107DC8" w14:textId="40BAB029"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886" w:history="1">
            <w:r w:rsidRPr="0038484B">
              <w:rPr>
                <w:rStyle w:val="Hiperligao"/>
                <w:rFonts w:ascii="Garamond" w:hAnsi="Garamond"/>
                <w:b w:val="0"/>
                <w:bCs w:val="0"/>
                <w:noProof/>
                <w:sz w:val="24"/>
                <w:szCs w:val="24"/>
                <w:lang w:val="en-US"/>
              </w:rPr>
              <w:t>2.2. The Triple A – Company Description</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_Toc233142886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5</w:t>
            </w:r>
            <w:r w:rsidRPr="0038484B">
              <w:rPr>
                <w:rFonts w:ascii="Garamond" w:hAnsi="Garamond"/>
                <w:b w:val="0"/>
                <w:bCs w:val="0"/>
                <w:noProof/>
                <w:webHidden/>
                <w:sz w:val="24"/>
                <w:szCs w:val="24"/>
              </w:rPr>
              <w:fldChar w:fldCharType="end"/>
            </w:r>
          </w:hyperlink>
        </w:p>
        <w:p w14:paraId="2DB641CA" w14:textId="69421169" w:rsidR="0038484B" w:rsidRPr="0038484B" w:rsidRDefault="0038484B">
          <w:pPr>
            <w:pStyle w:val="ndice3"/>
            <w:tabs>
              <w:tab w:val="right" w:leader="dot" w:pos="8493"/>
            </w:tabs>
            <w:rPr>
              <w:rFonts w:ascii="Garamond" w:eastAsiaTheme="minorEastAsia" w:hAnsi="Garamond"/>
              <w:noProof/>
              <w:sz w:val="24"/>
              <w:szCs w:val="24"/>
              <w:lang w:val="pt-PT" w:eastAsia="pt-PT"/>
            </w:rPr>
          </w:pPr>
          <w:hyperlink w:anchor="_Toc233142887" w:history="1">
            <w:r w:rsidRPr="0038484B">
              <w:rPr>
                <w:rStyle w:val="Hiperligao"/>
                <w:rFonts w:ascii="Garamond" w:hAnsi="Garamond"/>
                <w:noProof/>
                <w:sz w:val="24"/>
                <w:szCs w:val="24"/>
              </w:rPr>
              <w:t>2.2.1. Corporate Finance</w:t>
            </w:r>
            <w:r w:rsidRPr="0038484B">
              <w:rPr>
                <w:rFonts w:ascii="Garamond" w:hAnsi="Garamond"/>
                <w:noProof/>
                <w:webHidden/>
                <w:sz w:val="24"/>
                <w:szCs w:val="24"/>
              </w:rPr>
              <w:tab/>
            </w:r>
            <w:r w:rsidRPr="0038484B">
              <w:rPr>
                <w:rFonts w:ascii="Garamond" w:hAnsi="Garamond"/>
                <w:noProof/>
                <w:webHidden/>
                <w:sz w:val="24"/>
                <w:szCs w:val="24"/>
              </w:rPr>
              <w:fldChar w:fldCharType="begin"/>
            </w:r>
            <w:r w:rsidRPr="0038484B">
              <w:rPr>
                <w:rFonts w:ascii="Garamond" w:hAnsi="Garamond"/>
                <w:noProof/>
                <w:webHidden/>
                <w:sz w:val="24"/>
                <w:szCs w:val="24"/>
              </w:rPr>
              <w:instrText xml:space="preserve"> PAGEREF _Toc233142887 \h </w:instrText>
            </w:r>
            <w:r w:rsidRPr="0038484B">
              <w:rPr>
                <w:rFonts w:ascii="Garamond" w:hAnsi="Garamond"/>
                <w:noProof/>
                <w:webHidden/>
                <w:sz w:val="24"/>
                <w:szCs w:val="24"/>
              </w:rPr>
            </w:r>
            <w:r w:rsidRPr="0038484B">
              <w:rPr>
                <w:rFonts w:ascii="Garamond" w:hAnsi="Garamond"/>
                <w:noProof/>
                <w:webHidden/>
                <w:sz w:val="24"/>
                <w:szCs w:val="24"/>
              </w:rPr>
              <w:fldChar w:fldCharType="separate"/>
            </w:r>
            <w:r w:rsidRPr="0038484B">
              <w:rPr>
                <w:rFonts w:ascii="Garamond" w:hAnsi="Garamond"/>
                <w:noProof/>
                <w:webHidden/>
                <w:sz w:val="24"/>
                <w:szCs w:val="24"/>
              </w:rPr>
              <w:t>5</w:t>
            </w:r>
            <w:r w:rsidRPr="0038484B">
              <w:rPr>
                <w:rFonts w:ascii="Garamond" w:hAnsi="Garamond"/>
                <w:noProof/>
                <w:webHidden/>
                <w:sz w:val="24"/>
                <w:szCs w:val="24"/>
              </w:rPr>
              <w:fldChar w:fldCharType="end"/>
            </w:r>
          </w:hyperlink>
        </w:p>
        <w:p w14:paraId="4406BDF2" w14:textId="5E502E4F" w:rsidR="0038484B" w:rsidRPr="0038484B" w:rsidRDefault="0038484B">
          <w:pPr>
            <w:pStyle w:val="ndice3"/>
            <w:tabs>
              <w:tab w:val="right" w:leader="dot" w:pos="8493"/>
            </w:tabs>
            <w:rPr>
              <w:rFonts w:ascii="Garamond" w:eastAsiaTheme="minorEastAsia" w:hAnsi="Garamond"/>
              <w:noProof/>
              <w:sz w:val="24"/>
              <w:szCs w:val="24"/>
              <w:lang w:val="pt-PT" w:eastAsia="pt-PT"/>
            </w:rPr>
          </w:pPr>
          <w:hyperlink w:anchor="_Toc233142888" w:history="1">
            <w:r w:rsidRPr="0038484B">
              <w:rPr>
                <w:rStyle w:val="Hiperligao"/>
                <w:rFonts w:ascii="Garamond" w:hAnsi="Garamond"/>
                <w:noProof/>
                <w:sz w:val="24"/>
                <w:szCs w:val="24"/>
              </w:rPr>
              <w:t>2.2.2. Financing Advisory</w:t>
            </w:r>
            <w:r w:rsidRPr="0038484B">
              <w:rPr>
                <w:rFonts w:ascii="Garamond" w:hAnsi="Garamond"/>
                <w:noProof/>
                <w:webHidden/>
                <w:sz w:val="24"/>
                <w:szCs w:val="24"/>
              </w:rPr>
              <w:tab/>
            </w:r>
            <w:r w:rsidRPr="0038484B">
              <w:rPr>
                <w:rFonts w:ascii="Garamond" w:hAnsi="Garamond"/>
                <w:noProof/>
                <w:webHidden/>
                <w:sz w:val="24"/>
                <w:szCs w:val="24"/>
              </w:rPr>
              <w:fldChar w:fldCharType="begin"/>
            </w:r>
            <w:r w:rsidRPr="0038484B">
              <w:rPr>
                <w:rFonts w:ascii="Garamond" w:hAnsi="Garamond"/>
                <w:noProof/>
                <w:webHidden/>
                <w:sz w:val="24"/>
                <w:szCs w:val="24"/>
              </w:rPr>
              <w:instrText xml:space="preserve"> PAGEREF _Toc233142888 \h </w:instrText>
            </w:r>
            <w:r w:rsidRPr="0038484B">
              <w:rPr>
                <w:rFonts w:ascii="Garamond" w:hAnsi="Garamond"/>
                <w:noProof/>
                <w:webHidden/>
                <w:sz w:val="24"/>
                <w:szCs w:val="24"/>
              </w:rPr>
            </w:r>
            <w:r w:rsidRPr="0038484B">
              <w:rPr>
                <w:rFonts w:ascii="Garamond" w:hAnsi="Garamond"/>
                <w:noProof/>
                <w:webHidden/>
                <w:sz w:val="24"/>
                <w:szCs w:val="24"/>
              </w:rPr>
              <w:fldChar w:fldCharType="separate"/>
            </w:r>
            <w:r w:rsidRPr="0038484B">
              <w:rPr>
                <w:rFonts w:ascii="Garamond" w:hAnsi="Garamond"/>
                <w:noProof/>
                <w:webHidden/>
                <w:sz w:val="24"/>
                <w:szCs w:val="24"/>
              </w:rPr>
              <w:t>6</w:t>
            </w:r>
            <w:r w:rsidRPr="0038484B">
              <w:rPr>
                <w:rFonts w:ascii="Garamond" w:hAnsi="Garamond"/>
                <w:noProof/>
                <w:webHidden/>
                <w:sz w:val="24"/>
                <w:szCs w:val="24"/>
              </w:rPr>
              <w:fldChar w:fldCharType="end"/>
            </w:r>
          </w:hyperlink>
        </w:p>
        <w:p w14:paraId="51B1C567" w14:textId="6780F000"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889" w:history="1">
            <w:r w:rsidRPr="0038484B">
              <w:rPr>
                <w:rStyle w:val="Hiperligao"/>
                <w:rFonts w:ascii="Garamond" w:hAnsi="Garamond"/>
                <w:b w:val="0"/>
                <w:bCs w:val="0"/>
                <w:noProof/>
                <w:sz w:val="24"/>
                <w:szCs w:val="24"/>
              </w:rPr>
              <w:t>2.3. The Internship</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_Toc233142889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6</w:t>
            </w:r>
            <w:r w:rsidRPr="0038484B">
              <w:rPr>
                <w:rFonts w:ascii="Garamond" w:hAnsi="Garamond"/>
                <w:b w:val="0"/>
                <w:bCs w:val="0"/>
                <w:noProof/>
                <w:webHidden/>
                <w:sz w:val="24"/>
                <w:szCs w:val="24"/>
              </w:rPr>
              <w:fldChar w:fldCharType="end"/>
            </w:r>
          </w:hyperlink>
        </w:p>
        <w:p w14:paraId="2BEEEE1D" w14:textId="49544E77" w:rsidR="0038484B" w:rsidRPr="0038484B" w:rsidRDefault="0038484B">
          <w:pPr>
            <w:pStyle w:val="ndice3"/>
            <w:tabs>
              <w:tab w:val="right" w:leader="dot" w:pos="8493"/>
            </w:tabs>
            <w:rPr>
              <w:rFonts w:ascii="Garamond" w:eastAsiaTheme="minorEastAsia" w:hAnsi="Garamond"/>
              <w:noProof/>
              <w:sz w:val="24"/>
              <w:szCs w:val="24"/>
              <w:lang w:val="pt-PT" w:eastAsia="pt-PT"/>
            </w:rPr>
          </w:pPr>
          <w:hyperlink w:anchor="_Toc233142890" w:history="1">
            <w:r w:rsidRPr="0038484B">
              <w:rPr>
                <w:rStyle w:val="Hiperligao"/>
                <w:rFonts w:ascii="Garamond" w:hAnsi="Garamond"/>
                <w:noProof/>
                <w:sz w:val="24"/>
                <w:szCs w:val="24"/>
              </w:rPr>
              <w:t>2.3.1. Internship context</w:t>
            </w:r>
            <w:r w:rsidRPr="0038484B">
              <w:rPr>
                <w:rFonts w:ascii="Garamond" w:hAnsi="Garamond"/>
                <w:noProof/>
                <w:webHidden/>
                <w:sz w:val="24"/>
                <w:szCs w:val="24"/>
              </w:rPr>
              <w:tab/>
            </w:r>
            <w:r w:rsidRPr="0038484B">
              <w:rPr>
                <w:rFonts w:ascii="Garamond" w:hAnsi="Garamond"/>
                <w:noProof/>
                <w:webHidden/>
                <w:sz w:val="24"/>
                <w:szCs w:val="24"/>
              </w:rPr>
              <w:fldChar w:fldCharType="begin"/>
            </w:r>
            <w:r w:rsidRPr="0038484B">
              <w:rPr>
                <w:rFonts w:ascii="Garamond" w:hAnsi="Garamond"/>
                <w:noProof/>
                <w:webHidden/>
                <w:sz w:val="24"/>
                <w:szCs w:val="24"/>
              </w:rPr>
              <w:instrText xml:space="preserve"> PAGEREF _Toc233142890 \h </w:instrText>
            </w:r>
            <w:r w:rsidRPr="0038484B">
              <w:rPr>
                <w:rFonts w:ascii="Garamond" w:hAnsi="Garamond"/>
                <w:noProof/>
                <w:webHidden/>
                <w:sz w:val="24"/>
                <w:szCs w:val="24"/>
              </w:rPr>
            </w:r>
            <w:r w:rsidRPr="0038484B">
              <w:rPr>
                <w:rFonts w:ascii="Garamond" w:hAnsi="Garamond"/>
                <w:noProof/>
                <w:webHidden/>
                <w:sz w:val="24"/>
                <w:szCs w:val="24"/>
              </w:rPr>
              <w:fldChar w:fldCharType="separate"/>
            </w:r>
            <w:r w:rsidRPr="0038484B">
              <w:rPr>
                <w:rFonts w:ascii="Garamond" w:hAnsi="Garamond"/>
                <w:noProof/>
                <w:webHidden/>
                <w:sz w:val="24"/>
                <w:szCs w:val="24"/>
              </w:rPr>
              <w:t>6</w:t>
            </w:r>
            <w:r w:rsidRPr="0038484B">
              <w:rPr>
                <w:rFonts w:ascii="Garamond" w:hAnsi="Garamond"/>
                <w:noProof/>
                <w:webHidden/>
                <w:sz w:val="24"/>
                <w:szCs w:val="24"/>
              </w:rPr>
              <w:fldChar w:fldCharType="end"/>
            </w:r>
          </w:hyperlink>
        </w:p>
        <w:p w14:paraId="0831A561" w14:textId="385234E0" w:rsidR="0038484B" w:rsidRPr="0038484B" w:rsidRDefault="0038484B">
          <w:pPr>
            <w:pStyle w:val="ndice3"/>
            <w:tabs>
              <w:tab w:val="right" w:leader="dot" w:pos="8493"/>
            </w:tabs>
            <w:rPr>
              <w:rFonts w:ascii="Garamond" w:eastAsiaTheme="minorEastAsia" w:hAnsi="Garamond"/>
              <w:noProof/>
              <w:sz w:val="24"/>
              <w:szCs w:val="24"/>
              <w:lang w:val="pt-PT" w:eastAsia="pt-PT"/>
            </w:rPr>
          </w:pPr>
          <w:hyperlink w:anchor="_Toc233142891" w:history="1">
            <w:r w:rsidRPr="0038484B">
              <w:rPr>
                <w:rStyle w:val="Hiperligao"/>
                <w:rFonts w:ascii="Garamond" w:hAnsi="Garamond"/>
                <w:noProof/>
                <w:sz w:val="24"/>
                <w:szCs w:val="24"/>
                <w:lang w:val="en-US"/>
              </w:rPr>
              <w:t>2.3.2. Main Projects and Activities Undertaken</w:t>
            </w:r>
            <w:r w:rsidRPr="0038484B">
              <w:rPr>
                <w:rFonts w:ascii="Garamond" w:hAnsi="Garamond"/>
                <w:noProof/>
                <w:webHidden/>
                <w:sz w:val="24"/>
                <w:szCs w:val="24"/>
              </w:rPr>
              <w:tab/>
            </w:r>
            <w:r w:rsidRPr="0038484B">
              <w:rPr>
                <w:rFonts w:ascii="Garamond" w:hAnsi="Garamond"/>
                <w:noProof/>
                <w:webHidden/>
                <w:sz w:val="24"/>
                <w:szCs w:val="24"/>
              </w:rPr>
              <w:fldChar w:fldCharType="begin"/>
            </w:r>
            <w:r w:rsidRPr="0038484B">
              <w:rPr>
                <w:rFonts w:ascii="Garamond" w:hAnsi="Garamond"/>
                <w:noProof/>
                <w:webHidden/>
                <w:sz w:val="24"/>
                <w:szCs w:val="24"/>
              </w:rPr>
              <w:instrText xml:space="preserve"> PAGEREF _Toc233142891 \h </w:instrText>
            </w:r>
            <w:r w:rsidRPr="0038484B">
              <w:rPr>
                <w:rFonts w:ascii="Garamond" w:hAnsi="Garamond"/>
                <w:noProof/>
                <w:webHidden/>
                <w:sz w:val="24"/>
                <w:szCs w:val="24"/>
              </w:rPr>
            </w:r>
            <w:r w:rsidRPr="0038484B">
              <w:rPr>
                <w:rFonts w:ascii="Garamond" w:hAnsi="Garamond"/>
                <w:noProof/>
                <w:webHidden/>
                <w:sz w:val="24"/>
                <w:szCs w:val="24"/>
              </w:rPr>
              <w:fldChar w:fldCharType="separate"/>
            </w:r>
            <w:r w:rsidRPr="0038484B">
              <w:rPr>
                <w:rFonts w:ascii="Garamond" w:hAnsi="Garamond"/>
                <w:noProof/>
                <w:webHidden/>
                <w:sz w:val="24"/>
                <w:szCs w:val="24"/>
              </w:rPr>
              <w:t>7</w:t>
            </w:r>
            <w:r w:rsidRPr="0038484B">
              <w:rPr>
                <w:rFonts w:ascii="Garamond" w:hAnsi="Garamond"/>
                <w:noProof/>
                <w:webHidden/>
                <w:sz w:val="24"/>
                <w:szCs w:val="24"/>
              </w:rPr>
              <w:fldChar w:fldCharType="end"/>
            </w:r>
          </w:hyperlink>
        </w:p>
        <w:p w14:paraId="73A241B8" w14:textId="3E149B4C" w:rsidR="0038484B" w:rsidRPr="0038484B" w:rsidRDefault="0038484B">
          <w:pPr>
            <w:pStyle w:val="ndice3"/>
            <w:tabs>
              <w:tab w:val="right" w:leader="dot" w:pos="8493"/>
            </w:tabs>
            <w:rPr>
              <w:rFonts w:ascii="Garamond" w:eastAsiaTheme="minorEastAsia" w:hAnsi="Garamond"/>
              <w:noProof/>
              <w:sz w:val="24"/>
              <w:szCs w:val="24"/>
              <w:lang w:val="pt-PT" w:eastAsia="pt-PT"/>
            </w:rPr>
          </w:pPr>
          <w:hyperlink w:anchor="_Toc233142892" w:history="1">
            <w:r w:rsidRPr="0038484B">
              <w:rPr>
                <w:rStyle w:val="Hiperligao"/>
                <w:rFonts w:ascii="Garamond" w:hAnsi="Garamond"/>
                <w:noProof/>
                <w:sz w:val="24"/>
                <w:szCs w:val="24"/>
              </w:rPr>
              <w:t>2.3.3. Critical Reflection and Learning from the Internship</w:t>
            </w:r>
            <w:r w:rsidRPr="0038484B">
              <w:rPr>
                <w:rFonts w:ascii="Garamond" w:hAnsi="Garamond"/>
                <w:noProof/>
                <w:webHidden/>
                <w:sz w:val="24"/>
                <w:szCs w:val="24"/>
              </w:rPr>
              <w:tab/>
            </w:r>
            <w:r w:rsidRPr="0038484B">
              <w:rPr>
                <w:rFonts w:ascii="Garamond" w:hAnsi="Garamond"/>
                <w:noProof/>
                <w:webHidden/>
                <w:sz w:val="24"/>
                <w:szCs w:val="24"/>
              </w:rPr>
              <w:fldChar w:fldCharType="begin"/>
            </w:r>
            <w:r w:rsidRPr="0038484B">
              <w:rPr>
                <w:rFonts w:ascii="Garamond" w:hAnsi="Garamond"/>
                <w:noProof/>
                <w:webHidden/>
                <w:sz w:val="24"/>
                <w:szCs w:val="24"/>
              </w:rPr>
              <w:instrText xml:space="preserve"> PAGEREF _Toc233142892 \h </w:instrText>
            </w:r>
            <w:r w:rsidRPr="0038484B">
              <w:rPr>
                <w:rFonts w:ascii="Garamond" w:hAnsi="Garamond"/>
                <w:noProof/>
                <w:webHidden/>
                <w:sz w:val="24"/>
                <w:szCs w:val="24"/>
              </w:rPr>
            </w:r>
            <w:r w:rsidRPr="0038484B">
              <w:rPr>
                <w:rFonts w:ascii="Garamond" w:hAnsi="Garamond"/>
                <w:noProof/>
                <w:webHidden/>
                <w:sz w:val="24"/>
                <w:szCs w:val="24"/>
              </w:rPr>
              <w:fldChar w:fldCharType="separate"/>
            </w:r>
            <w:r w:rsidRPr="0038484B">
              <w:rPr>
                <w:rFonts w:ascii="Garamond" w:hAnsi="Garamond"/>
                <w:noProof/>
                <w:webHidden/>
                <w:sz w:val="24"/>
                <w:szCs w:val="24"/>
              </w:rPr>
              <w:t>10</w:t>
            </w:r>
            <w:r w:rsidRPr="0038484B">
              <w:rPr>
                <w:rFonts w:ascii="Garamond" w:hAnsi="Garamond"/>
                <w:noProof/>
                <w:webHidden/>
                <w:sz w:val="24"/>
                <w:szCs w:val="24"/>
              </w:rPr>
              <w:fldChar w:fldCharType="end"/>
            </w:r>
          </w:hyperlink>
        </w:p>
        <w:p w14:paraId="32C014A0" w14:textId="494B3B5D"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893" w:history="1">
            <w:r w:rsidRPr="0038484B">
              <w:rPr>
                <w:rStyle w:val="Hiperligao"/>
                <w:rFonts w:ascii="Garamond" w:hAnsi="Garamond"/>
                <w:b w:val="0"/>
                <w:bCs w:val="0"/>
                <w:noProof/>
                <w:sz w:val="24"/>
                <w:szCs w:val="24"/>
              </w:rPr>
              <w:t>2.4. Connection Between Internship Activity and Research Topic</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_Toc233142893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11</w:t>
            </w:r>
            <w:r w:rsidRPr="0038484B">
              <w:rPr>
                <w:rFonts w:ascii="Garamond" w:hAnsi="Garamond"/>
                <w:b w:val="0"/>
                <w:bCs w:val="0"/>
                <w:noProof/>
                <w:webHidden/>
                <w:sz w:val="24"/>
                <w:szCs w:val="24"/>
              </w:rPr>
              <w:fldChar w:fldCharType="end"/>
            </w:r>
          </w:hyperlink>
        </w:p>
        <w:p w14:paraId="0DE3FD71" w14:textId="3C841B7A" w:rsidR="0038484B" w:rsidRPr="0038484B" w:rsidRDefault="0038484B">
          <w:pPr>
            <w:pStyle w:val="ndice1"/>
            <w:tabs>
              <w:tab w:val="right" w:leader="dot" w:pos="8493"/>
            </w:tabs>
            <w:rPr>
              <w:rFonts w:eastAsiaTheme="minorEastAsia"/>
              <w:b w:val="0"/>
              <w:bCs w:val="0"/>
              <w:i w:val="0"/>
              <w:iCs w:val="0"/>
              <w:noProof/>
              <w:lang w:val="pt-PT" w:eastAsia="pt-PT"/>
            </w:rPr>
          </w:pPr>
          <w:hyperlink w:anchor="_Toc233142894" w:history="1">
            <w:r w:rsidRPr="0038484B">
              <w:rPr>
                <w:rStyle w:val="Hiperligao"/>
                <w:b w:val="0"/>
                <w:bCs w:val="0"/>
                <w:i w:val="0"/>
                <w:iCs w:val="0"/>
                <w:noProof/>
                <w:lang w:val="en-US"/>
              </w:rPr>
              <w:t>3. Literature Review on Private Credit</w:t>
            </w:r>
            <w:r w:rsidRPr="0038484B">
              <w:rPr>
                <w:b w:val="0"/>
                <w:bCs w:val="0"/>
                <w:i w:val="0"/>
                <w:iCs w:val="0"/>
                <w:noProof/>
                <w:webHidden/>
              </w:rPr>
              <w:tab/>
            </w:r>
            <w:r w:rsidRPr="0038484B">
              <w:rPr>
                <w:b w:val="0"/>
                <w:bCs w:val="0"/>
                <w:i w:val="0"/>
                <w:iCs w:val="0"/>
                <w:noProof/>
                <w:webHidden/>
              </w:rPr>
              <w:fldChar w:fldCharType="begin"/>
            </w:r>
            <w:r w:rsidRPr="0038484B">
              <w:rPr>
                <w:b w:val="0"/>
                <w:bCs w:val="0"/>
                <w:i w:val="0"/>
                <w:iCs w:val="0"/>
                <w:noProof/>
                <w:webHidden/>
              </w:rPr>
              <w:instrText xml:space="preserve"> PAGEREF _Toc233142894 \h </w:instrText>
            </w:r>
            <w:r w:rsidRPr="0038484B">
              <w:rPr>
                <w:b w:val="0"/>
                <w:bCs w:val="0"/>
                <w:i w:val="0"/>
                <w:iCs w:val="0"/>
                <w:noProof/>
                <w:webHidden/>
              </w:rPr>
            </w:r>
            <w:r w:rsidRPr="0038484B">
              <w:rPr>
                <w:b w:val="0"/>
                <w:bCs w:val="0"/>
                <w:i w:val="0"/>
                <w:iCs w:val="0"/>
                <w:noProof/>
                <w:webHidden/>
              </w:rPr>
              <w:fldChar w:fldCharType="separate"/>
            </w:r>
            <w:r w:rsidRPr="0038484B">
              <w:rPr>
                <w:b w:val="0"/>
                <w:bCs w:val="0"/>
                <w:i w:val="0"/>
                <w:iCs w:val="0"/>
                <w:noProof/>
                <w:webHidden/>
              </w:rPr>
              <w:t>13</w:t>
            </w:r>
            <w:r w:rsidRPr="0038484B">
              <w:rPr>
                <w:b w:val="0"/>
                <w:bCs w:val="0"/>
                <w:i w:val="0"/>
                <w:iCs w:val="0"/>
                <w:noProof/>
                <w:webHidden/>
              </w:rPr>
              <w:fldChar w:fldCharType="end"/>
            </w:r>
          </w:hyperlink>
        </w:p>
        <w:p w14:paraId="7E7E9E2E" w14:textId="70C45AD9"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895" w:history="1">
            <w:r w:rsidRPr="0038484B">
              <w:rPr>
                <w:rStyle w:val="Hiperligao"/>
                <w:rFonts w:ascii="Garamond" w:hAnsi="Garamond"/>
                <w:b w:val="0"/>
                <w:bCs w:val="0"/>
                <w:noProof/>
                <w:sz w:val="24"/>
                <w:szCs w:val="24"/>
                <w:lang w:val="en-US"/>
              </w:rPr>
              <w:t>3.1. Definitions and Core Concepts</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_Toc233142895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13</w:t>
            </w:r>
            <w:r w:rsidRPr="0038484B">
              <w:rPr>
                <w:rFonts w:ascii="Garamond" w:hAnsi="Garamond"/>
                <w:b w:val="0"/>
                <w:bCs w:val="0"/>
                <w:noProof/>
                <w:webHidden/>
                <w:sz w:val="24"/>
                <w:szCs w:val="24"/>
              </w:rPr>
              <w:fldChar w:fldCharType="end"/>
            </w:r>
          </w:hyperlink>
        </w:p>
        <w:p w14:paraId="5A874B83" w14:textId="598D71BE" w:rsidR="0038484B" w:rsidRPr="0038484B" w:rsidRDefault="0038484B">
          <w:pPr>
            <w:pStyle w:val="ndice3"/>
            <w:tabs>
              <w:tab w:val="right" w:leader="dot" w:pos="8493"/>
            </w:tabs>
            <w:rPr>
              <w:rFonts w:ascii="Garamond" w:eastAsiaTheme="minorEastAsia" w:hAnsi="Garamond"/>
              <w:noProof/>
              <w:sz w:val="24"/>
              <w:szCs w:val="24"/>
              <w:lang w:val="pt-PT" w:eastAsia="pt-PT"/>
            </w:rPr>
          </w:pPr>
          <w:hyperlink w:anchor="_Toc233142896" w:history="1">
            <w:r w:rsidRPr="0038484B">
              <w:rPr>
                <w:rStyle w:val="Hiperligao"/>
                <w:rFonts w:ascii="Garamond" w:hAnsi="Garamond"/>
                <w:noProof/>
                <w:sz w:val="24"/>
                <w:szCs w:val="24"/>
                <w:lang w:val="en-US"/>
              </w:rPr>
              <w:t>3.1</w:t>
            </w:r>
            <w:r w:rsidRPr="0038484B">
              <w:rPr>
                <w:rStyle w:val="Hiperligao"/>
                <w:rFonts w:ascii="Garamond" w:hAnsi="Garamond"/>
                <w:noProof/>
                <w:sz w:val="24"/>
                <w:szCs w:val="24"/>
                <w:lang w:val="en-US"/>
              </w:rPr>
              <w:t>.</w:t>
            </w:r>
            <w:r w:rsidRPr="0038484B">
              <w:rPr>
                <w:rStyle w:val="Hiperligao"/>
                <w:rFonts w:ascii="Garamond" w:hAnsi="Garamond"/>
                <w:noProof/>
                <w:sz w:val="24"/>
                <w:szCs w:val="24"/>
                <w:lang w:val="en-US"/>
              </w:rPr>
              <w:t>1. Definition of private credit</w:t>
            </w:r>
            <w:r w:rsidRPr="0038484B">
              <w:rPr>
                <w:rFonts w:ascii="Garamond" w:hAnsi="Garamond"/>
                <w:noProof/>
                <w:webHidden/>
                <w:sz w:val="24"/>
                <w:szCs w:val="24"/>
              </w:rPr>
              <w:tab/>
            </w:r>
            <w:r w:rsidRPr="0038484B">
              <w:rPr>
                <w:rFonts w:ascii="Garamond" w:hAnsi="Garamond"/>
                <w:noProof/>
                <w:webHidden/>
                <w:sz w:val="24"/>
                <w:szCs w:val="24"/>
              </w:rPr>
              <w:fldChar w:fldCharType="begin"/>
            </w:r>
            <w:r w:rsidRPr="0038484B">
              <w:rPr>
                <w:rFonts w:ascii="Garamond" w:hAnsi="Garamond"/>
                <w:noProof/>
                <w:webHidden/>
                <w:sz w:val="24"/>
                <w:szCs w:val="24"/>
              </w:rPr>
              <w:instrText xml:space="preserve"> PAGEREF _Toc233142896 \h </w:instrText>
            </w:r>
            <w:r w:rsidRPr="0038484B">
              <w:rPr>
                <w:rFonts w:ascii="Garamond" w:hAnsi="Garamond"/>
                <w:noProof/>
                <w:webHidden/>
                <w:sz w:val="24"/>
                <w:szCs w:val="24"/>
              </w:rPr>
            </w:r>
            <w:r w:rsidRPr="0038484B">
              <w:rPr>
                <w:rFonts w:ascii="Garamond" w:hAnsi="Garamond"/>
                <w:noProof/>
                <w:webHidden/>
                <w:sz w:val="24"/>
                <w:szCs w:val="24"/>
              </w:rPr>
              <w:fldChar w:fldCharType="separate"/>
            </w:r>
            <w:r w:rsidRPr="0038484B">
              <w:rPr>
                <w:rFonts w:ascii="Garamond" w:hAnsi="Garamond"/>
                <w:noProof/>
                <w:webHidden/>
                <w:sz w:val="24"/>
                <w:szCs w:val="24"/>
              </w:rPr>
              <w:t>13</w:t>
            </w:r>
            <w:r w:rsidRPr="0038484B">
              <w:rPr>
                <w:rFonts w:ascii="Garamond" w:hAnsi="Garamond"/>
                <w:noProof/>
                <w:webHidden/>
                <w:sz w:val="24"/>
                <w:szCs w:val="24"/>
              </w:rPr>
              <w:fldChar w:fldCharType="end"/>
            </w:r>
          </w:hyperlink>
        </w:p>
        <w:p w14:paraId="1368C3B9" w14:textId="1CBB7F0D" w:rsidR="0038484B" w:rsidRPr="0038484B" w:rsidRDefault="0038484B">
          <w:pPr>
            <w:pStyle w:val="ndice3"/>
            <w:tabs>
              <w:tab w:val="right" w:leader="dot" w:pos="8493"/>
            </w:tabs>
            <w:rPr>
              <w:rFonts w:ascii="Garamond" w:eastAsiaTheme="minorEastAsia" w:hAnsi="Garamond"/>
              <w:noProof/>
              <w:sz w:val="24"/>
              <w:szCs w:val="24"/>
              <w:lang w:val="pt-PT" w:eastAsia="pt-PT"/>
            </w:rPr>
          </w:pPr>
          <w:hyperlink w:anchor="_Toc233142897" w:history="1">
            <w:r w:rsidRPr="0038484B">
              <w:rPr>
                <w:rStyle w:val="Hiperligao"/>
                <w:rFonts w:ascii="Garamond" w:hAnsi="Garamond"/>
                <w:noProof/>
                <w:sz w:val="24"/>
                <w:szCs w:val="24"/>
                <w:lang w:val="en-US"/>
              </w:rPr>
              <w:t>3.1.2. Differences between private credit and traditional banking</w:t>
            </w:r>
            <w:r w:rsidRPr="0038484B">
              <w:rPr>
                <w:rFonts w:ascii="Garamond" w:hAnsi="Garamond"/>
                <w:noProof/>
                <w:webHidden/>
                <w:sz w:val="24"/>
                <w:szCs w:val="24"/>
              </w:rPr>
              <w:tab/>
            </w:r>
            <w:r w:rsidRPr="0038484B">
              <w:rPr>
                <w:rFonts w:ascii="Garamond" w:hAnsi="Garamond"/>
                <w:noProof/>
                <w:webHidden/>
                <w:sz w:val="24"/>
                <w:szCs w:val="24"/>
              </w:rPr>
              <w:fldChar w:fldCharType="begin"/>
            </w:r>
            <w:r w:rsidRPr="0038484B">
              <w:rPr>
                <w:rFonts w:ascii="Garamond" w:hAnsi="Garamond"/>
                <w:noProof/>
                <w:webHidden/>
                <w:sz w:val="24"/>
                <w:szCs w:val="24"/>
              </w:rPr>
              <w:instrText xml:space="preserve"> PAGEREF _Toc233142897 \h </w:instrText>
            </w:r>
            <w:r w:rsidRPr="0038484B">
              <w:rPr>
                <w:rFonts w:ascii="Garamond" w:hAnsi="Garamond"/>
                <w:noProof/>
                <w:webHidden/>
                <w:sz w:val="24"/>
                <w:szCs w:val="24"/>
              </w:rPr>
            </w:r>
            <w:r w:rsidRPr="0038484B">
              <w:rPr>
                <w:rFonts w:ascii="Garamond" w:hAnsi="Garamond"/>
                <w:noProof/>
                <w:webHidden/>
                <w:sz w:val="24"/>
                <w:szCs w:val="24"/>
              </w:rPr>
              <w:fldChar w:fldCharType="separate"/>
            </w:r>
            <w:r w:rsidRPr="0038484B">
              <w:rPr>
                <w:rFonts w:ascii="Garamond" w:hAnsi="Garamond"/>
                <w:noProof/>
                <w:webHidden/>
                <w:sz w:val="24"/>
                <w:szCs w:val="24"/>
              </w:rPr>
              <w:t>16</w:t>
            </w:r>
            <w:r w:rsidRPr="0038484B">
              <w:rPr>
                <w:rFonts w:ascii="Garamond" w:hAnsi="Garamond"/>
                <w:noProof/>
                <w:webHidden/>
                <w:sz w:val="24"/>
                <w:szCs w:val="24"/>
              </w:rPr>
              <w:fldChar w:fldCharType="end"/>
            </w:r>
          </w:hyperlink>
        </w:p>
        <w:p w14:paraId="35294F99" w14:textId="77E86F29"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898" w:history="1">
            <w:r w:rsidRPr="0038484B">
              <w:rPr>
                <w:rStyle w:val="Hiperligao"/>
                <w:rFonts w:ascii="Garamond" w:hAnsi="Garamond"/>
                <w:b w:val="0"/>
                <w:bCs w:val="0"/>
                <w:noProof/>
                <w:sz w:val="24"/>
                <w:szCs w:val="24"/>
                <w:lang w:val="en-US"/>
              </w:rPr>
              <w:t>3.2. Key drivers behind the expansion of private credit</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_Toc233142898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17</w:t>
            </w:r>
            <w:r w:rsidRPr="0038484B">
              <w:rPr>
                <w:rFonts w:ascii="Garamond" w:hAnsi="Garamond"/>
                <w:b w:val="0"/>
                <w:bCs w:val="0"/>
                <w:noProof/>
                <w:webHidden/>
                <w:sz w:val="24"/>
                <w:szCs w:val="24"/>
              </w:rPr>
              <w:fldChar w:fldCharType="end"/>
            </w:r>
          </w:hyperlink>
        </w:p>
        <w:p w14:paraId="0CDF6DB0" w14:textId="30C5037F"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899" w:history="1">
            <w:r w:rsidRPr="0038484B">
              <w:rPr>
                <w:rStyle w:val="Hiperligao"/>
                <w:rFonts w:ascii="Garamond" w:hAnsi="Garamond"/>
                <w:b w:val="0"/>
                <w:bCs w:val="0"/>
                <w:noProof/>
                <w:sz w:val="24"/>
                <w:szCs w:val="24"/>
                <w:lang w:val="en-US"/>
              </w:rPr>
              <w:t>3.3. Advantages and Limitations of Private Credit</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_Toc233142899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18</w:t>
            </w:r>
            <w:r w:rsidRPr="0038484B">
              <w:rPr>
                <w:rFonts w:ascii="Garamond" w:hAnsi="Garamond"/>
                <w:b w:val="0"/>
                <w:bCs w:val="0"/>
                <w:noProof/>
                <w:webHidden/>
                <w:sz w:val="24"/>
                <w:szCs w:val="24"/>
              </w:rPr>
              <w:fldChar w:fldCharType="end"/>
            </w:r>
          </w:hyperlink>
        </w:p>
        <w:p w14:paraId="727FA8E4" w14:textId="7876B4C1" w:rsidR="0038484B" w:rsidRPr="0038484B" w:rsidRDefault="0038484B">
          <w:pPr>
            <w:pStyle w:val="ndice1"/>
            <w:tabs>
              <w:tab w:val="right" w:leader="dot" w:pos="8493"/>
            </w:tabs>
            <w:rPr>
              <w:rFonts w:eastAsiaTheme="minorEastAsia"/>
              <w:b w:val="0"/>
              <w:bCs w:val="0"/>
              <w:i w:val="0"/>
              <w:iCs w:val="0"/>
              <w:noProof/>
              <w:lang w:val="pt-PT" w:eastAsia="pt-PT"/>
            </w:rPr>
          </w:pPr>
          <w:hyperlink w:anchor="_Toc233142900" w:history="1">
            <w:r w:rsidRPr="0038484B">
              <w:rPr>
                <w:rStyle w:val="Hiperligao"/>
                <w:b w:val="0"/>
                <w:bCs w:val="0"/>
                <w:i w:val="0"/>
                <w:iCs w:val="0"/>
                <w:noProof/>
              </w:rPr>
              <w:t>4. Research Problem and Methodology</w:t>
            </w:r>
            <w:r w:rsidRPr="0038484B">
              <w:rPr>
                <w:b w:val="0"/>
                <w:bCs w:val="0"/>
                <w:i w:val="0"/>
                <w:iCs w:val="0"/>
                <w:noProof/>
                <w:webHidden/>
              </w:rPr>
              <w:tab/>
            </w:r>
            <w:r w:rsidRPr="0038484B">
              <w:rPr>
                <w:b w:val="0"/>
                <w:bCs w:val="0"/>
                <w:i w:val="0"/>
                <w:iCs w:val="0"/>
                <w:noProof/>
                <w:webHidden/>
              </w:rPr>
              <w:fldChar w:fldCharType="begin"/>
            </w:r>
            <w:r w:rsidRPr="0038484B">
              <w:rPr>
                <w:b w:val="0"/>
                <w:bCs w:val="0"/>
                <w:i w:val="0"/>
                <w:iCs w:val="0"/>
                <w:noProof/>
                <w:webHidden/>
              </w:rPr>
              <w:instrText xml:space="preserve"> PAGEREF _Toc233142900 \h </w:instrText>
            </w:r>
            <w:r w:rsidRPr="0038484B">
              <w:rPr>
                <w:b w:val="0"/>
                <w:bCs w:val="0"/>
                <w:i w:val="0"/>
                <w:iCs w:val="0"/>
                <w:noProof/>
                <w:webHidden/>
              </w:rPr>
            </w:r>
            <w:r w:rsidRPr="0038484B">
              <w:rPr>
                <w:b w:val="0"/>
                <w:bCs w:val="0"/>
                <w:i w:val="0"/>
                <w:iCs w:val="0"/>
                <w:noProof/>
                <w:webHidden/>
              </w:rPr>
              <w:fldChar w:fldCharType="separate"/>
            </w:r>
            <w:r w:rsidRPr="0038484B">
              <w:rPr>
                <w:b w:val="0"/>
                <w:bCs w:val="0"/>
                <w:i w:val="0"/>
                <w:iCs w:val="0"/>
                <w:noProof/>
                <w:webHidden/>
              </w:rPr>
              <w:t>22</w:t>
            </w:r>
            <w:r w:rsidRPr="0038484B">
              <w:rPr>
                <w:b w:val="0"/>
                <w:bCs w:val="0"/>
                <w:i w:val="0"/>
                <w:iCs w:val="0"/>
                <w:noProof/>
                <w:webHidden/>
              </w:rPr>
              <w:fldChar w:fldCharType="end"/>
            </w:r>
          </w:hyperlink>
        </w:p>
        <w:p w14:paraId="267F1643" w14:textId="133C8C36"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901" w:history="1">
            <w:r w:rsidRPr="0038484B">
              <w:rPr>
                <w:rStyle w:val="Hiperligao"/>
                <w:rFonts w:ascii="Garamond" w:hAnsi="Garamond"/>
                <w:b w:val="0"/>
                <w:bCs w:val="0"/>
                <w:noProof/>
                <w:sz w:val="24"/>
                <w:szCs w:val="24"/>
              </w:rPr>
              <w:t>4.1. Research Problem and Objectives</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_Toc233142901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22</w:t>
            </w:r>
            <w:r w:rsidRPr="0038484B">
              <w:rPr>
                <w:rFonts w:ascii="Garamond" w:hAnsi="Garamond"/>
                <w:b w:val="0"/>
                <w:bCs w:val="0"/>
                <w:noProof/>
                <w:webHidden/>
                <w:sz w:val="24"/>
                <w:szCs w:val="24"/>
              </w:rPr>
              <w:fldChar w:fldCharType="end"/>
            </w:r>
          </w:hyperlink>
        </w:p>
        <w:p w14:paraId="7485BD50" w14:textId="0D310826"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902" w:history="1">
            <w:r w:rsidRPr="0038484B">
              <w:rPr>
                <w:rStyle w:val="Hiperligao"/>
                <w:rFonts w:ascii="Garamond" w:hAnsi="Garamond"/>
                <w:b w:val="0"/>
                <w:bCs w:val="0"/>
                <w:noProof/>
                <w:sz w:val="24"/>
                <w:szCs w:val="24"/>
                <w:lang w:val="en-US"/>
              </w:rPr>
              <w:t>4.2. Methodological Approach</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_Toc233142902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22</w:t>
            </w:r>
            <w:r w:rsidRPr="0038484B">
              <w:rPr>
                <w:rFonts w:ascii="Garamond" w:hAnsi="Garamond"/>
                <w:b w:val="0"/>
                <w:bCs w:val="0"/>
                <w:noProof/>
                <w:webHidden/>
                <w:sz w:val="24"/>
                <w:szCs w:val="24"/>
              </w:rPr>
              <w:fldChar w:fldCharType="end"/>
            </w:r>
          </w:hyperlink>
        </w:p>
        <w:p w14:paraId="49BC9003" w14:textId="2BAB5477"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903" w:history="1">
            <w:r w:rsidRPr="0038484B">
              <w:rPr>
                <w:rStyle w:val="Hiperligao"/>
                <w:rFonts w:ascii="Garamond" w:hAnsi="Garamond"/>
                <w:b w:val="0"/>
                <w:bCs w:val="0"/>
                <w:noProof/>
                <w:sz w:val="24"/>
                <w:szCs w:val="24"/>
                <w:lang w:val="en-US"/>
              </w:rPr>
              <w:t>4.3. Limitations of the Methodological Approach</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_Toc233142903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24</w:t>
            </w:r>
            <w:r w:rsidRPr="0038484B">
              <w:rPr>
                <w:rFonts w:ascii="Garamond" w:hAnsi="Garamond"/>
                <w:b w:val="0"/>
                <w:bCs w:val="0"/>
                <w:noProof/>
                <w:webHidden/>
                <w:sz w:val="24"/>
                <w:szCs w:val="24"/>
              </w:rPr>
              <w:fldChar w:fldCharType="end"/>
            </w:r>
          </w:hyperlink>
        </w:p>
        <w:p w14:paraId="61ED96EF" w14:textId="523E5544" w:rsidR="0038484B" w:rsidRPr="0038484B" w:rsidRDefault="0038484B">
          <w:pPr>
            <w:pStyle w:val="ndice1"/>
            <w:tabs>
              <w:tab w:val="right" w:leader="dot" w:pos="8493"/>
            </w:tabs>
            <w:rPr>
              <w:rFonts w:eastAsiaTheme="minorEastAsia"/>
              <w:b w:val="0"/>
              <w:bCs w:val="0"/>
              <w:i w:val="0"/>
              <w:iCs w:val="0"/>
              <w:noProof/>
              <w:lang w:val="pt-PT" w:eastAsia="pt-PT"/>
            </w:rPr>
          </w:pPr>
          <w:hyperlink w:anchor="_Toc233142904" w:history="1">
            <w:r w:rsidRPr="0038484B">
              <w:rPr>
                <w:rStyle w:val="Hiperligao"/>
                <w:b w:val="0"/>
                <w:bCs w:val="0"/>
                <w:i w:val="0"/>
                <w:iCs w:val="0"/>
                <w:noProof/>
                <w:lang w:val="en-US"/>
              </w:rPr>
              <w:t>5. Private Credit - an Applied Advisory Framework</w:t>
            </w:r>
            <w:r w:rsidRPr="0038484B">
              <w:rPr>
                <w:b w:val="0"/>
                <w:bCs w:val="0"/>
                <w:i w:val="0"/>
                <w:iCs w:val="0"/>
                <w:noProof/>
                <w:webHidden/>
              </w:rPr>
              <w:tab/>
            </w:r>
            <w:r w:rsidRPr="0038484B">
              <w:rPr>
                <w:b w:val="0"/>
                <w:bCs w:val="0"/>
                <w:i w:val="0"/>
                <w:iCs w:val="0"/>
                <w:noProof/>
                <w:webHidden/>
              </w:rPr>
              <w:fldChar w:fldCharType="begin"/>
            </w:r>
            <w:r w:rsidRPr="0038484B">
              <w:rPr>
                <w:b w:val="0"/>
                <w:bCs w:val="0"/>
                <w:i w:val="0"/>
                <w:iCs w:val="0"/>
                <w:noProof/>
                <w:webHidden/>
              </w:rPr>
              <w:instrText xml:space="preserve"> PAGEREF _Toc233142904 \h </w:instrText>
            </w:r>
            <w:r w:rsidRPr="0038484B">
              <w:rPr>
                <w:b w:val="0"/>
                <w:bCs w:val="0"/>
                <w:i w:val="0"/>
                <w:iCs w:val="0"/>
                <w:noProof/>
                <w:webHidden/>
              </w:rPr>
            </w:r>
            <w:r w:rsidRPr="0038484B">
              <w:rPr>
                <w:b w:val="0"/>
                <w:bCs w:val="0"/>
                <w:i w:val="0"/>
                <w:iCs w:val="0"/>
                <w:noProof/>
                <w:webHidden/>
              </w:rPr>
              <w:fldChar w:fldCharType="separate"/>
            </w:r>
            <w:r w:rsidRPr="0038484B">
              <w:rPr>
                <w:b w:val="0"/>
                <w:bCs w:val="0"/>
                <w:i w:val="0"/>
                <w:iCs w:val="0"/>
                <w:noProof/>
                <w:webHidden/>
              </w:rPr>
              <w:t>25</w:t>
            </w:r>
            <w:r w:rsidRPr="0038484B">
              <w:rPr>
                <w:b w:val="0"/>
                <w:bCs w:val="0"/>
                <w:i w:val="0"/>
                <w:iCs w:val="0"/>
                <w:noProof/>
                <w:webHidden/>
              </w:rPr>
              <w:fldChar w:fldCharType="end"/>
            </w:r>
          </w:hyperlink>
        </w:p>
        <w:p w14:paraId="72C4327A" w14:textId="68F45D16"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905" w:history="1">
            <w:r w:rsidRPr="0038484B">
              <w:rPr>
                <w:rStyle w:val="Hiperligao"/>
                <w:rFonts w:ascii="Garamond" w:hAnsi="Garamond"/>
                <w:b w:val="0"/>
                <w:bCs w:val="0"/>
                <w:noProof/>
                <w:sz w:val="24"/>
                <w:szCs w:val="24"/>
                <w:lang w:val="en-US"/>
              </w:rPr>
              <w:t>5.1. The Cost of Private Credit: Official Benchmarks and Market Evidence</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_Toc233142905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25</w:t>
            </w:r>
            <w:r w:rsidRPr="0038484B">
              <w:rPr>
                <w:rFonts w:ascii="Garamond" w:hAnsi="Garamond"/>
                <w:b w:val="0"/>
                <w:bCs w:val="0"/>
                <w:noProof/>
                <w:webHidden/>
                <w:sz w:val="24"/>
                <w:szCs w:val="24"/>
              </w:rPr>
              <w:fldChar w:fldCharType="end"/>
            </w:r>
          </w:hyperlink>
        </w:p>
        <w:p w14:paraId="6BD1627C" w14:textId="57442362" w:rsidR="0038484B" w:rsidRPr="0038484B" w:rsidRDefault="0038484B">
          <w:pPr>
            <w:pStyle w:val="ndice3"/>
            <w:tabs>
              <w:tab w:val="right" w:leader="dot" w:pos="8493"/>
            </w:tabs>
            <w:rPr>
              <w:rFonts w:ascii="Garamond" w:eastAsiaTheme="minorEastAsia" w:hAnsi="Garamond"/>
              <w:noProof/>
              <w:sz w:val="24"/>
              <w:szCs w:val="24"/>
              <w:lang w:val="pt-PT" w:eastAsia="pt-PT"/>
            </w:rPr>
          </w:pPr>
          <w:hyperlink w:anchor="_Toc233142906" w:history="1">
            <w:r w:rsidRPr="0038484B">
              <w:rPr>
                <w:rStyle w:val="Hiperligao"/>
                <w:rFonts w:ascii="Garamond" w:hAnsi="Garamond"/>
                <w:noProof/>
                <w:sz w:val="24"/>
                <w:szCs w:val="24"/>
                <w:lang w:val="en-US"/>
              </w:rPr>
              <w:t>5.1.1. Bank Lending Rates: Official Data from the ECB and Banco de Portugal</w:t>
            </w:r>
            <w:r w:rsidRPr="0038484B">
              <w:rPr>
                <w:rFonts w:ascii="Garamond" w:hAnsi="Garamond"/>
                <w:noProof/>
                <w:webHidden/>
                <w:sz w:val="24"/>
                <w:szCs w:val="24"/>
              </w:rPr>
              <w:tab/>
            </w:r>
            <w:r w:rsidRPr="0038484B">
              <w:rPr>
                <w:rFonts w:ascii="Garamond" w:hAnsi="Garamond"/>
                <w:noProof/>
                <w:webHidden/>
                <w:sz w:val="24"/>
                <w:szCs w:val="24"/>
              </w:rPr>
              <w:fldChar w:fldCharType="begin"/>
            </w:r>
            <w:r w:rsidRPr="0038484B">
              <w:rPr>
                <w:rFonts w:ascii="Garamond" w:hAnsi="Garamond"/>
                <w:noProof/>
                <w:webHidden/>
                <w:sz w:val="24"/>
                <w:szCs w:val="24"/>
              </w:rPr>
              <w:instrText xml:space="preserve"> PAGEREF _Toc233142906 \h </w:instrText>
            </w:r>
            <w:r w:rsidRPr="0038484B">
              <w:rPr>
                <w:rFonts w:ascii="Garamond" w:hAnsi="Garamond"/>
                <w:noProof/>
                <w:webHidden/>
                <w:sz w:val="24"/>
                <w:szCs w:val="24"/>
              </w:rPr>
            </w:r>
            <w:r w:rsidRPr="0038484B">
              <w:rPr>
                <w:rFonts w:ascii="Garamond" w:hAnsi="Garamond"/>
                <w:noProof/>
                <w:webHidden/>
                <w:sz w:val="24"/>
                <w:szCs w:val="24"/>
              </w:rPr>
              <w:fldChar w:fldCharType="separate"/>
            </w:r>
            <w:r w:rsidRPr="0038484B">
              <w:rPr>
                <w:rFonts w:ascii="Garamond" w:hAnsi="Garamond"/>
                <w:noProof/>
                <w:webHidden/>
                <w:sz w:val="24"/>
                <w:szCs w:val="24"/>
              </w:rPr>
              <w:t>26</w:t>
            </w:r>
            <w:r w:rsidRPr="0038484B">
              <w:rPr>
                <w:rFonts w:ascii="Garamond" w:hAnsi="Garamond"/>
                <w:noProof/>
                <w:webHidden/>
                <w:sz w:val="24"/>
                <w:szCs w:val="24"/>
              </w:rPr>
              <w:fldChar w:fldCharType="end"/>
            </w:r>
          </w:hyperlink>
        </w:p>
        <w:p w14:paraId="5ABC2C1A" w14:textId="7A11AD05" w:rsidR="0038484B" w:rsidRPr="0038484B" w:rsidRDefault="0038484B">
          <w:pPr>
            <w:pStyle w:val="ndice3"/>
            <w:tabs>
              <w:tab w:val="right" w:leader="dot" w:pos="8493"/>
            </w:tabs>
            <w:rPr>
              <w:rFonts w:ascii="Garamond" w:eastAsiaTheme="minorEastAsia" w:hAnsi="Garamond"/>
              <w:noProof/>
              <w:sz w:val="24"/>
              <w:szCs w:val="24"/>
              <w:lang w:val="pt-PT" w:eastAsia="pt-PT"/>
            </w:rPr>
          </w:pPr>
          <w:hyperlink w:anchor="_Toc233142907" w:history="1">
            <w:r w:rsidRPr="0038484B">
              <w:rPr>
                <w:rStyle w:val="Hiperligao"/>
                <w:rFonts w:ascii="Garamond" w:hAnsi="Garamond"/>
                <w:noProof/>
                <w:sz w:val="24"/>
                <w:szCs w:val="24"/>
                <w:lang w:val="en-US"/>
              </w:rPr>
              <w:t>5.1.2. Private Credit Pricing: Primary Market Data and Institutional Evidence</w:t>
            </w:r>
            <w:r w:rsidRPr="0038484B">
              <w:rPr>
                <w:rFonts w:ascii="Garamond" w:hAnsi="Garamond"/>
                <w:noProof/>
                <w:webHidden/>
                <w:sz w:val="24"/>
                <w:szCs w:val="24"/>
              </w:rPr>
              <w:tab/>
            </w:r>
            <w:r w:rsidRPr="0038484B">
              <w:rPr>
                <w:rFonts w:ascii="Garamond" w:hAnsi="Garamond"/>
                <w:noProof/>
                <w:webHidden/>
                <w:sz w:val="24"/>
                <w:szCs w:val="24"/>
              </w:rPr>
              <w:fldChar w:fldCharType="begin"/>
            </w:r>
            <w:r w:rsidRPr="0038484B">
              <w:rPr>
                <w:rFonts w:ascii="Garamond" w:hAnsi="Garamond"/>
                <w:noProof/>
                <w:webHidden/>
                <w:sz w:val="24"/>
                <w:szCs w:val="24"/>
              </w:rPr>
              <w:instrText xml:space="preserve"> PAGEREF _Toc233142907 \h </w:instrText>
            </w:r>
            <w:r w:rsidRPr="0038484B">
              <w:rPr>
                <w:rFonts w:ascii="Garamond" w:hAnsi="Garamond"/>
                <w:noProof/>
                <w:webHidden/>
                <w:sz w:val="24"/>
                <w:szCs w:val="24"/>
              </w:rPr>
            </w:r>
            <w:r w:rsidRPr="0038484B">
              <w:rPr>
                <w:rFonts w:ascii="Garamond" w:hAnsi="Garamond"/>
                <w:noProof/>
                <w:webHidden/>
                <w:sz w:val="24"/>
                <w:szCs w:val="24"/>
              </w:rPr>
              <w:fldChar w:fldCharType="separate"/>
            </w:r>
            <w:r w:rsidRPr="0038484B">
              <w:rPr>
                <w:rFonts w:ascii="Garamond" w:hAnsi="Garamond"/>
                <w:noProof/>
                <w:webHidden/>
                <w:sz w:val="24"/>
                <w:szCs w:val="24"/>
              </w:rPr>
              <w:t>27</w:t>
            </w:r>
            <w:r w:rsidRPr="0038484B">
              <w:rPr>
                <w:rFonts w:ascii="Garamond" w:hAnsi="Garamond"/>
                <w:noProof/>
                <w:webHidden/>
                <w:sz w:val="24"/>
                <w:szCs w:val="24"/>
              </w:rPr>
              <w:fldChar w:fldCharType="end"/>
            </w:r>
          </w:hyperlink>
        </w:p>
        <w:p w14:paraId="7FF4C16D" w14:textId="6DEB67F8" w:rsidR="0038484B" w:rsidRPr="0038484B" w:rsidRDefault="0038484B">
          <w:pPr>
            <w:pStyle w:val="ndice3"/>
            <w:tabs>
              <w:tab w:val="right" w:leader="dot" w:pos="8493"/>
            </w:tabs>
            <w:rPr>
              <w:rFonts w:ascii="Garamond" w:eastAsiaTheme="minorEastAsia" w:hAnsi="Garamond"/>
              <w:noProof/>
              <w:sz w:val="24"/>
              <w:szCs w:val="24"/>
              <w:lang w:val="pt-PT" w:eastAsia="pt-PT"/>
            </w:rPr>
          </w:pPr>
          <w:hyperlink w:anchor="_Toc233142908" w:history="1">
            <w:r w:rsidRPr="0038484B">
              <w:rPr>
                <w:rStyle w:val="Hiperligao"/>
                <w:rFonts w:ascii="Garamond" w:hAnsi="Garamond"/>
                <w:noProof/>
                <w:sz w:val="24"/>
                <w:szCs w:val="24"/>
                <w:lang w:val="en-US"/>
              </w:rPr>
              <w:t>5.1.3. The Cost Differential: Quantifying the Private Credit Premium for Portuguese Borrowers</w:t>
            </w:r>
            <w:r w:rsidRPr="0038484B">
              <w:rPr>
                <w:rFonts w:ascii="Garamond" w:hAnsi="Garamond"/>
                <w:noProof/>
                <w:webHidden/>
                <w:sz w:val="24"/>
                <w:szCs w:val="24"/>
              </w:rPr>
              <w:tab/>
            </w:r>
            <w:r w:rsidRPr="0038484B">
              <w:rPr>
                <w:rFonts w:ascii="Garamond" w:hAnsi="Garamond"/>
                <w:noProof/>
                <w:webHidden/>
                <w:sz w:val="24"/>
                <w:szCs w:val="24"/>
              </w:rPr>
              <w:fldChar w:fldCharType="begin"/>
            </w:r>
            <w:r w:rsidRPr="0038484B">
              <w:rPr>
                <w:rFonts w:ascii="Garamond" w:hAnsi="Garamond"/>
                <w:noProof/>
                <w:webHidden/>
                <w:sz w:val="24"/>
                <w:szCs w:val="24"/>
              </w:rPr>
              <w:instrText xml:space="preserve"> PAGEREF _Toc233142908 \h </w:instrText>
            </w:r>
            <w:r w:rsidRPr="0038484B">
              <w:rPr>
                <w:rFonts w:ascii="Garamond" w:hAnsi="Garamond"/>
                <w:noProof/>
                <w:webHidden/>
                <w:sz w:val="24"/>
                <w:szCs w:val="24"/>
              </w:rPr>
            </w:r>
            <w:r w:rsidRPr="0038484B">
              <w:rPr>
                <w:rFonts w:ascii="Garamond" w:hAnsi="Garamond"/>
                <w:noProof/>
                <w:webHidden/>
                <w:sz w:val="24"/>
                <w:szCs w:val="24"/>
              </w:rPr>
              <w:fldChar w:fldCharType="separate"/>
            </w:r>
            <w:r w:rsidRPr="0038484B">
              <w:rPr>
                <w:rFonts w:ascii="Garamond" w:hAnsi="Garamond"/>
                <w:noProof/>
                <w:webHidden/>
                <w:sz w:val="24"/>
                <w:szCs w:val="24"/>
              </w:rPr>
              <w:t>29</w:t>
            </w:r>
            <w:r w:rsidRPr="0038484B">
              <w:rPr>
                <w:rFonts w:ascii="Garamond" w:hAnsi="Garamond"/>
                <w:noProof/>
                <w:webHidden/>
                <w:sz w:val="24"/>
                <w:szCs w:val="24"/>
              </w:rPr>
              <w:fldChar w:fldCharType="end"/>
            </w:r>
          </w:hyperlink>
        </w:p>
        <w:p w14:paraId="6BAD6696" w14:textId="0BECCACF"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909" w:history="1">
            <w:r w:rsidRPr="0038484B">
              <w:rPr>
                <w:rStyle w:val="Hiperligao"/>
                <w:rFonts w:ascii="Garamond" w:hAnsi="Garamond"/>
                <w:b w:val="0"/>
                <w:bCs w:val="0"/>
                <w:noProof/>
                <w:sz w:val="24"/>
                <w:szCs w:val="24"/>
              </w:rPr>
              <w:t>5.2. The Proposed Advisory Framework: Four Analytical Dimensions</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_Toc233142909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30</w:t>
            </w:r>
            <w:r w:rsidRPr="0038484B">
              <w:rPr>
                <w:rFonts w:ascii="Garamond" w:hAnsi="Garamond"/>
                <w:b w:val="0"/>
                <w:bCs w:val="0"/>
                <w:noProof/>
                <w:webHidden/>
                <w:sz w:val="24"/>
                <w:szCs w:val="24"/>
              </w:rPr>
              <w:fldChar w:fldCharType="end"/>
            </w:r>
          </w:hyperlink>
        </w:p>
        <w:p w14:paraId="76456939" w14:textId="15540110"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910" w:history="1">
            <w:r w:rsidRPr="0038484B">
              <w:rPr>
                <w:rStyle w:val="Hiperligao"/>
                <w:rFonts w:ascii="Garamond" w:hAnsi="Garamond"/>
                <w:b w:val="0"/>
                <w:bCs w:val="0"/>
                <w:noProof/>
                <w:sz w:val="24"/>
                <w:szCs w:val="24"/>
              </w:rPr>
              <w:t>5.3. The Private Credit Advisory Decision Matrix</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_Toc233142910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35</w:t>
            </w:r>
            <w:r w:rsidRPr="0038484B">
              <w:rPr>
                <w:rFonts w:ascii="Garamond" w:hAnsi="Garamond"/>
                <w:b w:val="0"/>
                <w:bCs w:val="0"/>
                <w:noProof/>
                <w:webHidden/>
                <w:sz w:val="24"/>
                <w:szCs w:val="24"/>
              </w:rPr>
              <w:fldChar w:fldCharType="end"/>
            </w:r>
          </w:hyperlink>
        </w:p>
        <w:p w14:paraId="5FE29CBA" w14:textId="049670BB"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911" w:history="1">
            <w:r w:rsidRPr="0038484B">
              <w:rPr>
                <w:rStyle w:val="Hiperligao"/>
                <w:rFonts w:ascii="Garamond" w:hAnsi="Garamond"/>
                <w:b w:val="0"/>
                <w:bCs w:val="0"/>
                <w:noProof/>
                <w:sz w:val="24"/>
                <w:szCs w:val="24"/>
              </w:rPr>
              <w:t>5.4. Recommendations to Triple A – Capital &amp; Finance</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_Toc233142911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35</w:t>
            </w:r>
            <w:r w:rsidRPr="0038484B">
              <w:rPr>
                <w:rFonts w:ascii="Garamond" w:hAnsi="Garamond"/>
                <w:b w:val="0"/>
                <w:bCs w:val="0"/>
                <w:noProof/>
                <w:webHidden/>
                <w:sz w:val="24"/>
                <w:szCs w:val="24"/>
              </w:rPr>
              <w:fldChar w:fldCharType="end"/>
            </w:r>
          </w:hyperlink>
        </w:p>
        <w:p w14:paraId="13A37080" w14:textId="4FD4A102" w:rsidR="0038484B" w:rsidRPr="0038484B" w:rsidRDefault="0038484B">
          <w:pPr>
            <w:pStyle w:val="ndice1"/>
            <w:tabs>
              <w:tab w:val="right" w:leader="dot" w:pos="8493"/>
            </w:tabs>
            <w:rPr>
              <w:rFonts w:eastAsiaTheme="minorEastAsia"/>
              <w:b w:val="0"/>
              <w:bCs w:val="0"/>
              <w:i w:val="0"/>
              <w:iCs w:val="0"/>
              <w:noProof/>
              <w:lang w:val="pt-PT" w:eastAsia="pt-PT"/>
            </w:rPr>
          </w:pPr>
          <w:hyperlink w:anchor="_Toc233142912" w:history="1">
            <w:r w:rsidRPr="0038484B">
              <w:rPr>
                <w:rStyle w:val="Hiperligao"/>
                <w:b w:val="0"/>
                <w:bCs w:val="0"/>
                <w:i w:val="0"/>
                <w:iCs w:val="0"/>
                <w:noProof/>
                <w:lang w:val="en-US"/>
              </w:rPr>
              <w:t>6. Conclusion</w:t>
            </w:r>
            <w:r w:rsidRPr="0038484B">
              <w:rPr>
                <w:b w:val="0"/>
                <w:bCs w:val="0"/>
                <w:i w:val="0"/>
                <w:iCs w:val="0"/>
                <w:noProof/>
                <w:webHidden/>
              </w:rPr>
              <w:tab/>
            </w:r>
            <w:r w:rsidRPr="0038484B">
              <w:rPr>
                <w:b w:val="0"/>
                <w:bCs w:val="0"/>
                <w:i w:val="0"/>
                <w:iCs w:val="0"/>
                <w:noProof/>
                <w:webHidden/>
              </w:rPr>
              <w:fldChar w:fldCharType="begin"/>
            </w:r>
            <w:r w:rsidRPr="0038484B">
              <w:rPr>
                <w:b w:val="0"/>
                <w:bCs w:val="0"/>
                <w:i w:val="0"/>
                <w:iCs w:val="0"/>
                <w:noProof/>
                <w:webHidden/>
              </w:rPr>
              <w:instrText xml:space="preserve"> PAGEREF _Toc233142912 \h </w:instrText>
            </w:r>
            <w:r w:rsidRPr="0038484B">
              <w:rPr>
                <w:b w:val="0"/>
                <w:bCs w:val="0"/>
                <w:i w:val="0"/>
                <w:iCs w:val="0"/>
                <w:noProof/>
                <w:webHidden/>
              </w:rPr>
            </w:r>
            <w:r w:rsidRPr="0038484B">
              <w:rPr>
                <w:b w:val="0"/>
                <w:bCs w:val="0"/>
                <w:i w:val="0"/>
                <w:iCs w:val="0"/>
                <w:noProof/>
                <w:webHidden/>
              </w:rPr>
              <w:fldChar w:fldCharType="separate"/>
            </w:r>
            <w:r w:rsidRPr="0038484B">
              <w:rPr>
                <w:b w:val="0"/>
                <w:bCs w:val="0"/>
                <w:i w:val="0"/>
                <w:iCs w:val="0"/>
                <w:noProof/>
                <w:webHidden/>
              </w:rPr>
              <w:t>37</w:t>
            </w:r>
            <w:r w:rsidRPr="0038484B">
              <w:rPr>
                <w:b w:val="0"/>
                <w:bCs w:val="0"/>
                <w:i w:val="0"/>
                <w:iCs w:val="0"/>
                <w:noProof/>
                <w:webHidden/>
              </w:rPr>
              <w:fldChar w:fldCharType="end"/>
            </w:r>
          </w:hyperlink>
        </w:p>
        <w:p w14:paraId="001FABAE" w14:textId="00683C34"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913" w:history="1">
            <w:r w:rsidRPr="0038484B">
              <w:rPr>
                <w:rStyle w:val="Hiperligao"/>
                <w:rFonts w:ascii="Garamond" w:hAnsi="Garamond"/>
                <w:b w:val="0"/>
                <w:bCs w:val="0"/>
                <w:noProof/>
                <w:sz w:val="24"/>
                <w:szCs w:val="24"/>
                <w:lang w:val="en-US"/>
              </w:rPr>
              <w:t>6.1. Main Findings</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_Toc233142913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37</w:t>
            </w:r>
            <w:r w:rsidRPr="0038484B">
              <w:rPr>
                <w:rFonts w:ascii="Garamond" w:hAnsi="Garamond"/>
                <w:b w:val="0"/>
                <w:bCs w:val="0"/>
                <w:noProof/>
                <w:webHidden/>
                <w:sz w:val="24"/>
                <w:szCs w:val="24"/>
              </w:rPr>
              <w:fldChar w:fldCharType="end"/>
            </w:r>
          </w:hyperlink>
        </w:p>
        <w:p w14:paraId="5A09E922" w14:textId="0E46C35C"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914" w:history="1">
            <w:r w:rsidRPr="0038484B">
              <w:rPr>
                <w:rStyle w:val="Hiperligao"/>
                <w:rFonts w:ascii="Garamond" w:hAnsi="Garamond"/>
                <w:b w:val="0"/>
                <w:bCs w:val="0"/>
                <w:noProof/>
                <w:sz w:val="24"/>
                <w:szCs w:val="24"/>
              </w:rPr>
              <w:t>6.2. Contribution and Limitations</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_Toc233142914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38</w:t>
            </w:r>
            <w:r w:rsidRPr="0038484B">
              <w:rPr>
                <w:rFonts w:ascii="Garamond" w:hAnsi="Garamond"/>
                <w:b w:val="0"/>
                <w:bCs w:val="0"/>
                <w:noProof/>
                <w:webHidden/>
                <w:sz w:val="24"/>
                <w:szCs w:val="24"/>
              </w:rPr>
              <w:fldChar w:fldCharType="end"/>
            </w:r>
          </w:hyperlink>
        </w:p>
        <w:p w14:paraId="49419CA9" w14:textId="7AAB0BE5" w:rsidR="0038484B" w:rsidRPr="0038484B" w:rsidRDefault="0038484B">
          <w:pPr>
            <w:pStyle w:val="ndice2"/>
            <w:tabs>
              <w:tab w:val="right" w:leader="dot" w:pos="8493"/>
            </w:tabs>
            <w:rPr>
              <w:rFonts w:ascii="Garamond" w:eastAsiaTheme="minorEastAsia" w:hAnsi="Garamond"/>
              <w:b w:val="0"/>
              <w:bCs w:val="0"/>
              <w:noProof/>
              <w:sz w:val="24"/>
              <w:szCs w:val="24"/>
              <w:lang w:val="pt-PT" w:eastAsia="pt-PT"/>
            </w:rPr>
          </w:pPr>
          <w:hyperlink w:anchor="_Toc233142915" w:history="1">
            <w:r w:rsidRPr="0038484B">
              <w:rPr>
                <w:rStyle w:val="Hiperligao"/>
                <w:rFonts w:ascii="Garamond" w:hAnsi="Garamond"/>
                <w:b w:val="0"/>
                <w:bCs w:val="0"/>
                <w:noProof/>
                <w:sz w:val="24"/>
                <w:szCs w:val="24"/>
                <w:lang w:val="en-US"/>
              </w:rPr>
              <w:t>6.3. Implications and Avenues for Future Research</w:t>
            </w:r>
            <w:r w:rsidRPr="0038484B">
              <w:rPr>
                <w:rFonts w:ascii="Garamond" w:hAnsi="Garamond"/>
                <w:b w:val="0"/>
                <w:bCs w:val="0"/>
                <w:noProof/>
                <w:webHidden/>
                <w:sz w:val="24"/>
                <w:szCs w:val="24"/>
              </w:rPr>
              <w:tab/>
            </w:r>
            <w:r w:rsidRPr="0038484B">
              <w:rPr>
                <w:rFonts w:ascii="Garamond" w:hAnsi="Garamond"/>
                <w:b w:val="0"/>
                <w:bCs w:val="0"/>
                <w:noProof/>
                <w:webHidden/>
                <w:sz w:val="24"/>
                <w:szCs w:val="24"/>
              </w:rPr>
              <w:fldChar w:fldCharType="begin"/>
            </w:r>
            <w:r w:rsidRPr="0038484B">
              <w:rPr>
                <w:rFonts w:ascii="Garamond" w:hAnsi="Garamond"/>
                <w:b w:val="0"/>
                <w:bCs w:val="0"/>
                <w:noProof/>
                <w:webHidden/>
                <w:sz w:val="24"/>
                <w:szCs w:val="24"/>
              </w:rPr>
              <w:instrText xml:space="preserve"> PAGEREF _Toc233142915 \h </w:instrText>
            </w:r>
            <w:r w:rsidRPr="0038484B">
              <w:rPr>
                <w:rFonts w:ascii="Garamond" w:hAnsi="Garamond"/>
                <w:b w:val="0"/>
                <w:bCs w:val="0"/>
                <w:noProof/>
                <w:webHidden/>
                <w:sz w:val="24"/>
                <w:szCs w:val="24"/>
              </w:rPr>
            </w:r>
            <w:r w:rsidRPr="0038484B">
              <w:rPr>
                <w:rFonts w:ascii="Garamond" w:hAnsi="Garamond"/>
                <w:b w:val="0"/>
                <w:bCs w:val="0"/>
                <w:noProof/>
                <w:webHidden/>
                <w:sz w:val="24"/>
                <w:szCs w:val="24"/>
              </w:rPr>
              <w:fldChar w:fldCharType="separate"/>
            </w:r>
            <w:r w:rsidRPr="0038484B">
              <w:rPr>
                <w:rFonts w:ascii="Garamond" w:hAnsi="Garamond"/>
                <w:b w:val="0"/>
                <w:bCs w:val="0"/>
                <w:noProof/>
                <w:webHidden/>
                <w:sz w:val="24"/>
                <w:szCs w:val="24"/>
              </w:rPr>
              <w:t>39</w:t>
            </w:r>
            <w:r w:rsidRPr="0038484B">
              <w:rPr>
                <w:rFonts w:ascii="Garamond" w:hAnsi="Garamond"/>
                <w:b w:val="0"/>
                <w:bCs w:val="0"/>
                <w:noProof/>
                <w:webHidden/>
                <w:sz w:val="24"/>
                <w:szCs w:val="24"/>
              </w:rPr>
              <w:fldChar w:fldCharType="end"/>
            </w:r>
          </w:hyperlink>
        </w:p>
        <w:p w14:paraId="7523E96A" w14:textId="5D3F3752" w:rsidR="0038484B" w:rsidRPr="0038484B" w:rsidRDefault="0038484B">
          <w:pPr>
            <w:pStyle w:val="ndice1"/>
            <w:tabs>
              <w:tab w:val="right" w:leader="dot" w:pos="8493"/>
            </w:tabs>
            <w:rPr>
              <w:rFonts w:eastAsiaTheme="minorEastAsia"/>
              <w:b w:val="0"/>
              <w:bCs w:val="0"/>
              <w:i w:val="0"/>
              <w:iCs w:val="0"/>
              <w:noProof/>
              <w:lang w:val="pt-PT" w:eastAsia="pt-PT"/>
            </w:rPr>
          </w:pPr>
          <w:hyperlink w:anchor="_Toc233142916" w:history="1">
            <w:r w:rsidRPr="0038484B">
              <w:rPr>
                <w:rStyle w:val="Hiperligao"/>
                <w:b w:val="0"/>
                <w:bCs w:val="0"/>
                <w:i w:val="0"/>
                <w:iCs w:val="0"/>
                <w:noProof/>
                <w:lang w:val="en-US"/>
              </w:rPr>
              <w:t>7. References</w:t>
            </w:r>
            <w:r w:rsidRPr="0038484B">
              <w:rPr>
                <w:b w:val="0"/>
                <w:bCs w:val="0"/>
                <w:i w:val="0"/>
                <w:iCs w:val="0"/>
                <w:noProof/>
                <w:webHidden/>
              </w:rPr>
              <w:tab/>
            </w:r>
            <w:r w:rsidRPr="0038484B">
              <w:rPr>
                <w:b w:val="0"/>
                <w:bCs w:val="0"/>
                <w:i w:val="0"/>
                <w:iCs w:val="0"/>
                <w:noProof/>
                <w:webHidden/>
              </w:rPr>
              <w:fldChar w:fldCharType="begin"/>
            </w:r>
            <w:r w:rsidRPr="0038484B">
              <w:rPr>
                <w:b w:val="0"/>
                <w:bCs w:val="0"/>
                <w:i w:val="0"/>
                <w:iCs w:val="0"/>
                <w:noProof/>
                <w:webHidden/>
              </w:rPr>
              <w:instrText xml:space="preserve"> PAGEREF _Toc233142916 \h </w:instrText>
            </w:r>
            <w:r w:rsidRPr="0038484B">
              <w:rPr>
                <w:b w:val="0"/>
                <w:bCs w:val="0"/>
                <w:i w:val="0"/>
                <w:iCs w:val="0"/>
                <w:noProof/>
                <w:webHidden/>
              </w:rPr>
            </w:r>
            <w:r w:rsidRPr="0038484B">
              <w:rPr>
                <w:b w:val="0"/>
                <w:bCs w:val="0"/>
                <w:i w:val="0"/>
                <w:iCs w:val="0"/>
                <w:noProof/>
                <w:webHidden/>
              </w:rPr>
              <w:fldChar w:fldCharType="separate"/>
            </w:r>
            <w:r w:rsidRPr="0038484B">
              <w:rPr>
                <w:b w:val="0"/>
                <w:bCs w:val="0"/>
                <w:i w:val="0"/>
                <w:iCs w:val="0"/>
                <w:noProof/>
                <w:webHidden/>
              </w:rPr>
              <w:t>41</w:t>
            </w:r>
            <w:r w:rsidRPr="0038484B">
              <w:rPr>
                <w:b w:val="0"/>
                <w:bCs w:val="0"/>
                <w:i w:val="0"/>
                <w:iCs w:val="0"/>
                <w:noProof/>
                <w:webHidden/>
              </w:rPr>
              <w:fldChar w:fldCharType="end"/>
            </w:r>
          </w:hyperlink>
        </w:p>
        <w:p w14:paraId="75834F57" w14:textId="7DBE8888" w:rsidR="00083EEE" w:rsidRPr="00B544A9" w:rsidRDefault="00B46575" w:rsidP="00DC6E9C">
          <w:pPr>
            <w:spacing w:line="360" w:lineRule="auto"/>
            <w:rPr>
              <w:rFonts w:ascii="Garamond" w:hAnsi="Garamond"/>
              <w:noProof/>
            </w:rPr>
          </w:pPr>
          <w:r w:rsidRPr="0038484B">
            <w:rPr>
              <w:rFonts w:ascii="Garamond" w:eastAsiaTheme="minorHAnsi" w:hAnsi="Garamond" w:cstheme="minorBidi"/>
              <w:color w:val="000000" w:themeColor="text1"/>
              <w:kern w:val="2"/>
              <w:lang w:eastAsia="en-US"/>
              <w14:ligatures w14:val="standardContextual"/>
            </w:rPr>
            <w:fldChar w:fldCharType="end"/>
          </w:r>
        </w:p>
      </w:sdtContent>
    </w:sdt>
    <w:p w14:paraId="38B4F618" w14:textId="77777777" w:rsidR="0010363D" w:rsidRDefault="0010363D" w:rsidP="00306184"/>
    <w:p w14:paraId="09DABF86" w14:textId="77777777" w:rsidR="0038484B" w:rsidRDefault="0038484B" w:rsidP="00306184"/>
    <w:p w14:paraId="0B078235" w14:textId="30A4AE06" w:rsidR="00331836" w:rsidRPr="00306184" w:rsidRDefault="0052185F" w:rsidP="00306184">
      <w:pPr>
        <w:rPr>
          <w:rFonts w:ascii="Garamond" w:hAnsi="Garamond"/>
          <w:b/>
          <w:bCs/>
          <w:noProof/>
          <w:sz w:val="28"/>
          <w:szCs w:val="28"/>
        </w:rPr>
      </w:pPr>
      <w:r w:rsidRPr="0052185F">
        <w:rPr>
          <w:rFonts w:ascii="Garamond" w:hAnsi="Garamond"/>
          <w:b/>
          <w:bCs/>
          <w:noProof/>
          <w:sz w:val="28"/>
          <w:szCs w:val="28"/>
        </w:rPr>
        <w:t xml:space="preserve">Index </w:t>
      </w:r>
      <w:r w:rsidR="007D3821">
        <w:rPr>
          <w:rFonts w:ascii="Garamond" w:hAnsi="Garamond"/>
          <w:b/>
          <w:bCs/>
          <w:noProof/>
          <w:sz w:val="28"/>
          <w:szCs w:val="28"/>
        </w:rPr>
        <w:t>of Tables</w:t>
      </w:r>
    </w:p>
    <w:p w14:paraId="69C6C076" w14:textId="77777777" w:rsidR="00331836" w:rsidRDefault="00331836" w:rsidP="00331836">
      <w:pPr>
        <w:rPr>
          <w:b/>
          <w:bCs/>
          <w:noProof/>
        </w:rPr>
      </w:pPr>
    </w:p>
    <w:p w14:paraId="20ECDDD3" w14:textId="682D8A81" w:rsidR="00206AF2" w:rsidRDefault="0052185F">
      <w:pPr>
        <w:pStyle w:val="ndicedeilustraes"/>
        <w:tabs>
          <w:tab w:val="right" w:leader="dot" w:pos="8493"/>
        </w:tabs>
        <w:rPr>
          <w:rFonts w:asciiTheme="minorHAnsi" w:eastAsiaTheme="minorEastAsia" w:hAnsiTheme="minorHAnsi"/>
          <w:noProof/>
          <w:lang w:val="pt-PT" w:eastAsia="pt-PT"/>
        </w:rPr>
      </w:pPr>
      <w:r w:rsidRPr="00DC6E9C">
        <w:rPr>
          <w:rFonts w:eastAsia="Garamond" w:cs="Garamond"/>
          <w:sz w:val="28"/>
          <w:szCs w:val="28"/>
        </w:rPr>
        <w:fldChar w:fldCharType="begin"/>
      </w:r>
      <w:r w:rsidRPr="00DC6E9C">
        <w:rPr>
          <w:rFonts w:eastAsia="Garamond" w:cs="Garamond"/>
          <w:sz w:val="28"/>
          <w:szCs w:val="28"/>
        </w:rPr>
        <w:instrText xml:space="preserve"> TOC \h \z \c "Table" </w:instrText>
      </w:r>
      <w:r w:rsidRPr="00DC6E9C">
        <w:rPr>
          <w:rFonts w:eastAsia="Garamond" w:cs="Garamond"/>
          <w:sz w:val="28"/>
          <w:szCs w:val="28"/>
        </w:rPr>
        <w:fldChar w:fldCharType="separate"/>
      </w:r>
      <w:hyperlink w:anchor="_Toc233144734" w:history="1">
        <w:r w:rsidR="00206AF2" w:rsidRPr="00444DC0">
          <w:rPr>
            <w:rStyle w:val="Hiperligao"/>
            <w:noProof/>
            <w:lang w:val="en-US"/>
          </w:rPr>
          <w:t>Table 1– Official Bank Lending Rates to Non-Financial Corporations: Portugal and Euro Area (2025–2026)</w:t>
        </w:r>
        <w:r w:rsidR="00206AF2">
          <w:rPr>
            <w:noProof/>
            <w:webHidden/>
          </w:rPr>
          <w:tab/>
        </w:r>
        <w:r w:rsidR="00206AF2">
          <w:rPr>
            <w:noProof/>
            <w:webHidden/>
          </w:rPr>
          <w:fldChar w:fldCharType="begin"/>
        </w:r>
        <w:r w:rsidR="00206AF2">
          <w:rPr>
            <w:noProof/>
            <w:webHidden/>
          </w:rPr>
          <w:instrText xml:space="preserve"> PAGEREF _Toc233144734 \h </w:instrText>
        </w:r>
        <w:r w:rsidR="00206AF2">
          <w:rPr>
            <w:noProof/>
            <w:webHidden/>
          </w:rPr>
        </w:r>
        <w:r w:rsidR="00206AF2">
          <w:rPr>
            <w:noProof/>
            <w:webHidden/>
          </w:rPr>
          <w:fldChar w:fldCharType="separate"/>
        </w:r>
        <w:r w:rsidR="00206AF2">
          <w:rPr>
            <w:noProof/>
            <w:webHidden/>
          </w:rPr>
          <w:t>26</w:t>
        </w:r>
        <w:r w:rsidR="00206AF2">
          <w:rPr>
            <w:noProof/>
            <w:webHidden/>
          </w:rPr>
          <w:fldChar w:fldCharType="end"/>
        </w:r>
      </w:hyperlink>
    </w:p>
    <w:p w14:paraId="3A06A8EA" w14:textId="342E45ED" w:rsidR="00206AF2" w:rsidRDefault="00206AF2">
      <w:pPr>
        <w:pStyle w:val="ndicedeilustraes"/>
        <w:tabs>
          <w:tab w:val="right" w:leader="dot" w:pos="8493"/>
        </w:tabs>
        <w:rPr>
          <w:rFonts w:asciiTheme="minorHAnsi" w:eastAsiaTheme="minorEastAsia" w:hAnsiTheme="minorHAnsi"/>
          <w:noProof/>
          <w:lang w:val="pt-PT" w:eastAsia="pt-PT"/>
        </w:rPr>
      </w:pPr>
      <w:hyperlink w:anchor="_Toc233144735" w:history="1">
        <w:r w:rsidRPr="00444DC0">
          <w:rPr>
            <w:rStyle w:val="Hiperligao"/>
            <w:noProof/>
            <w:lang w:val="en-US"/>
          </w:rPr>
          <w:t>Table 2 - Indicative Private Credit Pricing in the European Mid-Market (H2 2025 – Q1 2026)</w:t>
        </w:r>
        <w:r>
          <w:rPr>
            <w:noProof/>
            <w:webHidden/>
          </w:rPr>
          <w:tab/>
        </w:r>
        <w:r>
          <w:rPr>
            <w:noProof/>
            <w:webHidden/>
          </w:rPr>
          <w:fldChar w:fldCharType="begin"/>
        </w:r>
        <w:r>
          <w:rPr>
            <w:noProof/>
            <w:webHidden/>
          </w:rPr>
          <w:instrText xml:space="preserve"> PAGEREF _Toc233144735 \h </w:instrText>
        </w:r>
        <w:r>
          <w:rPr>
            <w:noProof/>
            <w:webHidden/>
          </w:rPr>
        </w:r>
        <w:r>
          <w:rPr>
            <w:noProof/>
            <w:webHidden/>
          </w:rPr>
          <w:fldChar w:fldCharType="separate"/>
        </w:r>
        <w:r>
          <w:rPr>
            <w:noProof/>
            <w:webHidden/>
          </w:rPr>
          <w:t>28</w:t>
        </w:r>
        <w:r>
          <w:rPr>
            <w:noProof/>
            <w:webHidden/>
          </w:rPr>
          <w:fldChar w:fldCharType="end"/>
        </w:r>
      </w:hyperlink>
    </w:p>
    <w:p w14:paraId="2C8AFADE" w14:textId="2A4728C8" w:rsidR="00206AF2" w:rsidRDefault="00206AF2">
      <w:pPr>
        <w:pStyle w:val="ndicedeilustraes"/>
        <w:tabs>
          <w:tab w:val="right" w:leader="dot" w:pos="8493"/>
        </w:tabs>
        <w:rPr>
          <w:rFonts w:asciiTheme="minorHAnsi" w:eastAsiaTheme="minorEastAsia" w:hAnsiTheme="minorHAnsi"/>
          <w:noProof/>
          <w:lang w:val="pt-PT" w:eastAsia="pt-PT"/>
        </w:rPr>
      </w:pPr>
      <w:hyperlink w:anchor="_Toc233144736" w:history="1">
        <w:r w:rsidRPr="00444DC0">
          <w:rPr>
            <w:rStyle w:val="Hiperligao"/>
            <w:noProof/>
            <w:lang w:val="en-US"/>
          </w:rPr>
          <w:t>Table 3 - Cost Differential Between Private Credit and Bank Financing for Portuguese Borrowers (2025–2026)</w:t>
        </w:r>
        <w:r>
          <w:rPr>
            <w:noProof/>
            <w:webHidden/>
          </w:rPr>
          <w:tab/>
        </w:r>
        <w:r>
          <w:rPr>
            <w:noProof/>
            <w:webHidden/>
          </w:rPr>
          <w:fldChar w:fldCharType="begin"/>
        </w:r>
        <w:r>
          <w:rPr>
            <w:noProof/>
            <w:webHidden/>
          </w:rPr>
          <w:instrText xml:space="preserve"> PAGEREF _Toc233144736 \h </w:instrText>
        </w:r>
        <w:r>
          <w:rPr>
            <w:noProof/>
            <w:webHidden/>
          </w:rPr>
        </w:r>
        <w:r>
          <w:rPr>
            <w:noProof/>
            <w:webHidden/>
          </w:rPr>
          <w:fldChar w:fldCharType="separate"/>
        </w:r>
        <w:r>
          <w:rPr>
            <w:noProof/>
            <w:webHidden/>
          </w:rPr>
          <w:t>29</w:t>
        </w:r>
        <w:r>
          <w:rPr>
            <w:noProof/>
            <w:webHidden/>
          </w:rPr>
          <w:fldChar w:fldCharType="end"/>
        </w:r>
      </w:hyperlink>
    </w:p>
    <w:p w14:paraId="6AC6D2AA" w14:textId="3CDAD7DF" w:rsidR="00206AF2" w:rsidRDefault="00206AF2">
      <w:pPr>
        <w:pStyle w:val="ndicedeilustraes"/>
        <w:tabs>
          <w:tab w:val="right" w:leader="dot" w:pos="8493"/>
        </w:tabs>
        <w:rPr>
          <w:rFonts w:asciiTheme="minorHAnsi" w:eastAsiaTheme="minorEastAsia" w:hAnsiTheme="minorHAnsi"/>
          <w:noProof/>
          <w:lang w:val="pt-PT" w:eastAsia="pt-PT"/>
        </w:rPr>
      </w:pPr>
      <w:hyperlink w:anchor="_Toc233144737" w:history="1">
        <w:r w:rsidRPr="00444DC0">
          <w:rPr>
            <w:rStyle w:val="Hiperligao"/>
            <w:noProof/>
            <w:lang w:val="en-US"/>
          </w:rPr>
          <w:t>Table 4 - Private Credit Advisory Decision Matrix: Dimensions, Signals and Advisory Implications</w:t>
        </w:r>
        <w:r>
          <w:rPr>
            <w:noProof/>
            <w:webHidden/>
          </w:rPr>
          <w:tab/>
        </w:r>
        <w:r>
          <w:rPr>
            <w:noProof/>
            <w:webHidden/>
          </w:rPr>
          <w:fldChar w:fldCharType="begin"/>
        </w:r>
        <w:r>
          <w:rPr>
            <w:noProof/>
            <w:webHidden/>
          </w:rPr>
          <w:instrText xml:space="preserve"> PAGEREF _Toc233144737 \h </w:instrText>
        </w:r>
        <w:r>
          <w:rPr>
            <w:noProof/>
            <w:webHidden/>
          </w:rPr>
        </w:r>
        <w:r>
          <w:rPr>
            <w:noProof/>
            <w:webHidden/>
          </w:rPr>
          <w:fldChar w:fldCharType="separate"/>
        </w:r>
        <w:r>
          <w:rPr>
            <w:noProof/>
            <w:webHidden/>
          </w:rPr>
          <w:t>35</w:t>
        </w:r>
        <w:r>
          <w:rPr>
            <w:noProof/>
            <w:webHidden/>
          </w:rPr>
          <w:fldChar w:fldCharType="end"/>
        </w:r>
      </w:hyperlink>
    </w:p>
    <w:p w14:paraId="5C56AD88" w14:textId="688CB08D" w:rsidR="00875C24" w:rsidRDefault="0052185F" w:rsidP="00DC6E9C">
      <w:pPr>
        <w:rPr>
          <w:rFonts w:ascii="Garamond" w:eastAsia="Garamond" w:hAnsi="Garamond" w:cs="Garamond"/>
          <w:sz w:val="28"/>
          <w:szCs w:val="28"/>
          <w:lang w:val="en-US"/>
        </w:rPr>
      </w:pPr>
      <w:r w:rsidRPr="00DC6E9C">
        <w:rPr>
          <w:rFonts w:ascii="Garamond" w:eastAsia="Garamond" w:hAnsi="Garamond" w:cs="Garamond"/>
          <w:kern w:val="2"/>
          <w:sz w:val="28"/>
          <w:szCs w:val="28"/>
          <w14:ligatures w14:val="standardContextual"/>
        </w:rPr>
        <w:fldChar w:fldCharType="end"/>
      </w:r>
    </w:p>
    <w:p w14:paraId="78A5848B" w14:textId="77777777" w:rsidR="00875C24" w:rsidRDefault="00875C24" w:rsidP="00DC6E9C">
      <w:pPr>
        <w:rPr>
          <w:rFonts w:ascii="Garamond" w:eastAsia="Garamond" w:hAnsi="Garamond" w:cs="Garamond"/>
          <w:sz w:val="28"/>
          <w:szCs w:val="28"/>
          <w:lang w:val="en-US"/>
        </w:rPr>
      </w:pPr>
    </w:p>
    <w:p w14:paraId="21DDF1C2" w14:textId="25F1A4A4" w:rsidR="00875C24" w:rsidRPr="00DC6E9C" w:rsidRDefault="00875C24" w:rsidP="00DC6E9C">
      <w:pPr>
        <w:rPr>
          <w:rFonts w:ascii="Garamond" w:eastAsia="Garamond" w:hAnsi="Garamond" w:cs="Garamond"/>
          <w:sz w:val="28"/>
          <w:szCs w:val="28"/>
          <w:lang w:val="en-US"/>
        </w:rPr>
        <w:sectPr w:rsidR="00875C24" w:rsidRPr="00DC6E9C" w:rsidSect="00BE47E9">
          <w:pgSz w:w="11906" w:h="16838"/>
          <w:pgMar w:top="1701" w:right="1418" w:bottom="1701" w:left="1985" w:header="720" w:footer="720" w:gutter="0"/>
          <w:pgNumType w:fmt="lowerRoman" w:start="1"/>
          <w:cols w:space="720"/>
          <w:docGrid w:linePitch="326"/>
        </w:sectPr>
      </w:pPr>
    </w:p>
    <w:p w14:paraId="5B71B941" w14:textId="4B021F26" w:rsidR="00D050D6" w:rsidRPr="00FC6FF7" w:rsidRDefault="005F36BF" w:rsidP="005F36BF">
      <w:pPr>
        <w:pStyle w:val="Ttulo1"/>
        <w:rPr>
          <w:rFonts w:ascii="Garamond" w:hAnsi="Garamond"/>
          <w:b/>
          <w:bCs/>
          <w:color w:val="000000" w:themeColor="text1"/>
          <w:sz w:val="28"/>
          <w:szCs w:val="28"/>
          <w:lang w:val="en-US"/>
        </w:rPr>
      </w:pPr>
      <w:bookmarkStart w:id="0" w:name="_Toc233142883"/>
      <w:r w:rsidRPr="00FC6FF7">
        <w:rPr>
          <w:rFonts w:ascii="Garamond" w:hAnsi="Garamond"/>
          <w:b/>
          <w:bCs/>
          <w:color w:val="000000" w:themeColor="text1"/>
          <w:sz w:val="28"/>
          <w:szCs w:val="28"/>
          <w:lang w:val="en-US"/>
        </w:rPr>
        <w:lastRenderedPageBreak/>
        <w:t xml:space="preserve">1. </w:t>
      </w:r>
      <w:r w:rsidR="00771647" w:rsidRPr="00FC6FF7">
        <w:rPr>
          <w:rFonts w:ascii="Garamond" w:hAnsi="Garamond"/>
          <w:b/>
          <w:bCs/>
          <w:color w:val="000000" w:themeColor="text1"/>
          <w:sz w:val="28"/>
          <w:szCs w:val="28"/>
          <w:lang w:val="en-US"/>
        </w:rPr>
        <w:t>Introduction</w:t>
      </w:r>
      <w:bookmarkEnd w:id="0"/>
    </w:p>
    <w:p w14:paraId="4F7B9863" w14:textId="77777777" w:rsidR="00D050D6" w:rsidRPr="00FC6FF7" w:rsidRDefault="00D050D6" w:rsidP="005F36BF">
      <w:pPr>
        <w:rPr>
          <w:lang w:val="en-US"/>
        </w:rPr>
      </w:pPr>
      <w:bookmarkStart w:id="1" w:name="OLE_LINK7"/>
    </w:p>
    <w:p w14:paraId="75F961AC" w14:textId="77777777" w:rsidR="00772A5F" w:rsidRPr="00772A5F" w:rsidRDefault="00772A5F" w:rsidP="00772A5F">
      <w:pPr>
        <w:spacing w:line="360" w:lineRule="auto"/>
        <w:ind w:firstLine="360"/>
        <w:jc w:val="both"/>
        <w:rPr>
          <w:rFonts w:ascii="Garamond" w:eastAsiaTheme="minorHAnsi" w:hAnsi="Garamond" w:cstheme="minorBidi"/>
          <w:kern w:val="2"/>
          <w:lang w:val="en-US" w:eastAsia="en-US"/>
          <w14:ligatures w14:val="standardContextual"/>
        </w:rPr>
      </w:pPr>
      <w:bookmarkStart w:id="2" w:name="_Toc220403252"/>
      <w:bookmarkStart w:id="3" w:name="_Toc220500089"/>
      <w:bookmarkEnd w:id="1"/>
      <w:r w:rsidRPr="00772A5F">
        <w:rPr>
          <w:rFonts w:ascii="Garamond" w:eastAsiaTheme="minorHAnsi" w:hAnsi="Garamond" w:cstheme="minorBidi"/>
          <w:kern w:val="2"/>
          <w:lang w:val="en-US" w:eastAsia="en-US"/>
          <w14:ligatures w14:val="standardContextual"/>
        </w:rPr>
        <w:t xml:space="preserve">In the last few decades, there have been many significant changes in the finance industry. They could be linked to various issues, such as laws, regulations, and diversification of financing methods in the global market, among others. First, as a universal truth that is </w:t>
      </w:r>
      <w:proofErr w:type="spellStart"/>
      <w:r w:rsidRPr="00772A5F">
        <w:rPr>
          <w:rFonts w:ascii="Garamond" w:eastAsiaTheme="minorHAnsi" w:hAnsi="Garamond" w:cstheme="minorBidi"/>
          <w:kern w:val="2"/>
          <w:lang w:val="en-US" w:eastAsia="en-US"/>
          <w14:ligatures w14:val="standardContextual"/>
        </w:rPr>
        <w:t>recognised</w:t>
      </w:r>
      <w:proofErr w:type="spellEnd"/>
      <w:r w:rsidRPr="00772A5F">
        <w:rPr>
          <w:rFonts w:ascii="Garamond" w:eastAsiaTheme="minorHAnsi" w:hAnsi="Garamond" w:cstheme="minorBidi"/>
          <w:kern w:val="2"/>
          <w:lang w:val="en-US" w:eastAsia="en-US"/>
          <w14:ligatures w14:val="standardContextual"/>
        </w:rPr>
        <w:t xml:space="preserve"> worldwide, the main way of financing that any firm uses is through its commercial bank as the major source of funds throughout the world. Recently, corporate financing has evolved and provided more options than existed before. This is because in an ever-changing world, private credit forms another source of funding in the global financial world.</w:t>
      </w:r>
    </w:p>
    <w:p w14:paraId="7B24E809" w14:textId="77777777" w:rsidR="00772A5F" w:rsidRPr="00772A5F" w:rsidRDefault="00772A5F" w:rsidP="00772A5F">
      <w:pPr>
        <w:spacing w:line="360" w:lineRule="auto"/>
        <w:ind w:firstLine="360"/>
        <w:jc w:val="both"/>
        <w:rPr>
          <w:rFonts w:ascii="Garamond" w:eastAsiaTheme="minorHAnsi" w:hAnsi="Garamond" w:cstheme="minorBidi"/>
          <w:kern w:val="2"/>
          <w:lang w:val="en-US" w:eastAsia="en-US"/>
          <w14:ligatures w14:val="standardContextual"/>
        </w:rPr>
      </w:pPr>
      <w:r w:rsidRPr="00772A5F">
        <w:rPr>
          <w:rFonts w:ascii="Garamond" w:eastAsiaTheme="minorHAnsi" w:hAnsi="Garamond" w:cstheme="minorBidi"/>
          <w:kern w:val="2"/>
          <w:lang w:val="en-US" w:eastAsia="en-US"/>
          <w14:ligatures w14:val="standardContextual"/>
        </w:rPr>
        <w:t xml:space="preserve">This report is the result of a curricular placement undertaken at Triple A – Capital &amp; Finance, a financial consultancy boutique </w:t>
      </w:r>
      <w:proofErr w:type="spellStart"/>
      <w:r w:rsidRPr="00772A5F">
        <w:rPr>
          <w:rFonts w:ascii="Garamond" w:eastAsiaTheme="minorHAnsi" w:hAnsi="Garamond" w:cstheme="minorBidi"/>
          <w:kern w:val="2"/>
          <w:lang w:val="en-US" w:eastAsia="en-US"/>
          <w14:ligatures w14:val="standardContextual"/>
        </w:rPr>
        <w:t>specialising</w:t>
      </w:r>
      <w:proofErr w:type="spellEnd"/>
      <w:r w:rsidRPr="00772A5F">
        <w:rPr>
          <w:rFonts w:ascii="Garamond" w:eastAsiaTheme="minorHAnsi" w:hAnsi="Garamond" w:cstheme="minorBidi"/>
          <w:kern w:val="2"/>
          <w:lang w:val="en-US" w:eastAsia="en-US"/>
          <w14:ligatures w14:val="standardContextual"/>
        </w:rPr>
        <w:t xml:space="preserve"> in corporate finance, which provided the opportunity to participate in a range of activities, including financial analysis, support for mergers and acquisitions, engagement with institutional investors, and the assessment of alternative financing solutions for corporate clients. Despite the growing interest among the firm’s clients in alternative financing solutions, Triple A does not have a structured methodology that allows for the systematic assessment of the conditions under which private credit might constitute a strategic alternative to traditional bank financing. It was precisely this gap that motivated this study.</w:t>
      </w:r>
    </w:p>
    <w:p w14:paraId="51E6987B" w14:textId="77777777" w:rsidR="00772A5F" w:rsidRPr="00772A5F" w:rsidRDefault="00772A5F" w:rsidP="00772A5F">
      <w:pPr>
        <w:spacing w:line="360" w:lineRule="auto"/>
        <w:ind w:firstLine="360"/>
        <w:jc w:val="both"/>
        <w:rPr>
          <w:rFonts w:ascii="Garamond" w:eastAsiaTheme="minorHAnsi" w:hAnsi="Garamond" w:cstheme="minorBidi"/>
          <w:kern w:val="2"/>
          <w:lang w:val="en-US" w:eastAsia="en-US"/>
          <w14:ligatures w14:val="standardContextual"/>
        </w:rPr>
      </w:pPr>
      <w:r w:rsidRPr="00772A5F">
        <w:rPr>
          <w:rFonts w:ascii="Garamond" w:eastAsiaTheme="minorHAnsi" w:hAnsi="Garamond" w:cstheme="minorBidi"/>
          <w:kern w:val="2"/>
          <w:lang w:val="en-US" w:eastAsia="en-US"/>
          <w14:ligatures w14:val="standardContextual"/>
        </w:rPr>
        <w:t xml:space="preserve">The decision to focus on private credit as the central theme was influenced by the supervisor at the company, who identified this area as an opportunity for the company to stand out from the competition. It became clear from the outset that private credit is a topic that remains largely unexplored within the Portuguese business community, despite being well established as a form of financing at an international level. </w:t>
      </w:r>
    </w:p>
    <w:p w14:paraId="1674803A" w14:textId="678CB510" w:rsidR="00772A5F" w:rsidRPr="00772A5F" w:rsidRDefault="00772A5F" w:rsidP="00772A5F">
      <w:pPr>
        <w:spacing w:line="360" w:lineRule="auto"/>
        <w:ind w:firstLine="360"/>
        <w:jc w:val="both"/>
        <w:rPr>
          <w:rFonts w:ascii="Garamond" w:eastAsiaTheme="minorHAnsi" w:hAnsi="Garamond" w:cstheme="minorBidi"/>
          <w:kern w:val="2"/>
          <w:lang w:val="en-US" w:eastAsia="en-US"/>
          <w14:ligatures w14:val="standardContextual"/>
        </w:rPr>
      </w:pPr>
      <w:r w:rsidRPr="00772A5F">
        <w:rPr>
          <w:rFonts w:ascii="Garamond" w:eastAsiaTheme="minorHAnsi" w:hAnsi="Garamond" w:cstheme="minorBidi"/>
          <w:kern w:val="2"/>
          <w:lang w:val="en-US" w:eastAsia="en-US"/>
          <w14:ligatures w14:val="standardContextual"/>
        </w:rPr>
        <w:t>Against this backdrop, the main objective of this report is to develop a practical advisory framework to support the assessment of private credit as a financing alternative for Portuguese companies. This main objective is complemented by three secondary objectives: to compare private credit with traditional bank financing</w:t>
      </w:r>
      <w:r w:rsidR="00900E48">
        <w:rPr>
          <w:rFonts w:ascii="Garamond" w:eastAsiaTheme="minorHAnsi" w:hAnsi="Garamond" w:cstheme="minorBidi"/>
          <w:kern w:val="2"/>
          <w:lang w:val="en-US" w:eastAsia="en-US"/>
          <w14:ligatures w14:val="standardContextual"/>
        </w:rPr>
        <w:t>,</w:t>
      </w:r>
      <w:r w:rsidRPr="00772A5F">
        <w:rPr>
          <w:rFonts w:ascii="Garamond" w:eastAsiaTheme="minorHAnsi" w:hAnsi="Garamond" w:cstheme="minorBidi"/>
          <w:kern w:val="2"/>
          <w:lang w:val="en-US" w:eastAsia="en-US"/>
          <w14:ligatures w14:val="standardContextual"/>
        </w:rPr>
        <w:t xml:space="preserve"> to identify situations in which private credit may represent a suitable financing solution</w:t>
      </w:r>
      <w:r w:rsidR="00900E48">
        <w:rPr>
          <w:rFonts w:ascii="Garamond" w:eastAsiaTheme="minorHAnsi" w:hAnsi="Garamond" w:cstheme="minorBidi"/>
          <w:kern w:val="2"/>
          <w:lang w:val="en-US" w:eastAsia="en-US"/>
          <w14:ligatures w14:val="standardContextual"/>
        </w:rPr>
        <w:t>,</w:t>
      </w:r>
      <w:r w:rsidRPr="00772A5F">
        <w:rPr>
          <w:rFonts w:ascii="Garamond" w:eastAsiaTheme="minorHAnsi" w:hAnsi="Garamond" w:cstheme="minorBidi"/>
          <w:kern w:val="2"/>
          <w:lang w:val="en-US" w:eastAsia="en-US"/>
          <w14:ligatures w14:val="standardContextual"/>
        </w:rPr>
        <w:t xml:space="preserve"> and to support Triple A’s advisory activities through a structured assessment framework. </w:t>
      </w:r>
    </w:p>
    <w:p w14:paraId="0E67E6DF" w14:textId="77777777" w:rsidR="00772A5F" w:rsidRPr="00772A5F" w:rsidRDefault="00772A5F" w:rsidP="00772A5F">
      <w:pPr>
        <w:spacing w:line="360" w:lineRule="auto"/>
        <w:ind w:firstLine="360"/>
        <w:jc w:val="both"/>
        <w:rPr>
          <w:rFonts w:ascii="Garamond" w:eastAsiaTheme="minorHAnsi" w:hAnsi="Garamond" w:cstheme="minorBidi"/>
          <w:kern w:val="2"/>
          <w:lang w:val="en-US" w:eastAsia="en-US"/>
          <w14:ligatures w14:val="standardContextual"/>
        </w:rPr>
      </w:pPr>
      <w:r w:rsidRPr="00772A5F">
        <w:rPr>
          <w:rFonts w:ascii="Garamond" w:eastAsiaTheme="minorHAnsi" w:hAnsi="Garamond" w:cstheme="minorBidi"/>
          <w:kern w:val="2"/>
          <w:lang w:val="en-US" w:eastAsia="en-US"/>
          <w14:ligatures w14:val="standardContextual"/>
        </w:rPr>
        <w:t xml:space="preserve">Based on the results obtained, it is possible to identify a cost difference between private credit and bank financing that ranges from 215 to 700 basis points, according to official data from the Bank of Portugal and the ECB. However, this difference becomes less significant </w:t>
      </w:r>
      <w:r w:rsidRPr="00772A5F">
        <w:rPr>
          <w:rFonts w:ascii="Garamond" w:eastAsiaTheme="minorHAnsi" w:hAnsi="Garamond" w:cstheme="minorBidi"/>
          <w:kern w:val="2"/>
          <w:lang w:val="en-US" w:eastAsia="en-US"/>
          <w14:ligatures w14:val="standardContextual"/>
        </w:rPr>
        <w:lastRenderedPageBreak/>
        <w:t>in transactions where bank financing is structurally limited or simply unavailable. In this context, it is recommended that Triple A – Capital &amp; Finance incorporate the framework developed into its advisory methodology, using it as a tool to support the screening and evaluation of clients’ financing mandates.</w:t>
      </w:r>
    </w:p>
    <w:p w14:paraId="3FD21070" w14:textId="1C342FD6" w:rsidR="00B46575" w:rsidRPr="00BB0C11" w:rsidRDefault="00717ABE" w:rsidP="00BB0C11">
      <w:pPr>
        <w:spacing w:line="360" w:lineRule="auto"/>
        <w:ind w:firstLine="360"/>
        <w:jc w:val="both"/>
        <w:rPr>
          <w:rFonts w:ascii="Garamond" w:eastAsiaTheme="minorHAnsi" w:hAnsi="Garamond" w:cstheme="minorBidi"/>
          <w:kern w:val="2"/>
          <w:lang w:val="en-US" w:eastAsia="en-US"/>
          <w14:ligatures w14:val="standardContextual"/>
        </w:rPr>
      </w:pPr>
      <w:r w:rsidRPr="00717ABE">
        <w:rPr>
          <w:rFonts w:ascii="Garamond" w:eastAsiaTheme="minorHAnsi" w:hAnsi="Garamond" w:cstheme="minorBidi"/>
          <w:kern w:val="2"/>
          <w:lang w:eastAsia="en-US"/>
          <w14:ligatures w14:val="standardContextual"/>
        </w:rPr>
        <w:t>This report is structured as follows: Chapter 2 analyses the Portuguese and European corporate finance markets, describes the company Triple A – Capital &amp; Finance and the context of the internship. Chapter 3 presents a review of the literature on private credit. Chapter 4 sets out the research problem and the methodological approach adopted. Chapter 5 presents the cost benchmarks and the Pr</w:t>
      </w:r>
      <w:r>
        <w:rPr>
          <w:rFonts w:ascii="Garamond" w:eastAsiaTheme="minorHAnsi" w:hAnsi="Garamond" w:cstheme="minorBidi"/>
          <w:kern w:val="2"/>
          <w:lang w:eastAsia="en-US"/>
          <w14:ligatures w14:val="standardContextual"/>
        </w:rPr>
        <w:t>oposed</w:t>
      </w:r>
      <w:r w:rsidRPr="00717ABE">
        <w:rPr>
          <w:rFonts w:ascii="Garamond" w:eastAsiaTheme="minorHAnsi" w:hAnsi="Garamond" w:cstheme="minorBidi"/>
          <w:kern w:val="2"/>
          <w:lang w:eastAsia="en-US"/>
          <w14:ligatures w14:val="standardContextual"/>
        </w:rPr>
        <w:t xml:space="preserve"> Advisory Framework. Chapter 6 concludes with the main results, limitations and suggestions for future research.</w:t>
      </w:r>
    </w:p>
    <w:p w14:paraId="7EF41C96" w14:textId="77777777" w:rsidR="00B46575" w:rsidRDefault="00B46575" w:rsidP="002313B9">
      <w:pPr>
        <w:spacing w:line="360" w:lineRule="auto"/>
        <w:jc w:val="both"/>
        <w:rPr>
          <w:rFonts w:ascii="Garamond" w:hAnsi="Garamond"/>
          <w:color w:val="000000" w:themeColor="text1"/>
          <w:lang w:val="en-US"/>
        </w:rPr>
      </w:pPr>
    </w:p>
    <w:p w14:paraId="638F7DF2" w14:textId="77777777" w:rsidR="002313B9" w:rsidRDefault="002313B9" w:rsidP="002313B9">
      <w:pPr>
        <w:spacing w:line="360" w:lineRule="auto"/>
        <w:jc w:val="both"/>
        <w:rPr>
          <w:rFonts w:ascii="Garamond" w:hAnsi="Garamond"/>
          <w:color w:val="000000" w:themeColor="text1"/>
          <w:lang w:val="en-US"/>
        </w:rPr>
      </w:pPr>
    </w:p>
    <w:p w14:paraId="02575809" w14:textId="77777777" w:rsidR="00454FE9" w:rsidRDefault="00454FE9" w:rsidP="002313B9">
      <w:pPr>
        <w:spacing w:line="360" w:lineRule="auto"/>
        <w:jc w:val="both"/>
        <w:rPr>
          <w:rFonts w:ascii="Garamond" w:hAnsi="Garamond"/>
          <w:color w:val="000000" w:themeColor="text1"/>
          <w:lang w:val="en-US"/>
        </w:rPr>
      </w:pPr>
    </w:p>
    <w:p w14:paraId="4AF35564" w14:textId="77777777" w:rsidR="00454FE9" w:rsidRDefault="00454FE9" w:rsidP="002313B9">
      <w:pPr>
        <w:spacing w:line="360" w:lineRule="auto"/>
        <w:jc w:val="both"/>
        <w:rPr>
          <w:rFonts w:ascii="Garamond" w:hAnsi="Garamond"/>
          <w:color w:val="000000" w:themeColor="text1"/>
          <w:lang w:val="en-US"/>
        </w:rPr>
      </w:pPr>
    </w:p>
    <w:p w14:paraId="565ABFDC" w14:textId="77777777" w:rsidR="00454FE9" w:rsidRDefault="00454FE9" w:rsidP="002313B9">
      <w:pPr>
        <w:spacing w:line="360" w:lineRule="auto"/>
        <w:jc w:val="both"/>
        <w:rPr>
          <w:rFonts w:ascii="Garamond" w:hAnsi="Garamond"/>
          <w:color w:val="000000" w:themeColor="text1"/>
          <w:lang w:val="en-US"/>
        </w:rPr>
      </w:pPr>
    </w:p>
    <w:p w14:paraId="51C4B763" w14:textId="77777777" w:rsidR="00454FE9" w:rsidRDefault="00454FE9" w:rsidP="002313B9">
      <w:pPr>
        <w:spacing w:line="360" w:lineRule="auto"/>
        <w:jc w:val="both"/>
        <w:rPr>
          <w:rFonts w:ascii="Garamond" w:hAnsi="Garamond"/>
          <w:color w:val="000000" w:themeColor="text1"/>
          <w:lang w:val="en-US"/>
        </w:rPr>
      </w:pPr>
    </w:p>
    <w:p w14:paraId="7616C4C6" w14:textId="77777777" w:rsidR="00454FE9" w:rsidRDefault="00454FE9" w:rsidP="002313B9">
      <w:pPr>
        <w:spacing w:line="360" w:lineRule="auto"/>
        <w:jc w:val="both"/>
        <w:rPr>
          <w:rFonts w:ascii="Garamond" w:hAnsi="Garamond"/>
          <w:color w:val="000000" w:themeColor="text1"/>
          <w:lang w:val="en-US"/>
        </w:rPr>
      </w:pPr>
    </w:p>
    <w:p w14:paraId="281A6B81" w14:textId="77777777" w:rsidR="00454FE9" w:rsidRDefault="00454FE9" w:rsidP="002313B9">
      <w:pPr>
        <w:spacing w:line="360" w:lineRule="auto"/>
        <w:jc w:val="both"/>
        <w:rPr>
          <w:rFonts w:ascii="Garamond" w:hAnsi="Garamond"/>
          <w:color w:val="000000" w:themeColor="text1"/>
          <w:lang w:val="en-US"/>
        </w:rPr>
      </w:pPr>
    </w:p>
    <w:p w14:paraId="4920C487" w14:textId="77777777" w:rsidR="00454FE9" w:rsidRDefault="00454FE9" w:rsidP="002313B9">
      <w:pPr>
        <w:spacing w:line="360" w:lineRule="auto"/>
        <w:jc w:val="both"/>
        <w:rPr>
          <w:rFonts w:ascii="Garamond" w:hAnsi="Garamond"/>
          <w:color w:val="000000" w:themeColor="text1"/>
          <w:lang w:val="en-US"/>
        </w:rPr>
      </w:pPr>
    </w:p>
    <w:p w14:paraId="3BB2994E" w14:textId="77777777" w:rsidR="00454FE9" w:rsidRDefault="00454FE9" w:rsidP="002313B9">
      <w:pPr>
        <w:spacing w:line="360" w:lineRule="auto"/>
        <w:jc w:val="both"/>
        <w:rPr>
          <w:rFonts w:ascii="Garamond" w:hAnsi="Garamond"/>
          <w:color w:val="000000" w:themeColor="text1"/>
          <w:lang w:val="en-US"/>
        </w:rPr>
      </w:pPr>
    </w:p>
    <w:p w14:paraId="5F329031" w14:textId="77777777" w:rsidR="00454FE9" w:rsidRDefault="00454FE9" w:rsidP="002313B9">
      <w:pPr>
        <w:spacing w:line="360" w:lineRule="auto"/>
        <w:jc w:val="both"/>
        <w:rPr>
          <w:rFonts w:ascii="Garamond" w:hAnsi="Garamond"/>
          <w:color w:val="000000" w:themeColor="text1"/>
          <w:lang w:val="en-US"/>
        </w:rPr>
      </w:pPr>
    </w:p>
    <w:p w14:paraId="0F643B49" w14:textId="77777777" w:rsidR="00454FE9" w:rsidRDefault="00454FE9" w:rsidP="002313B9">
      <w:pPr>
        <w:spacing w:line="360" w:lineRule="auto"/>
        <w:jc w:val="both"/>
        <w:rPr>
          <w:rFonts w:ascii="Garamond" w:hAnsi="Garamond"/>
          <w:color w:val="000000" w:themeColor="text1"/>
          <w:lang w:val="en-US"/>
        </w:rPr>
      </w:pPr>
    </w:p>
    <w:p w14:paraId="2159DB0F" w14:textId="77777777" w:rsidR="00454FE9" w:rsidRDefault="00454FE9" w:rsidP="002313B9">
      <w:pPr>
        <w:spacing w:line="360" w:lineRule="auto"/>
        <w:jc w:val="both"/>
        <w:rPr>
          <w:rFonts w:ascii="Garamond" w:hAnsi="Garamond"/>
          <w:color w:val="000000" w:themeColor="text1"/>
          <w:lang w:val="en-US"/>
        </w:rPr>
      </w:pPr>
    </w:p>
    <w:p w14:paraId="2E2201FA" w14:textId="77777777" w:rsidR="00454FE9" w:rsidRDefault="00454FE9" w:rsidP="002313B9">
      <w:pPr>
        <w:spacing w:line="360" w:lineRule="auto"/>
        <w:jc w:val="both"/>
        <w:rPr>
          <w:rFonts w:ascii="Garamond" w:hAnsi="Garamond"/>
          <w:color w:val="000000" w:themeColor="text1"/>
          <w:lang w:val="en-US"/>
        </w:rPr>
      </w:pPr>
    </w:p>
    <w:p w14:paraId="3006B10D" w14:textId="77777777" w:rsidR="00B85D9E" w:rsidRDefault="00B85D9E" w:rsidP="002313B9">
      <w:pPr>
        <w:spacing w:line="360" w:lineRule="auto"/>
        <w:jc w:val="both"/>
        <w:rPr>
          <w:rFonts w:ascii="Garamond" w:hAnsi="Garamond"/>
          <w:color w:val="000000" w:themeColor="text1"/>
          <w:lang w:val="en-US"/>
        </w:rPr>
      </w:pPr>
    </w:p>
    <w:p w14:paraId="545FB603" w14:textId="77777777" w:rsidR="00B85D9E" w:rsidRDefault="00B85D9E" w:rsidP="002313B9">
      <w:pPr>
        <w:spacing w:line="360" w:lineRule="auto"/>
        <w:jc w:val="both"/>
        <w:rPr>
          <w:rFonts w:ascii="Garamond" w:hAnsi="Garamond"/>
          <w:color w:val="000000" w:themeColor="text1"/>
          <w:lang w:val="en-US"/>
        </w:rPr>
      </w:pPr>
    </w:p>
    <w:p w14:paraId="1D57C109" w14:textId="77777777" w:rsidR="00B85D9E" w:rsidRDefault="00B85D9E" w:rsidP="002313B9">
      <w:pPr>
        <w:spacing w:line="360" w:lineRule="auto"/>
        <w:jc w:val="both"/>
        <w:rPr>
          <w:rFonts w:ascii="Garamond" w:hAnsi="Garamond"/>
          <w:color w:val="000000" w:themeColor="text1"/>
          <w:lang w:val="en-US"/>
        </w:rPr>
      </w:pPr>
    </w:p>
    <w:p w14:paraId="5C269FBE" w14:textId="77777777" w:rsidR="00B85D9E" w:rsidRDefault="00B85D9E" w:rsidP="002313B9">
      <w:pPr>
        <w:spacing w:line="360" w:lineRule="auto"/>
        <w:jc w:val="both"/>
        <w:rPr>
          <w:rFonts w:ascii="Garamond" w:hAnsi="Garamond"/>
          <w:color w:val="000000" w:themeColor="text1"/>
          <w:lang w:val="en-US"/>
        </w:rPr>
      </w:pPr>
    </w:p>
    <w:p w14:paraId="1954D97F" w14:textId="77777777" w:rsidR="00B85D9E" w:rsidRDefault="00B85D9E" w:rsidP="002313B9">
      <w:pPr>
        <w:spacing w:line="360" w:lineRule="auto"/>
        <w:jc w:val="both"/>
        <w:rPr>
          <w:rFonts w:ascii="Garamond" w:hAnsi="Garamond"/>
          <w:color w:val="000000" w:themeColor="text1"/>
          <w:lang w:val="en-US"/>
        </w:rPr>
      </w:pPr>
    </w:p>
    <w:p w14:paraId="1AB3A389" w14:textId="77777777" w:rsidR="00B85D9E" w:rsidRDefault="00B85D9E" w:rsidP="002313B9">
      <w:pPr>
        <w:spacing w:line="360" w:lineRule="auto"/>
        <w:jc w:val="both"/>
        <w:rPr>
          <w:rFonts w:ascii="Garamond" w:hAnsi="Garamond"/>
          <w:color w:val="000000" w:themeColor="text1"/>
          <w:lang w:val="en-US"/>
        </w:rPr>
      </w:pPr>
    </w:p>
    <w:p w14:paraId="09A7A65A" w14:textId="77777777" w:rsidR="00CE6313" w:rsidRPr="002313B9" w:rsidRDefault="00CE6313" w:rsidP="002313B9">
      <w:pPr>
        <w:spacing w:line="360" w:lineRule="auto"/>
        <w:jc w:val="both"/>
        <w:rPr>
          <w:rFonts w:ascii="Garamond" w:hAnsi="Garamond"/>
          <w:color w:val="000000" w:themeColor="text1"/>
          <w:lang w:val="en-US"/>
        </w:rPr>
      </w:pPr>
    </w:p>
    <w:p w14:paraId="0F7A6DFC" w14:textId="6C8D84CC" w:rsidR="0015517D" w:rsidRDefault="005F36BF" w:rsidP="0015517D">
      <w:pPr>
        <w:pStyle w:val="Ttulo1"/>
        <w:rPr>
          <w:rFonts w:ascii="Garamond" w:hAnsi="Garamond"/>
          <w:b/>
          <w:bCs/>
          <w:color w:val="000000" w:themeColor="text1"/>
          <w:sz w:val="28"/>
          <w:szCs w:val="28"/>
          <w:lang w:val="en-US"/>
        </w:rPr>
      </w:pPr>
      <w:bookmarkStart w:id="4" w:name="_Toc233142884"/>
      <w:r w:rsidRPr="004F0F51">
        <w:rPr>
          <w:rFonts w:ascii="Garamond" w:hAnsi="Garamond"/>
          <w:b/>
          <w:bCs/>
          <w:color w:val="000000" w:themeColor="text1"/>
          <w:sz w:val="28"/>
          <w:szCs w:val="28"/>
          <w:lang w:val="en-US"/>
        </w:rPr>
        <w:lastRenderedPageBreak/>
        <w:t xml:space="preserve">2. </w:t>
      </w:r>
      <w:bookmarkEnd w:id="2"/>
      <w:bookmarkEnd w:id="3"/>
      <w:r w:rsidR="00775DAD">
        <w:rPr>
          <w:rFonts w:ascii="Garamond" w:hAnsi="Garamond"/>
          <w:b/>
          <w:bCs/>
          <w:color w:val="000000" w:themeColor="text1"/>
          <w:sz w:val="28"/>
          <w:szCs w:val="28"/>
          <w:lang w:val="en-US"/>
        </w:rPr>
        <w:t xml:space="preserve">The </w:t>
      </w:r>
      <w:r w:rsidR="0012275C">
        <w:rPr>
          <w:rFonts w:ascii="Garamond" w:hAnsi="Garamond"/>
          <w:b/>
          <w:bCs/>
          <w:color w:val="000000" w:themeColor="text1"/>
          <w:sz w:val="28"/>
          <w:szCs w:val="28"/>
          <w:lang w:val="en-US"/>
        </w:rPr>
        <w:t>I</w:t>
      </w:r>
      <w:r w:rsidR="00775DAD">
        <w:rPr>
          <w:rFonts w:ascii="Garamond" w:hAnsi="Garamond"/>
          <w:b/>
          <w:bCs/>
          <w:color w:val="000000" w:themeColor="text1"/>
          <w:sz w:val="28"/>
          <w:szCs w:val="28"/>
          <w:lang w:val="en-US"/>
        </w:rPr>
        <w:t>nternship</w:t>
      </w:r>
      <w:r w:rsidR="00302E0C">
        <w:rPr>
          <w:rFonts w:ascii="Garamond" w:hAnsi="Garamond"/>
          <w:b/>
          <w:bCs/>
          <w:color w:val="000000" w:themeColor="text1"/>
          <w:sz w:val="28"/>
          <w:szCs w:val="28"/>
          <w:lang w:val="en-US"/>
        </w:rPr>
        <w:t xml:space="preserve"> </w:t>
      </w:r>
      <w:r w:rsidR="0012275C">
        <w:rPr>
          <w:rFonts w:ascii="Garamond" w:hAnsi="Garamond"/>
          <w:b/>
          <w:bCs/>
          <w:color w:val="000000" w:themeColor="text1"/>
          <w:sz w:val="28"/>
          <w:szCs w:val="28"/>
          <w:lang w:val="en-US"/>
        </w:rPr>
        <w:t>R</w:t>
      </w:r>
      <w:r w:rsidR="00302E0C">
        <w:rPr>
          <w:rFonts w:ascii="Garamond" w:hAnsi="Garamond"/>
          <w:b/>
          <w:bCs/>
          <w:color w:val="000000" w:themeColor="text1"/>
          <w:sz w:val="28"/>
          <w:szCs w:val="28"/>
          <w:lang w:val="en-US"/>
        </w:rPr>
        <w:t xml:space="preserve">ole and </w:t>
      </w:r>
      <w:r w:rsidR="0012275C">
        <w:rPr>
          <w:rFonts w:ascii="Garamond" w:hAnsi="Garamond"/>
          <w:b/>
          <w:bCs/>
          <w:color w:val="000000" w:themeColor="text1"/>
          <w:sz w:val="28"/>
          <w:szCs w:val="28"/>
          <w:lang w:val="en-US"/>
        </w:rPr>
        <w:t>C</w:t>
      </w:r>
      <w:r w:rsidR="00302E0C">
        <w:rPr>
          <w:rFonts w:ascii="Garamond" w:hAnsi="Garamond"/>
          <w:b/>
          <w:bCs/>
          <w:color w:val="000000" w:themeColor="text1"/>
          <w:sz w:val="28"/>
          <w:szCs w:val="28"/>
          <w:lang w:val="en-US"/>
        </w:rPr>
        <w:t>o</w:t>
      </w:r>
      <w:r w:rsidR="0012275C">
        <w:rPr>
          <w:rFonts w:ascii="Garamond" w:hAnsi="Garamond"/>
          <w:b/>
          <w:bCs/>
          <w:color w:val="000000" w:themeColor="text1"/>
          <w:sz w:val="28"/>
          <w:szCs w:val="28"/>
          <w:lang w:val="en-US"/>
        </w:rPr>
        <w:t>n</w:t>
      </w:r>
      <w:r w:rsidR="00302E0C">
        <w:rPr>
          <w:rFonts w:ascii="Garamond" w:hAnsi="Garamond"/>
          <w:b/>
          <w:bCs/>
          <w:color w:val="000000" w:themeColor="text1"/>
          <w:sz w:val="28"/>
          <w:szCs w:val="28"/>
          <w:lang w:val="en-US"/>
        </w:rPr>
        <w:t>text</w:t>
      </w:r>
      <w:bookmarkEnd w:id="4"/>
    </w:p>
    <w:p w14:paraId="6A7D7DB7" w14:textId="77777777" w:rsidR="00F909A0" w:rsidRPr="00F909A0" w:rsidRDefault="00F909A0" w:rsidP="00F909A0">
      <w:pPr>
        <w:rPr>
          <w:lang w:val="en-US" w:eastAsia="en-US"/>
        </w:rPr>
      </w:pPr>
    </w:p>
    <w:p w14:paraId="22ADE24C" w14:textId="02C425EF" w:rsidR="0012275C" w:rsidRPr="00F909A0" w:rsidRDefault="00F909A0" w:rsidP="00F909A0">
      <w:pPr>
        <w:spacing w:line="360" w:lineRule="auto"/>
        <w:ind w:firstLine="360"/>
        <w:jc w:val="both"/>
        <w:rPr>
          <w:rFonts w:ascii="Garamond" w:hAnsi="Garamond"/>
          <w:lang w:val="en-US"/>
        </w:rPr>
      </w:pPr>
      <w:r w:rsidRPr="00F909A0">
        <w:rPr>
          <w:rFonts w:ascii="Garamond" w:hAnsi="Garamond"/>
          <w:lang w:val="en-US"/>
        </w:rPr>
        <w:t xml:space="preserve">This chapter presents the </w:t>
      </w:r>
      <w:proofErr w:type="spellStart"/>
      <w:r w:rsidRPr="00F909A0">
        <w:rPr>
          <w:rFonts w:ascii="Garamond" w:hAnsi="Garamond"/>
          <w:lang w:val="en-US"/>
        </w:rPr>
        <w:t>organisational</w:t>
      </w:r>
      <w:proofErr w:type="spellEnd"/>
      <w:r w:rsidRPr="00F909A0">
        <w:rPr>
          <w:rFonts w:ascii="Garamond" w:hAnsi="Garamond"/>
          <w:lang w:val="en-US"/>
        </w:rPr>
        <w:t xml:space="preserve"> context in which the internship took place and the activities undertaken throughout it. It begins with an analysis of the Portuguese and European corporate finance and financial advisory market (Section 2.1), followed by a description of Triple A – Capital &amp; Finance and its main service areas (Section 2.2). Section 2.3 details the internship itself – its context, the main projects undertaken, and a critical reflection on the learning achieved. Finally, Section 2.4 establishes the connection between the internship activity and the applied research topic developed in the remainder of the report.</w:t>
      </w:r>
    </w:p>
    <w:p w14:paraId="0D6AFFCC" w14:textId="34B0A48C" w:rsidR="0015517D" w:rsidRPr="00F11CF0" w:rsidRDefault="0015517D" w:rsidP="00F11CF0">
      <w:pPr>
        <w:pStyle w:val="Ttulo2"/>
        <w:rPr>
          <w:rFonts w:ascii="Garamond" w:hAnsi="Garamond"/>
          <w:b/>
          <w:bCs/>
          <w:color w:val="000000" w:themeColor="text1"/>
          <w:sz w:val="28"/>
          <w:szCs w:val="28"/>
        </w:rPr>
      </w:pPr>
      <w:bookmarkStart w:id="5" w:name="_Toc233142885"/>
      <w:r w:rsidRPr="00F11CF0">
        <w:rPr>
          <w:rFonts w:ascii="Garamond" w:hAnsi="Garamond"/>
          <w:b/>
          <w:bCs/>
          <w:color w:val="000000" w:themeColor="text1"/>
          <w:sz w:val="28"/>
          <w:szCs w:val="28"/>
        </w:rPr>
        <w:t>2.1. Analysis of the Corporate Finance and Financial Advisory Market</w:t>
      </w:r>
      <w:bookmarkEnd w:id="5"/>
    </w:p>
    <w:p w14:paraId="5CE3E1B1" w14:textId="77777777" w:rsidR="0015517D" w:rsidRDefault="0015517D" w:rsidP="0015517D">
      <w:pPr>
        <w:rPr>
          <w:lang w:val="en-US"/>
        </w:rPr>
      </w:pPr>
    </w:p>
    <w:p w14:paraId="2D562010" w14:textId="77777777" w:rsidR="0015517D" w:rsidRPr="002D63A0" w:rsidRDefault="0015517D" w:rsidP="0015517D">
      <w:pPr>
        <w:spacing w:line="360" w:lineRule="auto"/>
        <w:ind w:firstLine="360"/>
        <w:jc w:val="both"/>
        <w:rPr>
          <w:rFonts w:ascii="Garamond" w:hAnsi="Garamond"/>
          <w:lang w:val="en-US"/>
        </w:rPr>
      </w:pPr>
      <w:r w:rsidRPr="002D63A0">
        <w:rPr>
          <w:rFonts w:ascii="Garamond" w:hAnsi="Garamond"/>
          <w:lang w:val="en-US"/>
        </w:rPr>
        <w:t xml:space="preserve">Financial advisory and corporate finance services, which mainly focus on the economic situation of Portugal, are yet another significant domain that should be considered for assisting </w:t>
      </w:r>
      <w:proofErr w:type="spellStart"/>
      <w:r w:rsidRPr="002D63A0">
        <w:rPr>
          <w:rFonts w:ascii="Garamond" w:hAnsi="Garamond"/>
          <w:lang w:val="en-US"/>
        </w:rPr>
        <w:t>organisations</w:t>
      </w:r>
      <w:proofErr w:type="spellEnd"/>
      <w:r w:rsidRPr="002D63A0">
        <w:rPr>
          <w:rFonts w:ascii="Garamond" w:hAnsi="Garamond"/>
          <w:lang w:val="en-US"/>
        </w:rPr>
        <w:t xml:space="preserve"> to offer strategic information regarding </w:t>
      </w:r>
      <w:proofErr w:type="spellStart"/>
      <w:r w:rsidRPr="002D63A0">
        <w:rPr>
          <w:rFonts w:ascii="Garamond" w:hAnsi="Garamond"/>
          <w:lang w:val="en-US"/>
        </w:rPr>
        <w:t>organisational</w:t>
      </w:r>
      <w:proofErr w:type="spellEnd"/>
      <w:r w:rsidRPr="002D63A0">
        <w:rPr>
          <w:rFonts w:ascii="Garamond" w:hAnsi="Garamond"/>
          <w:lang w:val="en-US"/>
        </w:rPr>
        <w:t xml:space="preserve"> and governmental entities.</w:t>
      </w:r>
    </w:p>
    <w:p w14:paraId="5C18DAB4" w14:textId="6BD24D64" w:rsidR="0015517D" w:rsidRPr="002D63A0" w:rsidRDefault="0015517D" w:rsidP="0015517D">
      <w:pPr>
        <w:spacing w:line="360" w:lineRule="auto"/>
        <w:ind w:firstLine="360"/>
        <w:jc w:val="both"/>
        <w:rPr>
          <w:rFonts w:ascii="Garamond" w:hAnsi="Garamond"/>
          <w:lang w:val="en-US"/>
        </w:rPr>
      </w:pPr>
      <w:r w:rsidRPr="002D63A0">
        <w:rPr>
          <w:rFonts w:ascii="Garamond" w:hAnsi="Garamond"/>
          <w:lang w:val="en-US"/>
        </w:rPr>
        <w:t xml:space="preserve">The M&amp;A transactions in Portugal so far have been on the right track, given the state of the economy in Portugal compared to the macroeconomic situation </w:t>
      </w:r>
      <w:r>
        <w:rPr>
          <w:rFonts w:ascii="Garamond" w:hAnsi="Garamond"/>
          <w:lang w:val="en-US"/>
        </w:rPr>
        <w:t>worldwide</w:t>
      </w:r>
      <w:r w:rsidRPr="002D63A0">
        <w:rPr>
          <w:rFonts w:ascii="Garamond" w:hAnsi="Garamond"/>
          <w:lang w:val="en-US"/>
        </w:rPr>
        <w:t xml:space="preserve">. Based on transactions recorded for 2021, Portugal accounted for 553 mergers worth €19.2 billion. The factors that led to such achievements include the significant inflow of funds from the United States in terms of mergers, which increased by 193%, and the development of the venture capital and private equity markets, increasing by 85% and 30%, respectively </w:t>
      </w:r>
      <w:r w:rsidR="00682998">
        <w:rPr>
          <w:rFonts w:ascii="Garamond" w:hAnsi="Garamond"/>
          <w:lang w:val="en-US"/>
        </w:rPr>
        <w:fldChar w:fldCharType="begin"/>
      </w:r>
      <w:r w:rsidR="00682998">
        <w:rPr>
          <w:rFonts w:ascii="Garamond" w:hAnsi="Garamond"/>
          <w:lang w:val="en-US"/>
        </w:rPr>
        <w:instrText xml:space="preserve"> ADDIN EN.CITE &lt;EndNote&gt;&lt;Cite&gt;&lt;Author&gt;TTR Data&lt;/Author&gt;&lt;Year&gt;2022&lt;/Year&gt;&lt;RecNum&gt;86&lt;/RecNum&gt;&lt;DisplayText&gt;(TTR Data, 2022)&lt;/DisplayText&gt;&lt;record&gt;&lt;rec-number&gt;86&lt;/rec-number&gt;&lt;foreign-keys&gt;&lt;key app="EN" db-id="x2z5xfr9jx5dwcef50b5eedwwwr9x5pperdz" timestamp="1780330123"&gt;86&lt;/key&gt;&lt;/foreign-keys&gt;&lt;ref-type name="Web Page"&gt;12&lt;/ref-type&gt;&lt;contributors&gt;&lt;authors&gt;&lt;author&gt;TTR Data,&lt;/author&gt;&lt;/authors&gt;&lt;/contributors&gt;&lt;titles&gt;&lt;title&gt;Relatório anual sobre o mercado transacional português – 2021&lt;/title&gt;&lt;/titles&gt;&lt;dates&gt;&lt;year&gt;2022&lt;/year&gt;&lt;/dates&gt;&lt;urls&gt;&lt;related-urls&gt;&lt;url&gt;https://blog.ttrdata.com/relatorio-anual-sobre-o-mercado-transacional-portugues-2021/&lt;/url&gt;&lt;/related-urls&gt;&lt;/urls&gt;&lt;/record&gt;&lt;/Cite&gt;&lt;/EndNote&gt;</w:instrText>
      </w:r>
      <w:r w:rsidR="00682998">
        <w:rPr>
          <w:rFonts w:ascii="Garamond" w:hAnsi="Garamond"/>
          <w:lang w:val="en-US"/>
        </w:rPr>
        <w:fldChar w:fldCharType="separate"/>
      </w:r>
      <w:r w:rsidR="00682998">
        <w:rPr>
          <w:rFonts w:ascii="Garamond" w:hAnsi="Garamond"/>
          <w:noProof/>
          <w:lang w:val="en-US"/>
        </w:rPr>
        <w:t>(TTR Data, 2022)</w:t>
      </w:r>
      <w:r w:rsidR="00682998">
        <w:rPr>
          <w:rFonts w:ascii="Garamond" w:hAnsi="Garamond"/>
          <w:lang w:val="en-US"/>
        </w:rPr>
        <w:fldChar w:fldCharType="end"/>
      </w:r>
    </w:p>
    <w:p w14:paraId="408B23E0" w14:textId="6EACFC49" w:rsidR="0015517D" w:rsidRPr="002D63A0" w:rsidRDefault="0015517D" w:rsidP="0015517D">
      <w:pPr>
        <w:spacing w:line="360" w:lineRule="auto"/>
        <w:ind w:firstLine="360"/>
        <w:jc w:val="both"/>
        <w:rPr>
          <w:rFonts w:ascii="Garamond" w:hAnsi="Garamond"/>
          <w:lang w:val="en-US"/>
        </w:rPr>
      </w:pPr>
      <w:r w:rsidRPr="002D63A0">
        <w:rPr>
          <w:rFonts w:ascii="Garamond" w:hAnsi="Garamond"/>
          <w:lang w:val="en-US"/>
        </w:rPr>
        <w:t xml:space="preserve">The Portuguese </w:t>
      </w:r>
      <w:r>
        <w:rPr>
          <w:rFonts w:ascii="Garamond" w:hAnsi="Garamond"/>
          <w:lang w:val="en-US"/>
        </w:rPr>
        <w:t>M&amp;A market</w:t>
      </w:r>
      <w:r w:rsidRPr="002D63A0">
        <w:rPr>
          <w:rFonts w:ascii="Garamond" w:hAnsi="Garamond"/>
          <w:lang w:val="en-US"/>
        </w:rPr>
        <w:t xml:space="preserve"> experienced </w:t>
      </w:r>
      <w:r>
        <w:rPr>
          <w:rFonts w:ascii="Garamond" w:hAnsi="Garamond"/>
          <w:lang w:val="en-US"/>
        </w:rPr>
        <w:t xml:space="preserve">a </w:t>
      </w:r>
      <w:r w:rsidRPr="002D63A0">
        <w:rPr>
          <w:rFonts w:ascii="Garamond" w:hAnsi="Garamond"/>
          <w:lang w:val="en-US"/>
        </w:rPr>
        <w:t>slight contraction in 2022, w</w:t>
      </w:r>
      <w:r>
        <w:rPr>
          <w:rFonts w:ascii="Garamond" w:hAnsi="Garamond"/>
          <w:lang w:val="en-US"/>
        </w:rPr>
        <w:t>ith</w:t>
      </w:r>
      <w:r w:rsidRPr="002D63A0">
        <w:rPr>
          <w:rFonts w:ascii="Garamond" w:hAnsi="Garamond"/>
          <w:lang w:val="en-US"/>
        </w:rPr>
        <w:t xml:space="preserve"> 540 transactions for a total of €12.8 billion. Slight contraction may have been highly correlated to the declining macroeconomic conditions due to increased interest rates, inflation and the uncertainty of the war in Ukraine</w:t>
      </w:r>
      <w:r w:rsidR="00682998">
        <w:rPr>
          <w:rFonts w:ascii="Garamond" w:hAnsi="Garamond"/>
          <w:lang w:val="en-US"/>
        </w:rPr>
        <w:t xml:space="preserve"> </w:t>
      </w:r>
      <w:r w:rsidR="00682998">
        <w:rPr>
          <w:rFonts w:ascii="Garamond" w:hAnsi="Garamond"/>
          <w:lang w:val="en-US"/>
        </w:rPr>
        <w:fldChar w:fldCharType="begin"/>
      </w:r>
      <w:r w:rsidR="00682998">
        <w:rPr>
          <w:rFonts w:ascii="Garamond" w:hAnsi="Garamond"/>
          <w:lang w:val="en-US"/>
        </w:rPr>
        <w:instrText xml:space="preserve"> ADDIN EN.CITE &lt;EndNote&gt;&lt;Cite&gt;&lt;Author&gt;TTR Data&lt;/Author&gt;&lt;Year&gt;2023&lt;/Year&gt;&lt;RecNum&gt;87&lt;/RecNum&gt;&lt;DisplayText&gt;(TTR Data, 2023)&lt;/DisplayText&gt;&lt;record&gt;&lt;rec-number&gt;87&lt;/rec-number&gt;&lt;foreign-keys&gt;&lt;key app="EN" db-id="x2z5xfr9jx5dwcef50b5eedwwwr9x5pperdz" timestamp="1780330160"&gt;87&lt;/key&gt;&lt;/foreign-keys&gt;&lt;ref-type name="Web Page"&gt;12&lt;/ref-type&gt;&lt;contributors&gt;&lt;authors&gt;&lt;author&gt;TTR Data,&lt;/author&gt;&lt;/authors&gt;&lt;/contributors&gt;&lt;titles&gt;&lt;title&gt;Relatório anual sobre o mercado transacional português – 2022&lt;/title&gt;&lt;/titles&gt;&lt;dates&gt;&lt;year&gt;2023&lt;/year&gt;&lt;/dates&gt;&lt;urls&gt;&lt;related-urls&gt;&lt;url&gt;https://blog.ttrdata.com/relatorio-anual-sobre-o-mercado-transacional-portugues-2022/&lt;/url&gt;&lt;/related-urls&gt;&lt;/urls&gt;&lt;/record&gt;&lt;/Cite&gt;&lt;/EndNote&gt;</w:instrText>
      </w:r>
      <w:r w:rsidR="00682998">
        <w:rPr>
          <w:rFonts w:ascii="Garamond" w:hAnsi="Garamond"/>
          <w:lang w:val="en-US"/>
        </w:rPr>
        <w:fldChar w:fldCharType="separate"/>
      </w:r>
      <w:r w:rsidR="00682998">
        <w:rPr>
          <w:rFonts w:ascii="Garamond" w:hAnsi="Garamond"/>
          <w:noProof/>
          <w:lang w:val="en-US"/>
        </w:rPr>
        <w:t>(TTR Data, 2023)</w:t>
      </w:r>
      <w:r w:rsidR="00682998">
        <w:rPr>
          <w:rFonts w:ascii="Garamond" w:hAnsi="Garamond"/>
          <w:lang w:val="en-US"/>
        </w:rPr>
        <w:fldChar w:fldCharType="end"/>
      </w:r>
      <w:r w:rsidRPr="002D63A0">
        <w:rPr>
          <w:rFonts w:ascii="Garamond" w:hAnsi="Garamond"/>
          <w:lang w:val="en-US"/>
        </w:rPr>
        <w:t>.</w:t>
      </w:r>
    </w:p>
    <w:p w14:paraId="34EC2536" w14:textId="4C8C9F0C" w:rsidR="0015517D" w:rsidRPr="002D63A0" w:rsidRDefault="0015517D" w:rsidP="0015517D">
      <w:pPr>
        <w:spacing w:line="360" w:lineRule="auto"/>
        <w:ind w:firstLine="360"/>
        <w:jc w:val="both"/>
        <w:rPr>
          <w:rFonts w:ascii="Garamond" w:hAnsi="Garamond"/>
          <w:lang w:val="en-US"/>
        </w:rPr>
      </w:pPr>
      <w:r w:rsidRPr="002D63A0">
        <w:rPr>
          <w:rFonts w:ascii="Garamond" w:hAnsi="Garamond"/>
          <w:lang w:val="en-US"/>
        </w:rPr>
        <w:t>Although there was some instability around the world, 2023 was the year when things began to turn around, and mergers and acquisitions were up by 695 transactions worth €13.9 billion in total. This trend was influenced by a 27% increase in the number of transactions performed by means of private equity houses and another 19% increase in venture capital-financed companies</w:t>
      </w:r>
      <w:r w:rsidR="00682998">
        <w:rPr>
          <w:rFonts w:ascii="Garamond" w:hAnsi="Garamond"/>
          <w:lang w:val="en-US"/>
        </w:rPr>
        <w:t xml:space="preserve"> </w:t>
      </w:r>
      <w:r w:rsidR="00682998">
        <w:rPr>
          <w:rFonts w:ascii="Garamond" w:hAnsi="Garamond"/>
          <w:lang w:val="en-US"/>
        </w:rPr>
        <w:fldChar w:fldCharType="begin"/>
      </w:r>
      <w:r w:rsidR="00682998">
        <w:rPr>
          <w:rFonts w:ascii="Garamond" w:hAnsi="Garamond"/>
          <w:lang w:val="en-US"/>
        </w:rPr>
        <w:instrText xml:space="preserve"> ADDIN EN.CITE &lt;EndNote&gt;&lt;Cite&gt;&lt;Author&gt;TTR Data&lt;/Author&gt;&lt;Year&gt;2024&lt;/Year&gt;&lt;RecNum&gt;88&lt;/RecNum&gt;&lt;DisplayText&gt;(TTR Data, 2024)&lt;/DisplayText&gt;&lt;record&gt;&lt;rec-number&gt;88&lt;/rec-number&gt;&lt;foreign-keys&gt;&lt;key app="EN" db-id="x2z5xfr9jx5dwcef50b5eedwwwr9x5pperdz" timestamp="1780330197"&gt;88&lt;/key&gt;&lt;/foreign-keys&gt;&lt;ref-type name="Web Page"&gt;12&lt;/ref-type&gt;&lt;contributors&gt;&lt;authors&gt;&lt;author&gt;TTR Data,&lt;/author&gt;&lt;/authors&gt;&lt;/contributors&gt;&lt;titles&gt;&lt;title&gt;Relatório anual sobre o mercado transacional português – 2023&lt;/title&gt;&lt;/titles&gt;&lt;dates&gt;&lt;year&gt;2024&lt;/year&gt;&lt;/dates&gt;&lt;urls&gt;&lt;related-urls&gt;&lt;url&gt;https://blog.ttrdata.com/relatorio-anual-sobre-o-mercado-transacional-portugues-2023/&lt;/url&gt;&lt;/related-urls&gt;&lt;/urls&gt;&lt;/record&gt;&lt;/Cite&gt;&lt;/EndNote&gt;</w:instrText>
      </w:r>
      <w:r w:rsidR="00682998">
        <w:rPr>
          <w:rFonts w:ascii="Garamond" w:hAnsi="Garamond"/>
          <w:lang w:val="en-US"/>
        </w:rPr>
        <w:fldChar w:fldCharType="separate"/>
      </w:r>
      <w:r w:rsidR="00682998">
        <w:rPr>
          <w:rFonts w:ascii="Garamond" w:hAnsi="Garamond"/>
          <w:noProof/>
          <w:lang w:val="en-US"/>
        </w:rPr>
        <w:t>(TTR Data, 2024)</w:t>
      </w:r>
      <w:r w:rsidR="00682998">
        <w:rPr>
          <w:rFonts w:ascii="Garamond" w:hAnsi="Garamond"/>
          <w:lang w:val="en-US"/>
        </w:rPr>
        <w:fldChar w:fldCharType="end"/>
      </w:r>
      <w:r w:rsidRPr="002D63A0">
        <w:rPr>
          <w:rFonts w:ascii="Garamond" w:hAnsi="Garamond"/>
          <w:lang w:val="en-US"/>
        </w:rPr>
        <w:t>.</w:t>
      </w:r>
    </w:p>
    <w:p w14:paraId="625C647A" w14:textId="48B110EB" w:rsidR="0015517D" w:rsidRPr="002D63A0" w:rsidRDefault="0015517D" w:rsidP="0015517D">
      <w:pPr>
        <w:spacing w:line="360" w:lineRule="auto"/>
        <w:ind w:firstLine="360"/>
        <w:jc w:val="both"/>
        <w:rPr>
          <w:rFonts w:ascii="Garamond" w:hAnsi="Garamond"/>
          <w:lang w:val="en-US"/>
        </w:rPr>
      </w:pPr>
      <w:r w:rsidRPr="002D63A0">
        <w:rPr>
          <w:rFonts w:ascii="Garamond" w:hAnsi="Garamond"/>
          <w:lang w:val="en-US"/>
        </w:rPr>
        <w:lastRenderedPageBreak/>
        <w:t>In 2024, there were 602 deals amounting to €12.6 billion concluded against a backdrop of high interest rates and differences between prices of the two parties to the deal</w:t>
      </w:r>
      <w:r w:rsidR="00682998">
        <w:rPr>
          <w:rFonts w:ascii="Garamond" w:hAnsi="Garamond"/>
          <w:lang w:val="en-US"/>
        </w:rPr>
        <w:t xml:space="preserve"> </w:t>
      </w:r>
      <w:r w:rsidR="00682998">
        <w:rPr>
          <w:rFonts w:ascii="Garamond" w:hAnsi="Garamond"/>
          <w:lang w:val="en-US"/>
        </w:rPr>
        <w:fldChar w:fldCharType="begin"/>
      </w:r>
      <w:r w:rsidR="00682998">
        <w:rPr>
          <w:rFonts w:ascii="Garamond" w:hAnsi="Garamond"/>
          <w:lang w:val="en-US"/>
        </w:rPr>
        <w:instrText xml:space="preserve"> ADDIN EN.CITE &lt;EndNote&gt;&lt;Cite&gt;&lt;Author&gt;TTR Data&lt;/Author&gt;&lt;Year&gt;2025&lt;/Year&gt;&lt;RecNum&gt;89&lt;/RecNum&gt;&lt;DisplayText&gt;(TTR Data, 2025)&lt;/DisplayText&gt;&lt;record&gt;&lt;rec-number&gt;89&lt;/rec-number&gt;&lt;foreign-keys&gt;&lt;key app="EN" db-id="x2z5xfr9jx5dwcef50b5eedwwwr9x5pperdz" timestamp="1780330223"&gt;89&lt;/key&gt;&lt;/foreign-keys&gt;&lt;ref-type name="Journal Article"&gt;17&lt;/ref-type&gt;&lt;contributors&gt;&lt;authors&gt;&lt;author&gt;TTR Data,&lt;/author&gt;&lt;/authors&gt;&lt;/contributors&gt;&lt;titles&gt;&lt;title&gt;Relatório anual sobre o mercado transacional português – 2024&lt;/title&gt;&lt;/titles&gt;&lt;dates&gt;&lt;year&gt;2025&lt;/year&gt;&lt;/dates&gt;&lt;urls&gt;&lt;related-urls&gt;&lt;url&gt;https://blog.ttrdata.com/relatorio-anual-sobre-o-mercado-transacional-portugues-2024/&lt;/url&gt;&lt;/related-urls&gt;&lt;/urls&gt;&lt;/record&gt;&lt;/Cite&gt;&lt;/EndNote&gt;</w:instrText>
      </w:r>
      <w:r w:rsidR="00682998">
        <w:rPr>
          <w:rFonts w:ascii="Garamond" w:hAnsi="Garamond"/>
          <w:lang w:val="en-US"/>
        </w:rPr>
        <w:fldChar w:fldCharType="separate"/>
      </w:r>
      <w:r w:rsidR="00682998">
        <w:rPr>
          <w:rFonts w:ascii="Garamond" w:hAnsi="Garamond"/>
          <w:noProof/>
          <w:lang w:val="en-US"/>
        </w:rPr>
        <w:t>(TTR Data, 2025)</w:t>
      </w:r>
      <w:r w:rsidR="00682998">
        <w:rPr>
          <w:rFonts w:ascii="Garamond" w:hAnsi="Garamond"/>
          <w:lang w:val="en-US"/>
        </w:rPr>
        <w:fldChar w:fldCharType="end"/>
      </w:r>
      <w:r w:rsidRPr="002D63A0">
        <w:rPr>
          <w:rFonts w:ascii="Garamond" w:hAnsi="Garamond"/>
          <w:lang w:val="en-US"/>
        </w:rPr>
        <w:t xml:space="preserve">. But by 2025, the market showed improvement and 655 transactions amounting to €17.5 billion were carried out. This increase in the number of deals is accounted for mainly by the private equity industry, which concluded 107 transactions </w:t>
      </w:r>
      <w:proofErr w:type="spellStart"/>
      <w:r w:rsidRPr="002D63A0">
        <w:rPr>
          <w:rFonts w:ascii="Garamond" w:hAnsi="Garamond"/>
          <w:lang w:val="en-US"/>
        </w:rPr>
        <w:t>total</w:t>
      </w:r>
      <w:r>
        <w:rPr>
          <w:rFonts w:ascii="Garamond" w:hAnsi="Garamond"/>
          <w:lang w:val="en-US"/>
        </w:rPr>
        <w:t>l</w:t>
      </w:r>
      <w:r w:rsidRPr="002D63A0">
        <w:rPr>
          <w:rFonts w:ascii="Garamond" w:hAnsi="Garamond"/>
          <w:lang w:val="en-US"/>
        </w:rPr>
        <w:t>ing</w:t>
      </w:r>
      <w:proofErr w:type="spellEnd"/>
      <w:r w:rsidRPr="002D63A0">
        <w:rPr>
          <w:rFonts w:ascii="Garamond" w:hAnsi="Garamond"/>
          <w:lang w:val="en-US"/>
        </w:rPr>
        <w:t xml:space="preserve"> €8.5 billion in funding</w:t>
      </w:r>
      <w:r>
        <w:rPr>
          <w:rFonts w:ascii="Garamond" w:hAnsi="Garamond"/>
          <w:lang w:val="en-US"/>
        </w:rPr>
        <w:t xml:space="preserve">, </w:t>
      </w:r>
      <w:r w:rsidRPr="002D63A0">
        <w:rPr>
          <w:rFonts w:ascii="Garamond" w:hAnsi="Garamond"/>
          <w:lang w:val="en-US"/>
        </w:rPr>
        <w:t>that is</w:t>
      </w:r>
      <w:r>
        <w:rPr>
          <w:rFonts w:ascii="Garamond" w:hAnsi="Garamond"/>
          <w:lang w:val="en-US"/>
        </w:rPr>
        <w:t>,</w:t>
      </w:r>
      <w:r w:rsidRPr="002D63A0">
        <w:rPr>
          <w:rFonts w:ascii="Garamond" w:hAnsi="Garamond"/>
          <w:lang w:val="en-US"/>
        </w:rPr>
        <w:t xml:space="preserve"> a 33% increase in the number of transactions from the previous year</w:t>
      </w:r>
      <w:r w:rsidR="00682998">
        <w:rPr>
          <w:rFonts w:ascii="Garamond" w:hAnsi="Garamond"/>
          <w:lang w:val="en-US"/>
        </w:rPr>
        <w:t xml:space="preserve"> </w:t>
      </w:r>
      <w:r w:rsidR="00682998">
        <w:rPr>
          <w:rFonts w:ascii="Garamond" w:hAnsi="Garamond"/>
          <w:lang w:val="en-US"/>
        </w:rPr>
        <w:fldChar w:fldCharType="begin"/>
      </w:r>
      <w:r w:rsidR="00682998">
        <w:rPr>
          <w:rFonts w:ascii="Garamond" w:hAnsi="Garamond"/>
          <w:lang w:val="en-US"/>
        </w:rPr>
        <w:instrText xml:space="preserve"> ADDIN EN.CITE &lt;EndNote&gt;&lt;Cite&gt;&lt;Author&gt;TTR Data&lt;/Author&gt;&lt;Year&gt;2026&lt;/Year&gt;&lt;RecNum&gt;68&lt;/RecNum&gt;&lt;DisplayText&gt;(TTR Data, 2026)&lt;/DisplayText&gt;&lt;record&gt;&lt;rec-number&gt;68&lt;/rec-number&gt;&lt;foreign-keys&gt;&lt;key app="EN" db-id="x2z5xfr9jx5dwcef50b5eedwwwr9x5pperdz" timestamp="1769688404"&gt;68&lt;/key&gt;&lt;/foreign-keys&gt;&lt;ref-type name="Web Page"&gt;12&lt;/ref-type&gt;&lt;contributors&gt;&lt;authors&gt;&lt;author&gt;TTR Data,&lt;/author&gt;&lt;/authors&gt;&lt;/contributors&gt;&lt;titles&gt;&lt;title&gt;Relatório anual sobre o mercado transacional português – 2025&lt;/title&gt;&lt;/titles&gt;&lt;dates&gt;&lt;year&gt;2026&lt;/year&gt;&lt;/dates&gt;&lt;urls&gt;&lt;related-urls&gt;&lt;url&gt;https://blog.ttrdata.com/relatorio-mensal-sobre-o-mercado-transacional-portugues-4q2025/&lt;/url&gt;&lt;/related-urls&gt;&lt;/urls&gt;&lt;/record&gt;&lt;/Cite&gt;&lt;/EndNote&gt;</w:instrText>
      </w:r>
      <w:r w:rsidR="00682998">
        <w:rPr>
          <w:rFonts w:ascii="Garamond" w:hAnsi="Garamond"/>
          <w:lang w:val="en-US"/>
        </w:rPr>
        <w:fldChar w:fldCharType="separate"/>
      </w:r>
      <w:r w:rsidR="00682998">
        <w:rPr>
          <w:rFonts w:ascii="Garamond" w:hAnsi="Garamond"/>
          <w:noProof/>
          <w:lang w:val="en-US"/>
        </w:rPr>
        <w:t>(TTR Data, 2026)</w:t>
      </w:r>
      <w:r w:rsidR="00682998">
        <w:rPr>
          <w:rFonts w:ascii="Garamond" w:hAnsi="Garamond"/>
          <w:lang w:val="en-US"/>
        </w:rPr>
        <w:fldChar w:fldCharType="end"/>
      </w:r>
      <w:r>
        <w:rPr>
          <w:rFonts w:ascii="Garamond" w:hAnsi="Garamond"/>
          <w:lang w:val="en-US"/>
        </w:rPr>
        <w:t>.</w:t>
      </w:r>
    </w:p>
    <w:p w14:paraId="0D8790B0" w14:textId="77777777" w:rsidR="0015517D" w:rsidRPr="002D63A0" w:rsidRDefault="0015517D" w:rsidP="0015517D">
      <w:pPr>
        <w:spacing w:line="360" w:lineRule="auto"/>
        <w:ind w:firstLine="360"/>
        <w:jc w:val="both"/>
        <w:rPr>
          <w:rFonts w:ascii="Garamond" w:hAnsi="Garamond"/>
          <w:lang w:val="en-US"/>
        </w:rPr>
      </w:pPr>
      <w:r w:rsidRPr="002D63A0">
        <w:rPr>
          <w:rFonts w:ascii="Garamond" w:hAnsi="Garamond"/>
          <w:lang w:val="en-US"/>
        </w:rPr>
        <w:t xml:space="preserve">In Portugal, the financial advisory sector is very diverse and competitive, consisting of global advisory firms, banking firms, and independent advisory firms. On the top-end side of the market, global players such as multinational advisory firms and the investment banking arm of PwC, EY, Deloitte, and KPMG, which appear to be involved in complicated transactions and which are international in nature, are operating. The ability to engage in high-value M&amp;A and corporate finance services </w:t>
      </w:r>
      <w:proofErr w:type="spellStart"/>
      <w:r w:rsidRPr="002D63A0">
        <w:rPr>
          <w:rFonts w:ascii="Garamond" w:hAnsi="Garamond"/>
          <w:lang w:val="en-US"/>
        </w:rPr>
        <w:t>characteri</w:t>
      </w:r>
      <w:r>
        <w:rPr>
          <w:rFonts w:ascii="Garamond" w:hAnsi="Garamond"/>
          <w:lang w:val="en-US"/>
        </w:rPr>
        <w:t>s</w:t>
      </w:r>
      <w:r w:rsidRPr="002D63A0">
        <w:rPr>
          <w:rFonts w:ascii="Garamond" w:hAnsi="Garamond"/>
          <w:lang w:val="en-US"/>
        </w:rPr>
        <w:t>es</w:t>
      </w:r>
      <w:proofErr w:type="spellEnd"/>
      <w:r w:rsidRPr="002D63A0">
        <w:rPr>
          <w:rFonts w:ascii="Garamond" w:hAnsi="Garamond"/>
          <w:lang w:val="en-US"/>
        </w:rPr>
        <w:t xml:space="preserve"> these firms.</w:t>
      </w:r>
    </w:p>
    <w:p w14:paraId="24C666C9" w14:textId="77777777" w:rsidR="0015517D" w:rsidRPr="007A5CFE" w:rsidRDefault="0015517D" w:rsidP="0015517D">
      <w:pPr>
        <w:spacing w:line="360" w:lineRule="auto"/>
        <w:ind w:firstLine="360"/>
        <w:jc w:val="both"/>
        <w:rPr>
          <w:rFonts w:ascii="Garamond" w:hAnsi="Garamond"/>
          <w:lang w:val="en-US"/>
        </w:rPr>
      </w:pPr>
      <w:r w:rsidRPr="002D63A0">
        <w:rPr>
          <w:rFonts w:ascii="Garamond" w:hAnsi="Garamond"/>
          <w:lang w:val="en-US"/>
        </w:rPr>
        <w:t xml:space="preserve">In this market, there also appears to be a growing trend for independent financial advisory boutiques to primarily serve the needs of the SME sector. Within the boutique advisory segment, firms such as Triple A – Capital &amp; Finance, Fenix Capital Partners, </w:t>
      </w:r>
      <w:proofErr w:type="spellStart"/>
      <w:r w:rsidRPr="002D63A0">
        <w:rPr>
          <w:rFonts w:ascii="Garamond" w:hAnsi="Garamond"/>
          <w:lang w:val="en-US"/>
        </w:rPr>
        <w:t>Fingeste</w:t>
      </w:r>
      <w:proofErr w:type="spellEnd"/>
      <w:r w:rsidRPr="002D63A0">
        <w:rPr>
          <w:rFonts w:ascii="Garamond" w:hAnsi="Garamond"/>
          <w:lang w:val="en-US"/>
        </w:rPr>
        <w:t xml:space="preserve">, ASK Corporate Finance, NOVE, CFI Group Portugal and </w:t>
      </w:r>
      <w:proofErr w:type="spellStart"/>
      <w:r w:rsidRPr="002D63A0">
        <w:rPr>
          <w:rFonts w:ascii="Garamond" w:hAnsi="Garamond"/>
          <w:lang w:val="en-US"/>
        </w:rPr>
        <w:t>Auren</w:t>
      </w:r>
      <w:proofErr w:type="spellEnd"/>
      <w:r w:rsidRPr="002D63A0">
        <w:rPr>
          <w:rFonts w:ascii="Garamond" w:hAnsi="Garamond"/>
          <w:lang w:val="en-US"/>
        </w:rPr>
        <w:t xml:space="preserve"> Corporate Finance</w:t>
      </w:r>
      <w:r>
        <w:rPr>
          <w:rFonts w:ascii="Garamond" w:hAnsi="Garamond"/>
          <w:lang w:val="en-US"/>
        </w:rPr>
        <w:t>. These firms</w:t>
      </w:r>
      <w:r w:rsidRPr="002D63A0">
        <w:rPr>
          <w:rFonts w:ascii="Garamond" w:hAnsi="Garamond"/>
          <w:lang w:val="en-US"/>
        </w:rPr>
        <w:t xml:space="preserve"> play an important part in </w:t>
      </w:r>
      <w:r>
        <w:rPr>
          <w:rFonts w:ascii="Garamond" w:hAnsi="Garamond"/>
          <w:lang w:val="en-US"/>
        </w:rPr>
        <w:t>supporting</w:t>
      </w:r>
      <w:r w:rsidRPr="002D63A0">
        <w:rPr>
          <w:rFonts w:ascii="Garamond" w:hAnsi="Garamond"/>
          <w:lang w:val="en-US"/>
        </w:rPr>
        <w:t xml:space="preserve"> Portuguese companies in strategic transactions. </w:t>
      </w:r>
      <w:r w:rsidRPr="007A5CFE">
        <w:rPr>
          <w:rFonts w:ascii="Garamond" w:hAnsi="Garamond"/>
          <w:lang w:val="en-US"/>
        </w:rPr>
        <w:t xml:space="preserve">The </w:t>
      </w:r>
      <w:r>
        <w:rPr>
          <w:rFonts w:ascii="Garamond" w:hAnsi="Garamond"/>
          <w:lang w:val="en-US"/>
        </w:rPr>
        <w:t xml:space="preserve">fundamental characteristics are </w:t>
      </w:r>
      <w:r w:rsidRPr="007A5CFE">
        <w:rPr>
          <w:rFonts w:ascii="Garamond" w:hAnsi="Garamond"/>
          <w:lang w:val="en-US"/>
        </w:rPr>
        <w:t xml:space="preserve">based on their nearness to the client, adaptability, and ability to offer tailored consultancy services in matters like </w:t>
      </w:r>
      <w:r>
        <w:rPr>
          <w:rFonts w:ascii="Garamond" w:hAnsi="Garamond"/>
          <w:lang w:val="en-US"/>
        </w:rPr>
        <w:t>M&amp;A</w:t>
      </w:r>
      <w:r w:rsidRPr="007A5CFE">
        <w:rPr>
          <w:rFonts w:ascii="Garamond" w:hAnsi="Garamond"/>
          <w:lang w:val="en-US"/>
        </w:rPr>
        <w:t xml:space="preserve">, valuations, </w:t>
      </w:r>
      <w:r>
        <w:rPr>
          <w:rFonts w:ascii="Garamond" w:hAnsi="Garamond"/>
          <w:lang w:val="en-US"/>
        </w:rPr>
        <w:t xml:space="preserve">and </w:t>
      </w:r>
      <w:r w:rsidRPr="007A5CFE">
        <w:rPr>
          <w:rFonts w:ascii="Garamond" w:hAnsi="Garamond"/>
          <w:lang w:val="en-US"/>
        </w:rPr>
        <w:t>financing</w:t>
      </w:r>
      <w:r>
        <w:rPr>
          <w:rFonts w:ascii="Garamond" w:hAnsi="Garamond"/>
          <w:lang w:val="en-US"/>
        </w:rPr>
        <w:t>,</w:t>
      </w:r>
      <w:r w:rsidRPr="007A5CFE">
        <w:rPr>
          <w:rFonts w:ascii="Garamond" w:hAnsi="Garamond"/>
          <w:lang w:val="en-US"/>
        </w:rPr>
        <w:t xml:space="preserve"> among others. </w:t>
      </w:r>
    </w:p>
    <w:p w14:paraId="6A62055C" w14:textId="77777777" w:rsidR="0015517D" w:rsidRPr="002D63A0" w:rsidRDefault="0015517D" w:rsidP="0015517D">
      <w:pPr>
        <w:spacing w:line="360" w:lineRule="auto"/>
        <w:ind w:firstLine="360"/>
        <w:jc w:val="both"/>
        <w:rPr>
          <w:rFonts w:ascii="Garamond" w:hAnsi="Garamond"/>
          <w:lang w:val="en-US"/>
        </w:rPr>
      </w:pPr>
      <w:r w:rsidRPr="002D63A0">
        <w:rPr>
          <w:rFonts w:ascii="Garamond" w:hAnsi="Garamond"/>
          <w:lang w:val="en-US"/>
        </w:rPr>
        <w:t xml:space="preserve">In particular, the consultancy and M&amp;A financial industry faces various obstacles and prospects due to changes in regulation and the </w:t>
      </w:r>
      <w:proofErr w:type="spellStart"/>
      <w:r w:rsidRPr="002D63A0">
        <w:rPr>
          <w:rFonts w:ascii="Garamond" w:hAnsi="Garamond"/>
          <w:lang w:val="en-US"/>
        </w:rPr>
        <w:t>internationalisation</w:t>
      </w:r>
      <w:proofErr w:type="spellEnd"/>
      <w:r w:rsidRPr="002D63A0">
        <w:rPr>
          <w:rFonts w:ascii="Garamond" w:hAnsi="Garamond"/>
          <w:lang w:val="en-US"/>
        </w:rPr>
        <w:t xml:space="preserve"> of finance. The target market companies are small and medium enterprises that need </w:t>
      </w:r>
      <w:proofErr w:type="spellStart"/>
      <w:r w:rsidRPr="002D63A0">
        <w:rPr>
          <w:rFonts w:ascii="Garamond" w:hAnsi="Garamond"/>
          <w:lang w:val="en-US"/>
        </w:rPr>
        <w:t>specialised</w:t>
      </w:r>
      <w:proofErr w:type="spellEnd"/>
      <w:r w:rsidRPr="002D63A0">
        <w:rPr>
          <w:rFonts w:ascii="Garamond" w:hAnsi="Garamond"/>
          <w:lang w:val="en-US"/>
        </w:rPr>
        <w:t xml:space="preserve"> financial help, and such consultancy can be offered by Triple A.</w:t>
      </w:r>
    </w:p>
    <w:p w14:paraId="662F6316" w14:textId="47279799" w:rsidR="00206348" w:rsidRPr="00F909A0" w:rsidRDefault="0015517D" w:rsidP="00F909A0">
      <w:pPr>
        <w:spacing w:line="360" w:lineRule="auto"/>
        <w:ind w:firstLine="360"/>
        <w:jc w:val="both"/>
        <w:rPr>
          <w:rFonts w:ascii="Garamond" w:hAnsi="Garamond"/>
          <w:lang w:val="en-US"/>
        </w:rPr>
      </w:pPr>
      <w:r w:rsidRPr="002D63A0">
        <w:rPr>
          <w:rFonts w:ascii="Garamond" w:hAnsi="Garamond"/>
          <w:lang w:val="en-US"/>
        </w:rPr>
        <w:t>According to</w:t>
      </w:r>
      <w:r w:rsidR="00682998">
        <w:rPr>
          <w:rFonts w:ascii="Garamond" w:hAnsi="Garamond"/>
          <w:lang w:val="en-US"/>
        </w:rPr>
        <w:t xml:space="preserve"> </w:t>
      </w:r>
      <w:r w:rsidR="00682998">
        <w:rPr>
          <w:rFonts w:ascii="Garamond" w:hAnsi="Garamond"/>
          <w:lang w:val="en-US"/>
        </w:rPr>
        <w:fldChar w:fldCharType="begin"/>
      </w:r>
      <w:r w:rsidR="00682998">
        <w:rPr>
          <w:rFonts w:ascii="Garamond" w:hAnsi="Garamond"/>
          <w:lang w:val="en-US"/>
        </w:rPr>
        <w:instrText xml:space="preserve"> ADDIN EN.CITE &lt;EndNote&gt;&lt;Cite AuthorYear="1"&gt;&lt;Author&gt;Baker McKenzie&lt;/Author&gt;&lt;Year&gt;2025&lt;/Year&gt;&lt;RecNum&gt;57&lt;/RecNum&gt;&lt;DisplayText&gt;Baker McKenzie (2025)&lt;/DisplayText&gt;&lt;record&gt;&lt;rec-number&gt;57&lt;/rec-number&gt;&lt;foreign-keys&gt;&lt;key app="EN" db-id="x2z5xfr9jx5dwcef50b5eedwwwr9x5pperdz" timestamp="1769380091"&gt;57&lt;/key&gt;&lt;/foreign-keys&gt;&lt;ref-type name="Web Page"&gt;12&lt;/ref-type&gt;&lt;contributors&gt;&lt;authors&gt;&lt;author&gt;Baker McKenzie,&lt;/author&gt;&lt;/authors&gt;&lt;/contributors&gt;&lt;titles&gt;&lt;title&gt;Guide to Private Credit in Europe&lt;/title&gt;&lt;/titles&gt;&lt;dates&gt;&lt;year&gt;2025&lt;/year&gt;&lt;/dates&gt;&lt;urls&gt;&lt;related-urls&gt;&lt;url&gt;https://www.bakermckenzie.com/en/insight/publications/guides/guide-to-private-credit-in-europe&lt;/url&gt;&lt;/related-urls&gt;&lt;/urls&gt;&lt;/record&gt;&lt;/Cite&gt;&lt;/EndNote&gt;</w:instrText>
      </w:r>
      <w:r w:rsidR="00682998">
        <w:rPr>
          <w:rFonts w:ascii="Garamond" w:hAnsi="Garamond"/>
          <w:lang w:val="en-US"/>
        </w:rPr>
        <w:fldChar w:fldCharType="separate"/>
      </w:r>
      <w:r w:rsidR="00682998">
        <w:rPr>
          <w:rFonts w:ascii="Garamond" w:hAnsi="Garamond"/>
          <w:noProof/>
          <w:lang w:val="en-US"/>
        </w:rPr>
        <w:t>Baker McKenzie (2025)</w:t>
      </w:r>
      <w:r w:rsidR="00682998">
        <w:rPr>
          <w:rFonts w:ascii="Garamond" w:hAnsi="Garamond"/>
          <w:lang w:val="en-US"/>
        </w:rPr>
        <w:fldChar w:fldCharType="end"/>
      </w:r>
      <w:r w:rsidRPr="002D63A0">
        <w:rPr>
          <w:rFonts w:ascii="Garamond" w:hAnsi="Garamond"/>
          <w:lang w:val="en-US"/>
        </w:rPr>
        <w:t xml:space="preserve">, there has been a considerable increase in the consultancy sector. Specifically, the growth has been observed due to the increase in M&amp;A activities of medium-sized enterprises that need financing other than banks. There is likely to be growth in the corporate finance sector since financing options will be much more flexible for independent financial consultancies like Triple A. Furthermore, according to the AIMA Report, cross-border transactions in the Portuguese private equity and M&amp;A market have become increasingly popular because companies have become </w:t>
      </w:r>
      <w:proofErr w:type="spellStart"/>
      <w:r w:rsidRPr="002D63A0">
        <w:rPr>
          <w:rFonts w:ascii="Garamond" w:hAnsi="Garamond"/>
          <w:lang w:val="en-US"/>
        </w:rPr>
        <w:t>internationalised</w:t>
      </w:r>
      <w:proofErr w:type="spellEnd"/>
      <w:r w:rsidRPr="002D63A0">
        <w:rPr>
          <w:rFonts w:ascii="Garamond" w:hAnsi="Garamond"/>
          <w:lang w:val="en-US"/>
        </w:rPr>
        <w:t xml:space="preserve"> and thus need consultancy services</w:t>
      </w:r>
      <w:r w:rsidR="00682998">
        <w:rPr>
          <w:rFonts w:ascii="Garamond" w:hAnsi="Garamond"/>
          <w:lang w:val="en-US"/>
        </w:rPr>
        <w:t xml:space="preserve"> </w:t>
      </w:r>
      <w:r w:rsidR="00682998">
        <w:rPr>
          <w:rFonts w:ascii="Garamond" w:hAnsi="Garamond"/>
          <w:lang w:val="en-US"/>
        </w:rPr>
        <w:fldChar w:fldCharType="begin"/>
      </w:r>
      <w:r w:rsidR="00682998">
        <w:rPr>
          <w:rFonts w:ascii="Garamond" w:hAnsi="Garamond"/>
          <w:lang w:val="en-US"/>
        </w:rPr>
        <w:instrText xml:space="preserve"> ADDIN EN.CITE &lt;EndNote&gt;&lt;Cite&gt;&lt;Author&gt;Shah&lt;/Author&gt;&lt;Year&gt;2025&lt;/Year&gt;&lt;RecNum&gt;44&lt;/RecNum&gt;&lt;DisplayText&gt;(Shah, 2025)&lt;/DisplayText&gt;&lt;record&gt;&lt;rec-number&gt;44&lt;/rec-number&gt;&lt;foreign-keys&gt;&lt;key app="EN" db-id="x2z5xfr9jx5dwcef50b5eedwwwr9x5pperdz" timestamp="1769373534"&gt;44&lt;/key&gt;&lt;/foreign-keys&gt;&lt;ref-type name="Web Page"&gt;12&lt;/ref-type&gt;&lt;contributors&gt;&lt;authors&gt;&lt;author&gt;Shah, Kunal&lt;/author&gt;&lt;/authors&gt;&lt;/contributors&gt;&lt;titles&gt;&lt;title&gt;The convergence of European public and private credit markets&lt;/title&gt;&lt;/titles&gt;&lt;dates&gt;&lt;year&gt;2025&lt;/year&gt;&lt;/dates&gt;&lt;publisher&gt;AIMA&lt;/publisher&gt;&lt;urls&gt;&lt;related-urls&gt;&lt;url&gt;https://www.aima.org/article/the-convergence-of-european-public-and-private-credit-markets.html&lt;/url&gt;&lt;/related-urls&gt;&lt;/urls&gt;&lt;/record&gt;&lt;/Cite&gt;&lt;/EndNote&gt;</w:instrText>
      </w:r>
      <w:r w:rsidR="00682998">
        <w:rPr>
          <w:rFonts w:ascii="Garamond" w:hAnsi="Garamond"/>
          <w:lang w:val="en-US"/>
        </w:rPr>
        <w:fldChar w:fldCharType="separate"/>
      </w:r>
      <w:r w:rsidR="00682998">
        <w:rPr>
          <w:rFonts w:ascii="Garamond" w:hAnsi="Garamond"/>
          <w:noProof/>
          <w:lang w:val="en-US"/>
        </w:rPr>
        <w:t>(Shah, 2025)</w:t>
      </w:r>
      <w:r w:rsidR="00682998">
        <w:rPr>
          <w:rFonts w:ascii="Garamond" w:hAnsi="Garamond"/>
          <w:lang w:val="en-US"/>
        </w:rPr>
        <w:fldChar w:fldCharType="end"/>
      </w:r>
      <w:r w:rsidRPr="002D63A0">
        <w:rPr>
          <w:rFonts w:ascii="Garamond" w:hAnsi="Garamond"/>
          <w:lang w:val="en-US"/>
        </w:rPr>
        <w:t>.</w:t>
      </w:r>
    </w:p>
    <w:p w14:paraId="48D8344C" w14:textId="076B5079" w:rsidR="000114EE" w:rsidRDefault="000114EE" w:rsidP="000114EE">
      <w:pPr>
        <w:pStyle w:val="Ttulo2"/>
        <w:rPr>
          <w:rFonts w:ascii="Garamond" w:hAnsi="Garamond"/>
          <w:b/>
          <w:bCs/>
          <w:color w:val="000000" w:themeColor="text1"/>
          <w:sz w:val="28"/>
          <w:szCs w:val="28"/>
          <w:lang w:val="en-US"/>
        </w:rPr>
      </w:pPr>
      <w:bookmarkStart w:id="6" w:name="_Toc233142886"/>
      <w:r w:rsidRPr="000114EE">
        <w:rPr>
          <w:rFonts w:ascii="Garamond" w:hAnsi="Garamond"/>
          <w:b/>
          <w:bCs/>
          <w:color w:val="000000" w:themeColor="text1"/>
          <w:sz w:val="28"/>
          <w:szCs w:val="28"/>
          <w:lang w:val="en-US"/>
        </w:rPr>
        <w:lastRenderedPageBreak/>
        <w:t>2.</w:t>
      </w:r>
      <w:r w:rsidR="00BC21E5">
        <w:rPr>
          <w:rFonts w:ascii="Garamond" w:hAnsi="Garamond"/>
          <w:b/>
          <w:bCs/>
          <w:color w:val="000000" w:themeColor="text1"/>
          <w:sz w:val="28"/>
          <w:szCs w:val="28"/>
          <w:lang w:val="en-US"/>
        </w:rPr>
        <w:t>2</w:t>
      </w:r>
      <w:r w:rsidRPr="000114EE">
        <w:rPr>
          <w:rFonts w:ascii="Garamond" w:hAnsi="Garamond"/>
          <w:b/>
          <w:bCs/>
          <w:color w:val="000000" w:themeColor="text1"/>
          <w:sz w:val="28"/>
          <w:szCs w:val="28"/>
          <w:lang w:val="en-US"/>
        </w:rPr>
        <w:t xml:space="preserve">. The Triple </w:t>
      </w:r>
      <w:r w:rsidR="0048774C">
        <w:rPr>
          <w:rFonts w:ascii="Garamond" w:hAnsi="Garamond"/>
          <w:b/>
          <w:bCs/>
          <w:color w:val="000000" w:themeColor="text1"/>
          <w:sz w:val="28"/>
          <w:szCs w:val="28"/>
          <w:lang w:val="en-US"/>
        </w:rPr>
        <w:t xml:space="preserve">A </w:t>
      </w:r>
      <w:r w:rsidR="00943C68">
        <w:rPr>
          <w:rFonts w:ascii="Garamond" w:hAnsi="Garamond"/>
          <w:b/>
          <w:bCs/>
          <w:color w:val="000000" w:themeColor="text1"/>
          <w:sz w:val="28"/>
          <w:szCs w:val="28"/>
          <w:lang w:val="en-US"/>
        </w:rPr>
        <w:t>– Company Description</w:t>
      </w:r>
      <w:bookmarkEnd w:id="6"/>
    </w:p>
    <w:p w14:paraId="6C2E6344" w14:textId="77777777" w:rsidR="000114EE" w:rsidRPr="00306184" w:rsidRDefault="000114EE" w:rsidP="000114EE">
      <w:pPr>
        <w:rPr>
          <w:rFonts w:ascii="Garamond" w:hAnsi="Garamond"/>
          <w:lang w:val="en-US" w:eastAsia="en-US"/>
        </w:rPr>
      </w:pPr>
    </w:p>
    <w:p w14:paraId="7912070F" w14:textId="15A70E25" w:rsidR="0073061A" w:rsidRPr="0073061A" w:rsidRDefault="0073061A" w:rsidP="00D92CAA">
      <w:pPr>
        <w:spacing w:line="360" w:lineRule="auto"/>
        <w:ind w:firstLine="360"/>
        <w:jc w:val="both"/>
        <w:rPr>
          <w:rFonts w:ascii="Garamond" w:hAnsi="Garamond"/>
          <w:lang w:val="en-US"/>
        </w:rPr>
      </w:pPr>
      <w:r w:rsidRPr="0073061A">
        <w:rPr>
          <w:rFonts w:ascii="Garamond" w:hAnsi="Garamond"/>
          <w:lang w:val="en-US"/>
        </w:rPr>
        <w:t>The internship</w:t>
      </w:r>
      <w:r w:rsidR="009E020F">
        <w:rPr>
          <w:rFonts w:ascii="Garamond" w:hAnsi="Garamond"/>
          <w:lang w:val="en-US"/>
        </w:rPr>
        <w:t xml:space="preserve"> </w:t>
      </w:r>
      <w:r w:rsidR="003833A3">
        <w:rPr>
          <w:rFonts w:ascii="Garamond" w:hAnsi="Garamond"/>
          <w:lang w:val="en-US"/>
        </w:rPr>
        <w:t>from</w:t>
      </w:r>
      <w:r w:rsidR="009E020F">
        <w:rPr>
          <w:rFonts w:ascii="Garamond" w:hAnsi="Garamond"/>
          <w:lang w:val="en-US"/>
        </w:rPr>
        <w:t xml:space="preserve"> 2</w:t>
      </w:r>
      <w:r w:rsidR="009E020F" w:rsidRPr="009E020F">
        <w:rPr>
          <w:rFonts w:ascii="Garamond" w:hAnsi="Garamond"/>
          <w:vertAlign w:val="superscript"/>
          <w:lang w:val="en-US"/>
        </w:rPr>
        <w:t>nd</w:t>
      </w:r>
      <w:r w:rsidR="009E020F">
        <w:rPr>
          <w:rFonts w:ascii="Garamond" w:hAnsi="Garamond"/>
          <w:lang w:val="en-US"/>
        </w:rPr>
        <w:t xml:space="preserve"> January </w:t>
      </w:r>
      <w:r w:rsidR="003833A3">
        <w:rPr>
          <w:rFonts w:ascii="Garamond" w:hAnsi="Garamond"/>
          <w:lang w:val="en-US"/>
        </w:rPr>
        <w:t>to</w:t>
      </w:r>
      <w:r w:rsidR="009E020F">
        <w:rPr>
          <w:rFonts w:ascii="Garamond" w:hAnsi="Garamond"/>
          <w:lang w:val="en-US"/>
        </w:rPr>
        <w:t xml:space="preserve"> 30</w:t>
      </w:r>
      <w:r w:rsidR="009E020F" w:rsidRPr="009E020F">
        <w:rPr>
          <w:rFonts w:ascii="Garamond" w:hAnsi="Garamond"/>
          <w:vertAlign w:val="superscript"/>
          <w:lang w:val="en-US"/>
        </w:rPr>
        <w:t>th</w:t>
      </w:r>
      <w:r w:rsidR="009E020F">
        <w:rPr>
          <w:rFonts w:ascii="Garamond" w:hAnsi="Garamond"/>
          <w:lang w:val="en-US"/>
        </w:rPr>
        <w:t xml:space="preserve"> April</w:t>
      </w:r>
      <w:r w:rsidRPr="0073061A">
        <w:rPr>
          <w:rFonts w:ascii="Garamond" w:hAnsi="Garamond"/>
          <w:lang w:val="en-US"/>
        </w:rPr>
        <w:t xml:space="preserve"> was c</w:t>
      </w:r>
      <w:r w:rsidR="003833A3">
        <w:rPr>
          <w:rFonts w:ascii="Garamond" w:hAnsi="Garamond"/>
          <w:lang w:val="en-US"/>
        </w:rPr>
        <w:t>onducted</w:t>
      </w:r>
      <w:r w:rsidRPr="0073061A">
        <w:rPr>
          <w:rFonts w:ascii="Garamond" w:hAnsi="Garamond"/>
          <w:lang w:val="en-US"/>
        </w:rPr>
        <w:t xml:space="preserve"> at Triple A - Capital &amp; Finance, founded on </w:t>
      </w:r>
      <w:r w:rsidR="00EE1453">
        <w:rPr>
          <w:rFonts w:ascii="Garamond" w:hAnsi="Garamond"/>
          <w:lang w:val="en-US"/>
        </w:rPr>
        <w:t>January 28</w:t>
      </w:r>
      <w:r w:rsidRPr="0073061A">
        <w:rPr>
          <w:rFonts w:ascii="Garamond" w:hAnsi="Garamond"/>
          <w:lang w:val="en-US"/>
        </w:rPr>
        <w:t>, 201</w:t>
      </w:r>
      <w:r w:rsidR="00EE1453">
        <w:rPr>
          <w:rFonts w:ascii="Garamond" w:hAnsi="Garamond"/>
          <w:lang w:val="en-US"/>
        </w:rPr>
        <w:t>3</w:t>
      </w:r>
      <w:r w:rsidRPr="0073061A">
        <w:rPr>
          <w:rFonts w:ascii="Garamond" w:hAnsi="Garamond"/>
          <w:lang w:val="en-US"/>
        </w:rPr>
        <w:t>.</w:t>
      </w:r>
      <w:r w:rsidR="00D92CAA">
        <w:rPr>
          <w:rFonts w:ascii="Garamond" w:hAnsi="Garamond"/>
          <w:lang w:val="en-US"/>
        </w:rPr>
        <w:t xml:space="preserve"> </w:t>
      </w:r>
      <w:r w:rsidRPr="0073061A">
        <w:rPr>
          <w:rFonts w:ascii="Garamond" w:hAnsi="Garamond"/>
          <w:lang w:val="en-US"/>
        </w:rPr>
        <w:t xml:space="preserve">It is a financial boutique based in </w:t>
      </w:r>
      <w:proofErr w:type="spellStart"/>
      <w:r w:rsidRPr="0073061A">
        <w:rPr>
          <w:rFonts w:ascii="Garamond" w:hAnsi="Garamond"/>
          <w:lang w:val="en-US"/>
        </w:rPr>
        <w:t>Foz</w:t>
      </w:r>
      <w:proofErr w:type="spellEnd"/>
      <w:r w:rsidRPr="0073061A">
        <w:rPr>
          <w:rFonts w:ascii="Garamond" w:hAnsi="Garamond"/>
          <w:lang w:val="en-US"/>
        </w:rPr>
        <w:t xml:space="preserve"> do Douro, dedicated to providing financial consulting and advisory services with a special focus on small and medium-sized companies. The fact that it is a financial boutique allows it to differentiate itself from larger companies</w:t>
      </w:r>
      <w:r w:rsidR="00B3406F">
        <w:rPr>
          <w:rFonts w:ascii="Garamond" w:hAnsi="Garamond"/>
          <w:lang w:val="en-US"/>
        </w:rPr>
        <w:t>,</w:t>
      </w:r>
      <w:r w:rsidRPr="0073061A">
        <w:rPr>
          <w:rFonts w:ascii="Garamond" w:hAnsi="Garamond"/>
          <w:lang w:val="en-US"/>
        </w:rPr>
        <w:t xml:space="preserve"> given its independent nature and </w:t>
      </w:r>
      <w:proofErr w:type="spellStart"/>
      <w:r w:rsidRPr="0073061A">
        <w:rPr>
          <w:rFonts w:ascii="Garamond" w:hAnsi="Garamond"/>
          <w:lang w:val="en-US"/>
        </w:rPr>
        <w:t>personali</w:t>
      </w:r>
      <w:r w:rsidR="003833A3">
        <w:rPr>
          <w:rFonts w:ascii="Garamond" w:hAnsi="Garamond"/>
          <w:lang w:val="en-US"/>
        </w:rPr>
        <w:t>s</w:t>
      </w:r>
      <w:r w:rsidRPr="0073061A">
        <w:rPr>
          <w:rFonts w:ascii="Garamond" w:hAnsi="Garamond"/>
          <w:lang w:val="en-US"/>
        </w:rPr>
        <w:t>ed</w:t>
      </w:r>
      <w:proofErr w:type="spellEnd"/>
      <w:r w:rsidRPr="0073061A">
        <w:rPr>
          <w:rFonts w:ascii="Garamond" w:hAnsi="Garamond"/>
          <w:lang w:val="en-US"/>
        </w:rPr>
        <w:t xml:space="preserve"> character capable of adapting to any client, to offer the best financial solutions in a closer and more technical approach. At the time this report was written, the board of directors consisted of a general manager and three partners, all of whom were shareholders in the company. </w:t>
      </w:r>
    </w:p>
    <w:p w14:paraId="11136FA0" w14:textId="1ED8A67A" w:rsidR="00316ED4" w:rsidRPr="0073061A" w:rsidRDefault="0073061A" w:rsidP="0073061A">
      <w:pPr>
        <w:spacing w:line="360" w:lineRule="auto"/>
        <w:ind w:firstLine="360"/>
        <w:jc w:val="both"/>
        <w:rPr>
          <w:rFonts w:ascii="Garamond" w:hAnsi="Garamond"/>
          <w:lang w:val="en-US"/>
        </w:rPr>
      </w:pPr>
      <w:r w:rsidRPr="0073061A">
        <w:rPr>
          <w:rFonts w:ascii="Garamond" w:hAnsi="Garamond"/>
          <w:lang w:val="en-US"/>
        </w:rPr>
        <w:t>Triple A – Capital &amp; Finance, while described as a company closer to its clients, does not aim to be a specialist in all financial areas but rather in two specific areas: corporate finance and financial consulting. The complementarity of these two areas ultimately reflects the company's strategy of offering integrated support solutions.</w:t>
      </w:r>
    </w:p>
    <w:p w14:paraId="0D5A54A5" w14:textId="77777777" w:rsidR="00353977" w:rsidRPr="00306184" w:rsidRDefault="00353977" w:rsidP="005F36BF">
      <w:pPr>
        <w:rPr>
          <w:rFonts w:ascii="Garamond" w:hAnsi="Garamond"/>
          <w:lang w:val="en-US"/>
        </w:rPr>
      </w:pPr>
    </w:p>
    <w:p w14:paraId="0BF7B36B" w14:textId="55C36F12" w:rsidR="00316ED4" w:rsidRPr="00F11CF0" w:rsidRDefault="005F36BF" w:rsidP="00F11CF0">
      <w:pPr>
        <w:pStyle w:val="Ttulo3"/>
        <w:rPr>
          <w:rFonts w:ascii="Garamond" w:hAnsi="Garamond"/>
          <w:b/>
          <w:bCs/>
          <w:color w:val="000000" w:themeColor="text1"/>
        </w:rPr>
      </w:pPr>
      <w:bookmarkStart w:id="7" w:name="_Toc220403253"/>
      <w:bookmarkStart w:id="8" w:name="_Toc220500090"/>
      <w:bookmarkStart w:id="9" w:name="_Toc233142887"/>
      <w:r w:rsidRPr="00F11CF0">
        <w:rPr>
          <w:rFonts w:ascii="Garamond" w:hAnsi="Garamond"/>
          <w:b/>
          <w:bCs/>
          <w:color w:val="000000" w:themeColor="text1"/>
        </w:rPr>
        <w:t>2.</w:t>
      </w:r>
      <w:r w:rsidR="00BC21E5" w:rsidRPr="00F11CF0">
        <w:rPr>
          <w:rFonts w:ascii="Garamond" w:hAnsi="Garamond"/>
          <w:b/>
          <w:bCs/>
          <w:color w:val="000000" w:themeColor="text1"/>
        </w:rPr>
        <w:t>2</w:t>
      </w:r>
      <w:r w:rsidR="000114EE" w:rsidRPr="00F11CF0">
        <w:rPr>
          <w:rFonts w:ascii="Garamond" w:hAnsi="Garamond"/>
          <w:b/>
          <w:bCs/>
          <w:color w:val="000000" w:themeColor="text1"/>
        </w:rPr>
        <w:t>.1.</w:t>
      </w:r>
      <w:r w:rsidRPr="00F11CF0">
        <w:rPr>
          <w:rFonts w:ascii="Garamond" w:hAnsi="Garamond"/>
          <w:b/>
          <w:bCs/>
          <w:color w:val="000000" w:themeColor="text1"/>
        </w:rPr>
        <w:t xml:space="preserve"> </w:t>
      </w:r>
      <w:r w:rsidR="739D03D9" w:rsidRPr="00F11CF0">
        <w:rPr>
          <w:rFonts w:ascii="Garamond" w:hAnsi="Garamond"/>
          <w:b/>
          <w:bCs/>
          <w:color w:val="000000" w:themeColor="text1"/>
        </w:rPr>
        <w:t>Corporate Finance</w:t>
      </w:r>
      <w:bookmarkEnd w:id="7"/>
      <w:bookmarkEnd w:id="8"/>
      <w:bookmarkEnd w:id="9"/>
    </w:p>
    <w:p w14:paraId="1860245F" w14:textId="77777777" w:rsidR="003A24D7" w:rsidRPr="00306184" w:rsidRDefault="003A24D7" w:rsidP="005F36BF">
      <w:pPr>
        <w:rPr>
          <w:rFonts w:ascii="Garamond" w:hAnsi="Garamond"/>
          <w:lang w:val="en-US"/>
        </w:rPr>
      </w:pPr>
    </w:p>
    <w:p w14:paraId="59C0F2AF" w14:textId="77777777" w:rsidR="0073061A" w:rsidRPr="0073061A" w:rsidRDefault="0073061A" w:rsidP="003A24D7">
      <w:pPr>
        <w:spacing w:line="360" w:lineRule="auto"/>
        <w:ind w:firstLine="360"/>
        <w:jc w:val="both"/>
        <w:rPr>
          <w:rFonts w:ascii="Garamond" w:hAnsi="Garamond"/>
          <w:lang w:val="en-US"/>
        </w:rPr>
      </w:pPr>
      <w:r w:rsidRPr="0073061A">
        <w:rPr>
          <w:rFonts w:ascii="Garamond" w:hAnsi="Garamond"/>
          <w:lang w:val="en-US"/>
        </w:rPr>
        <w:t xml:space="preserve">In corporate finance, Triple A provides strategic and financial advice to clients undergoing expansion, restructuring, or capital transfers. The main objective is to support clients from the initial phase in making fundamental decisions for the life of their companies, charting a structured and efficient path for a wide range of operations. </w:t>
      </w:r>
    </w:p>
    <w:p w14:paraId="20430CEA" w14:textId="6CB5965A" w:rsidR="0073061A" w:rsidRPr="0073061A" w:rsidRDefault="0073061A" w:rsidP="003A24D7">
      <w:pPr>
        <w:spacing w:line="360" w:lineRule="auto"/>
        <w:ind w:firstLine="360"/>
        <w:jc w:val="both"/>
        <w:rPr>
          <w:rFonts w:ascii="Garamond" w:hAnsi="Garamond"/>
          <w:lang w:val="en-US"/>
        </w:rPr>
      </w:pPr>
      <w:r w:rsidRPr="0073061A">
        <w:rPr>
          <w:rFonts w:ascii="Garamond" w:hAnsi="Garamond"/>
          <w:lang w:val="en-US"/>
        </w:rPr>
        <w:t xml:space="preserve">One of the company's strengths is in mergers and acquisitions (M&amp;A), capital raising, and strategic planning projects. It </w:t>
      </w:r>
      <w:proofErr w:type="spellStart"/>
      <w:r w:rsidRPr="0073061A">
        <w:rPr>
          <w:rFonts w:ascii="Garamond" w:hAnsi="Garamond"/>
          <w:lang w:val="en-US"/>
        </w:rPr>
        <w:t>organi</w:t>
      </w:r>
      <w:r w:rsidR="003833A3">
        <w:rPr>
          <w:rFonts w:ascii="Garamond" w:hAnsi="Garamond"/>
          <w:lang w:val="en-US"/>
        </w:rPr>
        <w:t>s</w:t>
      </w:r>
      <w:r w:rsidRPr="0073061A">
        <w:rPr>
          <w:rFonts w:ascii="Garamond" w:hAnsi="Garamond"/>
          <w:lang w:val="en-US"/>
        </w:rPr>
        <w:t>es</w:t>
      </w:r>
      <w:proofErr w:type="spellEnd"/>
      <w:r w:rsidRPr="0073061A">
        <w:rPr>
          <w:rFonts w:ascii="Garamond" w:hAnsi="Garamond"/>
          <w:lang w:val="en-US"/>
        </w:rPr>
        <w:t xml:space="preserve"> operations and works until the deal is closed, being responsible for finding investors, approaching investors, presenting highly technical documentation to capture investor interest, company valuation, financial due diligence, negotiations, and even the preparation of a business plan or financial restructuring, when necessary.</w:t>
      </w:r>
    </w:p>
    <w:p w14:paraId="26759BBF" w14:textId="092A4428" w:rsidR="00EA332E" w:rsidRDefault="0073061A" w:rsidP="05DBFBF3">
      <w:pPr>
        <w:spacing w:line="360" w:lineRule="auto"/>
        <w:ind w:firstLine="360"/>
        <w:jc w:val="both"/>
        <w:rPr>
          <w:rFonts w:ascii="Garamond" w:hAnsi="Garamond"/>
          <w:lang w:val="en-US"/>
        </w:rPr>
      </w:pPr>
      <w:r w:rsidRPr="05DBFBF3">
        <w:rPr>
          <w:rFonts w:ascii="Garamond" w:hAnsi="Garamond"/>
          <w:lang w:val="en-US"/>
        </w:rPr>
        <w:t>In this way, by offering the services described above, the company positions itself as a strategic partner for companies that want to grow, raise investment, or improve their financial structure in increasingly uncertain macroeconomic contexts.</w:t>
      </w:r>
    </w:p>
    <w:p w14:paraId="5EA7F6CD" w14:textId="77777777" w:rsidR="00E747ED" w:rsidRDefault="00E747ED" w:rsidP="00E747ED">
      <w:pPr>
        <w:rPr>
          <w:rFonts w:ascii="Garamond" w:hAnsi="Garamond"/>
          <w:lang w:val="en-US"/>
        </w:rPr>
      </w:pPr>
      <w:bookmarkStart w:id="10" w:name="_Toc220403254"/>
      <w:bookmarkStart w:id="11" w:name="_Toc220500091"/>
    </w:p>
    <w:p w14:paraId="122F2FC5" w14:textId="77777777" w:rsidR="00572D0B" w:rsidRDefault="00572D0B" w:rsidP="00E747ED">
      <w:pPr>
        <w:rPr>
          <w:rFonts w:ascii="Garamond" w:hAnsi="Garamond"/>
          <w:lang w:val="en-US"/>
        </w:rPr>
      </w:pPr>
    </w:p>
    <w:p w14:paraId="6C326CD0" w14:textId="77777777" w:rsidR="00572D0B" w:rsidRPr="00306184" w:rsidRDefault="00572D0B" w:rsidP="00E747ED">
      <w:pPr>
        <w:rPr>
          <w:rFonts w:ascii="Garamond" w:hAnsi="Garamond"/>
          <w:lang w:val="en-US"/>
        </w:rPr>
      </w:pPr>
    </w:p>
    <w:p w14:paraId="45C35078" w14:textId="2E504506" w:rsidR="00512F7F" w:rsidRPr="00F11CF0" w:rsidRDefault="005F36BF" w:rsidP="00F11CF0">
      <w:pPr>
        <w:pStyle w:val="Ttulo3"/>
        <w:rPr>
          <w:rFonts w:ascii="Garamond" w:hAnsi="Garamond"/>
          <w:b/>
          <w:bCs/>
          <w:color w:val="000000" w:themeColor="text1"/>
        </w:rPr>
      </w:pPr>
      <w:bookmarkStart w:id="12" w:name="_Toc233142888"/>
      <w:r w:rsidRPr="00F11CF0">
        <w:rPr>
          <w:rFonts w:ascii="Garamond" w:hAnsi="Garamond"/>
          <w:b/>
          <w:bCs/>
          <w:color w:val="000000" w:themeColor="text1"/>
        </w:rPr>
        <w:lastRenderedPageBreak/>
        <w:t>2.</w:t>
      </w:r>
      <w:r w:rsidR="00BC21E5" w:rsidRPr="00F11CF0">
        <w:rPr>
          <w:rFonts w:ascii="Garamond" w:hAnsi="Garamond"/>
          <w:b/>
          <w:bCs/>
          <w:color w:val="000000" w:themeColor="text1"/>
        </w:rPr>
        <w:t>2</w:t>
      </w:r>
      <w:r w:rsidR="00B505BB" w:rsidRPr="00F11CF0">
        <w:rPr>
          <w:rFonts w:ascii="Garamond" w:hAnsi="Garamond"/>
          <w:b/>
          <w:bCs/>
          <w:color w:val="000000" w:themeColor="text1"/>
        </w:rPr>
        <w:t>.</w:t>
      </w:r>
      <w:r w:rsidRPr="00F11CF0">
        <w:rPr>
          <w:rFonts w:ascii="Garamond" w:hAnsi="Garamond"/>
          <w:b/>
          <w:bCs/>
          <w:color w:val="000000" w:themeColor="text1"/>
        </w:rPr>
        <w:t>2</w:t>
      </w:r>
      <w:r w:rsidR="00B505BB" w:rsidRPr="00F11CF0">
        <w:rPr>
          <w:rFonts w:ascii="Garamond" w:hAnsi="Garamond"/>
          <w:b/>
          <w:bCs/>
          <w:color w:val="000000" w:themeColor="text1"/>
        </w:rPr>
        <w:t>.</w:t>
      </w:r>
      <w:r w:rsidRPr="00F11CF0">
        <w:rPr>
          <w:rFonts w:ascii="Garamond" w:hAnsi="Garamond"/>
          <w:b/>
          <w:bCs/>
          <w:color w:val="000000" w:themeColor="text1"/>
        </w:rPr>
        <w:t xml:space="preserve"> </w:t>
      </w:r>
      <w:r w:rsidR="739D03D9" w:rsidRPr="00F11CF0">
        <w:rPr>
          <w:rFonts w:ascii="Garamond" w:hAnsi="Garamond"/>
          <w:b/>
          <w:bCs/>
          <w:color w:val="000000" w:themeColor="text1"/>
        </w:rPr>
        <w:t>Financing Advisory</w:t>
      </w:r>
      <w:bookmarkEnd w:id="10"/>
      <w:bookmarkEnd w:id="11"/>
      <w:bookmarkEnd w:id="12"/>
    </w:p>
    <w:p w14:paraId="655B75A5" w14:textId="77777777" w:rsidR="003A24D7" w:rsidRPr="00291B91" w:rsidRDefault="003A24D7" w:rsidP="005F36BF">
      <w:pPr>
        <w:rPr>
          <w:lang w:val="en-US"/>
        </w:rPr>
      </w:pPr>
    </w:p>
    <w:p w14:paraId="7341D4D9" w14:textId="77777777" w:rsidR="00BF124E" w:rsidRPr="00BF124E" w:rsidRDefault="00BF124E" w:rsidP="00E40DB4">
      <w:pPr>
        <w:spacing w:line="360" w:lineRule="auto"/>
        <w:ind w:firstLine="360"/>
        <w:jc w:val="both"/>
        <w:rPr>
          <w:rFonts w:ascii="Garamond" w:hAnsi="Garamond"/>
          <w:lang w:val="en-US"/>
        </w:rPr>
      </w:pPr>
      <w:r w:rsidRPr="00BF124E">
        <w:rPr>
          <w:rFonts w:ascii="Garamond" w:hAnsi="Garamond"/>
          <w:lang w:val="en-US"/>
        </w:rPr>
        <w:t>In terms of financing advisory, the company, as a provider of financial consulting services, guides its clients in identifying the most appropriate solutions, whether through equity, debt or even EU funds. These can be applied to growth and expansion operations, M&amp;A operations and even start-ups. </w:t>
      </w:r>
    </w:p>
    <w:p w14:paraId="3F8F837D" w14:textId="77777777" w:rsidR="00BF124E" w:rsidRPr="00BF124E" w:rsidRDefault="00BF124E" w:rsidP="000858DD">
      <w:pPr>
        <w:spacing w:line="360" w:lineRule="auto"/>
        <w:ind w:firstLine="360"/>
        <w:jc w:val="both"/>
        <w:rPr>
          <w:rFonts w:ascii="Garamond" w:hAnsi="Garamond"/>
          <w:lang w:val="en-US"/>
        </w:rPr>
      </w:pPr>
      <w:r w:rsidRPr="00BF124E">
        <w:rPr>
          <w:rFonts w:ascii="Garamond" w:hAnsi="Garamond"/>
          <w:lang w:val="en-US"/>
        </w:rPr>
        <w:t xml:space="preserve">Its status as a financial boutique opens doors to a niche market, allowing it to clearly distinguish itself from the main players in the sector, </w:t>
      </w:r>
      <w:proofErr w:type="spellStart"/>
      <w:r w:rsidRPr="00BF124E">
        <w:rPr>
          <w:rFonts w:ascii="Garamond" w:hAnsi="Garamond"/>
          <w:lang w:val="en-US"/>
        </w:rPr>
        <w:t>specialising</w:t>
      </w:r>
      <w:proofErr w:type="spellEnd"/>
      <w:r w:rsidRPr="00BF124E">
        <w:rPr>
          <w:rFonts w:ascii="Garamond" w:hAnsi="Garamond"/>
          <w:lang w:val="en-US"/>
        </w:rPr>
        <w:t xml:space="preserve"> in providing more careful and solid attention to its clients and business partners. The main objective of Triple A – Capital &amp; Finance is to provide advice and support in the productive and responsible construction of sustainable businesses.</w:t>
      </w:r>
    </w:p>
    <w:p w14:paraId="6D8D0B7A" w14:textId="33140802" w:rsidR="00682FA1" w:rsidRDefault="443BA641" w:rsidP="000858DD">
      <w:pPr>
        <w:spacing w:line="360" w:lineRule="auto"/>
        <w:ind w:firstLine="360"/>
        <w:jc w:val="both"/>
        <w:rPr>
          <w:rFonts w:ascii="Garamond" w:hAnsi="Garamond"/>
          <w:lang w:val="en-US"/>
        </w:rPr>
      </w:pPr>
      <w:r w:rsidRPr="38600902">
        <w:rPr>
          <w:rFonts w:ascii="Garamond" w:hAnsi="Garamond"/>
          <w:lang w:val="en-US"/>
        </w:rPr>
        <w:t>After several years of work in this business area, Triple A has established long-standing and strategic relationships with long-term business partners, which are essential for its consolidation as a financial boutique. </w:t>
      </w:r>
    </w:p>
    <w:p w14:paraId="6F0D81C9" w14:textId="41024D35" w:rsidR="38600902" w:rsidRPr="00F11CF0" w:rsidRDefault="00E10C95" w:rsidP="00F11CF0">
      <w:pPr>
        <w:pStyle w:val="Ttulo2"/>
        <w:rPr>
          <w:rFonts w:ascii="Garamond" w:hAnsi="Garamond"/>
          <w:b/>
          <w:bCs/>
          <w:color w:val="000000" w:themeColor="text1"/>
          <w:sz w:val="28"/>
          <w:szCs w:val="28"/>
        </w:rPr>
      </w:pPr>
      <w:bookmarkStart w:id="13" w:name="_Toc233142889"/>
      <w:r w:rsidRPr="00F11CF0">
        <w:rPr>
          <w:rFonts w:ascii="Garamond" w:hAnsi="Garamond"/>
          <w:b/>
          <w:bCs/>
          <w:color w:val="000000" w:themeColor="text1"/>
          <w:sz w:val="28"/>
          <w:szCs w:val="28"/>
        </w:rPr>
        <w:t xml:space="preserve">2.3. </w:t>
      </w:r>
      <w:r w:rsidR="008B5435" w:rsidRPr="00F11CF0">
        <w:rPr>
          <w:rFonts w:ascii="Garamond" w:hAnsi="Garamond"/>
          <w:b/>
          <w:bCs/>
          <w:color w:val="000000" w:themeColor="text1"/>
          <w:sz w:val="28"/>
          <w:szCs w:val="28"/>
        </w:rPr>
        <w:t xml:space="preserve">The </w:t>
      </w:r>
      <w:r w:rsidRPr="00F11CF0">
        <w:rPr>
          <w:rFonts w:ascii="Garamond" w:hAnsi="Garamond"/>
          <w:b/>
          <w:bCs/>
          <w:color w:val="000000" w:themeColor="text1"/>
          <w:sz w:val="28"/>
          <w:szCs w:val="28"/>
        </w:rPr>
        <w:t>Internship</w:t>
      </w:r>
      <w:bookmarkEnd w:id="13"/>
    </w:p>
    <w:p w14:paraId="0E467D3B" w14:textId="21AD65BF" w:rsidR="72F1BB8F" w:rsidRPr="00F11CF0" w:rsidRDefault="005F36BF" w:rsidP="00F11CF0">
      <w:pPr>
        <w:pStyle w:val="Ttulo3"/>
        <w:rPr>
          <w:rFonts w:ascii="Garamond" w:hAnsi="Garamond"/>
          <w:b/>
          <w:bCs/>
          <w:color w:val="000000" w:themeColor="text1"/>
        </w:rPr>
      </w:pPr>
      <w:bookmarkStart w:id="14" w:name="_Toc220403255"/>
      <w:bookmarkStart w:id="15" w:name="_Toc220500092"/>
      <w:bookmarkStart w:id="16" w:name="_Toc233142890"/>
      <w:r w:rsidRPr="00F11CF0">
        <w:rPr>
          <w:rFonts w:ascii="Garamond" w:hAnsi="Garamond"/>
          <w:b/>
          <w:bCs/>
          <w:color w:val="000000" w:themeColor="text1"/>
        </w:rPr>
        <w:t>2.</w:t>
      </w:r>
      <w:r w:rsidR="00BC21E5" w:rsidRPr="00F11CF0">
        <w:rPr>
          <w:rFonts w:ascii="Garamond" w:hAnsi="Garamond"/>
          <w:b/>
          <w:bCs/>
          <w:color w:val="000000" w:themeColor="text1"/>
        </w:rPr>
        <w:t>3</w:t>
      </w:r>
      <w:r w:rsidR="00B505BB" w:rsidRPr="00F11CF0">
        <w:rPr>
          <w:rFonts w:ascii="Garamond" w:hAnsi="Garamond"/>
          <w:b/>
          <w:bCs/>
          <w:color w:val="000000" w:themeColor="text1"/>
        </w:rPr>
        <w:t>.</w:t>
      </w:r>
      <w:r w:rsidR="0040729A" w:rsidRPr="00F11CF0">
        <w:rPr>
          <w:rFonts w:ascii="Garamond" w:hAnsi="Garamond"/>
          <w:b/>
          <w:bCs/>
          <w:color w:val="000000" w:themeColor="text1"/>
        </w:rPr>
        <w:t>1.</w:t>
      </w:r>
      <w:r w:rsidRPr="00F11CF0">
        <w:rPr>
          <w:rFonts w:ascii="Garamond" w:hAnsi="Garamond"/>
          <w:b/>
          <w:bCs/>
          <w:color w:val="000000" w:themeColor="text1"/>
        </w:rPr>
        <w:t xml:space="preserve"> </w:t>
      </w:r>
      <w:r w:rsidR="72F1BB8F" w:rsidRPr="00F11CF0">
        <w:rPr>
          <w:rFonts w:ascii="Garamond" w:hAnsi="Garamond"/>
          <w:b/>
          <w:bCs/>
          <w:color w:val="000000" w:themeColor="text1"/>
        </w:rPr>
        <w:t xml:space="preserve">Internship </w:t>
      </w:r>
      <w:bookmarkEnd w:id="14"/>
      <w:bookmarkEnd w:id="15"/>
      <w:r w:rsidR="0040729A" w:rsidRPr="00F11CF0">
        <w:rPr>
          <w:rFonts w:ascii="Garamond" w:hAnsi="Garamond"/>
          <w:b/>
          <w:bCs/>
          <w:color w:val="000000" w:themeColor="text1"/>
        </w:rPr>
        <w:t>context</w:t>
      </w:r>
      <w:bookmarkEnd w:id="16"/>
    </w:p>
    <w:p w14:paraId="4A1948AD" w14:textId="6CDA5A01" w:rsidR="0069757A" w:rsidRPr="0069757A" w:rsidRDefault="0069757A" w:rsidP="005F36BF">
      <w:pPr>
        <w:rPr>
          <w:lang w:val="en-US"/>
        </w:rPr>
      </w:pPr>
    </w:p>
    <w:p w14:paraId="7E93546C" w14:textId="0594FCBF" w:rsidR="008579BC" w:rsidRDefault="079F7ED2" w:rsidP="00B95900">
      <w:pPr>
        <w:spacing w:line="360" w:lineRule="auto"/>
        <w:ind w:firstLine="360"/>
        <w:jc w:val="both"/>
        <w:rPr>
          <w:rFonts w:ascii="Garamond" w:eastAsia="Garamond" w:hAnsi="Garamond" w:cs="Garamond"/>
          <w:lang w:val="en-US"/>
        </w:rPr>
      </w:pPr>
      <w:r w:rsidRPr="413E8124">
        <w:rPr>
          <w:rFonts w:ascii="Garamond" w:eastAsia="Garamond" w:hAnsi="Garamond" w:cs="Garamond"/>
          <w:lang w:val="en-US"/>
        </w:rPr>
        <w:t xml:space="preserve">The internship </w:t>
      </w:r>
      <w:r w:rsidR="00FD5438">
        <w:rPr>
          <w:rFonts w:ascii="Garamond" w:eastAsia="Garamond" w:hAnsi="Garamond" w:cs="Garamond"/>
          <w:lang w:val="en-US"/>
        </w:rPr>
        <w:t>w</w:t>
      </w:r>
      <w:r w:rsidR="00667C17">
        <w:rPr>
          <w:rFonts w:ascii="Garamond" w:eastAsia="Garamond" w:hAnsi="Garamond" w:cs="Garamond"/>
          <w:lang w:val="en-US"/>
        </w:rPr>
        <w:t>as</w:t>
      </w:r>
      <w:r w:rsidRPr="413E8124">
        <w:rPr>
          <w:rFonts w:ascii="Garamond" w:eastAsia="Garamond" w:hAnsi="Garamond" w:cs="Garamond"/>
          <w:lang w:val="en-US"/>
        </w:rPr>
        <w:t xml:space="preserve"> conducted within the operative environment at Triple A – Capital &amp; Finance, giving the intern a chance to engage with all processes that </w:t>
      </w:r>
      <w:r w:rsidR="00B505BB">
        <w:rPr>
          <w:rFonts w:ascii="Garamond" w:eastAsia="Garamond" w:hAnsi="Garamond" w:cs="Garamond"/>
          <w:lang w:val="en-US"/>
        </w:rPr>
        <w:t>support</w:t>
      </w:r>
      <w:r w:rsidRPr="413E8124">
        <w:rPr>
          <w:rFonts w:ascii="Garamond" w:eastAsia="Garamond" w:hAnsi="Garamond" w:cs="Garamond"/>
          <w:lang w:val="en-US"/>
        </w:rPr>
        <w:t xml:space="preserve"> the financial advisory firm </w:t>
      </w:r>
      <w:r w:rsidR="007D4F25">
        <w:rPr>
          <w:rFonts w:ascii="Garamond" w:eastAsia="Garamond" w:hAnsi="Garamond" w:cs="Garamond"/>
          <w:lang w:val="en-US"/>
        </w:rPr>
        <w:t>in the</w:t>
      </w:r>
      <w:r w:rsidRPr="413E8124">
        <w:rPr>
          <w:rFonts w:ascii="Garamond" w:eastAsia="Garamond" w:hAnsi="Garamond" w:cs="Garamond"/>
          <w:lang w:val="en-US"/>
        </w:rPr>
        <w:t xml:space="preserve"> corporate finance advisory work. As a financial advisory boutique, due to a relatively small working team at Triple A, there is an opportunity to work in a close-knit environment, giving the intern a chance to work with senior professionals. This set-up gives access to a variety of work associated with corporate finance advisory work, such as financial analyses, assistance with </w:t>
      </w:r>
      <w:r w:rsidR="28EBBE5C" w:rsidRPr="413E8124">
        <w:rPr>
          <w:rFonts w:ascii="Garamond" w:eastAsia="Garamond" w:hAnsi="Garamond" w:cs="Garamond"/>
          <w:lang w:val="en-US"/>
        </w:rPr>
        <w:t>M&amp;A</w:t>
      </w:r>
      <w:r w:rsidRPr="413E8124">
        <w:rPr>
          <w:rFonts w:ascii="Garamond" w:eastAsia="Garamond" w:hAnsi="Garamond" w:cs="Garamond"/>
          <w:lang w:val="en-US"/>
        </w:rPr>
        <w:t>, evaluation for restructuring, and preparation of financial documentation for clients.</w:t>
      </w:r>
    </w:p>
    <w:p w14:paraId="5AF084B8" w14:textId="23DA99A4" w:rsidR="005C7FA3" w:rsidRDefault="079F7ED2" w:rsidP="00B95900">
      <w:pPr>
        <w:spacing w:line="360" w:lineRule="auto"/>
        <w:ind w:firstLine="360"/>
        <w:jc w:val="both"/>
        <w:rPr>
          <w:rFonts w:ascii="Garamond" w:eastAsia="Garamond" w:hAnsi="Garamond" w:cs="Garamond"/>
          <w:lang w:val="en-US"/>
        </w:rPr>
      </w:pPr>
      <w:r w:rsidRPr="413E8124">
        <w:rPr>
          <w:rFonts w:ascii="Garamond" w:eastAsia="Garamond" w:hAnsi="Garamond" w:cs="Garamond"/>
          <w:lang w:val="en-US"/>
        </w:rPr>
        <w:t xml:space="preserve">Due to the firm’s lean </w:t>
      </w:r>
      <w:proofErr w:type="spellStart"/>
      <w:r w:rsidRPr="413E8124">
        <w:rPr>
          <w:rFonts w:ascii="Garamond" w:eastAsia="Garamond" w:hAnsi="Garamond" w:cs="Garamond"/>
          <w:lang w:val="en-US"/>
        </w:rPr>
        <w:t>organisational</w:t>
      </w:r>
      <w:proofErr w:type="spellEnd"/>
      <w:r w:rsidRPr="413E8124">
        <w:rPr>
          <w:rFonts w:ascii="Garamond" w:eastAsia="Garamond" w:hAnsi="Garamond" w:cs="Garamond"/>
          <w:lang w:val="en-US"/>
        </w:rPr>
        <w:t xml:space="preserve"> structure, the internship is designed to offer broad exposure rather than a narrow or repetitive role. The intern is expected to contribute to several stages of the advisory process, depending on the projects underway. Such tasks may or may not include, but are not limited to, gathering and interpreting financial data, assisting in any valuation analysis, assisting in preparing summaries and presentations, and helping in evaluating different investment and capital alternatives. This broad exposure enables the intern to see how corporate finance initiatives are progressed in detail from analysis to </w:t>
      </w:r>
      <w:r w:rsidRPr="413E8124">
        <w:rPr>
          <w:rFonts w:ascii="Garamond" w:eastAsia="Garamond" w:hAnsi="Garamond" w:cs="Garamond"/>
          <w:lang w:val="en-US"/>
        </w:rPr>
        <w:lastRenderedPageBreak/>
        <w:t>completion of recommendations, yet also experience how</w:t>
      </w:r>
      <w:r w:rsidR="00B95900">
        <w:rPr>
          <w:rFonts w:ascii="Garamond" w:eastAsia="Garamond" w:hAnsi="Garamond" w:cs="Garamond"/>
          <w:lang w:val="en-US"/>
        </w:rPr>
        <w:t>,</w:t>
      </w:r>
      <w:r w:rsidRPr="413E8124">
        <w:rPr>
          <w:rFonts w:ascii="Garamond" w:eastAsia="Garamond" w:hAnsi="Garamond" w:cs="Garamond"/>
          <w:lang w:val="en-US"/>
        </w:rPr>
        <w:t xml:space="preserve"> in practice</w:t>
      </w:r>
      <w:r w:rsidR="00B95900">
        <w:rPr>
          <w:rFonts w:ascii="Garamond" w:eastAsia="Garamond" w:hAnsi="Garamond" w:cs="Garamond"/>
          <w:lang w:val="en-US"/>
        </w:rPr>
        <w:t>,</w:t>
      </w:r>
      <w:r w:rsidRPr="413E8124">
        <w:rPr>
          <w:rFonts w:ascii="Garamond" w:eastAsia="Garamond" w:hAnsi="Garamond" w:cs="Garamond"/>
          <w:lang w:val="en-US"/>
        </w:rPr>
        <w:t xml:space="preserve"> a smaller corporate finance advisory house works.</w:t>
      </w:r>
    </w:p>
    <w:p w14:paraId="59AB4CB1" w14:textId="379A755E" w:rsidR="00511023" w:rsidRPr="0028578E" w:rsidRDefault="079F7ED2" w:rsidP="0043285D">
      <w:pPr>
        <w:spacing w:line="360" w:lineRule="auto"/>
        <w:ind w:firstLine="360"/>
        <w:jc w:val="both"/>
        <w:rPr>
          <w:rFonts w:ascii="Garamond" w:eastAsia="Garamond" w:hAnsi="Garamond" w:cs="Garamond"/>
          <w:lang w:val="en-US"/>
        </w:rPr>
      </w:pPr>
      <w:r w:rsidRPr="413E8124">
        <w:rPr>
          <w:rFonts w:ascii="Garamond" w:eastAsia="Garamond" w:hAnsi="Garamond" w:cs="Garamond"/>
          <w:lang w:val="en-US"/>
        </w:rPr>
        <w:t xml:space="preserve">The main objective of the internship </w:t>
      </w:r>
      <w:r w:rsidR="00667C17">
        <w:rPr>
          <w:rFonts w:ascii="Garamond" w:eastAsia="Garamond" w:hAnsi="Garamond" w:cs="Garamond"/>
          <w:lang w:val="en-US"/>
        </w:rPr>
        <w:t>is</w:t>
      </w:r>
      <w:r w:rsidRPr="413E8124">
        <w:rPr>
          <w:rFonts w:ascii="Garamond" w:eastAsia="Garamond" w:hAnsi="Garamond" w:cs="Garamond"/>
          <w:lang w:val="en-US"/>
        </w:rPr>
        <w:t xml:space="preserve"> to complement academic training with hands-on experience in corporate finance. Throughout the internship, the intern applies knowledge acquired during the academic </w:t>
      </w:r>
      <w:proofErr w:type="spellStart"/>
      <w:r w:rsidRPr="413E8124">
        <w:rPr>
          <w:rFonts w:ascii="Garamond" w:eastAsia="Garamond" w:hAnsi="Garamond" w:cs="Garamond"/>
          <w:lang w:val="en-US"/>
        </w:rPr>
        <w:t>programme</w:t>
      </w:r>
      <w:proofErr w:type="spellEnd"/>
      <w:r w:rsidRPr="413E8124">
        <w:rPr>
          <w:rFonts w:ascii="Garamond" w:eastAsia="Garamond" w:hAnsi="Garamond" w:cs="Garamond"/>
          <w:lang w:val="en-US"/>
        </w:rPr>
        <w:t xml:space="preserve"> to real business situations, particularly in areas such as company valuation, financial analysis, investment assessment</w:t>
      </w:r>
      <w:r w:rsidR="00222A3B">
        <w:rPr>
          <w:rFonts w:ascii="Garamond" w:eastAsia="Garamond" w:hAnsi="Garamond" w:cs="Garamond"/>
          <w:lang w:val="en-US"/>
        </w:rPr>
        <w:t>,</w:t>
      </w:r>
      <w:r w:rsidRPr="413E8124">
        <w:rPr>
          <w:rFonts w:ascii="Garamond" w:eastAsia="Garamond" w:hAnsi="Garamond" w:cs="Garamond"/>
          <w:lang w:val="en-US"/>
        </w:rPr>
        <w:t xml:space="preserve"> an</w:t>
      </w:r>
      <w:r w:rsidR="00222A3B">
        <w:rPr>
          <w:rFonts w:ascii="Garamond" w:eastAsia="Garamond" w:hAnsi="Garamond" w:cs="Garamond"/>
          <w:lang w:val="en-US"/>
        </w:rPr>
        <w:t>d business plan development</w:t>
      </w:r>
      <w:r w:rsidRPr="413E8124">
        <w:rPr>
          <w:rFonts w:ascii="Garamond" w:eastAsia="Garamond" w:hAnsi="Garamond" w:cs="Garamond"/>
          <w:lang w:val="en-US"/>
        </w:rPr>
        <w:t>. The learning environment is based on continuous interaction with experienced professionals, regular feedback</w:t>
      </w:r>
      <w:r w:rsidR="0043285D">
        <w:rPr>
          <w:rFonts w:ascii="Garamond" w:eastAsia="Garamond" w:hAnsi="Garamond" w:cs="Garamond"/>
          <w:lang w:val="en-US"/>
        </w:rPr>
        <w:t>,</w:t>
      </w:r>
      <w:r w:rsidRPr="413E8124">
        <w:rPr>
          <w:rFonts w:ascii="Garamond" w:eastAsia="Garamond" w:hAnsi="Garamond" w:cs="Garamond"/>
          <w:lang w:val="en-US"/>
        </w:rPr>
        <w:t xml:space="preserve"> and active participation in analytical and research-related tasks. </w:t>
      </w:r>
    </w:p>
    <w:p w14:paraId="0D87F533" w14:textId="391455E0" w:rsidR="005F36BF" w:rsidRDefault="005F36BF" w:rsidP="00434061">
      <w:pPr>
        <w:pStyle w:val="Ttulo3"/>
        <w:rPr>
          <w:rFonts w:ascii="Garamond" w:hAnsi="Garamond"/>
          <w:b/>
          <w:bCs/>
          <w:color w:val="000000" w:themeColor="text1"/>
          <w:lang w:val="en-US"/>
        </w:rPr>
      </w:pPr>
      <w:bookmarkStart w:id="17" w:name="_Toc233142891"/>
      <w:r w:rsidRPr="005F36BF">
        <w:rPr>
          <w:rFonts w:ascii="Garamond" w:hAnsi="Garamond"/>
          <w:b/>
          <w:bCs/>
          <w:color w:val="000000" w:themeColor="text1"/>
          <w:lang w:val="en-US"/>
        </w:rPr>
        <w:t>2.</w:t>
      </w:r>
      <w:r w:rsidR="00B44389">
        <w:rPr>
          <w:rFonts w:ascii="Garamond" w:hAnsi="Garamond"/>
          <w:b/>
          <w:bCs/>
          <w:color w:val="000000" w:themeColor="text1"/>
          <w:lang w:val="en-US"/>
        </w:rPr>
        <w:t>3</w:t>
      </w:r>
      <w:r w:rsidRPr="005F36BF">
        <w:rPr>
          <w:rFonts w:ascii="Garamond" w:hAnsi="Garamond"/>
          <w:b/>
          <w:bCs/>
          <w:color w:val="000000" w:themeColor="text1"/>
          <w:lang w:val="en-US"/>
        </w:rPr>
        <w:t>.</w:t>
      </w:r>
      <w:r w:rsidR="00B44389">
        <w:rPr>
          <w:rFonts w:ascii="Garamond" w:hAnsi="Garamond"/>
          <w:b/>
          <w:bCs/>
          <w:color w:val="000000" w:themeColor="text1"/>
          <w:lang w:val="en-US"/>
        </w:rPr>
        <w:t>2</w:t>
      </w:r>
      <w:r w:rsidR="0038484B">
        <w:rPr>
          <w:rFonts w:ascii="Garamond" w:hAnsi="Garamond"/>
          <w:b/>
          <w:bCs/>
          <w:color w:val="000000" w:themeColor="text1"/>
          <w:lang w:val="en-US"/>
        </w:rPr>
        <w:t>.</w:t>
      </w:r>
      <w:r w:rsidRPr="005F36BF">
        <w:rPr>
          <w:rFonts w:ascii="Garamond" w:hAnsi="Garamond"/>
          <w:b/>
          <w:bCs/>
          <w:color w:val="000000" w:themeColor="text1"/>
          <w:lang w:val="en-US"/>
        </w:rPr>
        <w:t xml:space="preserve"> </w:t>
      </w:r>
      <w:r w:rsidR="00C173CE" w:rsidRPr="005F36BF">
        <w:rPr>
          <w:rFonts w:ascii="Garamond" w:hAnsi="Garamond"/>
          <w:b/>
          <w:bCs/>
          <w:color w:val="000000" w:themeColor="text1"/>
          <w:lang w:val="en-US"/>
        </w:rPr>
        <w:t>Main Projects and Activities Undertaken</w:t>
      </w:r>
      <w:bookmarkEnd w:id="17"/>
    </w:p>
    <w:p w14:paraId="3CFFECCC" w14:textId="77777777" w:rsidR="002D438A" w:rsidRPr="002D438A" w:rsidRDefault="002D438A" w:rsidP="002D438A">
      <w:pPr>
        <w:rPr>
          <w:lang w:val="en-US"/>
        </w:rPr>
      </w:pPr>
    </w:p>
    <w:p w14:paraId="0E32E9C7" w14:textId="6C36CCF2" w:rsidR="002D438A" w:rsidRPr="002D438A" w:rsidRDefault="002D438A" w:rsidP="002D438A">
      <w:pPr>
        <w:spacing w:line="360" w:lineRule="auto"/>
        <w:ind w:firstLine="346"/>
        <w:jc w:val="both"/>
        <w:rPr>
          <w:rFonts w:ascii="Garamond" w:hAnsi="Garamond"/>
          <w:lang w:val="en-US"/>
        </w:rPr>
      </w:pPr>
      <w:r w:rsidRPr="002D438A">
        <w:rPr>
          <w:rFonts w:ascii="Garamond" w:hAnsi="Garamond"/>
          <w:lang w:val="en-US"/>
        </w:rPr>
        <w:t xml:space="preserve">The internship provided a hands-on environment across three key areas of the company’s day-to-day operations, each reflecting a distinct aspect of Triple A’s consultancy work. Taken together, these projects offered </w:t>
      </w:r>
      <w:r w:rsidR="00A2606A">
        <w:rPr>
          <w:rFonts w:ascii="Garamond" w:hAnsi="Garamond"/>
          <w:lang w:val="en-US"/>
        </w:rPr>
        <w:t>researc</w:t>
      </w:r>
      <w:r w:rsidR="0028578E">
        <w:rPr>
          <w:rFonts w:ascii="Garamond" w:hAnsi="Garamond"/>
          <w:lang w:val="en-US"/>
        </w:rPr>
        <w:t xml:space="preserve">h </w:t>
      </w:r>
      <w:r w:rsidRPr="002D438A">
        <w:rPr>
          <w:rFonts w:ascii="Garamond" w:hAnsi="Garamond"/>
          <w:lang w:val="en-US"/>
        </w:rPr>
        <w:t xml:space="preserve">insight into the company’s operations and reinforced the areas of </w:t>
      </w:r>
      <w:r w:rsidR="00A2606A">
        <w:rPr>
          <w:rFonts w:ascii="Garamond" w:hAnsi="Garamond"/>
          <w:lang w:val="en-US"/>
        </w:rPr>
        <w:t>areas</w:t>
      </w:r>
      <w:r w:rsidRPr="002D438A">
        <w:rPr>
          <w:rFonts w:ascii="Garamond" w:hAnsi="Garamond"/>
          <w:lang w:val="en-US"/>
        </w:rPr>
        <w:t xml:space="preserve"> explored in this report.</w:t>
      </w:r>
    </w:p>
    <w:p w14:paraId="5406E880" w14:textId="2F1E42E6" w:rsidR="00A3630C" w:rsidRPr="00A3630C" w:rsidRDefault="00C173CE" w:rsidP="00A3630C">
      <w:pPr>
        <w:spacing w:before="240" w:after="60" w:line="360" w:lineRule="auto"/>
        <w:rPr>
          <w:rFonts w:ascii="Garamond" w:hAnsi="Garamond"/>
          <w:b/>
          <w:lang w:val="en-US"/>
        </w:rPr>
      </w:pPr>
      <w:r w:rsidRPr="00691176">
        <w:rPr>
          <w:rFonts w:ascii="Garamond" w:hAnsi="Garamond"/>
          <w:b/>
          <w:lang w:val="en-US"/>
        </w:rPr>
        <w:t>Business Plan for a Tourism Accommodation Project</w:t>
      </w:r>
    </w:p>
    <w:p w14:paraId="641214F1" w14:textId="77777777" w:rsidR="00507960" w:rsidRDefault="00507960" w:rsidP="00507960">
      <w:pPr>
        <w:spacing w:line="360" w:lineRule="auto"/>
        <w:ind w:firstLine="346"/>
        <w:jc w:val="both"/>
        <w:rPr>
          <w:rFonts w:ascii="Garamond" w:hAnsi="Garamond"/>
          <w:lang w:val="en-US"/>
        </w:rPr>
      </w:pPr>
      <w:r w:rsidRPr="00507960">
        <w:rPr>
          <w:rFonts w:ascii="Garamond" w:hAnsi="Garamond"/>
          <w:lang w:val="en-US"/>
        </w:rPr>
        <w:t xml:space="preserve">The first project undertaken involved preparing a business plan for an investment in tourist accommodation in the Vila Praia de </w:t>
      </w:r>
      <w:proofErr w:type="spellStart"/>
      <w:r w:rsidRPr="00507960">
        <w:rPr>
          <w:rFonts w:ascii="Garamond" w:hAnsi="Garamond"/>
          <w:lang w:val="en-US"/>
        </w:rPr>
        <w:t>Âncora</w:t>
      </w:r>
      <w:proofErr w:type="spellEnd"/>
      <w:r w:rsidRPr="00507960">
        <w:rPr>
          <w:rFonts w:ascii="Garamond" w:hAnsi="Garamond"/>
          <w:lang w:val="en-US"/>
        </w:rPr>
        <w:t xml:space="preserve"> area, with a view to securing European Union funding. Tourism has been one of the most economically significant sectors in the Portuguese economy, and EU-funded </w:t>
      </w:r>
      <w:proofErr w:type="spellStart"/>
      <w:r w:rsidRPr="00507960">
        <w:rPr>
          <w:rFonts w:ascii="Garamond" w:hAnsi="Garamond"/>
          <w:lang w:val="en-US"/>
        </w:rPr>
        <w:t>programmes</w:t>
      </w:r>
      <w:proofErr w:type="spellEnd"/>
      <w:r w:rsidRPr="00507960">
        <w:rPr>
          <w:rFonts w:ascii="Garamond" w:hAnsi="Garamond"/>
          <w:lang w:val="en-US"/>
        </w:rPr>
        <w:t>, specifically Portugal 2030 and the European Regional Development Fund (ERDF), are a crucial source of funding for investment projects in this sector.</w:t>
      </w:r>
    </w:p>
    <w:p w14:paraId="07A80E5A" w14:textId="64C48B5D" w:rsidR="00507960" w:rsidRDefault="00507960" w:rsidP="00507960">
      <w:pPr>
        <w:spacing w:line="360" w:lineRule="auto"/>
        <w:ind w:firstLine="346"/>
        <w:jc w:val="both"/>
        <w:rPr>
          <w:rFonts w:ascii="Garamond" w:hAnsi="Garamond"/>
          <w:lang w:val="en-US"/>
        </w:rPr>
      </w:pPr>
      <w:r w:rsidRPr="00507960">
        <w:rPr>
          <w:rFonts w:ascii="Garamond" w:hAnsi="Garamond"/>
          <w:lang w:val="en-US"/>
        </w:rPr>
        <w:t>Market research, demand and revenue forecasting, costing, investment strategy development, and consolidation of financial statements</w:t>
      </w:r>
      <w:r>
        <w:rPr>
          <w:rFonts w:ascii="Garamond" w:hAnsi="Garamond"/>
          <w:lang w:val="en-US"/>
        </w:rPr>
        <w:t>,</w:t>
      </w:r>
      <w:r w:rsidRPr="00507960">
        <w:rPr>
          <w:rFonts w:ascii="Garamond" w:hAnsi="Garamond"/>
          <w:lang w:val="en-US"/>
        </w:rPr>
        <w:t xml:space="preserve"> including income statement forecast, balance sheet forecast, and cash flow forecast over several years</w:t>
      </w:r>
      <w:r>
        <w:rPr>
          <w:rFonts w:ascii="Garamond" w:hAnsi="Garamond"/>
          <w:lang w:val="en-US"/>
        </w:rPr>
        <w:t>,</w:t>
      </w:r>
      <w:r w:rsidRPr="00507960">
        <w:rPr>
          <w:rFonts w:ascii="Garamond" w:hAnsi="Garamond"/>
          <w:lang w:val="en-US"/>
        </w:rPr>
        <w:t xml:space="preserve"> comprised the scope of work in the assignment. The major components of the assignment were financial viability analysis and calculation of traditional measures of investment appraisal such as NPV, IRR, and payback period. Also, sensitivity analysis was done </w:t>
      </w:r>
      <w:proofErr w:type="gramStart"/>
      <w:r w:rsidRPr="00507960">
        <w:rPr>
          <w:rFonts w:ascii="Garamond" w:hAnsi="Garamond"/>
          <w:lang w:val="en-US"/>
        </w:rPr>
        <w:t>with regard to</w:t>
      </w:r>
      <w:proofErr w:type="gramEnd"/>
      <w:r w:rsidRPr="00507960">
        <w:rPr>
          <w:rFonts w:ascii="Garamond" w:hAnsi="Garamond"/>
          <w:lang w:val="en-US"/>
        </w:rPr>
        <w:t xml:space="preserve"> the stability of the forecast on the presumption of a pessimistic scenario taking place. What was also crucial in this respect was finding out about the optimal capital structure from the viewpoint of EU grants' requirements and determining how financing from three sources interacts.</w:t>
      </w:r>
    </w:p>
    <w:p w14:paraId="2A12DDA8" w14:textId="77777777" w:rsidR="00ED3B5E" w:rsidRPr="000B69BE" w:rsidRDefault="00ED3B5E" w:rsidP="00507960">
      <w:pPr>
        <w:spacing w:line="360" w:lineRule="auto"/>
        <w:ind w:firstLine="346"/>
        <w:jc w:val="both"/>
        <w:rPr>
          <w:rFonts w:ascii="Garamond" w:hAnsi="Garamond"/>
          <w:lang w:val="en-US"/>
        </w:rPr>
      </w:pPr>
      <w:r w:rsidRPr="000B69BE">
        <w:rPr>
          <w:rFonts w:ascii="Garamond" w:hAnsi="Garamond"/>
          <w:lang w:val="en-US"/>
        </w:rPr>
        <w:lastRenderedPageBreak/>
        <w:t>In this client case, knowledge of financing arrangements within the context of financial advisory services was developed. It became evident that the availability of financing in Europe played a major role in determining the viability of investment opportunities. Furthermore, a strong understanding of financial modelling and financial storytelling was essential for effectively evaluating and presenting investment scenarios.</w:t>
      </w:r>
    </w:p>
    <w:p w14:paraId="278A1701" w14:textId="3004252C" w:rsidR="00507960" w:rsidRDefault="00507960" w:rsidP="00507960">
      <w:pPr>
        <w:spacing w:line="360" w:lineRule="auto"/>
        <w:ind w:firstLine="346"/>
        <w:jc w:val="both"/>
        <w:rPr>
          <w:rFonts w:ascii="Garamond" w:hAnsi="Garamond"/>
          <w:lang w:val="en-US"/>
        </w:rPr>
      </w:pPr>
      <w:r w:rsidRPr="00507960">
        <w:rPr>
          <w:rFonts w:ascii="Garamond" w:hAnsi="Garamond"/>
          <w:lang w:val="en-US"/>
        </w:rPr>
        <w:t xml:space="preserve">Throughout the course of this project, the intern was tasked with carrying out all the stages described above, always under the supervision of the company’s project manager, using the Excel financial model already prepared by Triple A. The intern’s contribution ranged from an initial market study to the delivery of the final document, in accordance with the requirements of the European funding </w:t>
      </w:r>
      <w:proofErr w:type="spellStart"/>
      <w:r w:rsidRPr="00507960">
        <w:rPr>
          <w:rFonts w:ascii="Garamond" w:hAnsi="Garamond"/>
          <w:lang w:val="en-US"/>
        </w:rPr>
        <w:t>programme</w:t>
      </w:r>
      <w:proofErr w:type="spellEnd"/>
      <w:r w:rsidRPr="00507960">
        <w:rPr>
          <w:rFonts w:ascii="Garamond" w:hAnsi="Garamond"/>
          <w:lang w:val="en-US"/>
        </w:rPr>
        <w:t>. In terms of projecting sales, estimating costs, and developing forecasted financial statements, a lot of coordination was needed with regards to different assumptions used in the model to ensure the reliability of results obtained.</w:t>
      </w:r>
    </w:p>
    <w:p w14:paraId="78F1C23B" w14:textId="77A1543B" w:rsidR="00507960" w:rsidRPr="00507960" w:rsidRDefault="00507960" w:rsidP="00507960">
      <w:pPr>
        <w:spacing w:line="360" w:lineRule="auto"/>
        <w:ind w:firstLine="346"/>
        <w:jc w:val="both"/>
        <w:rPr>
          <w:rFonts w:ascii="Garamond" w:hAnsi="Garamond"/>
          <w:lang w:val="en-US"/>
        </w:rPr>
      </w:pPr>
      <w:r w:rsidRPr="00507960">
        <w:rPr>
          <w:rFonts w:ascii="Garamond" w:hAnsi="Garamond"/>
          <w:lang w:val="en-US"/>
        </w:rPr>
        <w:t>This responsibility, from analysis to delivery, enabled the intern to consolidate technical skills in financial modelling and develop a thorough understanding of the logic behind project financing within the context of European funds.</w:t>
      </w:r>
    </w:p>
    <w:p w14:paraId="49D7DC5B" w14:textId="2CE2F792" w:rsidR="0096080C" w:rsidRPr="00EC3FFB" w:rsidRDefault="00215EC6" w:rsidP="00EC3FFB">
      <w:pPr>
        <w:rPr>
          <w:rFonts w:ascii="Garamond" w:hAnsi="Garamond"/>
          <w:b/>
          <w:bCs/>
          <w:lang w:val="en-US"/>
        </w:rPr>
      </w:pPr>
      <w:r w:rsidRPr="00215EC6">
        <w:rPr>
          <w:lang w:val="en-US"/>
        </w:rPr>
        <w:br/>
      </w:r>
      <w:r w:rsidR="00C173CE" w:rsidRPr="00EC3FFB">
        <w:rPr>
          <w:rFonts w:ascii="Garamond" w:hAnsi="Garamond"/>
          <w:b/>
          <w:bCs/>
          <w:lang w:val="en-US"/>
        </w:rPr>
        <w:t>Construction of a Private Equity and Private Credit Database for Iberian Markets</w:t>
      </w:r>
    </w:p>
    <w:p w14:paraId="73A398D8" w14:textId="77777777" w:rsidR="00EC3FFB" w:rsidRPr="00306184" w:rsidRDefault="00EC3FFB" w:rsidP="00A3630C">
      <w:pPr>
        <w:rPr>
          <w:rFonts w:ascii="Garamond" w:hAnsi="Garamond"/>
          <w:lang w:val="en-US"/>
        </w:rPr>
      </w:pPr>
    </w:p>
    <w:p w14:paraId="4E6F3047" w14:textId="77777777" w:rsidR="00A3630C" w:rsidRPr="00A3630C" w:rsidRDefault="00A3630C" w:rsidP="00A3630C">
      <w:pPr>
        <w:spacing w:line="360" w:lineRule="auto"/>
        <w:ind w:firstLine="346"/>
        <w:jc w:val="both"/>
        <w:rPr>
          <w:rFonts w:ascii="Garamond" w:hAnsi="Garamond"/>
          <w:lang w:val="en-US"/>
        </w:rPr>
      </w:pPr>
      <w:r w:rsidRPr="00A3630C">
        <w:rPr>
          <w:rFonts w:ascii="Garamond" w:hAnsi="Garamond"/>
          <w:lang w:val="en-US"/>
        </w:rPr>
        <w:t>The second important project was related to the creation of an internal database of private equity and private credit funds and companies investing in Portugal and Spain. This activity was motivated by one of the challenges detected during Triple A’s advisory operations. The lack of information on the alternative capital providers investing in the Iberian region, which would allow the company to better find and communicate with these sources of finance for its clients.</w:t>
      </w:r>
    </w:p>
    <w:p w14:paraId="1A9BDFEC" w14:textId="63F17DE0" w:rsidR="00A3630C" w:rsidRPr="00A3630C" w:rsidRDefault="00A3630C" w:rsidP="00A3630C">
      <w:pPr>
        <w:spacing w:line="360" w:lineRule="auto"/>
        <w:ind w:firstLine="346"/>
        <w:jc w:val="both"/>
        <w:rPr>
          <w:rFonts w:ascii="Garamond" w:hAnsi="Garamond"/>
          <w:lang w:val="en-US"/>
        </w:rPr>
      </w:pPr>
      <w:r w:rsidRPr="00A3630C">
        <w:rPr>
          <w:rFonts w:ascii="Garamond" w:hAnsi="Garamond"/>
          <w:lang w:val="en-US"/>
        </w:rPr>
        <w:t xml:space="preserve">The database was developed using information held by the company itself, whilst also drawing on major digital platforms in the business world, such as the Apollo tool. For each financial entity identified, we developed a database, compiling a set of data that includes the fund size, investment mandate, target sectors, investment value ranges, geographical focus, preferred stage of development and key contact details. The scope of the database covered both private equity sponsors, including buyout, growth and venture capital vehicles, and private credit providers, including direct </w:t>
      </w:r>
      <w:r w:rsidR="006B09B9">
        <w:rPr>
          <w:rFonts w:ascii="Garamond" w:hAnsi="Garamond"/>
          <w:lang w:val="en-US"/>
        </w:rPr>
        <w:t>lending</w:t>
      </w:r>
      <w:r w:rsidRPr="00A3630C">
        <w:rPr>
          <w:rFonts w:ascii="Garamond" w:hAnsi="Garamond"/>
          <w:lang w:val="en-US"/>
        </w:rPr>
        <w:t xml:space="preserve"> funds, mezzanine capital vehicles and </w:t>
      </w:r>
      <w:proofErr w:type="spellStart"/>
      <w:r w:rsidRPr="00A3630C">
        <w:rPr>
          <w:rFonts w:ascii="Garamond" w:hAnsi="Garamond"/>
          <w:lang w:val="en-US"/>
        </w:rPr>
        <w:t>specialised</w:t>
      </w:r>
      <w:proofErr w:type="spellEnd"/>
      <w:r w:rsidRPr="00A3630C">
        <w:rPr>
          <w:rFonts w:ascii="Garamond" w:hAnsi="Garamond"/>
          <w:lang w:val="en-US"/>
        </w:rPr>
        <w:t xml:space="preserve"> financing platforms active in the Iberian Peninsula.</w:t>
      </w:r>
    </w:p>
    <w:p w14:paraId="68EA2930" w14:textId="77777777" w:rsidR="00A3630C" w:rsidRPr="00A3630C" w:rsidRDefault="00A3630C" w:rsidP="00A3630C">
      <w:pPr>
        <w:spacing w:line="360" w:lineRule="auto"/>
        <w:ind w:firstLine="346"/>
        <w:jc w:val="both"/>
        <w:rPr>
          <w:rFonts w:ascii="Garamond" w:hAnsi="Garamond"/>
          <w:lang w:val="en-US"/>
        </w:rPr>
      </w:pPr>
      <w:r w:rsidRPr="00A3630C">
        <w:rPr>
          <w:rFonts w:ascii="Garamond" w:hAnsi="Garamond"/>
          <w:lang w:val="en-US"/>
        </w:rPr>
        <w:lastRenderedPageBreak/>
        <w:t xml:space="preserve">The database, developed as part of an internship, was primarily designed to assist in identifying investors and lenders for current and future consultancy mandates. In total, the database comprises 205 </w:t>
      </w:r>
      <w:proofErr w:type="spellStart"/>
      <w:r w:rsidRPr="00A3630C">
        <w:rPr>
          <w:rFonts w:ascii="Garamond" w:hAnsi="Garamond"/>
          <w:lang w:val="en-US"/>
        </w:rPr>
        <w:t>organisations</w:t>
      </w:r>
      <w:proofErr w:type="spellEnd"/>
      <w:r w:rsidRPr="00A3630C">
        <w:rPr>
          <w:rFonts w:ascii="Garamond" w:hAnsi="Garamond"/>
          <w:lang w:val="en-US"/>
        </w:rPr>
        <w:t xml:space="preserve">, comprising 132 private equity firms, 30 venture capital funds and 43 private credit institutions. Geographically, the sample focuses primarily on the Iberian market, particularly in Spain, reflecting its importance as a source of potential investors for Portuguese companies. In addition to basic information on the companies, the database contains details on investment focus, target sectors, investment strategy, investment size, geographical preferences and essential contact information. This information has been collected and </w:t>
      </w:r>
      <w:proofErr w:type="spellStart"/>
      <w:r w:rsidRPr="00A3630C">
        <w:rPr>
          <w:rFonts w:ascii="Garamond" w:hAnsi="Garamond"/>
          <w:lang w:val="en-US"/>
        </w:rPr>
        <w:t>organised</w:t>
      </w:r>
      <w:proofErr w:type="spellEnd"/>
      <w:r w:rsidRPr="00A3630C">
        <w:rPr>
          <w:rFonts w:ascii="Garamond" w:hAnsi="Garamond"/>
          <w:lang w:val="en-US"/>
        </w:rPr>
        <w:t xml:space="preserve"> to facilitate the selection of potential investors and financing partners in accordance with the characteristics and needs of each client.</w:t>
      </w:r>
    </w:p>
    <w:p w14:paraId="7A3B0913" w14:textId="77777777" w:rsidR="00A3630C" w:rsidRPr="00A3630C" w:rsidRDefault="00A3630C" w:rsidP="00A3630C">
      <w:pPr>
        <w:spacing w:line="360" w:lineRule="auto"/>
        <w:ind w:firstLine="346"/>
        <w:jc w:val="both"/>
        <w:rPr>
          <w:rFonts w:ascii="Garamond" w:hAnsi="Garamond"/>
          <w:lang w:val="en-US"/>
        </w:rPr>
      </w:pPr>
      <w:r w:rsidRPr="00A3630C">
        <w:rPr>
          <w:rFonts w:ascii="Garamond" w:hAnsi="Garamond"/>
          <w:lang w:val="en-US"/>
        </w:rPr>
        <w:t>This project was directly relevant to the research component of this report, as it provided a detailed, first-hand understanding of the supply side of the Iberian private credit market. During the task of mapping the universe of lenders and active investors, the underdevelopment of the private credit ecosystem in Portugal was evident, compared to Spain and the markets of northern Europe. Some of the empirical observations served as a starting point for the advisory framework developed in Chapter 5.</w:t>
      </w:r>
    </w:p>
    <w:p w14:paraId="45D81AA8" w14:textId="77777777" w:rsidR="00A3630C" w:rsidRPr="00A3630C" w:rsidRDefault="00A3630C" w:rsidP="00A3630C">
      <w:pPr>
        <w:spacing w:line="360" w:lineRule="auto"/>
        <w:ind w:firstLine="346"/>
        <w:jc w:val="both"/>
        <w:rPr>
          <w:rFonts w:ascii="Garamond" w:hAnsi="Garamond"/>
          <w:lang w:val="en-US"/>
        </w:rPr>
      </w:pPr>
      <w:r w:rsidRPr="00A3630C">
        <w:rPr>
          <w:rFonts w:ascii="Garamond" w:hAnsi="Garamond"/>
          <w:lang w:val="en-US"/>
        </w:rPr>
        <w:t xml:space="preserve">At the start of the internship, the intern was provided with a version of the database that was significantly out of date. The first step therefore involved systematically reviewing and updating all existing records, before expanding the database to include new </w:t>
      </w:r>
      <w:proofErr w:type="spellStart"/>
      <w:r w:rsidRPr="00A3630C">
        <w:rPr>
          <w:rFonts w:ascii="Garamond" w:hAnsi="Garamond"/>
          <w:lang w:val="en-US"/>
        </w:rPr>
        <w:t>organisations</w:t>
      </w:r>
      <w:proofErr w:type="spellEnd"/>
      <w:r w:rsidRPr="00A3630C">
        <w:rPr>
          <w:rFonts w:ascii="Garamond" w:hAnsi="Garamond"/>
          <w:lang w:val="en-US"/>
        </w:rPr>
        <w:t>, resulting in a final version that was as detailed as possible and up to date at the time of its creation.</w:t>
      </w:r>
    </w:p>
    <w:p w14:paraId="0E838982" w14:textId="77777777" w:rsidR="00A3630C" w:rsidRPr="00A3630C" w:rsidRDefault="00A3630C" w:rsidP="00A3630C">
      <w:pPr>
        <w:spacing w:line="360" w:lineRule="auto"/>
        <w:ind w:firstLine="346"/>
        <w:jc w:val="both"/>
        <w:rPr>
          <w:rFonts w:ascii="Garamond" w:hAnsi="Garamond"/>
          <w:lang w:val="en-US"/>
        </w:rPr>
      </w:pPr>
      <w:r w:rsidRPr="00A3630C">
        <w:rPr>
          <w:rFonts w:ascii="Garamond" w:hAnsi="Garamond"/>
          <w:lang w:val="en-US"/>
        </w:rPr>
        <w:t>This work required thorough and wide-ranging research, with a particular focus on private equity and private credit players active in the Spanish market, using the Apollo platform as the main prospecting tool, supplemented by institutional websites and sector publications. The result is a tangible asset of immediate use to Triple A – Capital &amp; Finance, strengthening the company’s ability to identify and contact potential investors and lenders on behalf of its clients.</w:t>
      </w:r>
    </w:p>
    <w:p w14:paraId="2FB8BABE" w14:textId="7557493E" w:rsidR="00306184" w:rsidRDefault="00C173CE" w:rsidP="00306184">
      <w:pPr>
        <w:rPr>
          <w:rFonts w:ascii="Garamond" w:hAnsi="Garamond"/>
          <w:b/>
          <w:bCs/>
          <w:lang w:val="en-US"/>
        </w:rPr>
      </w:pPr>
      <w:r w:rsidRPr="00306184">
        <w:rPr>
          <w:rFonts w:ascii="Garamond" w:hAnsi="Garamond"/>
          <w:b/>
          <w:bCs/>
          <w:lang w:val="en-US"/>
        </w:rPr>
        <w:t>Financial Valuations for Submission to the CMVM</w:t>
      </w:r>
    </w:p>
    <w:p w14:paraId="572E3956" w14:textId="77777777" w:rsidR="00306184" w:rsidRPr="00306184" w:rsidRDefault="00306184" w:rsidP="00306184">
      <w:pPr>
        <w:rPr>
          <w:rFonts w:ascii="Garamond" w:hAnsi="Garamond"/>
          <w:lang w:val="en-US"/>
        </w:rPr>
      </w:pPr>
    </w:p>
    <w:p w14:paraId="38BCFDCF" w14:textId="77777777" w:rsidR="00BD6702" w:rsidRPr="00BD6702" w:rsidRDefault="00BD6702" w:rsidP="00306184">
      <w:pPr>
        <w:spacing w:line="360" w:lineRule="auto"/>
        <w:ind w:firstLine="346"/>
        <w:jc w:val="both"/>
        <w:rPr>
          <w:rFonts w:ascii="Garamond" w:hAnsi="Garamond"/>
          <w:lang w:val="en-US"/>
        </w:rPr>
      </w:pPr>
      <w:r w:rsidRPr="00BD6702">
        <w:rPr>
          <w:rFonts w:ascii="Garamond" w:hAnsi="Garamond"/>
          <w:lang w:val="en-US"/>
        </w:rPr>
        <w:t xml:space="preserve">Thirdly, among the key activities successfully carried out during the placement, a notable highlight was the collaboration on the preparation of valuations, which were subsequently submitted to the Portuguese Securities Market Commission (CMVM). During the same period, two company valuations were carried out for an independent investment management firm. The companies operated in different sectors, namely engineering and </w:t>
      </w:r>
      <w:proofErr w:type="spellStart"/>
      <w:r w:rsidRPr="00BD6702">
        <w:rPr>
          <w:rFonts w:ascii="Garamond" w:hAnsi="Garamond"/>
          <w:lang w:val="en-US"/>
        </w:rPr>
        <w:lastRenderedPageBreak/>
        <w:t>specialised</w:t>
      </w:r>
      <w:proofErr w:type="spellEnd"/>
      <w:r w:rsidRPr="00BD6702">
        <w:rPr>
          <w:rFonts w:ascii="Garamond" w:hAnsi="Garamond"/>
          <w:lang w:val="en-US"/>
        </w:rPr>
        <w:t xml:space="preserve"> technical services, and road signage and safety solutions for transport infrastructure. Both companies were classified as small and medium-sized and held established positions in their respective markets. Consequently, the valuations had to be prepared with a high degree of precision and supported by robust financial analysis.</w:t>
      </w:r>
    </w:p>
    <w:p w14:paraId="4561C92A" w14:textId="77777777" w:rsidR="00BD6702" w:rsidRPr="00BD6702" w:rsidRDefault="00BD6702" w:rsidP="00306184">
      <w:pPr>
        <w:spacing w:line="360" w:lineRule="auto"/>
        <w:ind w:firstLine="346"/>
        <w:jc w:val="both"/>
        <w:rPr>
          <w:rFonts w:ascii="Garamond" w:hAnsi="Garamond"/>
          <w:lang w:val="en-US"/>
        </w:rPr>
      </w:pPr>
      <w:r w:rsidRPr="00BD6702">
        <w:rPr>
          <w:rFonts w:ascii="Garamond" w:hAnsi="Garamond"/>
          <w:lang w:val="en-US"/>
        </w:rPr>
        <w:t xml:space="preserve">To carry out the valuations, </w:t>
      </w:r>
      <w:proofErr w:type="gramStart"/>
      <w:r w:rsidRPr="00BD6702">
        <w:rPr>
          <w:rFonts w:ascii="Garamond" w:hAnsi="Garamond"/>
          <w:lang w:val="en-US"/>
        </w:rPr>
        <w:t>a number of</w:t>
      </w:r>
      <w:proofErr w:type="gramEnd"/>
      <w:r w:rsidRPr="00BD6702">
        <w:rPr>
          <w:rFonts w:ascii="Garamond" w:hAnsi="Garamond"/>
          <w:lang w:val="en-US"/>
        </w:rPr>
        <w:t xml:space="preserve"> standard methods were used, such as the discounted cash flow (DCF) method and the comparable company analysis based on market ratios. The process began with an in-depth analysis of the target company’s finances, business model and competitive position, followed by financial forecasts and calculations of the discount rate based on the WACC. The </w:t>
      </w:r>
      <w:proofErr w:type="gramStart"/>
      <w:r w:rsidRPr="00BD6702">
        <w:rPr>
          <w:rFonts w:ascii="Garamond" w:hAnsi="Garamond"/>
          <w:lang w:val="en-US"/>
        </w:rPr>
        <w:t>final results</w:t>
      </w:r>
      <w:proofErr w:type="gramEnd"/>
      <w:r w:rsidRPr="00BD6702">
        <w:rPr>
          <w:rFonts w:ascii="Garamond" w:hAnsi="Garamond"/>
          <w:lang w:val="en-US"/>
        </w:rPr>
        <w:t xml:space="preserve"> were attached to a confidential document containing all the financial details, assumptions and future projections for both companies, and were subsequently sent to the independent investment management firm for validation.</w:t>
      </w:r>
    </w:p>
    <w:p w14:paraId="536F175D" w14:textId="77777777" w:rsidR="00BD6702" w:rsidRPr="00BD6702" w:rsidRDefault="00BD6702" w:rsidP="00306184">
      <w:pPr>
        <w:spacing w:line="360" w:lineRule="auto"/>
        <w:ind w:firstLine="346"/>
        <w:jc w:val="both"/>
        <w:rPr>
          <w:rFonts w:ascii="Garamond" w:hAnsi="Garamond"/>
          <w:lang w:val="en-US"/>
        </w:rPr>
      </w:pPr>
      <w:r w:rsidRPr="00BD6702">
        <w:rPr>
          <w:rFonts w:ascii="Garamond" w:hAnsi="Garamond"/>
          <w:lang w:val="en-US"/>
        </w:rPr>
        <w:t>Involvement in these tasks enabled me not only to put into practice some of the knowledge I had acquired during my academic studies, but also to learn various techniques and tools to be used in a range of financial assessments to be carried out in the future.</w:t>
      </w:r>
      <w:r w:rsidRPr="00BD6702">
        <w:rPr>
          <w:rFonts w:ascii="Garamond" w:hAnsi="Garamond"/>
          <w:lang w:val="en-US"/>
        </w:rPr>
        <w:br/>
        <w:t>Given the more adverse macroeconomic conditions than those previously considered, it was important to conduct an assessment of the underlying assumptions in the model, namely with regards to the discount rate, revenues, and costs. This was done using iterative approaches, with regular meetings with the management company being held via video call, allowing assumptions to be validated in real time.</w:t>
      </w:r>
    </w:p>
    <w:p w14:paraId="38984AFE" w14:textId="26FA3D44" w:rsidR="00E45402" w:rsidRDefault="00BD6702" w:rsidP="00306184">
      <w:pPr>
        <w:spacing w:line="360" w:lineRule="auto"/>
        <w:ind w:firstLine="346"/>
        <w:jc w:val="both"/>
        <w:rPr>
          <w:rFonts w:ascii="Garamond" w:hAnsi="Garamond"/>
          <w:lang w:val="en-US"/>
        </w:rPr>
      </w:pPr>
      <w:r w:rsidRPr="00BD6702">
        <w:rPr>
          <w:rFonts w:ascii="Garamond" w:hAnsi="Garamond"/>
          <w:lang w:val="en-US"/>
        </w:rPr>
        <w:t>In the preparation of the DCF models (Free Cash Flow to Firm, WACC and sensitivity analysis), the intern played an active role. Moreover, the intern participated in the preparation of the official valuation reports submitted to the CMVM, which included not only the DCF model but also the macroeconomic/sectoral context, historical financial results, and projected financial figures.</w:t>
      </w:r>
    </w:p>
    <w:p w14:paraId="7C4204BE" w14:textId="12D77E00" w:rsidR="00160832" w:rsidRPr="00F11CF0" w:rsidRDefault="00E45402" w:rsidP="00F11CF0">
      <w:pPr>
        <w:pStyle w:val="Ttulo3"/>
        <w:rPr>
          <w:rFonts w:ascii="Garamond" w:hAnsi="Garamond"/>
          <w:b/>
          <w:bCs/>
        </w:rPr>
      </w:pPr>
      <w:bookmarkStart w:id="18" w:name="_Toc233142892"/>
      <w:r w:rsidRPr="00F11CF0">
        <w:rPr>
          <w:rFonts w:ascii="Garamond" w:hAnsi="Garamond"/>
          <w:b/>
          <w:bCs/>
          <w:color w:val="000000" w:themeColor="text1"/>
        </w:rPr>
        <w:t xml:space="preserve">2.3.3. </w:t>
      </w:r>
      <w:r w:rsidR="00F74828" w:rsidRPr="00F11CF0">
        <w:rPr>
          <w:rFonts w:ascii="Garamond" w:hAnsi="Garamond"/>
          <w:b/>
          <w:bCs/>
          <w:color w:val="000000" w:themeColor="text1"/>
        </w:rPr>
        <w:t>Critical Reflection and Learning from the Internship</w:t>
      </w:r>
      <w:bookmarkEnd w:id="18"/>
      <w:r w:rsidR="00160832" w:rsidRPr="00F11CF0">
        <w:rPr>
          <w:rFonts w:ascii="Garamond" w:hAnsi="Garamond"/>
          <w:b/>
          <w:bCs/>
        </w:rPr>
        <w:tab/>
      </w:r>
    </w:p>
    <w:p w14:paraId="3618D3E8" w14:textId="77777777" w:rsidR="00160832" w:rsidRPr="00160832" w:rsidRDefault="00160832" w:rsidP="00160832">
      <w:pPr>
        <w:rPr>
          <w:rFonts w:ascii="Garamond" w:eastAsiaTheme="minorHAnsi" w:hAnsi="Garamond"/>
          <w:lang w:val="en-US"/>
        </w:rPr>
      </w:pPr>
    </w:p>
    <w:p w14:paraId="638179FF" w14:textId="7EC7BF08" w:rsidR="00160832" w:rsidRPr="00160832" w:rsidRDefault="00160832" w:rsidP="00160832">
      <w:pPr>
        <w:spacing w:line="360" w:lineRule="auto"/>
        <w:ind w:firstLine="346"/>
        <w:jc w:val="both"/>
        <w:rPr>
          <w:rFonts w:ascii="Garamond" w:hAnsi="Garamond"/>
          <w:lang w:val="en-US"/>
        </w:rPr>
      </w:pPr>
      <w:r w:rsidRPr="00160832">
        <w:rPr>
          <w:rFonts w:ascii="Garamond" w:hAnsi="Garamond"/>
          <w:lang w:val="en-US"/>
        </w:rPr>
        <w:t>From a holistic perspective, the work placement was a learning experience that required the continuous exercise of professional judgement and the application of academic knowledge to real-world, and often imperfect, business situations.</w:t>
      </w:r>
    </w:p>
    <w:p w14:paraId="7932282A" w14:textId="7973D040" w:rsidR="00160832" w:rsidRPr="00160832" w:rsidRDefault="00160832" w:rsidP="00160832">
      <w:pPr>
        <w:spacing w:line="360" w:lineRule="auto"/>
        <w:ind w:firstLine="346"/>
        <w:jc w:val="both"/>
        <w:rPr>
          <w:rFonts w:ascii="Garamond" w:hAnsi="Garamond"/>
          <w:lang w:val="en-US"/>
        </w:rPr>
      </w:pPr>
      <w:r w:rsidRPr="00160832">
        <w:rPr>
          <w:rFonts w:ascii="Garamond" w:hAnsi="Garamond"/>
          <w:lang w:val="en-US"/>
        </w:rPr>
        <w:t xml:space="preserve">The first issue arose during the process of the development of the business plan. It concerned the setting of reasonable assumptions for the greenfield venture and the choice of the proper approach to calculate forecasted sales. In this situation, the contribution of the company’s supervisor proved to be highly valuable. Since it was my first experience of </w:t>
      </w:r>
      <w:r w:rsidRPr="00160832">
        <w:rPr>
          <w:rFonts w:ascii="Garamond" w:hAnsi="Garamond"/>
          <w:lang w:val="en-US"/>
        </w:rPr>
        <w:lastRenderedPageBreak/>
        <w:t xml:space="preserve">developing such an important document, all necessary internal materials related to the business plan structure were immediately available. The most important thing that I have </w:t>
      </w:r>
      <w:proofErr w:type="spellStart"/>
      <w:r w:rsidRPr="00160832">
        <w:rPr>
          <w:rFonts w:ascii="Garamond" w:hAnsi="Garamond"/>
          <w:lang w:val="en-US"/>
        </w:rPr>
        <w:t>reali</w:t>
      </w:r>
      <w:r w:rsidR="008A5228">
        <w:rPr>
          <w:rFonts w:ascii="Garamond" w:hAnsi="Garamond"/>
          <w:lang w:val="en-US"/>
        </w:rPr>
        <w:t>s</w:t>
      </w:r>
      <w:r w:rsidRPr="00160832">
        <w:rPr>
          <w:rFonts w:ascii="Garamond" w:hAnsi="Garamond"/>
          <w:lang w:val="en-US"/>
        </w:rPr>
        <w:t>ed</w:t>
      </w:r>
      <w:proofErr w:type="spellEnd"/>
      <w:r w:rsidRPr="00160832">
        <w:rPr>
          <w:rFonts w:ascii="Garamond" w:hAnsi="Garamond"/>
          <w:lang w:val="en-US"/>
        </w:rPr>
        <w:t xml:space="preserve"> is how to develop a complete business plan from scratch.</w:t>
      </w:r>
    </w:p>
    <w:p w14:paraId="143BCF1E" w14:textId="77777777" w:rsidR="00160832" w:rsidRPr="00160832" w:rsidRDefault="00160832" w:rsidP="00160832">
      <w:pPr>
        <w:spacing w:line="360" w:lineRule="auto"/>
        <w:ind w:firstLine="346"/>
        <w:jc w:val="both"/>
        <w:rPr>
          <w:rFonts w:ascii="Garamond" w:hAnsi="Garamond"/>
          <w:lang w:val="en-US"/>
        </w:rPr>
      </w:pPr>
      <w:r w:rsidRPr="00160832">
        <w:rPr>
          <w:rFonts w:ascii="Garamond" w:hAnsi="Garamond"/>
          <w:lang w:val="en-US"/>
        </w:rPr>
        <w:t xml:space="preserve">The Iberian database, although technically simpler, was challenging due to its strategic importance to the company. The main difficulty was the limited availability of reliable information, given that many companies do not publish relevant information on their websites, requiring more in-depth research and direct contact with representatives of each fund. This task honed my research </w:t>
      </w:r>
      <w:proofErr w:type="spellStart"/>
      <w:r w:rsidRPr="00160832">
        <w:rPr>
          <w:rFonts w:ascii="Garamond" w:hAnsi="Garamond"/>
          <w:lang w:val="en-US"/>
        </w:rPr>
        <w:t>rigour</w:t>
      </w:r>
      <w:proofErr w:type="spellEnd"/>
      <w:r w:rsidRPr="00160832">
        <w:rPr>
          <w:rFonts w:ascii="Garamond" w:hAnsi="Garamond"/>
          <w:lang w:val="en-US"/>
        </w:rPr>
        <w:t xml:space="preserve"> and raised my awareness of the difficulty of mapping an opaque market, an experience which was </w:t>
      </w:r>
      <w:proofErr w:type="spellStart"/>
      <w:r w:rsidRPr="00160832">
        <w:rPr>
          <w:rFonts w:ascii="Garamond" w:hAnsi="Garamond"/>
          <w:lang w:val="en-US"/>
        </w:rPr>
        <w:t>utilised</w:t>
      </w:r>
      <w:proofErr w:type="spellEnd"/>
      <w:r w:rsidRPr="00160832">
        <w:rPr>
          <w:rFonts w:ascii="Garamond" w:hAnsi="Garamond"/>
          <w:lang w:val="en-US"/>
        </w:rPr>
        <w:t xml:space="preserve"> to construct the analysis in Chapter 5.</w:t>
      </w:r>
    </w:p>
    <w:p w14:paraId="55856F1D" w14:textId="77777777" w:rsidR="00160832" w:rsidRPr="00160832" w:rsidRDefault="00160832" w:rsidP="00160832">
      <w:pPr>
        <w:spacing w:line="360" w:lineRule="auto"/>
        <w:ind w:firstLine="346"/>
        <w:jc w:val="both"/>
        <w:rPr>
          <w:rFonts w:ascii="Garamond" w:hAnsi="Garamond"/>
          <w:lang w:val="en-US"/>
        </w:rPr>
      </w:pPr>
      <w:r w:rsidRPr="00160832">
        <w:rPr>
          <w:rFonts w:ascii="Garamond" w:hAnsi="Garamond"/>
          <w:lang w:val="en-US"/>
        </w:rPr>
        <w:t>Finally, the valuations carried out for the CMVM were the activity in which academic knowledge was most directly applied, drawing on company valuation methods, the DCF method, WACC estimation and sensitivity analysis. The main difficulty stemmed from macroeconomic volatility, which required several iterations to reach a consensus with the management company on the key assumptions, without which the valuations would not have been possible, highlighting that professional valuation is as much an exercise in judgement as it is in calculation. The main lesson was learning how to carry out a valuation in a real-world context, translating a theoretical methodology into a robust deliverable ready for presentation to the client.</w:t>
      </w:r>
    </w:p>
    <w:p w14:paraId="2A9F9BB3" w14:textId="6118C91E" w:rsidR="00914521" w:rsidRPr="00160832" w:rsidRDefault="00160832" w:rsidP="00160832">
      <w:pPr>
        <w:spacing w:line="360" w:lineRule="auto"/>
        <w:ind w:firstLine="346"/>
        <w:jc w:val="both"/>
        <w:rPr>
          <w:rFonts w:ascii="Garamond" w:hAnsi="Garamond"/>
          <w:lang w:val="en-US"/>
        </w:rPr>
      </w:pPr>
      <w:r w:rsidRPr="00160832">
        <w:rPr>
          <w:rFonts w:ascii="Garamond" w:hAnsi="Garamond"/>
          <w:lang w:val="en-US"/>
        </w:rPr>
        <w:t xml:space="preserve">Together, </w:t>
      </w:r>
      <w:proofErr w:type="gramStart"/>
      <w:r w:rsidRPr="00160832">
        <w:rPr>
          <w:rFonts w:ascii="Garamond" w:hAnsi="Garamond"/>
          <w:lang w:val="en-US"/>
        </w:rPr>
        <w:t>all of</w:t>
      </w:r>
      <w:proofErr w:type="gramEnd"/>
      <w:r w:rsidRPr="00160832">
        <w:rPr>
          <w:rFonts w:ascii="Garamond" w:hAnsi="Garamond"/>
          <w:lang w:val="en-US"/>
        </w:rPr>
        <w:t xml:space="preserve"> these experiences gave me some lessons that I could not have possibly learned in my school years. First, it became clear to me how vital it is to make justifiable assumptions where data does not exist. Second, it was necessary to talk to my clients and colleagues to confirm the results that had been achieved. Third, all the models were as good as the judgment behind them.</w:t>
      </w:r>
    </w:p>
    <w:p w14:paraId="127955BD" w14:textId="1FE6BB77" w:rsidR="00906FDB" w:rsidRPr="00D31DBA" w:rsidRDefault="005F36BF" w:rsidP="00D31DBA">
      <w:pPr>
        <w:pStyle w:val="Ttulo2"/>
        <w:rPr>
          <w:rFonts w:ascii="Garamond" w:hAnsi="Garamond"/>
          <w:b/>
          <w:bCs/>
          <w:color w:val="000000" w:themeColor="text1"/>
          <w:sz w:val="28"/>
          <w:szCs w:val="28"/>
        </w:rPr>
      </w:pPr>
      <w:bookmarkStart w:id="19" w:name="_Toc233142893"/>
      <w:r w:rsidRPr="00D31DBA">
        <w:rPr>
          <w:rFonts w:ascii="Garamond" w:hAnsi="Garamond"/>
          <w:b/>
          <w:bCs/>
          <w:color w:val="000000" w:themeColor="text1"/>
          <w:sz w:val="28"/>
          <w:szCs w:val="28"/>
        </w:rPr>
        <w:t>2.</w:t>
      </w:r>
      <w:r w:rsidR="008C5FDC" w:rsidRPr="00D31DBA">
        <w:rPr>
          <w:rFonts w:ascii="Garamond" w:hAnsi="Garamond"/>
          <w:b/>
          <w:bCs/>
          <w:color w:val="000000" w:themeColor="text1"/>
          <w:sz w:val="28"/>
          <w:szCs w:val="28"/>
        </w:rPr>
        <w:t>4</w:t>
      </w:r>
      <w:r w:rsidR="00332236" w:rsidRPr="00D31DBA">
        <w:rPr>
          <w:rFonts w:ascii="Garamond" w:hAnsi="Garamond"/>
          <w:b/>
          <w:bCs/>
          <w:color w:val="000000" w:themeColor="text1"/>
          <w:sz w:val="28"/>
          <w:szCs w:val="28"/>
        </w:rPr>
        <w:t>.</w:t>
      </w:r>
      <w:r w:rsidRPr="00D31DBA">
        <w:rPr>
          <w:rFonts w:ascii="Garamond" w:hAnsi="Garamond"/>
          <w:b/>
          <w:bCs/>
          <w:color w:val="000000" w:themeColor="text1"/>
          <w:sz w:val="28"/>
          <w:szCs w:val="28"/>
        </w:rPr>
        <w:t xml:space="preserve"> </w:t>
      </w:r>
      <w:r w:rsidR="00C173CE" w:rsidRPr="00D31DBA">
        <w:rPr>
          <w:rFonts w:ascii="Garamond" w:hAnsi="Garamond"/>
          <w:b/>
          <w:bCs/>
          <w:color w:val="000000" w:themeColor="text1"/>
          <w:sz w:val="28"/>
          <w:szCs w:val="28"/>
        </w:rPr>
        <w:t>Connection Between Internship Activity and Research Topic</w:t>
      </w:r>
      <w:bookmarkEnd w:id="19"/>
    </w:p>
    <w:p w14:paraId="69A3CA06" w14:textId="77777777" w:rsidR="006573D4" w:rsidRPr="006573D4" w:rsidRDefault="006573D4" w:rsidP="006573D4">
      <w:pPr>
        <w:rPr>
          <w:rFonts w:ascii="Garamond" w:hAnsi="Garamond"/>
          <w:lang w:val="en-US" w:eastAsia="en-US"/>
        </w:rPr>
      </w:pPr>
    </w:p>
    <w:p w14:paraId="1ABD540B" w14:textId="4731F6A2" w:rsidR="007356F5" w:rsidRDefault="007D3661" w:rsidP="00906FDB">
      <w:pPr>
        <w:spacing w:line="360" w:lineRule="auto"/>
        <w:ind w:firstLine="360"/>
        <w:jc w:val="both"/>
        <w:rPr>
          <w:rFonts w:ascii="Garamond" w:hAnsi="Garamond"/>
          <w:lang w:val="en-US"/>
        </w:rPr>
      </w:pPr>
      <w:r w:rsidRPr="007D3661">
        <w:rPr>
          <w:rFonts w:ascii="Garamond" w:hAnsi="Garamond"/>
          <w:lang w:val="en-US"/>
        </w:rPr>
        <w:t>The growth of private credit solutions has been transforming the corporate financing landscape by offering more flexible alternatives to traditional bank lending</w:t>
      </w:r>
      <w:r w:rsidR="00B61DA1">
        <w:rPr>
          <w:rFonts w:ascii="Garamond" w:hAnsi="Garamond"/>
          <w:lang w:val="en-US"/>
        </w:rPr>
        <w:t>.</w:t>
      </w:r>
      <w:r w:rsidRPr="007D3661">
        <w:rPr>
          <w:rFonts w:ascii="Garamond" w:hAnsi="Garamond"/>
          <w:lang w:val="en-US"/>
        </w:rPr>
        <w:t xml:space="preserve"> </w:t>
      </w:r>
      <w:r w:rsidR="00B61DA1">
        <w:rPr>
          <w:rFonts w:ascii="Garamond" w:hAnsi="Garamond"/>
          <w:lang w:val="en-US"/>
        </w:rPr>
        <w:t>H</w:t>
      </w:r>
      <w:r w:rsidRPr="007D3661">
        <w:rPr>
          <w:rFonts w:ascii="Garamond" w:hAnsi="Garamond"/>
          <w:lang w:val="en-US"/>
        </w:rPr>
        <w:t xml:space="preserve">owever, in the Portuguese context, the use of private credit instruments remains limited, particularly for small and medium-sized enterprises, whose financing structure continues to be highly dependent on commercial bank debt. The database project described above offered direct empirical evidence of this structural gap, confirming that the supply of private credit </w:t>
      </w:r>
      <w:r w:rsidRPr="007D3661">
        <w:rPr>
          <w:rFonts w:ascii="Garamond" w:hAnsi="Garamond"/>
          <w:lang w:val="en-US"/>
        </w:rPr>
        <w:lastRenderedPageBreak/>
        <w:t>specifically oriented towards Portuguese mid-market borrowers, while growing, remains insufficient.</w:t>
      </w:r>
    </w:p>
    <w:p w14:paraId="53234A1D" w14:textId="6C4DE470" w:rsidR="007356F5" w:rsidRDefault="007D3661" w:rsidP="007356F5">
      <w:pPr>
        <w:spacing w:line="360" w:lineRule="auto"/>
        <w:ind w:firstLine="360"/>
        <w:jc w:val="both"/>
        <w:rPr>
          <w:rFonts w:ascii="Garamond" w:hAnsi="Garamond"/>
          <w:lang w:val="en-US"/>
        </w:rPr>
      </w:pPr>
      <w:r w:rsidRPr="007D3661">
        <w:rPr>
          <w:rFonts w:ascii="Garamond" w:hAnsi="Garamond"/>
          <w:lang w:val="en-US"/>
        </w:rPr>
        <w:t>During the internship at Triple A – Capital &amp; Finance, it became apparent that, despite increasing interest in alternative financing solutions among the firm’s clients, there was no structured analytical approach enabling a systematic evaluation of when private credit could be considered a strategically appropriate alternative to bank financing. This observation, grounded in concrete advisory experience across the three projects described above, became the driving force behind the preparation of the present report, which seeks to develop a practical advisory framework tailored to the Portuguese business environment. The combination of financial modelling work, market mapping, and client interaction undertaken during the internship thus directly shaped both the research question and the methodology adopted to address it.</w:t>
      </w:r>
    </w:p>
    <w:p w14:paraId="21A7EB35" w14:textId="1FEBCBB0" w:rsidR="007D3661" w:rsidRPr="007D3661" w:rsidRDefault="007D3661" w:rsidP="00DB5E5C">
      <w:pPr>
        <w:spacing w:line="360" w:lineRule="auto"/>
        <w:ind w:firstLine="360"/>
        <w:jc w:val="both"/>
        <w:rPr>
          <w:rFonts w:ascii="Garamond" w:hAnsi="Garamond"/>
          <w:lang w:val="en-US"/>
        </w:rPr>
      </w:pPr>
      <w:r w:rsidRPr="001B777D">
        <w:rPr>
          <w:rFonts w:ascii="Garamond" w:hAnsi="Garamond"/>
          <w:b/>
          <w:bCs/>
          <w:lang w:val="en-US"/>
        </w:rPr>
        <w:t>How can private credit be systematically assessed as a viable financing alternative for Portuguese middle-market companies within a corporate finance advisory context?</w:t>
      </w:r>
      <w:r w:rsidRPr="007D3661">
        <w:rPr>
          <w:rFonts w:ascii="Garamond" w:hAnsi="Garamond"/>
          <w:lang w:val="en-US"/>
        </w:rPr>
        <w:br/>
      </w:r>
      <w:r w:rsidR="001B777D" w:rsidRPr="001B777D">
        <w:rPr>
          <w:rFonts w:ascii="Garamond" w:hAnsi="Garamond"/>
          <w:lang w:val="en-US"/>
        </w:rPr>
        <w:t>To answer this que</w:t>
      </w:r>
      <w:r w:rsidR="001B777D">
        <w:rPr>
          <w:rFonts w:ascii="Garamond" w:hAnsi="Garamond"/>
          <w:lang w:val="en-US"/>
        </w:rPr>
        <w:t>stion</w:t>
      </w:r>
      <w:r w:rsidR="001B777D" w:rsidRPr="001B777D">
        <w:rPr>
          <w:rFonts w:ascii="Garamond" w:hAnsi="Garamond"/>
          <w:lang w:val="en-US"/>
        </w:rPr>
        <w:t xml:space="preserve">, the report presents a practical guidance framework tailored to the Portuguese market, based on the theoretical foundations presented in Chapter </w:t>
      </w:r>
      <w:r w:rsidR="00A65994">
        <w:rPr>
          <w:rFonts w:ascii="Garamond" w:hAnsi="Garamond"/>
          <w:lang w:val="en-US"/>
        </w:rPr>
        <w:t>3</w:t>
      </w:r>
      <w:r w:rsidR="001B777D" w:rsidRPr="001B777D">
        <w:rPr>
          <w:rFonts w:ascii="Garamond" w:hAnsi="Garamond"/>
          <w:lang w:val="en-US"/>
        </w:rPr>
        <w:t xml:space="preserve"> and the empirical evidence collected during</w:t>
      </w:r>
      <w:r w:rsidRPr="007D3661">
        <w:rPr>
          <w:rFonts w:ascii="Garamond" w:hAnsi="Garamond"/>
          <w:lang w:val="en-US"/>
        </w:rPr>
        <w:t xml:space="preserve"> the internship at Triple A – Capital &amp; Finance.</w:t>
      </w:r>
    </w:p>
    <w:p w14:paraId="105A0325" w14:textId="3A386C85" w:rsidR="00C173CE" w:rsidRPr="006151C0" w:rsidRDefault="007D3661" w:rsidP="00DB5E5C">
      <w:pPr>
        <w:spacing w:line="360" w:lineRule="auto"/>
        <w:ind w:firstLine="360"/>
        <w:jc w:val="both"/>
        <w:rPr>
          <w:rFonts w:ascii="Garamond" w:eastAsia="Garamond" w:hAnsi="Garamond" w:cs="Garamond"/>
          <w:lang w:val="en-US"/>
        </w:rPr>
      </w:pPr>
      <w:r w:rsidRPr="007D3661">
        <w:rPr>
          <w:rFonts w:ascii="Garamond" w:hAnsi="Garamond"/>
          <w:lang w:val="en-US"/>
        </w:rPr>
        <w:br/>
      </w:r>
    </w:p>
    <w:p w14:paraId="225D0358" w14:textId="5E00FFE1" w:rsidR="05DBFBF3" w:rsidRDefault="05DBFBF3" w:rsidP="05DBFBF3">
      <w:pPr>
        <w:spacing w:line="360" w:lineRule="auto"/>
        <w:ind w:firstLine="360"/>
        <w:jc w:val="both"/>
        <w:rPr>
          <w:rFonts w:ascii="Garamond" w:eastAsia="Garamond" w:hAnsi="Garamond" w:cs="Garamond"/>
          <w:lang w:val="en-US"/>
        </w:rPr>
      </w:pPr>
    </w:p>
    <w:p w14:paraId="25067B07" w14:textId="12C5885F" w:rsidR="05DBFBF3" w:rsidRDefault="05DBFBF3" w:rsidP="05DBFBF3">
      <w:pPr>
        <w:spacing w:line="360" w:lineRule="auto"/>
        <w:ind w:firstLine="360"/>
        <w:jc w:val="both"/>
        <w:rPr>
          <w:rFonts w:ascii="Garamond" w:eastAsia="Garamond" w:hAnsi="Garamond" w:cs="Garamond"/>
          <w:lang w:val="en-US"/>
        </w:rPr>
      </w:pPr>
    </w:p>
    <w:p w14:paraId="03363BCF" w14:textId="77777777" w:rsidR="00317668" w:rsidRDefault="00317668" w:rsidP="05DBFBF3">
      <w:pPr>
        <w:spacing w:line="360" w:lineRule="auto"/>
        <w:ind w:firstLine="360"/>
        <w:jc w:val="both"/>
        <w:rPr>
          <w:rFonts w:ascii="Garamond" w:eastAsia="Garamond" w:hAnsi="Garamond" w:cs="Garamond"/>
          <w:lang w:val="en-US"/>
        </w:rPr>
      </w:pPr>
    </w:p>
    <w:p w14:paraId="095CA1F8" w14:textId="77777777" w:rsidR="00317668" w:rsidRDefault="00317668" w:rsidP="05DBFBF3">
      <w:pPr>
        <w:spacing w:line="360" w:lineRule="auto"/>
        <w:ind w:firstLine="360"/>
        <w:jc w:val="both"/>
        <w:rPr>
          <w:rFonts w:ascii="Garamond" w:eastAsia="Garamond" w:hAnsi="Garamond" w:cs="Garamond"/>
          <w:lang w:val="en-US"/>
        </w:rPr>
      </w:pPr>
    </w:p>
    <w:p w14:paraId="3B3DE13B" w14:textId="77777777" w:rsidR="00317668" w:rsidRDefault="00317668" w:rsidP="05DBFBF3">
      <w:pPr>
        <w:spacing w:line="360" w:lineRule="auto"/>
        <w:ind w:firstLine="360"/>
        <w:jc w:val="both"/>
        <w:rPr>
          <w:rFonts w:ascii="Garamond" w:eastAsia="Garamond" w:hAnsi="Garamond" w:cs="Garamond"/>
          <w:lang w:val="en-US"/>
        </w:rPr>
      </w:pPr>
    </w:p>
    <w:p w14:paraId="054F2A6F" w14:textId="77777777" w:rsidR="00A2606A" w:rsidRDefault="00A2606A" w:rsidP="05DBFBF3">
      <w:pPr>
        <w:spacing w:line="360" w:lineRule="auto"/>
        <w:ind w:firstLine="360"/>
        <w:jc w:val="both"/>
        <w:rPr>
          <w:rFonts w:ascii="Garamond" w:eastAsia="Garamond" w:hAnsi="Garamond" w:cs="Garamond"/>
          <w:lang w:val="en-US"/>
        </w:rPr>
      </w:pPr>
    </w:p>
    <w:p w14:paraId="428FE5A9" w14:textId="77777777" w:rsidR="00A2606A" w:rsidRDefault="00A2606A" w:rsidP="05DBFBF3">
      <w:pPr>
        <w:spacing w:line="360" w:lineRule="auto"/>
        <w:ind w:firstLine="360"/>
        <w:jc w:val="both"/>
        <w:rPr>
          <w:rFonts w:ascii="Garamond" w:eastAsia="Garamond" w:hAnsi="Garamond" w:cs="Garamond"/>
          <w:lang w:val="en-US"/>
        </w:rPr>
      </w:pPr>
    </w:p>
    <w:p w14:paraId="256A85BD" w14:textId="77777777" w:rsidR="00A2606A" w:rsidRDefault="00A2606A" w:rsidP="05DBFBF3">
      <w:pPr>
        <w:spacing w:line="360" w:lineRule="auto"/>
        <w:ind w:firstLine="360"/>
        <w:jc w:val="both"/>
        <w:rPr>
          <w:rFonts w:ascii="Garamond" w:eastAsia="Garamond" w:hAnsi="Garamond" w:cs="Garamond"/>
          <w:lang w:val="en-US"/>
        </w:rPr>
      </w:pPr>
    </w:p>
    <w:p w14:paraId="2DF767AA" w14:textId="77777777" w:rsidR="00A2606A" w:rsidRDefault="00A2606A" w:rsidP="05DBFBF3">
      <w:pPr>
        <w:spacing w:line="360" w:lineRule="auto"/>
        <w:ind w:firstLine="360"/>
        <w:jc w:val="both"/>
        <w:rPr>
          <w:rFonts w:ascii="Garamond" w:eastAsia="Garamond" w:hAnsi="Garamond" w:cs="Garamond"/>
          <w:lang w:val="en-US"/>
        </w:rPr>
      </w:pPr>
    </w:p>
    <w:p w14:paraId="2D17DD28" w14:textId="77777777" w:rsidR="00A2606A" w:rsidRDefault="00A2606A" w:rsidP="05DBFBF3">
      <w:pPr>
        <w:spacing w:line="360" w:lineRule="auto"/>
        <w:ind w:firstLine="360"/>
        <w:jc w:val="both"/>
        <w:rPr>
          <w:rFonts w:ascii="Garamond" w:eastAsia="Garamond" w:hAnsi="Garamond" w:cs="Garamond"/>
          <w:lang w:val="en-US"/>
        </w:rPr>
      </w:pPr>
    </w:p>
    <w:p w14:paraId="55EEA3D9" w14:textId="77777777" w:rsidR="00A2606A" w:rsidRDefault="00A2606A" w:rsidP="05DBFBF3">
      <w:pPr>
        <w:spacing w:line="360" w:lineRule="auto"/>
        <w:ind w:firstLine="360"/>
        <w:jc w:val="both"/>
        <w:rPr>
          <w:rFonts w:ascii="Garamond" w:eastAsia="Garamond" w:hAnsi="Garamond" w:cs="Garamond"/>
          <w:lang w:val="en-US"/>
        </w:rPr>
      </w:pPr>
    </w:p>
    <w:p w14:paraId="6A59C24A" w14:textId="77777777" w:rsidR="00A2606A" w:rsidRDefault="00A2606A" w:rsidP="05DBFBF3">
      <w:pPr>
        <w:spacing w:line="360" w:lineRule="auto"/>
        <w:ind w:firstLine="360"/>
        <w:jc w:val="both"/>
        <w:rPr>
          <w:rFonts w:ascii="Garamond" w:eastAsia="Garamond" w:hAnsi="Garamond" w:cs="Garamond"/>
          <w:lang w:val="en-US"/>
        </w:rPr>
      </w:pPr>
    </w:p>
    <w:p w14:paraId="17388C5E" w14:textId="278B195D" w:rsidR="00682FA1" w:rsidRPr="005F36BF" w:rsidRDefault="00BB0C11" w:rsidP="002B2421">
      <w:pPr>
        <w:pStyle w:val="Ttulo1"/>
        <w:rPr>
          <w:rFonts w:ascii="Garamond" w:hAnsi="Garamond"/>
          <w:b/>
          <w:bCs/>
          <w:color w:val="000000" w:themeColor="text1"/>
          <w:sz w:val="28"/>
          <w:szCs w:val="28"/>
          <w:lang w:val="en-US"/>
        </w:rPr>
      </w:pPr>
      <w:bookmarkStart w:id="20" w:name="_Toc220403257"/>
      <w:bookmarkStart w:id="21" w:name="_Toc220500094"/>
      <w:bookmarkStart w:id="22" w:name="_Toc233142894"/>
      <w:r>
        <w:rPr>
          <w:rFonts w:ascii="Garamond" w:hAnsi="Garamond"/>
          <w:b/>
          <w:bCs/>
          <w:color w:val="000000" w:themeColor="text1"/>
          <w:sz w:val="28"/>
          <w:szCs w:val="28"/>
          <w:lang w:val="en-US"/>
        </w:rPr>
        <w:lastRenderedPageBreak/>
        <w:t>3</w:t>
      </w:r>
      <w:r w:rsidR="002B2421" w:rsidRPr="005F36BF">
        <w:rPr>
          <w:rFonts w:ascii="Garamond" w:hAnsi="Garamond"/>
          <w:b/>
          <w:bCs/>
          <w:color w:val="000000" w:themeColor="text1"/>
          <w:sz w:val="28"/>
          <w:szCs w:val="28"/>
          <w:lang w:val="en-US"/>
        </w:rPr>
        <w:t xml:space="preserve">. </w:t>
      </w:r>
      <w:r w:rsidR="0C7F0B39" w:rsidRPr="005F36BF">
        <w:rPr>
          <w:rFonts w:ascii="Garamond" w:hAnsi="Garamond"/>
          <w:b/>
          <w:bCs/>
          <w:color w:val="000000" w:themeColor="text1"/>
          <w:sz w:val="28"/>
          <w:szCs w:val="28"/>
          <w:lang w:val="en-US"/>
        </w:rPr>
        <w:t>Literature Review</w:t>
      </w:r>
      <w:r w:rsidR="005C7FA3" w:rsidRPr="005F36BF">
        <w:rPr>
          <w:rFonts w:ascii="Garamond" w:hAnsi="Garamond"/>
          <w:b/>
          <w:bCs/>
          <w:color w:val="000000" w:themeColor="text1"/>
          <w:sz w:val="28"/>
          <w:szCs w:val="28"/>
          <w:lang w:val="en-US"/>
        </w:rPr>
        <w:t xml:space="preserve"> on Private Credit</w:t>
      </w:r>
      <w:bookmarkEnd w:id="20"/>
      <w:bookmarkEnd w:id="21"/>
      <w:bookmarkEnd w:id="22"/>
    </w:p>
    <w:p w14:paraId="41E5CBFA" w14:textId="77777777" w:rsidR="007F6D2F" w:rsidRDefault="007F6D2F" w:rsidP="002B2421">
      <w:pPr>
        <w:rPr>
          <w:lang w:val="en-US"/>
        </w:rPr>
      </w:pPr>
    </w:p>
    <w:p w14:paraId="36FA86EE" w14:textId="6EDE50B8" w:rsidR="005C7FA3" w:rsidRDefault="00F83CC5" w:rsidP="00B95900">
      <w:pPr>
        <w:spacing w:line="360" w:lineRule="auto"/>
        <w:ind w:firstLine="360"/>
        <w:jc w:val="both"/>
        <w:rPr>
          <w:rFonts w:ascii="Garamond" w:hAnsi="Garamond"/>
          <w:color w:val="000000" w:themeColor="text1"/>
          <w:lang w:val="en-US"/>
        </w:rPr>
      </w:pPr>
      <w:bookmarkStart w:id="23" w:name="OLE_LINK4"/>
      <w:r w:rsidRPr="00F83CC5">
        <w:rPr>
          <w:rFonts w:ascii="Garamond" w:hAnsi="Garamond"/>
          <w:color w:val="000000" w:themeColor="text1"/>
          <w:lang w:val="en-US"/>
        </w:rPr>
        <w:t xml:space="preserve">The main aim of this chapter is to </w:t>
      </w:r>
      <w:r>
        <w:rPr>
          <w:rFonts w:ascii="Garamond" w:hAnsi="Garamond"/>
          <w:color w:val="000000" w:themeColor="text1"/>
          <w:lang w:val="en-US"/>
        </w:rPr>
        <w:t>introduce</w:t>
      </w:r>
      <w:r w:rsidRPr="00F83CC5">
        <w:rPr>
          <w:rFonts w:ascii="Garamond" w:hAnsi="Garamond"/>
          <w:color w:val="000000" w:themeColor="text1"/>
          <w:lang w:val="en-US"/>
        </w:rPr>
        <w:t xml:space="preserve"> basic concepts </w:t>
      </w:r>
      <w:r>
        <w:rPr>
          <w:rFonts w:ascii="Garamond" w:hAnsi="Garamond"/>
          <w:color w:val="000000" w:themeColor="text1"/>
          <w:lang w:val="en-US"/>
        </w:rPr>
        <w:t>related</w:t>
      </w:r>
      <w:r w:rsidRPr="00F83CC5">
        <w:rPr>
          <w:rFonts w:ascii="Garamond" w:hAnsi="Garamond"/>
          <w:color w:val="000000" w:themeColor="text1"/>
          <w:lang w:val="en-US"/>
        </w:rPr>
        <w:t xml:space="preserve"> to the topic. This chapter has been divided into three sections. The first one provides</w:t>
      </w:r>
      <w:r w:rsidR="00BA6745">
        <w:rPr>
          <w:rFonts w:ascii="Garamond" w:hAnsi="Garamond"/>
          <w:color w:val="000000" w:themeColor="text1"/>
          <w:lang w:val="en-US"/>
        </w:rPr>
        <w:t xml:space="preserve"> </w:t>
      </w:r>
      <w:r w:rsidR="00BA6745" w:rsidRPr="00F83CC5">
        <w:rPr>
          <w:rFonts w:ascii="Garamond" w:hAnsi="Garamond"/>
          <w:color w:val="000000" w:themeColor="text1"/>
          <w:lang w:val="en-US"/>
        </w:rPr>
        <w:t>definitions and basic concepts about private credit</w:t>
      </w:r>
      <w:r w:rsidRPr="00F83CC5">
        <w:rPr>
          <w:rFonts w:ascii="Garamond" w:hAnsi="Garamond"/>
          <w:color w:val="000000" w:themeColor="text1"/>
          <w:lang w:val="en-US"/>
        </w:rPr>
        <w:t xml:space="preserve">. The second section will </w:t>
      </w:r>
      <w:proofErr w:type="spellStart"/>
      <w:r w:rsidR="00BA6745">
        <w:rPr>
          <w:rFonts w:ascii="Garamond" w:hAnsi="Garamond"/>
          <w:color w:val="000000" w:themeColor="text1"/>
          <w:lang w:val="en-US"/>
        </w:rPr>
        <w:t>summarise</w:t>
      </w:r>
      <w:proofErr w:type="spellEnd"/>
      <w:r w:rsidR="00BA6745" w:rsidRPr="00F83CC5">
        <w:rPr>
          <w:rFonts w:ascii="Garamond" w:hAnsi="Garamond"/>
          <w:color w:val="000000" w:themeColor="text1"/>
          <w:lang w:val="en-US"/>
        </w:rPr>
        <w:t xml:space="preserve"> </w:t>
      </w:r>
      <w:r w:rsidR="00BA6745">
        <w:rPr>
          <w:rFonts w:ascii="Garamond" w:hAnsi="Garamond"/>
          <w:color w:val="000000" w:themeColor="text1"/>
          <w:lang w:val="en-US"/>
        </w:rPr>
        <w:t>the</w:t>
      </w:r>
      <w:r w:rsidR="00BA6745" w:rsidRPr="00F83CC5">
        <w:rPr>
          <w:rFonts w:ascii="Garamond" w:hAnsi="Garamond"/>
          <w:color w:val="000000" w:themeColor="text1"/>
          <w:lang w:val="en-US"/>
        </w:rPr>
        <w:t xml:space="preserve"> factors that influence private credit</w:t>
      </w:r>
      <w:r w:rsidRPr="00F83CC5">
        <w:rPr>
          <w:rFonts w:ascii="Garamond" w:hAnsi="Garamond"/>
          <w:color w:val="000000" w:themeColor="text1"/>
          <w:lang w:val="en-US"/>
        </w:rPr>
        <w:t xml:space="preserve">. The </w:t>
      </w:r>
      <w:r w:rsidR="00892D20">
        <w:rPr>
          <w:rFonts w:ascii="Garamond" w:hAnsi="Garamond"/>
          <w:color w:val="000000" w:themeColor="text1"/>
          <w:lang w:val="en-US"/>
        </w:rPr>
        <w:t>final</w:t>
      </w:r>
      <w:r w:rsidRPr="00F83CC5">
        <w:rPr>
          <w:rFonts w:ascii="Garamond" w:hAnsi="Garamond"/>
          <w:color w:val="000000" w:themeColor="text1"/>
          <w:lang w:val="en-US"/>
        </w:rPr>
        <w:t xml:space="preserve"> section will </w:t>
      </w:r>
      <w:r w:rsidR="00892D20">
        <w:rPr>
          <w:rFonts w:ascii="Garamond" w:hAnsi="Garamond"/>
          <w:color w:val="000000" w:themeColor="text1"/>
          <w:lang w:val="en-US"/>
        </w:rPr>
        <w:t>discuss</w:t>
      </w:r>
      <w:r w:rsidRPr="00F83CC5">
        <w:rPr>
          <w:rFonts w:ascii="Garamond" w:hAnsi="Garamond"/>
          <w:color w:val="000000" w:themeColor="text1"/>
          <w:lang w:val="en-US"/>
        </w:rPr>
        <w:t xml:space="preserve"> the strengths and weaknesses of private credit.</w:t>
      </w:r>
    </w:p>
    <w:p w14:paraId="19BC6761" w14:textId="3FAA846E" w:rsidR="002849CB" w:rsidRPr="00313F08" w:rsidRDefault="00BB0C11" w:rsidP="002849CB">
      <w:pPr>
        <w:pStyle w:val="Ttulo2"/>
        <w:rPr>
          <w:rFonts w:ascii="Garamond" w:hAnsi="Garamond"/>
          <w:b/>
          <w:bCs/>
          <w:color w:val="000000" w:themeColor="text1"/>
          <w:sz w:val="28"/>
          <w:szCs w:val="28"/>
          <w:lang w:val="en-US"/>
        </w:rPr>
      </w:pPr>
      <w:bookmarkStart w:id="24" w:name="_Toc233142895"/>
      <w:r>
        <w:rPr>
          <w:rFonts w:ascii="Garamond" w:hAnsi="Garamond"/>
          <w:b/>
          <w:bCs/>
          <w:color w:val="000000" w:themeColor="text1"/>
          <w:sz w:val="28"/>
          <w:szCs w:val="28"/>
          <w:lang w:val="en-US"/>
        </w:rPr>
        <w:t>3</w:t>
      </w:r>
      <w:r w:rsidR="002849CB" w:rsidRPr="00313F08">
        <w:rPr>
          <w:rFonts w:ascii="Garamond" w:hAnsi="Garamond"/>
          <w:b/>
          <w:bCs/>
          <w:color w:val="000000" w:themeColor="text1"/>
          <w:sz w:val="28"/>
          <w:szCs w:val="28"/>
          <w:lang w:val="en-US"/>
        </w:rPr>
        <w:t>.</w:t>
      </w:r>
      <w:r w:rsidR="002849CB">
        <w:rPr>
          <w:rFonts w:ascii="Garamond" w:hAnsi="Garamond"/>
          <w:b/>
          <w:bCs/>
          <w:color w:val="000000" w:themeColor="text1"/>
          <w:sz w:val="28"/>
          <w:szCs w:val="28"/>
          <w:lang w:val="en-US"/>
        </w:rPr>
        <w:t>1.</w:t>
      </w:r>
      <w:r w:rsidR="002849CB" w:rsidRPr="00313F08">
        <w:rPr>
          <w:rFonts w:ascii="Garamond" w:hAnsi="Garamond"/>
          <w:b/>
          <w:bCs/>
          <w:color w:val="000000" w:themeColor="text1"/>
          <w:sz w:val="28"/>
          <w:szCs w:val="28"/>
          <w:lang w:val="en-US"/>
        </w:rPr>
        <w:t xml:space="preserve"> Definitions and Core Concepts</w:t>
      </w:r>
      <w:bookmarkEnd w:id="24"/>
    </w:p>
    <w:p w14:paraId="6BD6C010" w14:textId="2BB0102E" w:rsidR="002849CB" w:rsidRDefault="00BB0C11" w:rsidP="002849CB">
      <w:pPr>
        <w:pStyle w:val="Ttulo3"/>
        <w:rPr>
          <w:rFonts w:ascii="Garamond" w:hAnsi="Garamond"/>
          <w:b/>
          <w:bCs/>
          <w:color w:val="000000" w:themeColor="text1"/>
          <w:lang w:val="en-US"/>
        </w:rPr>
      </w:pPr>
      <w:bookmarkStart w:id="25" w:name="_Toc233142896"/>
      <w:r>
        <w:rPr>
          <w:rFonts w:ascii="Garamond" w:hAnsi="Garamond"/>
          <w:b/>
          <w:bCs/>
          <w:color w:val="000000" w:themeColor="text1"/>
          <w:lang w:val="en-US"/>
        </w:rPr>
        <w:t>3</w:t>
      </w:r>
      <w:r w:rsidR="002849CB" w:rsidRPr="002B2421">
        <w:rPr>
          <w:rFonts w:ascii="Garamond" w:hAnsi="Garamond"/>
          <w:b/>
          <w:bCs/>
          <w:color w:val="000000" w:themeColor="text1"/>
          <w:lang w:val="en-US"/>
        </w:rPr>
        <w:t>.</w:t>
      </w:r>
      <w:r w:rsidR="002849CB">
        <w:rPr>
          <w:rFonts w:ascii="Garamond" w:hAnsi="Garamond"/>
          <w:b/>
          <w:bCs/>
          <w:color w:val="000000" w:themeColor="text1"/>
          <w:lang w:val="en-US"/>
        </w:rPr>
        <w:t>1</w:t>
      </w:r>
      <w:r w:rsidR="002849CB" w:rsidRPr="002B2421">
        <w:rPr>
          <w:rFonts w:ascii="Garamond" w:hAnsi="Garamond"/>
          <w:b/>
          <w:bCs/>
          <w:color w:val="000000" w:themeColor="text1"/>
          <w:lang w:val="en-US"/>
        </w:rPr>
        <w:t>.1. Definition of private credit</w:t>
      </w:r>
      <w:bookmarkEnd w:id="25"/>
    </w:p>
    <w:p w14:paraId="28931F20" w14:textId="77777777" w:rsidR="002849CB" w:rsidRPr="002B2421" w:rsidRDefault="002849CB" w:rsidP="002849CB">
      <w:pPr>
        <w:rPr>
          <w:lang w:val="en-US"/>
        </w:rPr>
      </w:pPr>
    </w:p>
    <w:p w14:paraId="560D734A" w14:textId="77777777" w:rsidR="009A23DF" w:rsidRDefault="00C10129" w:rsidP="00C10129">
      <w:pPr>
        <w:spacing w:line="360" w:lineRule="auto"/>
        <w:ind w:firstLine="360"/>
        <w:jc w:val="both"/>
        <w:rPr>
          <w:rFonts w:ascii="Garamond" w:hAnsi="Garamond"/>
          <w:color w:val="000000" w:themeColor="text1"/>
          <w:lang w:val="en-US"/>
        </w:rPr>
      </w:pPr>
      <w:r w:rsidRPr="00C10129">
        <w:rPr>
          <w:rFonts w:ascii="Garamond" w:hAnsi="Garamond"/>
          <w:color w:val="000000" w:themeColor="text1"/>
          <w:lang w:val="en-US"/>
        </w:rPr>
        <w:t xml:space="preserve">Private credit, or private debt as it is sometimes called, is a financing method </w:t>
      </w:r>
      <w:r w:rsidR="00586C50">
        <w:rPr>
          <w:rFonts w:ascii="Garamond" w:hAnsi="Garamond"/>
          <w:color w:val="000000" w:themeColor="text1"/>
          <w:lang w:val="en-US"/>
        </w:rPr>
        <w:t>in which</w:t>
      </w:r>
      <w:r w:rsidRPr="00C10129">
        <w:rPr>
          <w:rFonts w:ascii="Garamond" w:hAnsi="Garamond"/>
          <w:color w:val="000000" w:themeColor="text1"/>
          <w:lang w:val="en-US"/>
        </w:rPr>
        <w:t xml:space="preserve"> lending is done through instruments that are not publicly</w:t>
      </w:r>
      <w:r w:rsidR="00586C50">
        <w:rPr>
          <w:rFonts w:ascii="Garamond" w:hAnsi="Garamond"/>
          <w:color w:val="000000" w:themeColor="text1"/>
          <w:lang w:val="en-US"/>
        </w:rPr>
        <w:t xml:space="preserve"> traded</w:t>
      </w:r>
      <w:r w:rsidRPr="00C10129">
        <w:rPr>
          <w:rFonts w:ascii="Garamond" w:hAnsi="Garamond"/>
          <w:color w:val="000000" w:themeColor="text1"/>
          <w:lang w:val="en-US"/>
        </w:rPr>
        <w:t xml:space="preserve">. It means there is an arrangement </w:t>
      </w:r>
      <w:r w:rsidR="00586C50">
        <w:rPr>
          <w:rFonts w:ascii="Garamond" w:hAnsi="Garamond"/>
          <w:color w:val="000000" w:themeColor="text1"/>
          <w:lang w:val="en-US"/>
        </w:rPr>
        <w:t>in which</w:t>
      </w:r>
      <w:r w:rsidRPr="00C10129">
        <w:rPr>
          <w:rFonts w:ascii="Garamond" w:hAnsi="Garamond"/>
          <w:color w:val="000000" w:themeColor="text1"/>
          <w:lang w:val="en-US"/>
        </w:rPr>
        <w:t xml:space="preserve"> loans are provided privately to borrowers by non-bank lending institutions based on their individual needs. Private credit is highly entrenched in the financial industry.</w:t>
      </w:r>
    </w:p>
    <w:p w14:paraId="3B9A07AE" w14:textId="5428B747" w:rsidR="00C10129" w:rsidRDefault="000115C3" w:rsidP="00C10129">
      <w:pPr>
        <w:spacing w:line="360" w:lineRule="auto"/>
        <w:ind w:firstLine="360"/>
        <w:jc w:val="both"/>
        <w:rPr>
          <w:rFonts w:ascii="Garamond" w:hAnsi="Garamond"/>
          <w:color w:val="000000" w:themeColor="text1"/>
          <w:lang w:val="en-US"/>
        </w:rPr>
      </w:pPr>
      <w:r>
        <w:rPr>
          <w:rFonts w:ascii="Garamond" w:hAnsi="Garamond"/>
          <w:color w:val="000000" w:themeColor="text1"/>
          <w:lang w:val="en-US"/>
        </w:rPr>
        <w:fldChar w:fldCharType="begin"/>
      </w:r>
      <w:r w:rsidR="00645637">
        <w:rPr>
          <w:rFonts w:ascii="Garamond" w:hAnsi="Garamond"/>
          <w:color w:val="000000" w:themeColor="text1"/>
          <w:lang w:val="en-US"/>
        </w:rPr>
        <w:instrText xml:space="preserve"> ADDIN EN.CITE &lt;EndNote&gt;&lt;Cite AuthorYear="1"&gt;&lt;Author&gt;Persaud&lt;/Author&gt;&lt;Year&gt;2024&lt;/Year&gt;&lt;RecNum&gt;91&lt;/RecNum&gt;&lt;DisplayText&gt;Persaud (2024)&lt;/DisplayText&gt;&lt;record&gt;&lt;rec-number&gt;91&lt;/rec-number&gt;&lt;foreign-keys&gt;&lt;key app="EN" db-id="x2z5xfr9jx5dwcef50b5eedwwwr9x5pperdz" timestamp="1782247548"&gt;91&lt;/key&gt;&lt;/foreign-keys&gt;&lt;ref-type name="Book"&gt;6&lt;/ref-type&gt;&lt;contributors&gt;&lt;authors&gt;&lt;author&gt;Persaud, Avani&lt;/author&gt;&lt;/authors&gt;&lt;/contributors&gt;&lt;titles&gt;&lt;title&gt;Beyond Traditional Financing: An Analysis of the Recent Rise of Private Credit in Capital Markets&lt;/title&gt;&lt;/titles&gt;&lt;dates&gt;&lt;year&gt;2024&lt;/year&gt;&lt;/dates&gt;&lt;urls&gt;&lt;/urls&gt;&lt;electronic-resource-num&gt;10.58445/rars.940&lt;/electronic-resource-num&gt;&lt;/record&gt;&lt;/Cite&gt;&lt;/EndNote&gt;</w:instrText>
      </w:r>
      <w:r>
        <w:rPr>
          <w:rFonts w:ascii="Garamond" w:hAnsi="Garamond"/>
          <w:color w:val="000000" w:themeColor="text1"/>
          <w:lang w:val="en-US"/>
        </w:rPr>
        <w:fldChar w:fldCharType="separate"/>
      </w:r>
      <w:r w:rsidR="00645637">
        <w:rPr>
          <w:rFonts w:ascii="Garamond" w:hAnsi="Garamond"/>
          <w:noProof/>
          <w:color w:val="000000" w:themeColor="text1"/>
          <w:lang w:val="en-US"/>
        </w:rPr>
        <w:t>Persaud (2024)</w:t>
      </w:r>
      <w:r>
        <w:rPr>
          <w:rFonts w:ascii="Garamond" w:hAnsi="Garamond"/>
          <w:color w:val="000000" w:themeColor="text1"/>
          <w:lang w:val="en-US"/>
        </w:rPr>
        <w:fldChar w:fldCharType="end"/>
      </w:r>
      <w:r w:rsidR="00892D20" w:rsidRPr="00C10129">
        <w:rPr>
          <w:rFonts w:ascii="Garamond" w:hAnsi="Garamond"/>
          <w:color w:val="000000" w:themeColor="text1"/>
          <w:lang w:val="en-US"/>
        </w:rPr>
        <w:t>notes</w:t>
      </w:r>
      <w:r w:rsidR="00C10129" w:rsidRPr="00C10129">
        <w:rPr>
          <w:rFonts w:ascii="Garamond" w:hAnsi="Garamond"/>
          <w:color w:val="000000" w:themeColor="text1"/>
          <w:lang w:val="en-US"/>
        </w:rPr>
        <w:t xml:space="preserve"> that one of the key characteristics of private credit lies in the maturity that the originating fund generally seeks to establish for the loan</w:t>
      </w:r>
      <w:r w:rsidR="00B61DA1">
        <w:rPr>
          <w:rFonts w:ascii="Garamond" w:hAnsi="Garamond"/>
          <w:color w:val="000000" w:themeColor="text1"/>
          <w:lang w:val="en-US"/>
        </w:rPr>
        <w:t>,</w:t>
      </w:r>
      <w:r w:rsidR="00C10129" w:rsidRPr="00C10129">
        <w:rPr>
          <w:rFonts w:ascii="Garamond" w:hAnsi="Garamond"/>
          <w:color w:val="000000" w:themeColor="text1"/>
          <w:lang w:val="en-US"/>
        </w:rPr>
        <w:t xml:space="preserve"> for this very reason, the loan is not designed with trading in mind. As stated by</w:t>
      </w:r>
      <w:r w:rsidR="00D5341D">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PEVuZE5vdGU+PENpdGUgQXV0aG9yWWVhcj0iMSI+PEF1dGhvcj5KYW5nPC9BdXRob3I+PFllYXI+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Jang (2023)</w:t>
      </w:r>
      <w:r w:rsidR="00875C24">
        <w:rPr>
          <w:rFonts w:ascii="Garamond" w:hAnsi="Garamond"/>
          <w:color w:val="000000" w:themeColor="text1"/>
          <w:lang w:val="en-US"/>
        </w:rPr>
        <w:fldChar w:fldCharType="end"/>
      </w:r>
      <w:r w:rsidR="00C10129" w:rsidRPr="00C10129">
        <w:rPr>
          <w:rFonts w:ascii="Garamond" w:hAnsi="Garamond"/>
          <w:color w:val="000000" w:themeColor="text1"/>
          <w:lang w:val="en-US"/>
        </w:rPr>
        <w:t xml:space="preserve">, a direct lender is a firm that obtains </w:t>
      </w:r>
      <w:r w:rsidR="002918CA">
        <w:rPr>
          <w:rFonts w:ascii="Garamond" w:hAnsi="Garamond"/>
          <w:color w:val="000000" w:themeColor="text1"/>
          <w:lang w:val="en-US"/>
        </w:rPr>
        <w:t>funds</w:t>
      </w:r>
      <w:r w:rsidR="00C10129" w:rsidRPr="00C10129">
        <w:rPr>
          <w:rFonts w:ascii="Garamond" w:hAnsi="Garamond"/>
          <w:color w:val="000000" w:themeColor="text1"/>
          <w:lang w:val="en-US"/>
        </w:rPr>
        <w:t xml:space="preserve"> from sources such as private debt funds and business development corporations</w:t>
      </w:r>
      <w:r w:rsidR="00397905">
        <w:rPr>
          <w:rFonts w:ascii="Garamond" w:hAnsi="Garamond"/>
          <w:color w:val="000000" w:themeColor="text1"/>
          <w:lang w:val="en-US"/>
        </w:rPr>
        <w:t>,</w:t>
      </w:r>
      <w:r w:rsidR="00C10129" w:rsidRPr="00C10129">
        <w:rPr>
          <w:rFonts w:ascii="Garamond" w:hAnsi="Garamond"/>
          <w:color w:val="000000" w:themeColor="text1"/>
          <w:lang w:val="en-US"/>
        </w:rPr>
        <w:t xml:space="preserve"> </w:t>
      </w:r>
      <w:r w:rsidR="00397905">
        <w:rPr>
          <w:rFonts w:ascii="Garamond" w:hAnsi="Garamond"/>
          <w:color w:val="000000" w:themeColor="text1"/>
          <w:lang w:val="en-US"/>
        </w:rPr>
        <w:t>lend</w:t>
      </w:r>
      <w:r w:rsidR="00C10129" w:rsidRPr="00C10129">
        <w:rPr>
          <w:rFonts w:ascii="Garamond" w:hAnsi="Garamond"/>
          <w:color w:val="000000" w:themeColor="text1"/>
          <w:lang w:val="en-US"/>
        </w:rPr>
        <w:t xml:space="preserve">ing money directly to firms rather than using banks. What needs to be underlined is that disintermediation is important not only because of its nature but also </w:t>
      </w:r>
      <w:r w:rsidR="00397905">
        <w:rPr>
          <w:rFonts w:ascii="Garamond" w:hAnsi="Garamond"/>
          <w:color w:val="000000" w:themeColor="text1"/>
          <w:lang w:val="en-US"/>
        </w:rPr>
        <w:t>because of</w:t>
      </w:r>
      <w:r w:rsidR="00C10129" w:rsidRPr="00C10129">
        <w:rPr>
          <w:rFonts w:ascii="Garamond" w:hAnsi="Garamond"/>
          <w:color w:val="000000" w:themeColor="text1"/>
          <w:lang w:val="en-US"/>
        </w:rPr>
        <w:t xml:space="preserve"> its widespread acceptance.</w:t>
      </w:r>
    </w:p>
    <w:p w14:paraId="56E38E8E" w14:textId="62E21C97" w:rsidR="00C10129" w:rsidRDefault="00C10129" w:rsidP="00C10129">
      <w:pPr>
        <w:spacing w:line="360" w:lineRule="auto"/>
        <w:ind w:firstLine="360"/>
        <w:jc w:val="both"/>
        <w:rPr>
          <w:rFonts w:ascii="Garamond" w:hAnsi="Garamond"/>
          <w:color w:val="000000" w:themeColor="text1"/>
          <w:lang w:val="en-US"/>
        </w:rPr>
      </w:pPr>
      <w:r w:rsidRPr="00C10129">
        <w:rPr>
          <w:rFonts w:ascii="Garamond" w:hAnsi="Garamond"/>
          <w:color w:val="000000" w:themeColor="text1"/>
          <w:lang w:val="en-US"/>
        </w:rPr>
        <w:t xml:space="preserve">According to the </w:t>
      </w:r>
      <w:r w:rsidR="00875C24">
        <w:rPr>
          <w:rFonts w:ascii="Garamond" w:hAnsi="Garamond"/>
          <w:color w:val="000000" w:themeColor="text1"/>
          <w:lang w:val="en-US"/>
        </w:rPr>
        <w:fldChar w:fldCharType="begin">
          <w:fldData xml:space="preserve">PEVuZE5vdGU+PENpdGUgQXV0aG9yWWVhcj0iMSI+PEF1dGhvcj5JbnRlcm5hdGlvbmFsIE1vbmV0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=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International Monetary Fund (2024)</w:t>
      </w:r>
      <w:r w:rsidR="00875C24">
        <w:rPr>
          <w:rFonts w:ascii="Garamond" w:hAnsi="Garamond"/>
          <w:color w:val="000000" w:themeColor="text1"/>
          <w:lang w:val="en-US"/>
        </w:rPr>
        <w:fldChar w:fldCharType="end"/>
      </w:r>
      <w:r w:rsidR="00BC49DA">
        <w:rPr>
          <w:rFonts w:ascii="Garamond" w:hAnsi="Garamond"/>
          <w:color w:val="000000" w:themeColor="text1"/>
          <w:lang w:val="en-US"/>
        </w:rPr>
        <w:t xml:space="preserve"> </w:t>
      </w:r>
      <w:r w:rsidRPr="00C10129">
        <w:rPr>
          <w:rFonts w:ascii="Garamond" w:hAnsi="Garamond"/>
          <w:color w:val="000000" w:themeColor="text1"/>
          <w:lang w:val="en-US"/>
        </w:rPr>
        <w:t xml:space="preserve">private credit, it is </w:t>
      </w:r>
      <w:proofErr w:type="spellStart"/>
      <w:r w:rsidRPr="00C10129">
        <w:rPr>
          <w:rFonts w:ascii="Garamond" w:hAnsi="Garamond"/>
          <w:color w:val="000000" w:themeColor="text1"/>
          <w:lang w:val="en-US"/>
        </w:rPr>
        <w:t>characterised</w:t>
      </w:r>
      <w:proofErr w:type="spellEnd"/>
      <w:r w:rsidRPr="00C10129">
        <w:rPr>
          <w:rFonts w:ascii="Garamond" w:hAnsi="Garamond"/>
          <w:color w:val="000000" w:themeColor="text1"/>
          <w:lang w:val="en-US"/>
        </w:rPr>
        <w:t xml:space="preserve"> by loans originated outside the banking system, with low liquidity and high degrees of </w:t>
      </w:r>
      <w:proofErr w:type="spellStart"/>
      <w:r w:rsidRPr="00C10129">
        <w:rPr>
          <w:rFonts w:ascii="Garamond" w:hAnsi="Garamond"/>
          <w:color w:val="000000" w:themeColor="text1"/>
          <w:lang w:val="en-US"/>
        </w:rPr>
        <w:t>customisation</w:t>
      </w:r>
      <w:proofErr w:type="spellEnd"/>
      <w:r w:rsidRPr="00C10129">
        <w:rPr>
          <w:rFonts w:ascii="Garamond" w:hAnsi="Garamond"/>
          <w:color w:val="000000" w:themeColor="text1"/>
          <w:lang w:val="en-US"/>
        </w:rPr>
        <w:t>. More recent literature supports these tenets. From the study conducted by</w:t>
      </w:r>
      <w:r w:rsidR="00E93B40">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PEVuZE5vdGU+PENpdGUgQXV0aG9yWWVhcj0iMSI+PEF1dGhvcj5BZ2dhcndhbDwvQXV0aG9yPjxZ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Aggarwal (2024)</w:t>
      </w:r>
      <w:r w:rsidR="00875C24">
        <w:rPr>
          <w:rFonts w:ascii="Garamond" w:hAnsi="Garamond"/>
          <w:color w:val="000000" w:themeColor="text1"/>
          <w:lang w:val="en-US"/>
        </w:rPr>
        <w:fldChar w:fldCharType="end"/>
      </w:r>
      <w:r w:rsidRPr="00C10129">
        <w:rPr>
          <w:rFonts w:ascii="Garamond" w:hAnsi="Garamond"/>
          <w:color w:val="000000" w:themeColor="text1"/>
          <w:lang w:val="en-US"/>
        </w:rPr>
        <w:t xml:space="preserve">, market conditions have been described as follows: a market consists of a sequence of private loans that fall inside the </w:t>
      </w:r>
      <w:proofErr w:type="spellStart"/>
      <w:r w:rsidRPr="00C10129">
        <w:rPr>
          <w:rFonts w:ascii="Garamond" w:hAnsi="Garamond"/>
          <w:color w:val="000000" w:themeColor="text1"/>
          <w:lang w:val="en-US"/>
        </w:rPr>
        <w:t>organisation</w:t>
      </w:r>
      <w:proofErr w:type="spellEnd"/>
      <w:r w:rsidRPr="00C10129">
        <w:rPr>
          <w:rFonts w:ascii="Garamond" w:hAnsi="Garamond"/>
          <w:color w:val="000000" w:themeColor="text1"/>
          <w:lang w:val="en-US"/>
        </w:rPr>
        <w:t xml:space="preserve"> of investment funds and not banks, aimed to be held until maturity.</w:t>
      </w:r>
    </w:p>
    <w:p w14:paraId="6BD69B2B" w14:textId="2B987448" w:rsidR="002918CA" w:rsidRDefault="00C10129" w:rsidP="00C10129">
      <w:pPr>
        <w:spacing w:line="360" w:lineRule="auto"/>
        <w:ind w:firstLine="360"/>
        <w:jc w:val="both"/>
        <w:rPr>
          <w:rFonts w:ascii="Garamond" w:hAnsi="Garamond"/>
          <w:color w:val="000000" w:themeColor="text1"/>
          <w:lang w:val="en-US"/>
        </w:rPr>
      </w:pPr>
      <w:r w:rsidRPr="00C10129">
        <w:rPr>
          <w:rFonts w:ascii="Garamond" w:hAnsi="Garamond"/>
          <w:color w:val="000000" w:themeColor="text1"/>
          <w:lang w:val="en-US"/>
        </w:rPr>
        <w:t xml:space="preserve">Since private credit is a diversified class of investment, investors can take advantage of a variety of opportunities in terms of making investments. Diversification in private credit is critical as it allows investors to </w:t>
      </w:r>
      <w:proofErr w:type="spellStart"/>
      <w:r w:rsidRPr="00C10129">
        <w:rPr>
          <w:rFonts w:ascii="Garamond" w:hAnsi="Garamond"/>
          <w:color w:val="000000" w:themeColor="text1"/>
          <w:lang w:val="en-US"/>
        </w:rPr>
        <w:t>customi</w:t>
      </w:r>
      <w:r w:rsidR="003E53D2">
        <w:rPr>
          <w:rFonts w:ascii="Garamond" w:hAnsi="Garamond"/>
          <w:color w:val="000000" w:themeColor="text1"/>
          <w:lang w:val="en-US"/>
        </w:rPr>
        <w:t>s</w:t>
      </w:r>
      <w:r w:rsidRPr="00C10129">
        <w:rPr>
          <w:rFonts w:ascii="Garamond" w:hAnsi="Garamond"/>
          <w:color w:val="000000" w:themeColor="text1"/>
          <w:lang w:val="en-US"/>
        </w:rPr>
        <w:t>e</w:t>
      </w:r>
      <w:proofErr w:type="spellEnd"/>
      <w:r w:rsidRPr="00C10129">
        <w:rPr>
          <w:rFonts w:ascii="Garamond" w:hAnsi="Garamond"/>
          <w:color w:val="000000" w:themeColor="text1"/>
          <w:lang w:val="en-US"/>
        </w:rPr>
        <w:t xml:space="preserve"> their portfolios based on their needs concerning liquidity, risks, and rewards. Traditional investments do not allow </w:t>
      </w:r>
      <w:proofErr w:type="spellStart"/>
      <w:r w:rsidRPr="00C10129">
        <w:rPr>
          <w:rFonts w:ascii="Garamond" w:hAnsi="Garamond"/>
          <w:color w:val="000000" w:themeColor="text1"/>
          <w:lang w:val="en-US"/>
        </w:rPr>
        <w:t>customi</w:t>
      </w:r>
      <w:r w:rsidR="003E53D2">
        <w:rPr>
          <w:rFonts w:ascii="Garamond" w:hAnsi="Garamond"/>
          <w:color w:val="000000" w:themeColor="text1"/>
          <w:lang w:val="en-US"/>
        </w:rPr>
        <w:t>s</w:t>
      </w:r>
      <w:r w:rsidRPr="00C10129">
        <w:rPr>
          <w:rFonts w:ascii="Garamond" w:hAnsi="Garamond"/>
          <w:color w:val="000000" w:themeColor="text1"/>
          <w:lang w:val="en-US"/>
        </w:rPr>
        <w:t>ation</w:t>
      </w:r>
      <w:proofErr w:type="spellEnd"/>
      <w:r w:rsidRPr="00C10129">
        <w:rPr>
          <w:rFonts w:ascii="Garamond" w:hAnsi="Garamond"/>
          <w:color w:val="000000" w:themeColor="text1"/>
          <w:lang w:val="en-US"/>
        </w:rPr>
        <w:t>, meaning that investors do not get a chance to choose from different investment alternatives ranging from mezzanine debt to second lien debt</w:t>
      </w:r>
      <w:r w:rsidR="009E4AF5">
        <w:rPr>
          <w:rFonts w:ascii="Garamond" w:hAnsi="Garamond"/>
          <w:color w:val="000000" w:themeColor="text1"/>
          <w:lang w:val="en-US"/>
        </w:rPr>
        <w:t xml:space="preserve"> </w:t>
      </w:r>
      <w:r w:rsidR="00894DB2">
        <w:rPr>
          <w:rFonts w:ascii="Garamond" w:hAnsi="Garamond"/>
          <w:color w:val="000000" w:themeColor="text1"/>
          <w:lang w:val="en-US"/>
        </w:rPr>
        <w:fldChar w:fldCharType="begin"/>
      </w:r>
      <w:r w:rsidR="00645637">
        <w:rPr>
          <w:rFonts w:ascii="Garamond" w:hAnsi="Garamond"/>
          <w:color w:val="000000" w:themeColor="text1"/>
          <w:lang w:val="en-US"/>
        </w:rPr>
        <w:instrText xml:space="preserve"> ADDIN EN.CITE &lt;EndNote&gt;&lt;Cite&gt;&lt;Author&gt;Persaud&lt;/Author&gt;&lt;Year&gt;2024&lt;/Year&gt;&lt;RecNum&gt;91&lt;/RecNum&gt;&lt;DisplayText&gt;(Persaud, 2024)&lt;/DisplayText&gt;&lt;record&gt;&lt;rec-number&gt;91&lt;/rec-number&gt;&lt;foreign-keys&gt;&lt;key app="EN" db-id="x2z5xfr9jx5dwcef50b5eedwwwr9x5pperdz" timestamp="1782247548"&gt;91&lt;/key&gt;&lt;/foreign-keys&gt;&lt;ref-type name="Book"&gt;6&lt;/ref-type&gt;&lt;contributors&gt;&lt;authors&gt;&lt;author&gt;Persaud, Avani&lt;/author&gt;&lt;/authors&gt;&lt;/contributors&gt;&lt;titles&gt;&lt;title&gt;Beyond Traditional Financing: An Analysis of the Recent Rise of Private Credit in Capital Markets&lt;/title&gt;&lt;/titles&gt;&lt;dates&gt;&lt;year&gt;2024&lt;/year&gt;&lt;/dates&gt;&lt;urls&gt;&lt;/urls&gt;&lt;electronic-resource-num&gt;10.58445/rars.940&lt;/electronic-resource-num&gt;&lt;/record&gt;&lt;/Cite&gt;&lt;/EndNote&gt;</w:instrText>
      </w:r>
      <w:r w:rsidR="00894DB2">
        <w:rPr>
          <w:rFonts w:ascii="Garamond" w:hAnsi="Garamond"/>
          <w:color w:val="000000" w:themeColor="text1"/>
          <w:lang w:val="en-US"/>
        </w:rPr>
        <w:fldChar w:fldCharType="separate"/>
      </w:r>
      <w:r w:rsidR="00645637">
        <w:rPr>
          <w:rFonts w:ascii="Garamond" w:hAnsi="Garamond"/>
          <w:noProof/>
          <w:color w:val="000000" w:themeColor="text1"/>
          <w:lang w:val="en-US"/>
        </w:rPr>
        <w:t>(Persaud, 2024)</w:t>
      </w:r>
      <w:r w:rsidR="00894DB2">
        <w:rPr>
          <w:rFonts w:ascii="Garamond" w:hAnsi="Garamond"/>
          <w:color w:val="000000" w:themeColor="text1"/>
          <w:lang w:val="en-US"/>
        </w:rPr>
        <w:fldChar w:fldCharType="end"/>
      </w:r>
      <w:r w:rsidR="002918CA">
        <w:rPr>
          <w:rFonts w:ascii="Garamond" w:hAnsi="Garamond"/>
          <w:color w:val="000000" w:themeColor="text1"/>
          <w:lang w:val="en-US"/>
        </w:rPr>
        <w:t>.</w:t>
      </w:r>
    </w:p>
    <w:p w14:paraId="1E6805FB" w14:textId="176FCA70" w:rsidR="00C10129" w:rsidRDefault="00C10129" w:rsidP="00C10129">
      <w:pPr>
        <w:spacing w:line="360" w:lineRule="auto"/>
        <w:ind w:firstLine="360"/>
        <w:jc w:val="both"/>
        <w:rPr>
          <w:rFonts w:ascii="Garamond" w:hAnsi="Garamond"/>
          <w:color w:val="000000" w:themeColor="text1"/>
          <w:lang w:val="en-US"/>
        </w:rPr>
      </w:pPr>
      <w:r w:rsidRPr="00C10129">
        <w:rPr>
          <w:rFonts w:ascii="Garamond" w:hAnsi="Garamond"/>
          <w:color w:val="000000" w:themeColor="text1"/>
          <w:lang w:val="en-US"/>
        </w:rPr>
        <w:lastRenderedPageBreak/>
        <w:t>Private finance as a means of meeting the demands of a particular clientele is very diverse and encompasses private equity, which is quite familiar with people. In this case, when shares are bought in companies, funding is provided through capital and knowledge. There is also private debt discussed above</w:t>
      </w:r>
      <w:r w:rsidR="00397905">
        <w:rPr>
          <w:rFonts w:ascii="Garamond" w:hAnsi="Garamond"/>
          <w:color w:val="000000" w:themeColor="text1"/>
          <w:lang w:val="en-US"/>
        </w:rPr>
        <w:t>,</w:t>
      </w:r>
      <w:r w:rsidRPr="00C10129">
        <w:rPr>
          <w:rFonts w:ascii="Garamond" w:hAnsi="Garamond"/>
          <w:color w:val="000000" w:themeColor="text1"/>
          <w:lang w:val="en-US"/>
        </w:rPr>
        <w:t xml:space="preserve"> where financing from non-bank financial institutions occurs, aimed at SMEs on flexible conditions. Finally, mezzanine finance is also included, which is also known as hybrid financing due to the inclusion of both equity and debt financing, and it may even be used for acquisition purposes</w:t>
      </w:r>
      <w:r w:rsidR="00E93B40">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PEVuZE5vdGU+PENpdGU+PEF1dGhvcj5Lw6RrZWzDpDwvQXV0aG9yPjxZZWFyPjIwMjQ8L1llYXI+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(Käkelä, 2024)</w:t>
      </w:r>
      <w:r w:rsidR="00875C24">
        <w:rPr>
          <w:rFonts w:ascii="Garamond" w:hAnsi="Garamond"/>
          <w:color w:val="000000" w:themeColor="text1"/>
          <w:lang w:val="en-US"/>
        </w:rPr>
        <w:fldChar w:fldCharType="end"/>
      </w:r>
      <w:r w:rsidRPr="00C10129">
        <w:rPr>
          <w:rFonts w:ascii="Garamond" w:hAnsi="Garamond"/>
          <w:color w:val="000000" w:themeColor="text1"/>
          <w:lang w:val="en-US"/>
        </w:rPr>
        <w:t>.</w:t>
      </w:r>
    </w:p>
    <w:p w14:paraId="343D430D" w14:textId="77777777" w:rsidR="00C10129" w:rsidRDefault="00C10129" w:rsidP="00C10129">
      <w:pPr>
        <w:spacing w:line="360" w:lineRule="auto"/>
        <w:ind w:firstLine="360"/>
        <w:jc w:val="both"/>
        <w:rPr>
          <w:rFonts w:ascii="Garamond" w:hAnsi="Garamond"/>
          <w:color w:val="000000" w:themeColor="text1"/>
          <w:lang w:val="en-US"/>
        </w:rPr>
      </w:pPr>
      <w:r w:rsidRPr="00C10129">
        <w:rPr>
          <w:rFonts w:ascii="Garamond" w:hAnsi="Garamond"/>
          <w:color w:val="000000" w:themeColor="text1"/>
          <w:lang w:val="en-US"/>
        </w:rPr>
        <w:t>It is important to know the types of financing available to each client to fit the exact needs of each company. One such form is private equity, in which investors take stakes in companies, contributing not only financial resources but also knowledge and strategic support for growth.</w:t>
      </w:r>
    </w:p>
    <w:p w14:paraId="50733D4F" w14:textId="4C62CB64" w:rsidR="00C10129" w:rsidRDefault="00C10129" w:rsidP="00C10129">
      <w:pPr>
        <w:spacing w:line="360" w:lineRule="auto"/>
        <w:ind w:firstLine="360"/>
        <w:jc w:val="both"/>
        <w:rPr>
          <w:rFonts w:ascii="Garamond" w:hAnsi="Garamond"/>
          <w:color w:val="000000" w:themeColor="text1"/>
          <w:lang w:val="en-US"/>
        </w:rPr>
      </w:pPr>
      <w:r w:rsidRPr="00C10129">
        <w:rPr>
          <w:rFonts w:ascii="Garamond" w:hAnsi="Garamond"/>
          <w:color w:val="000000" w:themeColor="text1"/>
          <w:lang w:val="en-US"/>
        </w:rPr>
        <w:t>Direct lending refers to financial arrangements where the transfer of money takes place between two entities without any role played by banks in the process. In this regard, in the field of corporate private lending, direct lending has proved to be crucial since private lenders, including private equity, lend money to corporations</w:t>
      </w:r>
      <w:r w:rsidR="00D5341D">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PEVuZE5vdGU+PENpdGU+PEF1dGhvcj5QaGlsbGlwczwvQXV0aG9yPjxZZWFyPjIwMjU8L1llYXI+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(Phillips, 2025b)</w:t>
      </w:r>
      <w:r w:rsidR="00875C24">
        <w:rPr>
          <w:rFonts w:ascii="Garamond" w:hAnsi="Garamond"/>
          <w:color w:val="000000" w:themeColor="text1"/>
          <w:lang w:val="en-US"/>
        </w:rPr>
        <w:fldChar w:fldCharType="end"/>
      </w:r>
      <w:r w:rsidRPr="00C10129">
        <w:rPr>
          <w:rFonts w:ascii="Garamond" w:hAnsi="Garamond"/>
          <w:color w:val="000000" w:themeColor="text1"/>
          <w:lang w:val="en-US"/>
        </w:rPr>
        <w:t>. Besides, in the world of corporate finance, direct lending has emerged as a key tool, especially for middle market businesses and multinational enterprises searching for flexible and tailor-made financing options</w:t>
      </w:r>
      <w:r w:rsidR="00D5341D">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PEVuZE5vdGU+PENpdGU+PEF1dGhvcj5QaGlsbGlwczwvQXV0aG9yPjxZZWFyPjIwMjU8L1llYXI+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(Phillips, 2025a)</w:t>
      </w:r>
      <w:r w:rsidR="00875C24">
        <w:rPr>
          <w:rFonts w:ascii="Garamond" w:hAnsi="Garamond"/>
          <w:color w:val="000000" w:themeColor="text1"/>
          <w:lang w:val="en-US"/>
        </w:rPr>
        <w:fldChar w:fldCharType="end"/>
      </w:r>
      <w:r w:rsidRPr="00C10129">
        <w:rPr>
          <w:rFonts w:ascii="Garamond" w:hAnsi="Garamond"/>
          <w:color w:val="000000" w:themeColor="text1"/>
          <w:lang w:val="en-US"/>
        </w:rPr>
        <w:t xml:space="preserve">. Given that there are fewer creditors involved, corporations are known to have closer and more direct relations with their debtors than they usually would. Financing deals tend to get done faster and with pricing certainty </w:t>
      </w:r>
      <w:proofErr w:type="gramStart"/>
      <w:r w:rsidRPr="00C10129">
        <w:rPr>
          <w:rFonts w:ascii="Garamond" w:hAnsi="Garamond"/>
          <w:color w:val="000000" w:themeColor="text1"/>
          <w:lang w:val="en-US"/>
        </w:rPr>
        <w:t>owing to the fact that</w:t>
      </w:r>
      <w:proofErr w:type="gramEnd"/>
      <w:r w:rsidRPr="00C10129">
        <w:rPr>
          <w:rFonts w:ascii="Garamond" w:hAnsi="Garamond"/>
          <w:color w:val="000000" w:themeColor="text1"/>
          <w:lang w:val="en-US"/>
        </w:rPr>
        <w:t xml:space="preserve"> the deals are not broadly syndicated. Lastly, the swift changes made in the deals during the </w:t>
      </w:r>
      <w:r w:rsidR="00976E92">
        <w:rPr>
          <w:rFonts w:ascii="Garamond" w:hAnsi="Garamond"/>
          <w:color w:val="000000" w:themeColor="text1"/>
          <w:lang w:val="en-US"/>
        </w:rPr>
        <w:t>C</w:t>
      </w:r>
      <w:r w:rsidR="008C2142">
        <w:rPr>
          <w:rFonts w:ascii="Garamond" w:hAnsi="Garamond"/>
          <w:color w:val="000000" w:themeColor="text1"/>
          <w:lang w:val="en-US"/>
        </w:rPr>
        <w:t>OVID-19 pandemic</w:t>
      </w:r>
      <w:r w:rsidRPr="00C10129">
        <w:rPr>
          <w:rFonts w:ascii="Garamond" w:hAnsi="Garamond"/>
          <w:color w:val="000000" w:themeColor="text1"/>
          <w:lang w:val="en-US"/>
        </w:rPr>
        <w:t xml:space="preserve"> show how strong the relations between lenders and borrowers are</w:t>
      </w:r>
      <w:r w:rsidR="00D5341D">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PEVuZE5vdGU+PENpdGU+PEF1dGhvcj5HdW50ZXI8L0F1dGhvcj48WWVhcj4yMDIxPC9ZZWFyPjxS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(Gunter et al., 2021)</w:t>
      </w:r>
      <w:r w:rsidR="00875C24">
        <w:rPr>
          <w:rFonts w:ascii="Garamond" w:hAnsi="Garamond"/>
          <w:color w:val="000000" w:themeColor="text1"/>
          <w:lang w:val="en-US"/>
        </w:rPr>
        <w:fldChar w:fldCharType="end"/>
      </w:r>
      <w:r w:rsidRPr="00C10129">
        <w:rPr>
          <w:rFonts w:ascii="Garamond" w:hAnsi="Garamond"/>
          <w:color w:val="000000" w:themeColor="text1"/>
          <w:lang w:val="en-US"/>
        </w:rPr>
        <w:t>.</w:t>
      </w:r>
    </w:p>
    <w:p w14:paraId="6A65EB8F" w14:textId="28B84A6A" w:rsidR="00C10129" w:rsidRDefault="00C10129" w:rsidP="00C10129">
      <w:pPr>
        <w:spacing w:line="360" w:lineRule="auto"/>
        <w:ind w:firstLine="360"/>
        <w:jc w:val="both"/>
        <w:rPr>
          <w:rFonts w:ascii="Garamond" w:hAnsi="Garamond"/>
          <w:color w:val="000000" w:themeColor="text1"/>
          <w:lang w:val="en-US"/>
        </w:rPr>
      </w:pPr>
      <w:proofErr w:type="spellStart"/>
      <w:r w:rsidRPr="00C10129">
        <w:rPr>
          <w:rFonts w:ascii="Garamond" w:hAnsi="Garamond"/>
          <w:color w:val="000000" w:themeColor="text1"/>
          <w:lang w:val="en-US"/>
        </w:rPr>
        <w:t>Unitranche</w:t>
      </w:r>
      <w:proofErr w:type="spellEnd"/>
      <w:r w:rsidRPr="00C10129">
        <w:rPr>
          <w:rFonts w:ascii="Garamond" w:hAnsi="Garamond"/>
          <w:color w:val="000000" w:themeColor="text1"/>
          <w:lang w:val="en-US"/>
        </w:rPr>
        <w:t xml:space="preserve"> loans are a type of private credit facility whereby both senior and junior debt are packaged in one facility provided by one lending syndicate, such as a private credit fund. Instead of two separate loan tranches, namely first lien and second lien, from two separate lenders, the </w:t>
      </w:r>
      <w:proofErr w:type="spellStart"/>
      <w:r w:rsidRPr="00C10129">
        <w:rPr>
          <w:rFonts w:ascii="Garamond" w:hAnsi="Garamond"/>
          <w:color w:val="000000" w:themeColor="text1"/>
          <w:lang w:val="en-US"/>
        </w:rPr>
        <w:t>unitranche</w:t>
      </w:r>
      <w:proofErr w:type="spellEnd"/>
      <w:r w:rsidRPr="00C10129">
        <w:rPr>
          <w:rFonts w:ascii="Garamond" w:hAnsi="Garamond"/>
          <w:color w:val="000000" w:themeColor="text1"/>
          <w:lang w:val="en-US"/>
        </w:rPr>
        <w:t xml:space="preserve"> loan provides only one loan agreement, one set of terms, and an interest rate that is a combination of both senior and junior loan interests. </w:t>
      </w:r>
      <w:proofErr w:type="spellStart"/>
      <w:r w:rsidRPr="00C10129">
        <w:rPr>
          <w:rFonts w:ascii="Garamond" w:hAnsi="Garamond"/>
          <w:color w:val="000000" w:themeColor="text1"/>
          <w:lang w:val="en-US"/>
        </w:rPr>
        <w:t>Unitranch</w:t>
      </w:r>
      <w:proofErr w:type="spellEnd"/>
      <w:r w:rsidRPr="00C10129">
        <w:rPr>
          <w:rFonts w:ascii="Garamond" w:hAnsi="Garamond"/>
          <w:color w:val="000000" w:themeColor="text1"/>
          <w:lang w:val="en-US"/>
        </w:rPr>
        <w:t xml:space="preserve"> loans have been widely embraced by private equity-backed middle market transactions due to their ability to facilitate quicker execution at a certain price</w:t>
      </w:r>
      <w:r w:rsidR="00D5341D">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PEVuZE5vdGU+PENpdGU+PEF1dGhvcj5DQUlBIEFzc29jaWF0aW9uPC9BdXRob3I+PFllYXI+MjAy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(CAIA Association, 2024; E. Bosman et al., 2025)</w:t>
      </w:r>
      <w:r w:rsidR="00875C24">
        <w:rPr>
          <w:rFonts w:ascii="Garamond" w:hAnsi="Garamond"/>
          <w:color w:val="000000" w:themeColor="text1"/>
          <w:lang w:val="en-US"/>
        </w:rPr>
        <w:fldChar w:fldCharType="end"/>
      </w:r>
      <w:r w:rsidRPr="00C10129">
        <w:rPr>
          <w:rFonts w:ascii="Garamond" w:hAnsi="Garamond"/>
          <w:color w:val="000000" w:themeColor="text1"/>
          <w:lang w:val="en-US"/>
        </w:rPr>
        <w:t>.</w:t>
      </w:r>
    </w:p>
    <w:p w14:paraId="687FFE33" w14:textId="677E4F1A" w:rsidR="00C10129" w:rsidRDefault="00C10129" w:rsidP="00C10129">
      <w:pPr>
        <w:spacing w:line="360" w:lineRule="auto"/>
        <w:ind w:firstLine="360"/>
        <w:jc w:val="both"/>
        <w:rPr>
          <w:rFonts w:ascii="Garamond" w:hAnsi="Garamond"/>
          <w:color w:val="000000" w:themeColor="text1"/>
          <w:lang w:val="en-US"/>
        </w:rPr>
      </w:pPr>
      <w:r w:rsidRPr="00C10129">
        <w:rPr>
          <w:rFonts w:ascii="Garamond" w:hAnsi="Garamond"/>
          <w:color w:val="000000" w:themeColor="text1"/>
          <w:lang w:val="en-US"/>
        </w:rPr>
        <w:t xml:space="preserve">Although there is just one loan from the side of the borrower, the financier can structure the economy within their </w:t>
      </w:r>
      <w:proofErr w:type="spellStart"/>
      <w:r w:rsidRPr="00C10129">
        <w:rPr>
          <w:rFonts w:ascii="Garamond" w:hAnsi="Garamond"/>
          <w:color w:val="000000" w:themeColor="text1"/>
          <w:lang w:val="en-US"/>
        </w:rPr>
        <w:t>organisation</w:t>
      </w:r>
      <w:proofErr w:type="spellEnd"/>
      <w:r w:rsidRPr="00C10129">
        <w:rPr>
          <w:rFonts w:ascii="Garamond" w:hAnsi="Garamond"/>
          <w:color w:val="000000" w:themeColor="text1"/>
          <w:lang w:val="en-US"/>
        </w:rPr>
        <w:t xml:space="preserve"> using first out/last out arrangements-some of the </w:t>
      </w:r>
      <w:r w:rsidRPr="00C10129">
        <w:rPr>
          <w:rFonts w:ascii="Garamond" w:hAnsi="Garamond"/>
          <w:color w:val="000000" w:themeColor="text1"/>
          <w:lang w:val="en-US"/>
        </w:rPr>
        <w:lastRenderedPageBreak/>
        <w:t>money may be considered safer (first out) and other riskier (last out) with differing returns, without adding to the complexity presented to the borrower</w:t>
      </w:r>
      <w:r w:rsidR="00E93B40">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PEVuZE5vdGU+PENpdGU+PEF1dGhvcj5FLiBCb3NtYW48L0F1dGhvcj48WWVhcj4yMDI1PC9ZZWFy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(E. Bosman et al., 2025)</w:t>
      </w:r>
      <w:r w:rsidR="00875C24">
        <w:rPr>
          <w:rFonts w:ascii="Garamond" w:hAnsi="Garamond"/>
          <w:color w:val="000000" w:themeColor="text1"/>
          <w:lang w:val="en-US"/>
        </w:rPr>
        <w:fldChar w:fldCharType="end"/>
      </w:r>
      <w:r w:rsidRPr="00C10129">
        <w:rPr>
          <w:rFonts w:ascii="Garamond" w:hAnsi="Garamond"/>
          <w:color w:val="000000" w:themeColor="text1"/>
          <w:lang w:val="en-US"/>
        </w:rPr>
        <w:t>. Another less problematic advantage comes from the fact that a simplified creditor body may provide easier amendment and workouts, since there are fewer groups of lenders vying for the restructuring deal</w:t>
      </w:r>
      <w:r w:rsidR="00E93B40">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PEVuZE5vdGU+PENpdGU+PEF1dGhvcj5DQUlBIEFzc29jaWF0aW9uPC9BdXRob3I+PFllYXI+MjAy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(CAIA Association, 2024)</w:t>
      </w:r>
      <w:r w:rsidR="00875C24">
        <w:rPr>
          <w:rFonts w:ascii="Garamond" w:hAnsi="Garamond"/>
          <w:color w:val="000000" w:themeColor="text1"/>
          <w:lang w:val="en-US"/>
        </w:rPr>
        <w:fldChar w:fldCharType="end"/>
      </w:r>
      <w:r w:rsidRPr="00C10129">
        <w:rPr>
          <w:rFonts w:ascii="Garamond" w:hAnsi="Garamond"/>
          <w:color w:val="000000" w:themeColor="text1"/>
          <w:lang w:val="en-US"/>
        </w:rPr>
        <w:t xml:space="preserve">. Academic work on private credit also notes that private credit deals depend greatly on contractual design, covenants and renegotiation features, with </w:t>
      </w:r>
      <w:proofErr w:type="spellStart"/>
      <w:r w:rsidRPr="00C10129">
        <w:rPr>
          <w:rFonts w:ascii="Garamond" w:hAnsi="Garamond"/>
          <w:color w:val="000000" w:themeColor="text1"/>
          <w:lang w:val="en-US"/>
        </w:rPr>
        <w:t>unitranche</w:t>
      </w:r>
      <w:proofErr w:type="spellEnd"/>
      <w:r w:rsidRPr="00C10129">
        <w:rPr>
          <w:rFonts w:ascii="Garamond" w:hAnsi="Garamond"/>
          <w:color w:val="000000" w:themeColor="text1"/>
          <w:lang w:val="en-US"/>
        </w:rPr>
        <w:t xml:space="preserve"> facilities fitting well in this relationship-based model</w:t>
      </w:r>
      <w:r w:rsidR="00E93B40">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PEVuZE5vdGU+PENpdGU+PEF1dGhvcj5MYWxhZmFyeWFuPC9BdXRob3I+PFllYXI+MjAyNDwvWWVh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(Lalafaryan, 2024)</w:t>
      </w:r>
      <w:r w:rsidR="00875C24">
        <w:rPr>
          <w:rFonts w:ascii="Garamond" w:hAnsi="Garamond"/>
          <w:color w:val="000000" w:themeColor="text1"/>
          <w:lang w:val="en-US"/>
        </w:rPr>
        <w:fldChar w:fldCharType="end"/>
      </w:r>
      <w:r w:rsidR="00EE5F3F">
        <w:rPr>
          <w:rFonts w:ascii="Garamond" w:hAnsi="Garamond"/>
          <w:color w:val="000000" w:themeColor="text1"/>
          <w:lang w:val="en-US"/>
        </w:rPr>
        <w:t>.</w:t>
      </w:r>
    </w:p>
    <w:p w14:paraId="371E013B" w14:textId="13212B4A" w:rsidR="00C10129" w:rsidRDefault="00C10129" w:rsidP="00C10129">
      <w:pPr>
        <w:spacing w:line="360" w:lineRule="auto"/>
        <w:ind w:firstLine="360"/>
        <w:jc w:val="both"/>
        <w:rPr>
          <w:rFonts w:ascii="Garamond" w:hAnsi="Garamond"/>
          <w:color w:val="000000" w:themeColor="text1"/>
          <w:lang w:val="en-US"/>
        </w:rPr>
      </w:pPr>
      <w:r w:rsidRPr="00C10129">
        <w:rPr>
          <w:rFonts w:ascii="Garamond" w:hAnsi="Garamond"/>
          <w:color w:val="000000" w:themeColor="text1"/>
          <w:lang w:val="en-US"/>
        </w:rPr>
        <w:t xml:space="preserve">Mezzanine debt is a hybrid of financing between senior debt and equity in the capital foundation of a company. In effect, mezzanine debt is used by firms, which in turn seek additional funding besides the one acquired from the banks, but do not want to issue any stocks to the public. </w:t>
      </w:r>
      <w:proofErr w:type="gramStart"/>
      <w:r w:rsidRPr="00C10129">
        <w:rPr>
          <w:rFonts w:ascii="Garamond" w:hAnsi="Garamond"/>
          <w:color w:val="000000" w:themeColor="text1"/>
          <w:lang w:val="en-US"/>
        </w:rPr>
        <w:t>For the reason that</w:t>
      </w:r>
      <w:proofErr w:type="gramEnd"/>
      <w:r w:rsidRPr="00C10129">
        <w:rPr>
          <w:rFonts w:ascii="Garamond" w:hAnsi="Garamond"/>
          <w:color w:val="000000" w:themeColor="text1"/>
          <w:lang w:val="en-US"/>
        </w:rPr>
        <w:t xml:space="preserve"> mezzanine finance is considered to possess the qualities of senior debt and stock, dilution of ownership is reduced</w:t>
      </w:r>
      <w:r w:rsidR="00DB5F64">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PEVuZE5vdGU+PENpdGU+PEF1dGhvcj5WYXNpbGVzY3U8L0F1dGhvcj48WWVhcj4yMDEwPC9ZZWFy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(Vasilescu, 2010)</w:t>
      </w:r>
      <w:r w:rsidR="00875C24">
        <w:rPr>
          <w:rFonts w:ascii="Garamond" w:hAnsi="Garamond"/>
          <w:color w:val="000000" w:themeColor="text1"/>
          <w:lang w:val="en-US"/>
        </w:rPr>
        <w:fldChar w:fldCharType="end"/>
      </w:r>
      <w:r w:rsidRPr="00C10129">
        <w:rPr>
          <w:rFonts w:ascii="Garamond" w:hAnsi="Garamond"/>
          <w:color w:val="000000" w:themeColor="text1"/>
          <w:lang w:val="en-US"/>
        </w:rPr>
        <w:t>.</w:t>
      </w:r>
      <w:r w:rsidRPr="00C10129">
        <w:rPr>
          <w:rFonts w:ascii="Garamond" w:hAnsi="Garamond"/>
          <w:color w:val="000000" w:themeColor="text1"/>
          <w:lang w:val="en-US"/>
        </w:rPr>
        <w:br/>
        <w:t>One of the key functions of mezzanine finance concerns the funding gap that small to medium-scale enterprises (SMEs) encounter. Also, according to empirical research undertaken by academics, what is observed is that SMEs are unable to gain full credit facility benefits, having limited collateral or being perceived as higher risk by banks</w:t>
      </w:r>
      <w:r w:rsidR="00DB5F64">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PEVuZE5vdGU+PENpdGU+PEF1dGhvcj5DdXNtYW5vPC9BdXRob3I+PFllYXI+MjAxMzwvWWVhcj48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(Cusmano &amp; Thompson, 2013; Vasilescu, 2010)</w:t>
      </w:r>
      <w:r w:rsidR="00875C24">
        <w:rPr>
          <w:rFonts w:ascii="Garamond" w:hAnsi="Garamond"/>
          <w:color w:val="000000" w:themeColor="text1"/>
          <w:lang w:val="en-US"/>
        </w:rPr>
        <w:fldChar w:fldCharType="end"/>
      </w:r>
      <w:r w:rsidRPr="00C10129">
        <w:rPr>
          <w:rFonts w:ascii="Garamond" w:hAnsi="Garamond"/>
          <w:color w:val="000000" w:themeColor="text1"/>
          <w:lang w:val="en-US"/>
        </w:rPr>
        <w:t>. In this way, mezzanine debt provides a hybrid solution poised between senior debt and equity with greater flexibility than borrowing and less dilutive than equity investment.</w:t>
      </w:r>
    </w:p>
    <w:p w14:paraId="619DC389" w14:textId="63956331" w:rsidR="00C10129" w:rsidRDefault="00C10129" w:rsidP="00C10129">
      <w:pPr>
        <w:spacing w:line="360" w:lineRule="auto"/>
        <w:ind w:firstLine="360"/>
        <w:jc w:val="both"/>
        <w:rPr>
          <w:rFonts w:ascii="Garamond" w:hAnsi="Garamond"/>
          <w:color w:val="000000" w:themeColor="text1"/>
          <w:lang w:val="en-US"/>
        </w:rPr>
      </w:pPr>
      <w:r w:rsidRPr="00C10129">
        <w:rPr>
          <w:rFonts w:ascii="Garamond" w:hAnsi="Garamond"/>
          <w:color w:val="000000" w:themeColor="text1"/>
          <w:lang w:val="en-US"/>
        </w:rPr>
        <w:t>Mezzanine instruments are commonly structured as subordinated loans, participating debt, or convertible instruments, meaning that lenders may receive higher interest rates or gain equity participation if the company performs well. As it ranks junior to senior debt in case of default, it inherently involves greater risk for its holders, hence it always seeks returns</w:t>
      </w:r>
      <w:r w:rsidR="00E93B40">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PEVuZE5vdGU+PENpdGU+PEF1dGhvcj5UZXRyZXZvdmE8L0F1dGhvcj48WWVhcj4yMDE4PC9ZZWFy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(Tetrevova &amp; Svedik, 2018)</w:t>
      </w:r>
      <w:r w:rsidR="00875C24">
        <w:rPr>
          <w:rFonts w:ascii="Garamond" w:hAnsi="Garamond"/>
          <w:color w:val="000000" w:themeColor="text1"/>
          <w:lang w:val="en-US"/>
        </w:rPr>
        <w:fldChar w:fldCharType="end"/>
      </w:r>
      <w:r w:rsidRPr="00C10129">
        <w:rPr>
          <w:rFonts w:ascii="Garamond" w:hAnsi="Garamond"/>
          <w:color w:val="000000" w:themeColor="text1"/>
          <w:lang w:val="en-US"/>
        </w:rPr>
        <w:t xml:space="preserve">. Mezzanine debt provides benefits to the borrowing </w:t>
      </w:r>
      <w:proofErr w:type="spellStart"/>
      <w:r w:rsidRPr="00C10129">
        <w:rPr>
          <w:rFonts w:ascii="Garamond" w:hAnsi="Garamond"/>
          <w:color w:val="000000" w:themeColor="text1"/>
          <w:lang w:val="en-US"/>
        </w:rPr>
        <w:t>organisation</w:t>
      </w:r>
      <w:proofErr w:type="spellEnd"/>
      <w:r w:rsidRPr="00C10129">
        <w:rPr>
          <w:rFonts w:ascii="Garamond" w:hAnsi="Garamond"/>
          <w:color w:val="000000" w:themeColor="text1"/>
          <w:lang w:val="en-US"/>
        </w:rPr>
        <w:t xml:space="preserve"> because it can be used to finance expansions and acquisitions, considering its long-term nature. However, due to its subordinated and hybrid nature, </w:t>
      </w:r>
      <w:r w:rsidR="004071CC">
        <w:rPr>
          <w:rFonts w:ascii="Garamond" w:hAnsi="Garamond"/>
          <w:color w:val="000000" w:themeColor="text1"/>
          <w:lang w:val="en-US"/>
        </w:rPr>
        <w:t xml:space="preserve">it </w:t>
      </w:r>
      <w:r w:rsidRPr="00C10129">
        <w:rPr>
          <w:rFonts w:ascii="Garamond" w:hAnsi="Garamond"/>
          <w:color w:val="000000" w:themeColor="text1"/>
          <w:lang w:val="en-US"/>
        </w:rPr>
        <w:t>borrows at a higher cost of capital compared to senior debt</w:t>
      </w:r>
      <w:r w:rsidR="00E93B40">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PEVuZE5vdGU+PENpdGU+PEF1dGhvcj5DdXNtYW5vPC9BdXRob3I+PFllYXI+MjAxMzwvWWVhcj48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(Cusmano &amp; Thompson, 2013)</w:t>
      </w:r>
      <w:r w:rsidR="00875C24">
        <w:rPr>
          <w:rFonts w:ascii="Garamond" w:hAnsi="Garamond"/>
          <w:color w:val="000000" w:themeColor="text1"/>
          <w:lang w:val="en-US"/>
        </w:rPr>
        <w:fldChar w:fldCharType="end"/>
      </w:r>
      <w:r w:rsidRPr="00C10129">
        <w:rPr>
          <w:rFonts w:ascii="Garamond" w:hAnsi="Garamond"/>
          <w:color w:val="000000" w:themeColor="text1"/>
          <w:lang w:val="en-US"/>
        </w:rPr>
        <w:t>. On balance, mezzanine debt is very crucial in private credit markets as it alleviates growth constraints in businesses that are not addressed by traditional debt and equity instruments.</w:t>
      </w:r>
    </w:p>
    <w:p w14:paraId="3007ED86" w14:textId="77777777" w:rsidR="00C10129" w:rsidRDefault="00C10129" w:rsidP="00C10129">
      <w:pPr>
        <w:spacing w:line="360" w:lineRule="auto"/>
        <w:ind w:firstLine="360"/>
        <w:jc w:val="both"/>
        <w:rPr>
          <w:rFonts w:ascii="Garamond" w:hAnsi="Garamond"/>
          <w:color w:val="000000" w:themeColor="text1"/>
          <w:lang w:val="en-US"/>
        </w:rPr>
      </w:pPr>
    </w:p>
    <w:p w14:paraId="37F460A9" w14:textId="77777777" w:rsidR="00C10129" w:rsidRPr="00C10129" w:rsidRDefault="00C10129" w:rsidP="00C10129">
      <w:pPr>
        <w:spacing w:line="360" w:lineRule="auto"/>
        <w:ind w:firstLine="360"/>
        <w:jc w:val="both"/>
        <w:rPr>
          <w:rFonts w:ascii="Garamond" w:hAnsi="Garamond"/>
          <w:color w:val="000000" w:themeColor="text1"/>
          <w:lang w:val="en-US"/>
        </w:rPr>
      </w:pPr>
    </w:p>
    <w:p w14:paraId="2757AE32" w14:textId="17AE52FC" w:rsidR="002849CB" w:rsidRPr="002B2421" w:rsidRDefault="00BB0C11" w:rsidP="002849CB">
      <w:pPr>
        <w:pStyle w:val="Ttulo3"/>
        <w:rPr>
          <w:rFonts w:ascii="Garamond" w:hAnsi="Garamond"/>
          <w:b/>
          <w:bCs/>
          <w:color w:val="000000" w:themeColor="text1"/>
          <w:lang w:val="en-US"/>
        </w:rPr>
      </w:pPr>
      <w:bookmarkStart w:id="26" w:name="_Toc233142897"/>
      <w:r>
        <w:rPr>
          <w:rFonts w:ascii="Garamond" w:hAnsi="Garamond"/>
          <w:b/>
          <w:bCs/>
          <w:color w:val="000000" w:themeColor="text1"/>
          <w:lang w:val="en-US"/>
        </w:rPr>
        <w:lastRenderedPageBreak/>
        <w:t>3</w:t>
      </w:r>
      <w:r w:rsidR="002849CB" w:rsidRPr="002B2421">
        <w:rPr>
          <w:rFonts w:ascii="Garamond" w:hAnsi="Garamond"/>
          <w:b/>
          <w:bCs/>
          <w:color w:val="000000" w:themeColor="text1"/>
          <w:lang w:val="en-US"/>
        </w:rPr>
        <w:t>.</w:t>
      </w:r>
      <w:r w:rsidR="002849CB">
        <w:rPr>
          <w:rFonts w:ascii="Garamond" w:hAnsi="Garamond"/>
          <w:b/>
          <w:bCs/>
          <w:color w:val="000000" w:themeColor="text1"/>
          <w:lang w:val="en-US"/>
        </w:rPr>
        <w:t>1</w:t>
      </w:r>
      <w:r w:rsidR="002849CB" w:rsidRPr="002B2421">
        <w:rPr>
          <w:rFonts w:ascii="Garamond" w:hAnsi="Garamond"/>
          <w:b/>
          <w:bCs/>
          <w:color w:val="000000" w:themeColor="text1"/>
          <w:lang w:val="en-US"/>
        </w:rPr>
        <w:t>.2. Differences between private credit and traditional bank</w:t>
      </w:r>
      <w:r w:rsidR="005D253B">
        <w:rPr>
          <w:rFonts w:ascii="Garamond" w:hAnsi="Garamond"/>
          <w:b/>
          <w:bCs/>
          <w:color w:val="000000" w:themeColor="text1"/>
          <w:lang w:val="en-US"/>
        </w:rPr>
        <w:t>ing</w:t>
      </w:r>
      <w:bookmarkEnd w:id="26"/>
    </w:p>
    <w:p w14:paraId="69C26ADC" w14:textId="77777777" w:rsidR="002849CB" w:rsidRDefault="002849CB" w:rsidP="002849CB">
      <w:pPr>
        <w:spacing w:line="360" w:lineRule="auto"/>
        <w:jc w:val="both"/>
        <w:rPr>
          <w:lang w:val="en-US"/>
        </w:rPr>
      </w:pPr>
    </w:p>
    <w:p w14:paraId="628A6AB0" w14:textId="77777777" w:rsidR="002849CB" w:rsidRPr="002B2421" w:rsidRDefault="002849CB" w:rsidP="002849CB">
      <w:pPr>
        <w:spacing w:line="360" w:lineRule="auto"/>
        <w:ind w:firstLine="360"/>
        <w:jc w:val="both"/>
        <w:rPr>
          <w:rFonts w:ascii="Garamond" w:hAnsi="Garamond"/>
          <w:color w:val="000000" w:themeColor="text1"/>
          <w:lang w:val="en-US"/>
        </w:rPr>
      </w:pPr>
      <w:r w:rsidRPr="002B2421">
        <w:rPr>
          <w:rFonts w:ascii="Garamond" w:hAnsi="Garamond"/>
          <w:color w:val="000000" w:themeColor="text1"/>
          <w:lang w:val="en-US"/>
        </w:rPr>
        <w:t>It is crucial to draw a clear distinction between private credit and traditional bank credit. Although both have the primary objective of providing capital, they differ in how they are originated, in their contractual structure, regulation, and even in the associated risk. Many of these characteristic differences are fundamental to explaining the traction gained by private credit since the Great Financial Crisis.</w:t>
      </w:r>
    </w:p>
    <w:p w14:paraId="732BC9EF" w14:textId="76E152F1" w:rsidR="002849CB" w:rsidRPr="002B2421" w:rsidRDefault="002849CB" w:rsidP="002849CB">
      <w:pPr>
        <w:spacing w:line="360" w:lineRule="auto"/>
        <w:ind w:firstLine="360"/>
        <w:jc w:val="both"/>
        <w:rPr>
          <w:rFonts w:ascii="Garamond" w:hAnsi="Garamond"/>
          <w:color w:val="000000" w:themeColor="text1"/>
          <w:lang w:val="en-US"/>
        </w:rPr>
      </w:pPr>
      <w:r w:rsidRPr="002B2421">
        <w:rPr>
          <w:rFonts w:ascii="Garamond" w:hAnsi="Garamond"/>
          <w:color w:val="000000" w:themeColor="text1"/>
          <w:lang w:val="en-US"/>
        </w:rPr>
        <w:t xml:space="preserve">However, one of the most crucial differences between the two concerns the regulatory framework. Conventional banks are required to follow a strict set of norms </w:t>
      </w:r>
      <w:r w:rsidR="005D253B">
        <w:rPr>
          <w:rFonts w:ascii="Garamond" w:hAnsi="Garamond"/>
          <w:color w:val="000000" w:themeColor="text1"/>
          <w:lang w:val="en-US"/>
        </w:rPr>
        <w:t xml:space="preserve">considering </w:t>
      </w:r>
      <w:r w:rsidRPr="002B2421">
        <w:rPr>
          <w:rFonts w:ascii="Garamond" w:hAnsi="Garamond"/>
          <w:color w:val="000000" w:themeColor="text1"/>
          <w:lang w:val="en-US"/>
        </w:rPr>
        <w:t xml:space="preserve">Basel III and Basel IV requirements. This implies that they </w:t>
      </w:r>
      <w:r w:rsidR="005D253B">
        <w:rPr>
          <w:rFonts w:ascii="Garamond" w:hAnsi="Garamond"/>
          <w:color w:val="000000" w:themeColor="text1"/>
          <w:lang w:val="en-US"/>
        </w:rPr>
        <w:t xml:space="preserve">must </w:t>
      </w:r>
      <w:r w:rsidRPr="002B2421">
        <w:rPr>
          <w:rFonts w:ascii="Garamond" w:hAnsi="Garamond"/>
          <w:color w:val="000000" w:themeColor="text1"/>
          <w:lang w:val="en-US"/>
        </w:rPr>
        <w:t>strictly comply with the liquidity ratios, leverage constraints, and capital requirements. This further means that they lack the flexibility to provide credit facilities as well as finance corporations with high-risk profiles.</w:t>
      </w:r>
    </w:p>
    <w:p w14:paraId="71EEDA85" w14:textId="3D4010B7" w:rsidR="002849CB" w:rsidRPr="002B2421" w:rsidRDefault="002849CB" w:rsidP="002849CB">
      <w:pPr>
        <w:spacing w:line="360" w:lineRule="auto"/>
        <w:ind w:firstLine="360"/>
        <w:jc w:val="both"/>
        <w:rPr>
          <w:rFonts w:ascii="Garamond" w:hAnsi="Garamond"/>
          <w:color w:val="000000" w:themeColor="text1"/>
          <w:lang w:val="en-US"/>
        </w:rPr>
      </w:pPr>
      <w:r w:rsidRPr="002B2421">
        <w:rPr>
          <w:rFonts w:ascii="Garamond" w:hAnsi="Garamond"/>
          <w:color w:val="000000" w:themeColor="text1"/>
          <w:lang w:val="en-US"/>
        </w:rPr>
        <w:t>Another notable difference is in the intermediation model</w:t>
      </w:r>
      <w:r>
        <w:rPr>
          <w:rFonts w:ascii="Garamond" w:hAnsi="Garamond"/>
          <w:color w:val="000000" w:themeColor="text1"/>
          <w:lang w:val="en-US"/>
        </w:rPr>
        <w:t>.</w:t>
      </w:r>
      <w:r w:rsidRPr="002B2421">
        <w:rPr>
          <w:rFonts w:ascii="Garamond" w:hAnsi="Garamond"/>
          <w:color w:val="000000" w:themeColor="text1"/>
          <w:lang w:val="en-US"/>
        </w:rPr>
        <w:t xml:space="preserve"> </w:t>
      </w:r>
      <w:r>
        <w:rPr>
          <w:rFonts w:ascii="Garamond" w:hAnsi="Garamond"/>
          <w:color w:val="000000" w:themeColor="text1"/>
          <w:lang w:val="en-US"/>
        </w:rPr>
        <w:t>T</w:t>
      </w:r>
      <w:r w:rsidRPr="002B2421">
        <w:rPr>
          <w:rFonts w:ascii="Garamond" w:hAnsi="Garamond"/>
          <w:color w:val="000000" w:themeColor="text1"/>
          <w:lang w:val="en-US"/>
        </w:rPr>
        <w:t xml:space="preserve">raditional banks grant credit based on the originate-to-distribute model, meaning that instead of holding the loan until maturity, they sell it on the secondary market or incorporate it into </w:t>
      </w:r>
      <w:proofErr w:type="spellStart"/>
      <w:r w:rsidRPr="002B2421">
        <w:rPr>
          <w:rFonts w:ascii="Garamond" w:hAnsi="Garamond"/>
          <w:color w:val="000000" w:themeColor="text1"/>
          <w:lang w:val="en-US"/>
        </w:rPr>
        <w:t>securiti</w:t>
      </w:r>
      <w:r>
        <w:rPr>
          <w:rFonts w:ascii="Garamond" w:hAnsi="Garamond"/>
          <w:color w:val="000000" w:themeColor="text1"/>
          <w:lang w:val="en-US"/>
        </w:rPr>
        <w:t>s</w:t>
      </w:r>
      <w:r w:rsidRPr="002B2421">
        <w:rPr>
          <w:rFonts w:ascii="Garamond" w:hAnsi="Garamond"/>
          <w:color w:val="000000" w:themeColor="text1"/>
          <w:lang w:val="en-US"/>
        </w:rPr>
        <w:t>ation</w:t>
      </w:r>
      <w:proofErr w:type="spellEnd"/>
      <w:r w:rsidRPr="002B2421">
        <w:rPr>
          <w:rFonts w:ascii="Garamond" w:hAnsi="Garamond"/>
          <w:color w:val="000000" w:themeColor="text1"/>
          <w:lang w:val="en-US"/>
        </w:rPr>
        <w:t xml:space="preserve"> transactions. Private credit funds, in contrast, function in the originate-to-hold model, thus retaining the credit until maturity</w:t>
      </w:r>
      <w:r w:rsidR="00E93B40">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PEVuZE5vdGU+PENpdGU+PEF1dGhvcj5FdXJvcGVhbiBDZW50cmFsIEJhbms8L0F1dGhvcj48WWVh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(European Central Bank, 2007)</w:t>
      </w:r>
      <w:r w:rsidR="00875C24">
        <w:rPr>
          <w:rFonts w:ascii="Garamond" w:hAnsi="Garamond"/>
          <w:color w:val="000000" w:themeColor="text1"/>
          <w:lang w:val="en-US"/>
        </w:rPr>
        <w:fldChar w:fldCharType="end"/>
      </w:r>
      <w:r w:rsidRPr="002B2421">
        <w:rPr>
          <w:rFonts w:ascii="Garamond" w:hAnsi="Garamond"/>
          <w:color w:val="000000" w:themeColor="text1"/>
          <w:lang w:val="en-US"/>
        </w:rPr>
        <w:t xml:space="preserve">. Also in </w:t>
      </w:r>
      <w:r w:rsidR="005D253B">
        <w:rPr>
          <w:rFonts w:ascii="Garamond" w:hAnsi="Garamond"/>
          <w:color w:val="000000" w:themeColor="text1"/>
          <w:lang w:val="en-US"/>
        </w:rPr>
        <w:t xml:space="preserve">line, </w:t>
      </w:r>
      <w:r w:rsidR="00875C24">
        <w:rPr>
          <w:rFonts w:ascii="Garamond" w:hAnsi="Garamond"/>
          <w:color w:val="000000" w:themeColor="text1"/>
          <w:lang w:val="en-US"/>
        </w:rPr>
        <w:fldChar w:fldCharType="begin">
          <w:fldData xml:space="preserve">PEVuZE5vdGU+PENpdGUgQXV0aG9yWWVhcj0iMSI+PEF1dGhvcj5FbGxpYXM8L0F1dGhvcj48WWVh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Ellias and de Fontenay (2025)</w:t>
      </w:r>
      <w:r w:rsidR="00875C24">
        <w:rPr>
          <w:rFonts w:ascii="Garamond" w:hAnsi="Garamond"/>
          <w:color w:val="000000" w:themeColor="text1"/>
          <w:lang w:val="en-US"/>
        </w:rPr>
        <w:fldChar w:fldCharType="end"/>
      </w:r>
      <w:r w:rsidR="00A34156">
        <w:rPr>
          <w:rFonts w:ascii="Garamond" w:hAnsi="Garamond"/>
          <w:color w:val="000000" w:themeColor="text1"/>
          <w:lang w:val="en-US"/>
        </w:rPr>
        <w:t xml:space="preserve"> </w:t>
      </w:r>
      <w:r w:rsidRPr="002B2421">
        <w:rPr>
          <w:rFonts w:ascii="Garamond" w:hAnsi="Garamond"/>
          <w:color w:val="000000" w:themeColor="text1"/>
          <w:lang w:val="en-US"/>
        </w:rPr>
        <w:t>argue that private credit funds maintain the loans until maturity, thus bearing any risks that may occur in the future and having a more personal link to the debtor.</w:t>
      </w:r>
    </w:p>
    <w:p w14:paraId="73421487" w14:textId="77777777" w:rsidR="002849CB" w:rsidRPr="002B2421" w:rsidRDefault="002849CB" w:rsidP="002849CB">
      <w:pPr>
        <w:spacing w:line="360" w:lineRule="auto"/>
        <w:ind w:firstLine="360"/>
        <w:jc w:val="both"/>
        <w:rPr>
          <w:rFonts w:ascii="Garamond" w:hAnsi="Garamond"/>
          <w:color w:val="000000" w:themeColor="text1"/>
          <w:lang w:val="en-US"/>
        </w:rPr>
      </w:pPr>
      <w:r w:rsidRPr="002B2421">
        <w:rPr>
          <w:rFonts w:ascii="Garamond" w:hAnsi="Garamond"/>
          <w:color w:val="000000" w:themeColor="text1"/>
          <w:lang w:val="en-US"/>
        </w:rPr>
        <w:t xml:space="preserve">Furthermore, one of the main differences between the two is reflected in the contractual structure of the loan. Bank credit is subject to strict and often </w:t>
      </w:r>
      <w:proofErr w:type="spellStart"/>
      <w:r w:rsidRPr="002B2421">
        <w:rPr>
          <w:rFonts w:ascii="Garamond" w:hAnsi="Garamond"/>
          <w:color w:val="000000" w:themeColor="text1"/>
          <w:lang w:val="en-US"/>
        </w:rPr>
        <w:t>standardised</w:t>
      </w:r>
      <w:proofErr w:type="spellEnd"/>
      <w:r w:rsidRPr="002B2421">
        <w:rPr>
          <w:rFonts w:ascii="Garamond" w:hAnsi="Garamond"/>
          <w:color w:val="000000" w:themeColor="text1"/>
          <w:lang w:val="en-US"/>
        </w:rPr>
        <w:t xml:space="preserve"> policies, which makes many of the contracts inflexible. However, private credit differs in that it offers a more flexible option for the company that contracts it, and this is one of the reasons why companies involved in mergers, acquisitions, </w:t>
      </w:r>
      <w:proofErr w:type="spellStart"/>
      <w:r w:rsidRPr="002B2421">
        <w:rPr>
          <w:rFonts w:ascii="Garamond" w:hAnsi="Garamond"/>
          <w:color w:val="000000" w:themeColor="text1"/>
          <w:lang w:val="en-US"/>
        </w:rPr>
        <w:t>recapitalisations</w:t>
      </w:r>
      <w:proofErr w:type="spellEnd"/>
      <w:r w:rsidRPr="002B2421">
        <w:rPr>
          <w:rFonts w:ascii="Garamond" w:hAnsi="Garamond"/>
          <w:color w:val="000000" w:themeColor="text1"/>
          <w:lang w:val="en-US"/>
        </w:rPr>
        <w:t>, or even to promote growth prefer private credit to traditional bank loans.</w:t>
      </w:r>
    </w:p>
    <w:p w14:paraId="2DA946CE" w14:textId="3C6B1D7D" w:rsidR="002849CB" w:rsidRPr="00F83CC5" w:rsidRDefault="002849CB" w:rsidP="00B95900">
      <w:pPr>
        <w:spacing w:line="360" w:lineRule="auto"/>
        <w:ind w:firstLine="360"/>
        <w:jc w:val="both"/>
        <w:rPr>
          <w:rFonts w:ascii="Garamond" w:hAnsi="Garamond"/>
          <w:color w:val="000000" w:themeColor="text1"/>
          <w:lang w:val="en-US"/>
        </w:rPr>
      </w:pPr>
      <w:r w:rsidRPr="002B2421">
        <w:rPr>
          <w:rFonts w:ascii="Garamond" w:hAnsi="Garamond"/>
          <w:color w:val="000000" w:themeColor="text1"/>
          <w:lang w:val="en-US"/>
        </w:rPr>
        <w:t>In addition, the speed with which the financing process is completed can be a key factor in explaining the rapid expansion. More recent studies seem to confirm this obvious characteristic: analysis and approval times are substantially shorter than those of traditional banks, and one of the reasons that seems to explain this is the absence of hierarchical structures and more relaxed regulatory systems</w:t>
      </w:r>
      <w:r w:rsidR="00E93B40">
        <w:rPr>
          <w:rFonts w:ascii="Garamond" w:hAnsi="Garamond"/>
          <w:color w:val="000000" w:themeColor="text1"/>
          <w:lang w:val="en-US"/>
        </w:rPr>
        <w:t xml:space="preserve"> </w:t>
      </w:r>
      <w:r w:rsidR="00875C24">
        <w:rPr>
          <w:rFonts w:ascii="Garamond" w:hAnsi="Garamond"/>
          <w:color w:val="000000" w:themeColor="text1"/>
          <w:lang w:val="en-US"/>
        </w:rPr>
        <w:fldChar w:fldCharType="begin">
          <w:fldData xml:space="preserve">PEVuZE5vdGU+PENpdGU+PEF1dGhvcj5CbG9jazwvQXV0aG9yPjxZZWFyPjIwMjQ8L1llYXI+PFJl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(Block et al., 2024)</w:t>
      </w:r>
      <w:r w:rsidR="00875C24">
        <w:rPr>
          <w:rFonts w:ascii="Garamond" w:hAnsi="Garamond"/>
          <w:color w:val="000000" w:themeColor="text1"/>
          <w:lang w:val="en-US"/>
        </w:rPr>
        <w:fldChar w:fldCharType="end"/>
      </w:r>
      <w:r w:rsidRPr="002B2421">
        <w:rPr>
          <w:rFonts w:ascii="Garamond" w:hAnsi="Garamond"/>
          <w:color w:val="000000" w:themeColor="text1"/>
          <w:lang w:val="en-US"/>
        </w:rPr>
        <w:t xml:space="preserve">. There is a strong tendency for banks to prefer to finance larger companies, where risks are apparently more controlled, rather than focusing on the medium-sized market. </w:t>
      </w:r>
      <w:r w:rsidR="00875C24">
        <w:rPr>
          <w:rFonts w:ascii="Garamond" w:hAnsi="Garamond"/>
          <w:color w:val="000000" w:themeColor="text1"/>
          <w:lang w:val="en-US"/>
        </w:rPr>
        <w:fldChar w:fldCharType="begin">
          <w:fldData xml:space="preserve">PEVuZE5vdGU+PENpdGUgQXV0aG9yWWVhcj0iMSI+PEF1dGhvcj5FcmVsPC9BdXRob3I+PFllYXI+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</w:fldData>
        </w:fldChar>
      </w:r>
      <w:r w:rsidR="00875C24">
        <w:rPr>
          <w:rFonts w:ascii="Garamond" w:hAnsi="Garamond"/>
          <w:color w:val="000000" w:themeColor="text1"/>
          <w:lang w:val="en-US"/>
        </w:rPr>
        <w:instrText xml:space="preserve"> ADDIN EN.JS.CITE </w:instrText>
      </w:r>
      <w:r w:rsidR="00875C24">
        <w:rPr>
          <w:rFonts w:ascii="Garamond" w:hAnsi="Garamond"/>
          <w:color w:val="000000" w:themeColor="text1"/>
          <w:lang w:val="en-US"/>
        </w:rPr>
      </w:r>
      <w:r w:rsidR="00875C24">
        <w:rPr>
          <w:rFonts w:ascii="Garamond" w:hAnsi="Garamond"/>
          <w:color w:val="000000" w:themeColor="text1"/>
          <w:lang w:val="en-US"/>
        </w:rPr>
        <w:fldChar w:fldCharType="separate"/>
      </w:r>
      <w:r w:rsidR="00875C24">
        <w:rPr>
          <w:rFonts w:ascii="Garamond" w:hAnsi="Garamond"/>
          <w:noProof/>
          <w:color w:val="000000" w:themeColor="text1"/>
          <w:lang w:val="en-US"/>
        </w:rPr>
        <w:t>Erel et al. (2024)</w:t>
      </w:r>
      <w:r w:rsidR="00875C24">
        <w:rPr>
          <w:rFonts w:ascii="Garamond" w:hAnsi="Garamond"/>
          <w:color w:val="000000" w:themeColor="text1"/>
          <w:lang w:val="en-US"/>
        </w:rPr>
        <w:fldChar w:fldCharType="end"/>
      </w:r>
      <w:r w:rsidR="00E93B40">
        <w:rPr>
          <w:rFonts w:ascii="Garamond" w:hAnsi="Garamond"/>
          <w:color w:val="000000" w:themeColor="text1"/>
          <w:lang w:val="en-US"/>
        </w:rPr>
        <w:t xml:space="preserve"> </w:t>
      </w:r>
      <w:r w:rsidRPr="002B2421">
        <w:rPr>
          <w:rFonts w:ascii="Garamond" w:hAnsi="Garamond"/>
          <w:color w:val="000000" w:themeColor="text1"/>
          <w:lang w:val="en-US"/>
        </w:rPr>
        <w:t xml:space="preserve">argue that private credit </w:t>
      </w:r>
      <w:r w:rsidRPr="002B2421">
        <w:rPr>
          <w:rFonts w:ascii="Garamond" w:hAnsi="Garamond"/>
          <w:color w:val="000000" w:themeColor="text1"/>
          <w:lang w:val="en-US"/>
        </w:rPr>
        <w:lastRenderedPageBreak/>
        <w:t>plays a key role in filling this structural financing gap, enabling businesses with lower-quality borrowers who have no other sources of capital.</w:t>
      </w:r>
    </w:p>
    <w:p w14:paraId="0694FCA9" w14:textId="7491BC89" w:rsidR="00BD07E1" w:rsidRPr="005F36BF" w:rsidRDefault="00BB0C11" w:rsidP="002B2421">
      <w:pPr>
        <w:pStyle w:val="Ttulo2"/>
        <w:rPr>
          <w:rFonts w:ascii="Garamond" w:hAnsi="Garamond"/>
          <w:b/>
          <w:bCs/>
          <w:color w:val="000000" w:themeColor="text1"/>
          <w:sz w:val="28"/>
          <w:szCs w:val="28"/>
          <w:lang w:val="en-US"/>
        </w:rPr>
      </w:pPr>
      <w:bookmarkStart w:id="27" w:name="_Toc220403258"/>
      <w:bookmarkStart w:id="28" w:name="_Toc220500095"/>
      <w:bookmarkStart w:id="29" w:name="_Toc233142898"/>
      <w:bookmarkEnd w:id="23"/>
      <w:r>
        <w:rPr>
          <w:rFonts w:ascii="Garamond" w:hAnsi="Garamond"/>
          <w:b/>
          <w:bCs/>
          <w:color w:val="000000" w:themeColor="text1"/>
          <w:sz w:val="28"/>
          <w:szCs w:val="28"/>
          <w:lang w:val="en-US"/>
        </w:rPr>
        <w:t>3</w:t>
      </w:r>
      <w:r w:rsidR="4CD4BD3D" w:rsidRPr="005F36BF">
        <w:rPr>
          <w:rFonts w:ascii="Garamond" w:hAnsi="Garamond"/>
          <w:b/>
          <w:bCs/>
          <w:color w:val="000000" w:themeColor="text1"/>
          <w:sz w:val="28"/>
          <w:szCs w:val="28"/>
          <w:lang w:val="en-US"/>
        </w:rPr>
        <w:t>.</w:t>
      </w:r>
      <w:r w:rsidR="002849CB">
        <w:rPr>
          <w:rFonts w:ascii="Garamond" w:hAnsi="Garamond"/>
          <w:b/>
          <w:bCs/>
          <w:color w:val="000000" w:themeColor="text1"/>
          <w:sz w:val="28"/>
          <w:szCs w:val="28"/>
          <w:lang w:val="en-US"/>
        </w:rPr>
        <w:t>2</w:t>
      </w:r>
      <w:r w:rsidR="4CD4BD3D" w:rsidRPr="005F36BF">
        <w:rPr>
          <w:rFonts w:ascii="Garamond" w:hAnsi="Garamond"/>
          <w:b/>
          <w:bCs/>
          <w:color w:val="000000" w:themeColor="text1"/>
          <w:sz w:val="28"/>
          <w:szCs w:val="28"/>
          <w:lang w:val="en-US"/>
        </w:rPr>
        <w:t xml:space="preserve">. </w:t>
      </w:r>
      <w:r w:rsidR="005C7FA3" w:rsidRPr="005F36BF">
        <w:rPr>
          <w:rFonts w:ascii="Garamond" w:hAnsi="Garamond"/>
          <w:b/>
          <w:bCs/>
          <w:color w:val="000000" w:themeColor="text1"/>
          <w:sz w:val="28"/>
          <w:szCs w:val="28"/>
          <w:lang w:val="en-US"/>
        </w:rPr>
        <w:t>Key drivers behind the expansion of private credit</w:t>
      </w:r>
      <w:bookmarkStart w:id="30" w:name="OLE_LINK2"/>
      <w:bookmarkStart w:id="31" w:name="OLE_LINK1"/>
      <w:bookmarkEnd w:id="27"/>
      <w:bookmarkEnd w:id="28"/>
      <w:bookmarkEnd w:id="29"/>
    </w:p>
    <w:p w14:paraId="7C9374CE" w14:textId="77777777" w:rsidR="00BD07E1" w:rsidRPr="005F36BF" w:rsidRDefault="00BD07E1" w:rsidP="002B2421">
      <w:pPr>
        <w:rPr>
          <w:lang w:val="en-US"/>
        </w:rPr>
      </w:pPr>
      <w:r w:rsidRPr="005F36BF">
        <w:rPr>
          <w:lang w:val="en-US"/>
        </w:rPr>
        <w:tab/>
      </w:r>
    </w:p>
    <w:p w14:paraId="47B087AD" w14:textId="611B7B24" w:rsidR="00913464" w:rsidRPr="00B96295" w:rsidRDefault="005863C1" w:rsidP="00B96295">
      <w:pPr>
        <w:spacing w:line="360" w:lineRule="auto"/>
        <w:ind w:firstLine="360"/>
        <w:jc w:val="both"/>
        <w:rPr>
          <w:rFonts w:ascii="Garamond" w:hAnsi="Garamond"/>
          <w:lang w:val="en-US"/>
        </w:rPr>
      </w:pPr>
      <w:r w:rsidRPr="00CC1384">
        <w:rPr>
          <w:rFonts w:ascii="Garamond" w:hAnsi="Garamond"/>
          <w:lang w:val="en-US"/>
        </w:rPr>
        <w:t>After the Global Financial Crisis</w:t>
      </w:r>
      <w:r w:rsidR="000420E2" w:rsidRPr="00CC1384">
        <w:rPr>
          <w:rFonts w:ascii="Garamond" w:hAnsi="Garamond"/>
          <w:lang w:val="en-US"/>
        </w:rPr>
        <w:t xml:space="preserve">, private credit has </w:t>
      </w:r>
      <w:r w:rsidR="00375A76" w:rsidRPr="00CC1384">
        <w:rPr>
          <w:rFonts w:ascii="Garamond" w:hAnsi="Garamond"/>
          <w:lang w:val="en-US"/>
        </w:rPr>
        <w:t>emerged as</w:t>
      </w:r>
      <w:r w:rsidR="000420E2" w:rsidRPr="00CC1384">
        <w:rPr>
          <w:rFonts w:ascii="Garamond" w:hAnsi="Garamond"/>
          <w:lang w:val="en-US"/>
        </w:rPr>
        <w:t xml:space="preserve"> one of the most dynamic and influential asset classes in global financial markets</w:t>
      </w:r>
      <w:r w:rsidR="00896431">
        <w:rPr>
          <w:rFonts w:ascii="Garamond" w:hAnsi="Garamond"/>
          <w:lang w:val="en-US"/>
        </w:rPr>
        <w:t>. T</w:t>
      </w:r>
      <w:r w:rsidR="008014EF" w:rsidRPr="00CC1384">
        <w:rPr>
          <w:rFonts w:ascii="Garamond" w:hAnsi="Garamond"/>
          <w:lang w:val="en-US"/>
        </w:rPr>
        <w:t xml:space="preserve">here was a </w:t>
      </w:r>
      <w:r w:rsidR="00520EBA">
        <w:rPr>
          <w:rFonts w:ascii="Garamond" w:hAnsi="Garamond"/>
          <w:lang w:val="en-US"/>
        </w:rPr>
        <w:t>huge</w:t>
      </w:r>
      <w:r w:rsidR="008014EF" w:rsidRPr="00CC1384">
        <w:rPr>
          <w:rFonts w:ascii="Garamond" w:hAnsi="Garamond"/>
          <w:lang w:val="en-US"/>
        </w:rPr>
        <w:t xml:space="preserve"> change </w:t>
      </w:r>
      <w:r w:rsidR="00375A76" w:rsidRPr="00CC1384">
        <w:rPr>
          <w:rFonts w:ascii="Garamond" w:hAnsi="Garamond"/>
          <w:lang w:val="en-US"/>
        </w:rPr>
        <w:t>in</w:t>
      </w:r>
      <w:r w:rsidR="008014EF" w:rsidRPr="00CC1384">
        <w:rPr>
          <w:rFonts w:ascii="Garamond" w:hAnsi="Garamond"/>
          <w:lang w:val="en-US"/>
        </w:rPr>
        <w:t xml:space="preserve"> debt financing and its providers. The bank-financed debt market broke down. This change came to a head after a series of economic scandals during the global financial crisis, involving major financial players such as Lehman Brothers and the Royal Bank of Scotland. As a result, financial regulators in several countries implemented stricter rules for banks.</w:t>
      </w:r>
      <w:r w:rsidR="00913464" w:rsidRPr="00CC1384">
        <w:rPr>
          <w:rFonts w:ascii="Garamond" w:hAnsi="Garamond"/>
          <w:lang w:val="en-US"/>
        </w:rPr>
        <w:t xml:space="preserve"> </w:t>
      </w:r>
      <w:r w:rsidR="00D0218B" w:rsidRPr="00CC1384">
        <w:rPr>
          <w:rFonts w:ascii="Garamond" w:hAnsi="Garamond"/>
          <w:lang w:val="en-US"/>
        </w:rPr>
        <w:t xml:space="preserve">In view of </w:t>
      </w:r>
      <w:r w:rsidR="0078132C">
        <w:rPr>
          <w:rFonts w:ascii="Garamond" w:hAnsi="Garamond"/>
          <w:lang w:val="en-US"/>
        </w:rPr>
        <w:t>increased</w:t>
      </w:r>
      <w:r w:rsidR="00D0218B" w:rsidRPr="00CC1384">
        <w:rPr>
          <w:rFonts w:ascii="Garamond" w:hAnsi="Garamond"/>
          <w:lang w:val="en-US"/>
        </w:rPr>
        <w:t xml:space="preserve"> regulation o</w:t>
      </w:r>
      <w:r w:rsidR="0078132C">
        <w:rPr>
          <w:rFonts w:ascii="Garamond" w:hAnsi="Garamond"/>
          <w:lang w:val="en-US"/>
        </w:rPr>
        <w:t>f</w:t>
      </w:r>
      <w:r w:rsidR="00D0218B" w:rsidRPr="00CC1384">
        <w:rPr>
          <w:rFonts w:ascii="Garamond" w:hAnsi="Garamond"/>
          <w:lang w:val="en-US"/>
        </w:rPr>
        <w:t xml:space="preserve"> banking institutions, a structural deficit in credit supply has arisen, with a greater impact on medium-sized companies</w:t>
      </w:r>
      <w:r w:rsidR="00FA5DBE">
        <w:rPr>
          <w:rFonts w:ascii="Garamond" w:hAnsi="Garamond"/>
          <w:lang w:val="en-US"/>
        </w:rPr>
        <w:t xml:space="preserve"> </w:t>
      </w:r>
      <w:r w:rsidR="00875C24">
        <w:rPr>
          <w:rFonts w:ascii="Garamond" w:hAnsi="Garamond"/>
          <w:lang w:val="en-US"/>
        </w:rPr>
        <w:fldChar w:fldCharType="begin">
          <w:fldData xml:space="preserve">PEVuZE5vdGU+PENpdGU+PEF1dGhvcj5Ib2dhbjwvQXV0aG9yPjxZZWFyPjIwMTk8L1llYXI+PFJl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</w:fldData>
        </w:fldChar>
      </w:r>
      <w:r w:rsidR="00875C24">
        <w:rPr>
          <w:rFonts w:ascii="Garamond" w:hAnsi="Garamond"/>
          <w:lang w:val="en-US"/>
        </w:rPr>
        <w:instrText xml:space="preserve"> ADDIN EN.JS.CITE </w:instrText>
      </w:r>
      <w:r w:rsidR="00875C24">
        <w:rPr>
          <w:rFonts w:ascii="Garamond" w:hAnsi="Garamond"/>
          <w:lang w:val="en-US"/>
        </w:rPr>
      </w:r>
      <w:r w:rsidR="00875C24">
        <w:rPr>
          <w:rFonts w:ascii="Garamond" w:hAnsi="Garamond"/>
          <w:lang w:val="en-US"/>
        </w:rPr>
        <w:fldChar w:fldCharType="separate"/>
      </w:r>
      <w:r w:rsidR="00875C24">
        <w:rPr>
          <w:rFonts w:ascii="Garamond" w:hAnsi="Garamond"/>
          <w:noProof/>
          <w:lang w:val="en-US"/>
        </w:rPr>
        <w:t>(Hogan &amp; Burns, 2019)</w:t>
      </w:r>
      <w:r w:rsidR="00875C24">
        <w:rPr>
          <w:rFonts w:ascii="Garamond" w:hAnsi="Garamond"/>
          <w:lang w:val="en-US"/>
        </w:rPr>
        <w:fldChar w:fldCharType="end"/>
      </w:r>
      <w:r w:rsidR="00913464" w:rsidRPr="00CC1384">
        <w:rPr>
          <w:rFonts w:ascii="Garamond" w:hAnsi="Garamond"/>
          <w:lang w:val="en-US"/>
        </w:rPr>
        <w:t>.</w:t>
      </w:r>
    </w:p>
    <w:p w14:paraId="725B8C76" w14:textId="74571854" w:rsidR="005C7FA3" w:rsidRPr="00BD07E1" w:rsidRDefault="005C7FA3" w:rsidP="00B96295">
      <w:pPr>
        <w:spacing w:line="360" w:lineRule="auto"/>
        <w:ind w:firstLine="360"/>
        <w:jc w:val="both"/>
        <w:rPr>
          <w:rFonts w:ascii="Garamond" w:hAnsi="Garamond"/>
          <w:lang w:val="en-US"/>
        </w:rPr>
      </w:pPr>
      <w:r w:rsidRPr="00BD07E1">
        <w:rPr>
          <w:rFonts w:ascii="Garamond" w:hAnsi="Garamond"/>
          <w:lang w:val="en-US"/>
        </w:rPr>
        <w:t xml:space="preserve">The private credit market has expanded considerably in recent years, especially since the Great Financial Crisis in 2008. </w:t>
      </w:r>
      <w:r w:rsidR="004F0F51" w:rsidRPr="004F0F51">
        <w:rPr>
          <w:rFonts w:ascii="Garamond" w:hAnsi="Garamond"/>
          <w:lang w:val="en-US"/>
        </w:rPr>
        <w:t>Based on reports by Morgan Stanley, the asset size of the private credit market has increased from around $260 billion in 2008 to around $1.7 trillion in 2024</w:t>
      </w:r>
      <w:r w:rsidR="00E93B40">
        <w:rPr>
          <w:rFonts w:ascii="Garamond" w:hAnsi="Garamond"/>
          <w:lang w:val="en-US"/>
        </w:rPr>
        <w:t xml:space="preserve"> </w:t>
      </w:r>
      <w:r w:rsidR="00875C24">
        <w:rPr>
          <w:rFonts w:ascii="Garamond" w:hAnsi="Garamond"/>
          <w:lang w:val="en-US"/>
        </w:rPr>
        <w:fldChar w:fldCharType="begin">
          <w:fldData xml:space="preserve">PEVuZE5vdGU+PENpdGU+PEF1dGhvcj5Kb2NoaW1zPC9BdXRob3I+PFllYXI+MjAyNTwvWWVhcj48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</w:fldData>
        </w:fldChar>
      </w:r>
      <w:r w:rsidR="00875C24">
        <w:rPr>
          <w:rFonts w:ascii="Garamond" w:hAnsi="Garamond"/>
          <w:lang w:val="en-US"/>
        </w:rPr>
        <w:instrText xml:space="preserve"> ADDIN EN.JS.CITE </w:instrText>
      </w:r>
      <w:r w:rsidR="00875C24">
        <w:rPr>
          <w:rFonts w:ascii="Garamond" w:hAnsi="Garamond"/>
          <w:lang w:val="en-US"/>
        </w:rPr>
      </w:r>
      <w:r w:rsidR="00875C24">
        <w:rPr>
          <w:rFonts w:ascii="Garamond" w:hAnsi="Garamond"/>
          <w:lang w:val="en-US"/>
        </w:rPr>
        <w:fldChar w:fldCharType="separate"/>
      </w:r>
      <w:r w:rsidR="00875C24">
        <w:rPr>
          <w:rFonts w:ascii="Garamond" w:hAnsi="Garamond"/>
          <w:noProof/>
          <w:lang w:val="en-US"/>
        </w:rPr>
        <w:t>(Jochims, 2025)</w:t>
      </w:r>
      <w:r w:rsidR="00875C24">
        <w:rPr>
          <w:rFonts w:ascii="Garamond" w:hAnsi="Garamond"/>
          <w:lang w:val="en-US"/>
        </w:rPr>
        <w:fldChar w:fldCharType="end"/>
      </w:r>
      <w:r w:rsidR="00C37DB0">
        <w:rPr>
          <w:rFonts w:ascii="Garamond" w:hAnsi="Garamond"/>
          <w:lang w:val="en-US"/>
        </w:rPr>
        <w:t xml:space="preserve">. </w:t>
      </w:r>
      <w:r w:rsidR="004F0F51" w:rsidRPr="004F0F51">
        <w:rPr>
          <w:rFonts w:ascii="Garamond" w:hAnsi="Garamond"/>
          <w:lang w:val="en-US"/>
        </w:rPr>
        <w:t>The growth of the European private credit market has been nearly twice that of the American one due to an increase in the financing needs of the middle market firms</w:t>
      </w:r>
      <w:r w:rsidR="008658AB">
        <w:rPr>
          <w:rFonts w:ascii="Garamond" w:hAnsi="Garamond"/>
          <w:lang w:val="en-US"/>
        </w:rPr>
        <w:t>,</w:t>
      </w:r>
      <w:r w:rsidR="004F0F51" w:rsidRPr="004F0F51">
        <w:rPr>
          <w:rFonts w:ascii="Garamond" w:hAnsi="Garamond"/>
          <w:lang w:val="en-US"/>
        </w:rPr>
        <w:t xml:space="preserve"> along with regulation being in </w:t>
      </w:r>
      <w:proofErr w:type="spellStart"/>
      <w:r w:rsidR="004F0F51" w:rsidRPr="004F0F51">
        <w:rPr>
          <w:rFonts w:ascii="Garamond" w:hAnsi="Garamond"/>
          <w:lang w:val="en-US"/>
        </w:rPr>
        <w:t>favo</w:t>
      </w:r>
      <w:r w:rsidR="008658AB">
        <w:rPr>
          <w:rFonts w:ascii="Garamond" w:hAnsi="Garamond"/>
          <w:lang w:val="en-US"/>
        </w:rPr>
        <w:t>u</w:t>
      </w:r>
      <w:r w:rsidR="004F0F51" w:rsidRPr="004F0F51">
        <w:rPr>
          <w:rFonts w:ascii="Garamond" w:hAnsi="Garamond"/>
          <w:lang w:val="en-US"/>
        </w:rPr>
        <w:t>r</w:t>
      </w:r>
      <w:proofErr w:type="spellEnd"/>
      <w:r w:rsidR="004F0F51" w:rsidRPr="004F0F51">
        <w:rPr>
          <w:rFonts w:ascii="Garamond" w:hAnsi="Garamond"/>
          <w:lang w:val="en-US"/>
        </w:rPr>
        <w:t xml:space="preserve"> of alternative lending firms, with $500Bn in 2024 from $50Bn in 2010.</w:t>
      </w:r>
    </w:p>
    <w:bookmarkEnd w:id="30"/>
    <w:p w14:paraId="7C016701" w14:textId="1ECF94D9" w:rsidR="009B0977" w:rsidRPr="00BD07E1" w:rsidRDefault="007773B0" w:rsidP="00B96295">
      <w:pPr>
        <w:spacing w:line="360" w:lineRule="auto"/>
        <w:ind w:firstLine="360"/>
        <w:jc w:val="both"/>
        <w:rPr>
          <w:rFonts w:ascii="Garamond" w:hAnsi="Garamond"/>
          <w:lang w:val="en-US"/>
        </w:rPr>
      </w:pPr>
      <w:r w:rsidRPr="00BD07E1">
        <w:rPr>
          <w:rFonts w:ascii="Garamond" w:hAnsi="Garamond"/>
          <w:lang w:val="en-US"/>
        </w:rPr>
        <w:t>The expansion of private credit, which has been most pronounced in the last decade, can be explained by a combination of regulatory, structural</w:t>
      </w:r>
      <w:r w:rsidR="004A083A" w:rsidRPr="00BD07E1">
        <w:rPr>
          <w:rFonts w:ascii="Garamond" w:hAnsi="Garamond"/>
          <w:lang w:val="en-US"/>
        </w:rPr>
        <w:t>,</w:t>
      </w:r>
      <w:r w:rsidRPr="00BD07E1">
        <w:rPr>
          <w:rFonts w:ascii="Garamond" w:hAnsi="Garamond"/>
          <w:lang w:val="en-US"/>
        </w:rPr>
        <w:t xml:space="preserve"> and dynamic factors in the financial markets that have completely reshaped global financial conditions. </w:t>
      </w:r>
      <w:r w:rsidR="009B0977" w:rsidRPr="00BD07E1">
        <w:rPr>
          <w:rFonts w:ascii="Garamond" w:hAnsi="Garamond"/>
          <w:lang w:val="en-US"/>
        </w:rPr>
        <w:t xml:space="preserve">It is worth </w:t>
      </w:r>
      <w:r w:rsidR="00711FE3" w:rsidRPr="00711FE3">
        <w:rPr>
          <w:rFonts w:ascii="Garamond" w:hAnsi="Garamond"/>
          <w:lang w:val="en-US"/>
        </w:rPr>
        <w:t>noting that academic literature converges on the view that the expansion of regulatory measures following the 2008 financial crisis was</w:t>
      </w:r>
      <w:r w:rsidR="009B0977" w:rsidRPr="00BD07E1">
        <w:rPr>
          <w:rFonts w:ascii="Garamond" w:hAnsi="Garamond"/>
          <w:lang w:val="en-US"/>
        </w:rPr>
        <w:t xml:space="preserve"> a determining factor in this strong growth.</w:t>
      </w:r>
    </w:p>
    <w:p w14:paraId="6E2D400A" w14:textId="324A964E" w:rsidR="000F0632" w:rsidRDefault="005C7FA3" w:rsidP="00B96295">
      <w:pPr>
        <w:spacing w:line="360" w:lineRule="auto"/>
        <w:ind w:firstLine="360"/>
        <w:jc w:val="both"/>
        <w:rPr>
          <w:rFonts w:ascii="Garamond" w:hAnsi="Garamond"/>
          <w:lang w:val="en-US"/>
        </w:rPr>
      </w:pPr>
      <w:r w:rsidRPr="00BD07E1">
        <w:rPr>
          <w:rFonts w:ascii="Garamond" w:hAnsi="Garamond"/>
          <w:lang w:val="en-US"/>
        </w:rPr>
        <w:t xml:space="preserve">The implementation of Basel III </w:t>
      </w:r>
      <w:r w:rsidR="00711FE3">
        <w:rPr>
          <w:rFonts w:ascii="Garamond" w:hAnsi="Garamond"/>
          <w:lang w:val="en-US"/>
        </w:rPr>
        <w:t>increased</w:t>
      </w:r>
      <w:r w:rsidRPr="00BD07E1">
        <w:rPr>
          <w:rFonts w:ascii="Garamond" w:hAnsi="Garamond"/>
          <w:lang w:val="en-US"/>
        </w:rPr>
        <w:t xml:space="preserve"> the number of requirements imposed on banking institutions in terms of capital, liquidity, and risk control, </w:t>
      </w:r>
      <w:r w:rsidR="00711FE3">
        <w:rPr>
          <w:rFonts w:ascii="Garamond" w:hAnsi="Garamond"/>
          <w:lang w:val="en-US"/>
        </w:rPr>
        <w:t xml:space="preserve">thereby </w:t>
      </w:r>
      <w:r w:rsidRPr="00BD07E1">
        <w:rPr>
          <w:rFonts w:ascii="Garamond" w:hAnsi="Garamond"/>
          <w:lang w:val="en-US"/>
        </w:rPr>
        <w:t>restricting their ability to grant credit to companies that did not meet certain requirements</w:t>
      </w:r>
      <w:r w:rsidR="00593AF0">
        <w:rPr>
          <w:rFonts w:ascii="Garamond" w:hAnsi="Garamond"/>
          <w:lang w:val="en-US"/>
        </w:rPr>
        <w:t xml:space="preserve"> </w:t>
      </w:r>
      <w:r w:rsidR="00593AF0">
        <w:rPr>
          <w:rFonts w:ascii="Garamond" w:hAnsi="Garamond"/>
          <w:lang w:val="en-US"/>
        </w:rPr>
        <w:fldChar w:fldCharType="begin"/>
      </w:r>
      <w:r w:rsidR="000115C3">
        <w:rPr>
          <w:rFonts w:ascii="Garamond" w:hAnsi="Garamond"/>
          <w:lang w:val="en-US"/>
        </w:rPr>
        <w:instrText xml:space="preserve"> ADDIN EN.CITE &lt;EndNote&gt;&lt;Cite&gt;&lt;Author&gt;Bank for International Settlements&lt;/Author&gt;&lt;Year&gt;2017&lt;/Year&gt;&lt;RecNum&gt;59&lt;/RecNum&gt;&lt;DisplayText&gt;(Bank for International Settlements, 2017)&lt;/DisplayText&gt;&lt;record&gt;&lt;rec-number&gt;59&lt;/rec-number&gt;&lt;foreign-keys&gt;&lt;key app="EN" db-id="x2z5xfr9jx5dwcef50b5eedwwwr9x5pperdz" timestamp="1769380706"&gt;59&lt;/key&gt;&lt;/foreign-keys&gt;&lt;ref-type name="Web Page"&gt;12&lt;/ref-type&gt;&lt;contributors&gt;&lt;authors&gt;&lt;author&gt;Bank for International Settlements,&lt;/author&gt;&lt;/authors&gt;&lt;/contributors&gt;&lt;titles&gt;&lt;title&gt;Basel III: Finalising post-crisis reforms&lt;/title&gt;&lt;/titles&gt;&lt;dates&gt;&lt;year&gt;2017&lt;/year&gt;&lt;/dates&gt;&lt;publisher&gt;Bank for International Settlements&lt;/publisher&gt;&lt;urls&gt;&lt;related-urls&gt;&lt;url&gt;https://www.bis.org/bcbs/publ/d424.htm&lt;/url&gt;&lt;/related-urls&gt;&lt;/urls&gt;&lt;/record&gt;&lt;/Cite&gt;&lt;/EndNote&gt;</w:instrText>
      </w:r>
      <w:r w:rsidR="00593AF0">
        <w:rPr>
          <w:rFonts w:ascii="Garamond" w:hAnsi="Garamond"/>
          <w:lang w:val="en-US"/>
        </w:rPr>
        <w:fldChar w:fldCharType="separate"/>
      </w:r>
      <w:r w:rsidR="00593AF0">
        <w:rPr>
          <w:rFonts w:ascii="Garamond" w:hAnsi="Garamond"/>
          <w:noProof/>
          <w:lang w:val="en-US"/>
        </w:rPr>
        <w:t>(Bank for International Settlements, 2017)</w:t>
      </w:r>
      <w:r w:rsidR="00593AF0">
        <w:rPr>
          <w:rFonts w:ascii="Garamond" w:hAnsi="Garamond"/>
          <w:lang w:val="en-US"/>
        </w:rPr>
        <w:fldChar w:fldCharType="end"/>
      </w:r>
      <w:r w:rsidR="003B476F">
        <w:rPr>
          <w:rFonts w:ascii="Garamond" w:hAnsi="Garamond"/>
          <w:lang w:val="en-US"/>
        </w:rPr>
        <w:t>.</w:t>
      </w:r>
    </w:p>
    <w:p w14:paraId="13FE07DF" w14:textId="168D5781" w:rsidR="005C7FA3" w:rsidRPr="00BD07E1" w:rsidRDefault="007773B0" w:rsidP="00B96295">
      <w:pPr>
        <w:spacing w:line="360" w:lineRule="auto"/>
        <w:ind w:firstLine="360"/>
        <w:jc w:val="both"/>
        <w:rPr>
          <w:rFonts w:ascii="Garamond" w:hAnsi="Garamond"/>
          <w:lang w:val="en-US"/>
        </w:rPr>
      </w:pPr>
      <w:r w:rsidRPr="00BD07E1">
        <w:rPr>
          <w:rFonts w:ascii="Garamond" w:hAnsi="Garamond"/>
          <w:lang w:val="en-US"/>
        </w:rPr>
        <w:t>According to</w:t>
      </w:r>
      <w:r w:rsidR="00162B0D">
        <w:rPr>
          <w:rFonts w:ascii="Garamond" w:hAnsi="Garamond"/>
          <w:lang w:val="en-US"/>
        </w:rPr>
        <w:t xml:space="preserve"> </w:t>
      </w:r>
      <w:r w:rsidR="00050D90">
        <w:rPr>
          <w:rFonts w:ascii="Garamond" w:hAnsi="Garamond"/>
          <w:lang w:val="en-US"/>
        </w:rPr>
        <w:fldChar w:fldCharType="begin"/>
      </w:r>
      <w:r w:rsidR="00206AF2">
        <w:rPr>
          <w:rFonts w:ascii="Garamond" w:hAnsi="Garamond"/>
          <w:lang w:val="en-US"/>
        </w:rPr>
        <w:instrText xml:space="preserve"> ADDIN EN.CITE &lt;EndNote&gt;&lt;Cite AuthorYear="1"&gt;&lt;Author&gt;Buchak&lt;/Author&gt;&lt;Year&gt;2018&lt;/Year&gt;&lt;RecNum&gt;93&lt;/RecNum&gt;&lt;DisplayText&gt;Buchak et al. (2018)&lt;/DisplayText&gt;&lt;record&gt;&lt;rec-number&gt;93&lt;/rec-number&gt;&lt;foreign-keys&gt;&lt;key app="EN" db-id="x2z5xfr9jx5dwcef50b5eedwwwr9x5pperdz" timestamp="1782248435"&gt;93&lt;/key&gt;&lt;/foreign-keys&gt;&lt;ref-type name="Journal Article"&gt;17&lt;/ref-type&gt;&lt;contributors&gt;&lt;authors&gt;&lt;author&gt;Buchak, Greg&lt;/author&gt;&lt;author&gt;Matvos, Gregor&lt;/author&gt;&lt;author&gt;Piskorski, Tomasz&lt;/author&gt;&lt;author&gt;Seru, Amit&lt;/author&gt;&lt;/authors&gt;&lt;/contributors&gt;&lt;titles&gt;&lt;title&gt;Fintech, regulatory arbitrage, and the rise of shadow banks&lt;/title&gt;&lt;secondary-title&gt;Journal of Financial Economics&lt;/secondary-title&gt;&lt;/titles&gt;&lt;periodical&gt;&lt;full-title&gt;Journal of Financial Economics&lt;/full-title&gt;&lt;/periodical&gt;&lt;pages&gt;453-483&lt;/pages&gt;&lt;volume&gt;130&lt;/volume&gt;&lt;number&gt;3&lt;/number&gt;&lt;keywords&gt;&lt;keyword&gt;Fintech&lt;/keyword&gt;&lt;keyword&gt;Shadow banks&lt;/keyword&gt;&lt;keyword&gt;Regulatory arbitrage&lt;/keyword&gt;&lt;keyword&gt;Lending&lt;/keyword&gt;&lt;keyword&gt;Mortgages&lt;/keyword&gt;&lt;keyword&gt;FHA&lt;/keyword&gt;&lt;/keywords&gt;&lt;dates&gt;&lt;year&gt;2018&lt;/year&gt;&lt;pub-dates&gt;&lt;date&gt;2018/12/01/&lt;/date&gt;&lt;/pub-dates&gt;&lt;/dates&gt;&lt;isbn&gt;0304-405X&lt;/isbn&gt;&lt;urls&gt;&lt;related-urls&gt;&lt;url&gt;https://www.sciencedirect.com/science/article/pii/S0304405X1830237X&lt;/url&gt;&lt;/related-urls&gt;&lt;/urls&gt;&lt;electronic-resource-num&gt;https://doi.org/10.1016/j.jfineco.2018.03.011&lt;/electronic-resource-num&gt;&lt;/record&gt;&lt;/Cite&gt;&lt;/EndNote&gt;</w:instrText>
      </w:r>
      <w:r w:rsidR="00050D90">
        <w:rPr>
          <w:rFonts w:ascii="Garamond" w:hAnsi="Garamond"/>
          <w:lang w:val="en-US"/>
        </w:rPr>
        <w:fldChar w:fldCharType="separate"/>
      </w:r>
      <w:r w:rsidR="00050D90">
        <w:rPr>
          <w:rFonts w:ascii="Garamond" w:hAnsi="Garamond"/>
          <w:noProof/>
          <w:lang w:val="en-US"/>
        </w:rPr>
        <w:t>Buchak et al. (2018)</w:t>
      </w:r>
      <w:r w:rsidR="00050D90">
        <w:rPr>
          <w:rFonts w:ascii="Garamond" w:hAnsi="Garamond"/>
          <w:lang w:val="en-US"/>
        </w:rPr>
        <w:fldChar w:fldCharType="end"/>
      </w:r>
      <w:r w:rsidRPr="00BD07E1">
        <w:rPr>
          <w:rFonts w:ascii="Garamond" w:hAnsi="Garamond"/>
          <w:lang w:val="en-US"/>
        </w:rPr>
        <w:t xml:space="preserve">the growing market position after the </w:t>
      </w:r>
      <w:r w:rsidR="0078132C" w:rsidRPr="00CC1384">
        <w:rPr>
          <w:rFonts w:ascii="Garamond" w:hAnsi="Garamond"/>
          <w:lang w:val="en-US"/>
        </w:rPr>
        <w:t>Global Financial Crisis</w:t>
      </w:r>
      <w:r w:rsidR="0078132C">
        <w:rPr>
          <w:rFonts w:ascii="Garamond" w:hAnsi="Garamond"/>
          <w:lang w:val="en-US"/>
        </w:rPr>
        <w:t xml:space="preserve"> </w:t>
      </w:r>
      <w:r w:rsidRPr="00BD07E1">
        <w:rPr>
          <w:rFonts w:ascii="Garamond" w:hAnsi="Garamond"/>
          <w:lang w:val="en-US"/>
        </w:rPr>
        <w:t xml:space="preserve">can be attributed to increased regulation of banks. Additionally, banks subject to greater regulatory pressure </w:t>
      </w:r>
      <w:r w:rsidR="00711FE3">
        <w:rPr>
          <w:rFonts w:ascii="Garamond" w:hAnsi="Garamond"/>
          <w:lang w:val="en-US"/>
        </w:rPr>
        <w:t>adjusted</w:t>
      </w:r>
      <w:r w:rsidRPr="00BD07E1">
        <w:rPr>
          <w:rFonts w:ascii="Garamond" w:hAnsi="Garamond"/>
          <w:lang w:val="en-US"/>
        </w:rPr>
        <w:t xml:space="preserve"> their balance sheets and reduced their exposure to corporate credit, especially those considered high risk</w:t>
      </w:r>
      <w:r w:rsidR="00E93B40">
        <w:rPr>
          <w:rFonts w:ascii="Garamond" w:hAnsi="Garamond"/>
          <w:lang w:val="en-US"/>
        </w:rPr>
        <w:t xml:space="preserve"> </w:t>
      </w:r>
      <w:r w:rsidR="00875C24">
        <w:rPr>
          <w:rFonts w:ascii="Garamond" w:hAnsi="Garamond"/>
          <w:lang w:val="en-US"/>
        </w:rPr>
        <w:fldChar w:fldCharType="begin">
          <w:fldData xml:space="preserve">PEVuZE5vdGU+PENpdGU+PEF1dGhvcj5Hcm9wcDwvQXV0aG9yPjxZZWFyPjIwMTg8L1llYXI+PFJl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=
</w:fldData>
        </w:fldChar>
      </w:r>
      <w:r w:rsidR="00875C24">
        <w:rPr>
          <w:rFonts w:ascii="Garamond" w:hAnsi="Garamond"/>
          <w:lang w:val="en-US"/>
        </w:rPr>
        <w:instrText xml:space="preserve"> ADDIN EN.JS.CITE </w:instrText>
      </w:r>
      <w:r w:rsidR="00875C24">
        <w:rPr>
          <w:rFonts w:ascii="Garamond" w:hAnsi="Garamond"/>
          <w:lang w:val="en-US"/>
        </w:rPr>
      </w:r>
      <w:r w:rsidR="00875C24">
        <w:rPr>
          <w:rFonts w:ascii="Garamond" w:hAnsi="Garamond"/>
          <w:lang w:val="en-US"/>
        </w:rPr>
        <w:fldChar w:fldCharType="separate"/>
      </w:r>
      <w:r w:rsidR="00875C24">
        <w:rPr>
          <w:rFonts w:ascii="Garamond" w:hAnsi="Garamond"/>
          <w:noProof/>
          <w:lang w:val="en-US"/>
        </w:rPr>
        <w:t>(Gropp et al., 2018)</w:t>
      </w:r>
      <w:r w:rsidR="00875C24">
        <w:rPr>
          <w:rFonts w:ascii="Garamond" w:hAnsi="Garamond"/>
          <w:lang w:val="en-US"/>
        </w:rPr>
        <w:fldChar w:fldCharType="end"/>
      </w:r>
      <w:r w:rsidRPr="00BD07E1">
        <w:rPr>
          <w:rFonts w:ascii="Garamond" w:hAnsi="Garamond"/>
          <w:lang w:val="en-US"/>
        </w:rPr>
        <w:t xml:space="preserve">. </w:t>
      </w:r>
      <w:r w:rsidR="00F67601" w:rsidRPr="00BD07E1">
        <w:rPr>
          <w:rFonts w:ascii="Garamond" w:hAnsi="Garamond"/>
          <w:lang w:val="en-US"/>
        </w:rPr>
        <w:t xml:space="preserve">In a way, it seems that not everything has been bad after these large-scale events, as the </w:t>
      </w:r>
      <w:r w:rsidR="00711FE3" w:rsidRPr="00711FE3">
        <w:rPr>
          <w:rFonts w:ascii="Garamond" w:hAnsi="Garamond"/>
          <w:lang w:val="en-US"/>
        </w:rPr>
        <w:t xml:space="preserve">various restrictions </w:t>
      </w:r>
      <w:r w:rsidR="00711FE3" w:rsidRPr="00711FE3">
        <w:rPr>
          <w:rFonts w:ascii="Garamond" w:hAnsi="Garamond"/>
          <w:lang w:val="en-US"/>
        </w:rPr>
        <w:lastRenderedPageBreak/>
        <w:t>paved the way for the development of new financing models that now</w:t>
      </w:r>
      <w:r w:rsidR="00F67601" w:rsidRPr="00BD07E1">
        <w:rPr>
          <w:rFonts w:ascii="Garamond" w:hAnsi="Garamond"/>
          <w:lang w:val="en-US"/>
        </w:rPr>
        <w:t xml:space="preserve"> occupy a prominent place in a market dominated by traditional banks. </w:t>
      </w:r>
      <w:r w:rsidR="005C7FA3" w:rsidRPr="00BD07E1">
        <w:rPr>
          <w:rFonts w:ascii="Garamond" w:hAnsi="Garamond"/>
          <w:lang w:val="en-US"/>
        </w:rPr>
        <w:t>The new restrictions on the banking sector are highlighted by</w:t>
      </w:r>
      <w:r w:rsidR="00C87FB8" w:rsidRPr="00BD07E1">
        <w:rPr>
          <w:rFonts w:ascii="Garamond" w:hAnsi="Garamond"/>
          <w:lang w:val="en-US"/>
        </w:rPr>
        <w:t xml:space="preserve"> </w:t>
      </w:r>
      <w:r w:rsidR="00875C24">
        <w:rPr>
          <w:rFonts w:ascii="Garamond" w:hAnsi="Garamond"/>
          <w:lang w:val="en-US"/>
        </w:rPr>
        <w:fldChar w:fldCharType="begin">
          <w:fldData xml:space="preserve">PEVuZE5vdGU+PENpdGUgQXV0aG9yWWVhcj0iMSI+PEF1dGhvcj5DaGVuPC9BdXRob3I+PFllYXI+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</w:fldData>
        </w:fldChar>
      </w:r>
      <w:r w:rsidR="00875C24">
        <w:rPr>
          <w:rFonts w:ascii="Garamond" w:hAnsi="Garamond"/>
          <w:lang w:val="en-US"/>
        </w:rPr>
        <w:instrText xml:space="preserve"> ADDIN EN.JS.CITE </w:instrText>
      </w:r>
      <w:r w:rsidR="00875C24">
        <w:rPr>
          <w:rFonts w:ascii="Garamond" w:hAnsi="Garamond"/>
          <w:lang w:val="en-US"/>
        </w:rPr>
      </w:r>
      <w:r w:rsidR="00875C24">
        <w:rPr>
          <w:rFonts w:ascii="Garamond" w:hAnsi="Garamond"/>
          <w:lang w:val="en-US"/>
        </w:rPr>
        <w:fldChar w:fldCharType="separate"/>
      </w:r>
      <w:r w:rsidR="00875C24">
        <w:rPr>
          <w:rFonts w:ascii="Garamond" w:hAnsi="Garamond"/>
          <w:noProof/>
          <w:lang w:val="en-US"/>
        </w:rPr>
        <w:t>Chen et al. (2023)</w:t>
      </w:r>
      <w:r w:rsidR="00875C24">
        <w:rPr>
          <w:rFonts w:ascii="Garamond" w:hAnsi="Garamond"/>
          <w:lang w:val="en-US"/>
        </w:rPr>
        <w:fldChar w:fldCharType="end"/>
      </w:r>
      <w:r w:rsidR="00007918" w:rsidRPr="00B01C19">
        <w:rPr>
          <w:rFonts w:ascii="Garamond" w:hAnsi="Garamond"/>
          <w:lang w:val="en-US"/>
        </w:rPr>
        <w:t xml:space="preserve"> </w:t>
      </w:r>
      <w:r w:rsidR="005C7FA3" w:rsidRPr="00BD07E1">
        <w:rPr>
          <w:rFonts w:ascii="Garamond" w:hAnsi="Garamond"/>
          <w:lang w:val="en-US"/>
        </w:rPr>
        <w:t xml:space="preserve">who demonstrate the drastic reduction in bank lending. As a result of these events, there was room for the growth of a new area, the Private Credit. </w:t>
      </w:r>
    </w:p>
    <w:p w14:paraId="2619DB81" w14:textId="0EA0796B" w:rsidR="00C727B5" w:rsidRPr="00BD07E1" w:rsidRDefault="00E40DB4" w:rsidP="00B96295">
      <w:pPr>
        <w:spacing w:line="360" w:lineRule="auto"/>
        <w:ind w:firstLine="360"/>
        <w:jc w:val="both"/>
        <w:rPr>
          <w:rFonts w:ascii="Garamond" w:hAnsi="Garamond"/>
          <w:lang w:val="en-US"/>
        </w:rPr>
      </w:pPr>
      <w:r w:rsidRPr="00BD07E1">
        <w:rPr>
          <w:rFonts w:ascii="Garamond" w:hAnsi="Garamond"/>
          <w:lang w:val="en-US"/>
        </w:rPr>
        <w:t xml:space="preserve">In addition, </w:t>
      </w:r>
      <w:r w:rsidR="001E6E68" w:rsidRPr="00BD07E1">
        <w:rPr>
          <w:rFonts w:ascii="Garamond" w:hAnsi="Garamond"/>
          <w:lang w:val="en-US"/>
        </w:rPr>
        <w:t>how</w:t>
      </w:r>
      <w:r w:rsidRPr="00BD07E1">
        <w:rPr>
          <w:rFonts w:ascii="Garamond" w:hAnsi="Garamond"/>
          <w:lang w:val="en-US"/>
        </w:rPr>
        <w:t xml:space="preserve"> corporations source funds from the market will also be influenced by such incidents and will accelerate the process of disintermediation. This drastic transformation in the banking structure has been supported by the study made by</w:t>
      </w:r>
      <w:r w:rsidR="009A74C4">
        <w:rPr>
          <w:rFonts w:ascii="Garamond" w:hAnsi="Garamond"/>
          <w:lang w:val="en-US"/>
        </w:rPr>
        <w:t xml:space="preserve"> </w:t>
      </w:r>
      <w:r w:rsidR="009A74C4">
        <w:rPr>
          <w:rFonts w:ascii="Garamond" w:hAnsi="Garamond"/>
          <w:lang w:val="en-US"/>
        </w:rPr>
        <w:fldChar w:fldCharType="begin"/>
      </w:r>
      <w:r w:rsidR="009A74C4">
        <w:rPr>
          <w:rFonts w:ascii="Garamond" w:hAnsi="Garamond"/>
          <w:lang w:val="en-US"/>
        </w:rPr>
        <w:instrText xml:space="preserve"> ADDIN EN.CITE &lt;EndNote&gt;&lt;Cite AuthorYear="1"&gt;&lt;Author&gt;Ćehajić&lt;/Author&gt;&lt;Year&gt;2022&lt;/Year&gt;&lt;RecNum&gt;92&lt;/RecNum&gt;&lt;DisplayText&gt;Ćehajić and Košak (2022)&lt;/DisplayText&gt;&lt;record&gt;&lt;rec-number&gt;92&lt;/rec-number&gt;&lt;foreign-keys&gt;&lt;key app="EN" db-id="x2z5xfr9jx5dwcef50b5eedwwwr9x5pperdz" timestamp="1782248217"&gt;92&lt;/key&gt;&lt;/foreign-keys&gt;&lt;ref-type name="Journal Article"&gt;17&lt;/ref-type&gt;&lt;contributors&gt;&lt;authors&gt;&lt;author&gt;Ćehajić, Aida&lt;/author&gt;&lt;author&gt;Košak, Marko&lt;/author&gt;&lt;/authors&gt;&lt;/contributors&gt;&lt;titles&gt;&lt;title&gt;Bank lending and small and medium-sized enterprises’ access to finance – Effects of macroprudential policies&lt;/title&gt;&lt;secondary-title&gt;Journal of International Money and Finance&lt;/secondary-title&gt;&lt;/titles&gt;&lt;periodical&gt;&lt;full-title&gt;Journal of International Money and Finance&lt;/full-title&gt;&lt;/periodical&gt;&lt;pages&gt;102612&lt;/pages&gt;&lt;volume&gt;124&lt;/volume&gt;&lt;keywords&gt;&lt;keyword&gt;Macroprudential policy&lt;/keyword&gt;&lt;keyword&gt;Bank lending&lt;/keyword&gt;&lt;keyword&gt;Small and medium-sized enterprises&lt;/keyword&gt;&lt;keyword&gt;Access to finance&lt;/keyword&gt;&lt;/keywords&gt;&lt;dates&gt;&lt;year&gt;2022&lt;/year&gt;&lt;pub-dates&gt;&lt;date&gt;2022/06/01/&lt;/date&gt;&lt;/pub-dates&gt;&lt;/dates&gt;&lt;isbn&gt;0261-5606&lt;/isbn&gt;&lt;urls&gt;&lt;related-urls&gt;&lt;url&gt;https://www.sciencedirect.com/science/article/pii/S0261560622000158&lt;/url&gt;&lt;/related-urls&gt;&lt;/urls&gt;&lt;electronic-resource-num&gt;https://doi.org/10.1016/j.jimonfin.2022.102612&lt;/electronic-resource-num&gt;&lt;/record&gt;&lt;/Cite&gt;&lt;/EndNote&gt;</w:instrText>
      </w:r>
      <w:r w:rsidR="009A74C4">
        <w:rPr>
          <w:rFonts w:ascii="Garamond" w:hAnsi="Garamond"/>
          <w:lang w:val="en-US"/>
        </w:rPr>
        <w:fldChar w:fldCharType="separate"/>
      </w:r>
      <w:r w:rsidR="009A74C4">
        <w:rPr>
          <w:rFonts w:ascii="Garamond" w:hAnsi="Garamond"/>
          <w:noProof/>
          <w:lang w:val="en-US"/>
        </w:rPr>
        <w:t>Ćehajić and Košak (2022)</w:t>
      </w:r>
      <w:r w:rsidR="009A74C4">
        <w:rPr>
          <w:rFonts w:ascii="Garamond" w:hAnsi="Garamond"/>
          <w:lang w:val="en-US"/>
        </w:rPr>
        <w:fldChar w:fldCharType="end"/>
      </w:r>
      <w:r w:rsidRPr="00BD07E1">
        <w:rPr>
          <w:rFonts w:ascii="Garamond" w:hAnsi="Garamond"/>
          <w:lang w:val="en-US"/>
        </w:rPr>
        <w:t xml:space="preserve">, which stated that the impact of macroprudential policies on SMEs has negative consequences in terms of credit. </w:t>
      </w:r>
      <w:r w:rsidR="007773B0" w:rsidRPr="00BD07E1">
        <w:rPr>
          <w:rFonts w:ascii="Garamond" w:hAnsi="Garamond"/>
          <w:lang w:val="en-US"/>
        </w:rPr>
        <w:t xml:space="preserve">These barriers, often combined with the need for financing to promote expansion or even restructuring or acquisitions, reinforce the predominant role of private credit as an alternative ally in more crucial moments. By operating outside the regulatory regime under which banks are subject to greater scrutiny, they assume a higher risk position, thus enabling many transactions that would not be possible under traditional banks. </w:t>
      </w:r>
    </w:p>
    <w:p w14:paraId="65A468C3" w14:textId="789AF358" w:rsidR="00CF1D0F" w:rsidRPr="00CF1D0F" w:rsidRDefault="00F91674" w:rsidP="00CF1D0F">
      <w:pPr>
        <w:spacing w:line="360" w:lineRule="auto"/>
        <w:ind w:firstLine="360"/>
        <w:jc w:val="both"/>
        <w:rPr>
          <w:rFonts w:ascii="Garamond" w:hAnsi="Garamond"/>
          <w:lang w:val="en-US"/>
        </w:rPr>
      </w:pPr>
      <w:r w:rsidRPr="00BD07E1">
        <w:rPr>
          <w:rFonts w:ascii="Garamond" w:hAnsi="Garamond"/>
          <w:lang w:val="en-US"/>
        </w:rPr>
        <w:t xml:space="preserve">Furthermore, </w:t>
      </w:r>
      <w:r w:rsidR="009028F2" w:rsidRPr="00BD07E1">
        <w:rPr>
          <w:rFonts w:ascii="Garamond" w:hAnsi="Garamond"/>
          <w:lang w:val="en-US"/>
        </w:rPr>
        <w:t xml:space="preserve">due </w:t>
      </w:r>
      <w:r w:rsidRPr="00BD07E1">
        <w:rPr>
          <w:rFonts w:ascii="Garamond" w:hAnsi="Garamond"/>
          <w:lang w:val="en-US"/>
        </w:rPr>
        <w:t xml:space="preserve">to regulatory developments, several structural factors have contributed to the expansion of the private credit market, particularly the growing role of private equity. </w:t>
      </w:r>
      <w:bookmarkEnd w:id="31"/>
      <w:r w:rsidR="00CF1D0F" w:rsidRPr="00CF1D0F">
        <w:rPr>
          <w:rFonts w:ascii="Garamond" w:hAnsi="Garamond"/>
          <w:lang w:val="en-US"/>
        </w:rPr>
        <w:t xml:space="preserve">For that reason, owing to the higher dependence on debt financing in the buyouts and acquisitions carried out by private equity funds, the rising share of the economy financed through private equity investments has led to an increase in the need for alternative sources of financing, resulting in private credit </w:t>
      </w:r>
      <w:r w:rsidR="00CF1D0F" w:rsidRPr="003036E1">
        <w:rPr>
          <w:rFonts w:ascii="Garamond" w:hAnsi="Garamond"/>
          <w:lang w:val="en-US"/>
        </w:rPr>
        <w:fldChar w:fldCharType="begin"/>
      </w:r>
      <w:r w:rsidR="00593AF0">
        <w:rPr>
          <w:rFonts w:ascii="Garamond" w:hAnsi="Garamond"/>
          <w:lang w:val="en-US"/>
        </w:rPr>
        <w:instrText xml:space="preserve"> ADDIN EN.CITE &lt;EndNote&gt;&lt;Cite&gt;&lt;Author&gt;Degerli&lt;/Author&gt;&lt;Year&gt;2024&lt;/Year&gt;&lt;RecNum&gt;67&lt;/RecNum&gt;&lt;DisplayText&gt;(Degerli &amp;amp; Monin, 2024)&lt;/DisplayText&gt;&lt;record&gt;&lt;rec-number&gt;67&lt;/rec-number&gt;&lt;foreign-keys&gt;&lt;key app="EN" db-id="x2z5xfr9jx5dwcef50b5eedwwwr9x5pperdz" timestamp="1769443949"&gt;67&lt;/key&gt;&lt;/foreign-keys&gt;&lt;ref-type name="Web Page"&gt;12&lt;/ref-type&gt;&lt;contributors&gt;&lt;authors&gt;&lt;author&gt;Degerli, Ahmet&lt;/author&gt;&lt;author&gt;Monin, Phillip&lt;/author&gt;&lt;/authors&gt;&lt;/contributors&gt;&lt;titles&gt;&lt;title&gt;Private Credit Growth and Monetary Policy Transmission&lt;/title&gt;&lt;/titles&gt;&lt;dates&gt;&lt;year&gt;2024&lt;/year&gt;&lt;/dates&gt;&lt;publisher&gt;Board of Governors of the Federal Reserve System&lt;/publisher&gt;&lt;urls&gt;&lt;related-urls&gt;&lt;url&gt;https://www.federalreserve.gov/econres/notes/feds-notes/private-credit-growth-and-monetary-policy-transmission-20240802.html&lt;/url&gt;&lt;/related-urls&gt;&lt;/urls&gt;&lt;/record&gt;&lt;/Cite&gt;&lt;/EndNote&gt;</w:instrText>
      </w:r>
      <w:r w:rsidR="00CF1D0F" w:rsidRPr="003036E1">
        <w:rPr>
          <w:rFonts w:ascii="Garamond" w:hAnsi="Garamond"/>
          <w:lang w:val="en-US"/>
        </w:rPr>
        <w:fldChar w:fldCharType="separate"/>
      </w:r>
      <w:r w:rsidR="00CF1D0F" w:rsidRPr="003036E1">
        <w:rPr>
          <w:rFonts w:ascii="Garamond" w:hAnsi="Garamond"/>
          <w:noProof/>
          <w:lang w:val="en-US"/>
        </w:rPr>
        <w:t>(</w:t>
      </w:r>
      <w:r w:rsidR="00593AF0" w:rsidRPr="003036E1">
        <w:rPr>
          <w:rFonts w:ascii="Garamond" w:hAnsi="Garamond"/>
          <w:noProof/>
          <w:lang w:val="en-US"/>
        </w:rPr>
        <w:t>Degerli &amp; Monin, 2024</w:t>
      </w:r>
      <w:r w:rsidR="00CF1D0F" w:rsidRPr="003036E1">
        <w:rPr>
          <w:rFonts w:ascii="Garamond" w:hAnsi="Garamond"/>
          <w:noProof/>
          <w:lang w:val="en-US"/>
        </w:rPr>
        <w:t>)</w:t>
      </w:r>
      <w:r w:rsidR="00CF1D0F" w:rsidRPr="003036E1">
        <w:rPr>
          <w:rFonts w:ascii="Garamond" w:hAnsi="Garamond"/>
          <w:lang w:val="en-US"/>
        </w:rPr>
        <w:fldChar w:fldCharType="end"/>
      </w:r>
      <w:r w:rsidR="00CF1D0F">
        <w:rPr>
          <w:rFonts w:ascii="Garamond" w:hAnsi="Garamond"/>
          <w:lang w:val="en-US"/>
        </w:rPr>
        <w:t>.</w:t>
      </w:r>
    </w:p>
    <w:p w14:paraId="6A468E90" w14:textId="061FA454" w:rsidR="008658AB" w:rsidRDefault="00CF1D0F" w:rsidP="009A3DCC">
      <w:pPr>
        <w:spacing w:line="360" w:lineRule="auto"/>
        <w:ind w:firstLine="360"/>
        <w:jc w:val="both"/>
        <w:rPr>
          <w:rFonts w:ascii="Garamond" w:hAnsi="Garamond"/>
          <w:lang w:val="en-US"/>
        </w:rPr>
      </w:pPr>
      <w:r w:rsidRPr="00CF1D0F">
        <w:rPr>
          <w:rFonts w:ascii="Garamond" w:hAnsi="Garamond"/>
          <w:lang w:val="en-US"/>
        </w:rPr>
        <w:t xml:space="preserve">From the onset of the COVID-19 pandemic, there has been a tremendous growth in the volume of the private credit market. The figure stood at around $3 trillion in </w:t>
      </w:r>
      <w:r w:rsidR="00313F08" w:rsidRPr="00313F08">
        <w:rPr>
          <w:rFonts w:ascii="Garamond" w:hAnsi="Garamond"/>
          <w:lang w:val="en-US"/>
        </w:rPr>
        <w:t>early 2025, up from about $2 trillion in 2020.</w:t>
      </w:r>
      <w:r>
        <w:rPr>
          <w:rFonts w:ascii="Garamond" w:hAnsi="Garamond"/>
          <w:lang w:val="en-US"/>
        </w:rPr>
        <w:t xml:space="preserve"> H</w:t>
      </w:r>
      <w:r w:rsidRPr="00CF1D0F">
        <w:rPr>
          <w:rFonts w:ascii="Garamond" w:hAnsi="Garamond"/>
          <w:lang w:val="en-US"/>
        </w:rPr>
        <w:t>owever, it is expected t</w:t>
      </w:r>
      <w:r>
        <w:rPr>
          <w:rFonts w:ascii="Garamond" w:hAnsi="Garamond"/>
          <w:lang w:val="en-US"/>
        </w:rPr>
        <w:t>o</w:t>
      </w:r>
      <w:r w:rsidRPr="00CF1D0F">
        <w:rPr>
          <w:rFonts w:ascii="Garamond" w:hAnsi="Garamond"/>
          <w:lang w:val="en-US"/>
        </w:rPr>
        <w:t xml:space="preserve"> rise to about $5 trillion by 2029 </w:t>
      </w:r>
      <w:r w:rsidR="00AB2F51">
        <w:rPr>
          <w:rFonts w:ascii="Garamond" w:hAnsi="Garamond"/>
          <w:lang w:val="en-US"/>
        </w:rPr>
        <w:fldChar w:fldCharType="begin"/>
      </w:r>
      <w:r w:rsidR="00593AF0">
        <w:rPr>
          <w:rFonts w:ascii="Garamond" w:hAnsi="Garamond"/>
          <w:lang w:val="en-US"/>
        </w:rPr>
        <w:instrText xml:space="preserve"> ADDIN EN.CITE &lt;EndNote&gt;&lt;Cite&gt;&lt;Author&gt;Morgan Stanley&lt;/Author&gt;&lt;Year&gt;2025&lt;/Year&gt;&lt;RecNum&gt;52&lt;/RecNum&gt;&lt;DisplayText&gt;(Morgan Stanley, 2025)&lt;/DisplayText&gt;&lt;record&gt;&lt;rec-number&gt;52&lt;/rec-number&gt;&lt;foreign-keys&gt;&lt;key app="EN" db-id="x2z5xfr9jx5dwcef50b5eedwwwr9x5pperdz" timestamp="1769378883"&gt;52&lt;/key&gt;&lt;/foreign-keys&gt;&lt;ref-type name="Web Page"&gt;12&lt;/ref-type&gt;&lt;contributors&gt;&lt;authors&gt;&lt;author&gt;Morgan Stanley,&lt;/author&gt;&lt;/authors&gt;&lt;/contributors&gt;&lt;titles&gt;&lt;title&gt;Understanding Private Credit’s Rapid Growth&lt;/title&gt;&lt;/titles&gt;&lt;dates&gt;&lt;year&gt;2025&lt;/year&gt;&lt;/dates&gt;&lt;publisher&gt;Morgan Stanley&lt;/publisher&gt;&lt;urls&gt;&lt;related-urls&gt;&lt;url&gt;https://www.morganstanley.com/ideas/private-credit-outlook-considerations&lt;/url&gt;&lt;/related-urls&gt;&lt;/urls&gt;&lt;/record&gt;&lt;/Cite&gt;&lt;/EndNote&gt;</w:instrText>
      </w:r>
      <w:r w:rsidR="00AB2F51">
        <w:rPr>
          <w:rFonts w:ascii="Garamond" w:hAnsi="Garamond"/>
          <w:lang w:val="en-US"/>
        </w:rPr>
        <w:fldChar w:fldCharType="separate"/>
      </w:r>
      <w:r w:rsidR="00AB2F51">
        <w:rPr>
          <w:rFonts w:ascii="Garamond" w:hAnsi="Garamond"/>
          <w:noProof/>
          <w:lang w:val="en-US"/>
        </w:rPr>
        <w:t>(</w:t>
      </w:r>
      <w:r w:rsidR="00593AF0" w:rsidRPr="003036E1">
        <w:rPr>
          <w:rFonts w:ascii="Garamond" w:hAnsi="Garamond"/>
          <w:noProof/>
          <w:lang w:val="en-US"/>
        </w:rPr>
        <w:t>Morgan Stanley, 2025</w:t>
      </w:r>
      <w:r w:rsidR="00AB2F51">
        <w:rPr>
          <w:rFonts w:ascii="Garamond" w:hAnsi="Garamond"/>
          <w:noProof/>
          <w:lang w:val="en-US"/>
        </w:rPr>
        <w:t>)</w:t>
      </w:r>
      <w:r w:rsidR="00AB2F51">
        <w:rPr>
          <w:rFonts w:ascii="Garamond" w:hAnsi="Garamond"/>
          <w:lang w:val="en-US"/>
        </w:rPr>
        <w:fldChar w:fldCharType="end"/>
      </w:r>
      <w:r w:rsidRPr="00CF1D0F">
        <w:rPr>
          <w:rFonts w:ascii="Garamond" w:hAnsi="Garamond"/>
          <w:lang w:val="en-US"/>
        </w:rPr>
        <w:t xml:space="preserve">. </w:t>
      </w:r>
      <w:r w:rsidR="00AB2F51" w:rsidRPr="00AB2F51">
        <w:rPr>
          <w:rFonts w:ascii="Garamond" w:hAnsi="Garamond"/>
          <w:lang w:val="en-US"/>
        </w:rPr>
        <w:t>Accord</w:t>
      </w:r>
      <w:r w:rsidR="00AB2F51">
        <w:rPr>
          <w:rFonts w:ascii="Garamond" w:hAnsi="Garamond"/>
          <w:lang w:val="en-US"/>
        </w:rPr>
        <w:t xml:space="preserve">ing to the </w:t>
      </w:r>
      <w:r w:rsidR="00593AF0" w:rsidRPr="00AB2F51">
        <w:rPr>
          <w:rFonts w:ascii="Garamond" w:hAnsi="Garamond"/>
          <w:lang w:val="en-US"/>
        </w:rPr>
        <w:fldChar w:fldCharType="begin"/>
      </w:r>
      <w:r w:rsidR="00593AF0">
        <w:rPr>
          <w:rFonts w:ascii="Garamond" w:hAnsi="Garamond"/>
          <w:lang w:val="en-US"/>
        </w:rPr>
        <w:instrText xml:space="preserve"> ADDIN EN.CITE &lt;EndNote&gt;&lt;Cite AuthorYear="1"&gt;&lt;Author&gt;International Monetary Fund&lt;/Author&gt;&lt;Year&gt;2024&lt;/Year&gt;&lt;RecNum&gt;61&lt;/RecNum&gt;&lt;DisplayText&gt;International Monetary Fund (2024)&lt;/DisplayText&gt;&lt;record&gt;&lt;rec-number&gt;61&lt;/rec-number&gt;&lt;foreign-keys&gt;&lt;key app="EN" db-id="x2z5xfr9jx5dwcef50b5eedwwwr9x5pperdz" timestamp="1769384799"&gt;61&lt;/key&gt;&lt;/foreign-keys&gt;&lt;ref-type name="Book"&gt;6&lt;/ref-type&gt;&lt;contributors&gt;&lt;authors&gt;&lt;author&gt;International Monetary Fund,&lt;/author&gt;&lt;/authors&gt;&lt;/contributors&gt;&lt;titles&gt;&lt;title&gt;Global Financial Stability Report, April 2024: The Last Mile: Financial Vulnerabilities and Risks&lt;/title&gt;&lt;/titles&gt;&lt;dates&gt;&lt;year&gt;2024&lt;/year&gt;&lt;pub-dates&gt;&lt;date&gt;16 Apr. 2024&lt;/date&gt;&lt;/pub-dates&gt;&lt;/dates&gt;&lt;pub-location&gt;USA&lt;/pub-location&gt;&lt;publisher&gt;International Monetary Fund&lt;/publisher&gt;&lt;isbn&gt;9798400257704&lt;/isbn&gt;&lt;urls&gt;&lt;related-urls&gt;&lt;url&gt;https://www.elibrary.imf.org/view/book/9798400257704/9798400257704.xml&lt;/url&gt;&lt;/related-urls&gt;&lt;/urls&gt;&lt;electronic-resource-num&gt;10.5089/9798400257704.082&lt;/electronic-resource-num&gt;&lt;language&gt;English&lt;/language&gt;&lt;/record&gt;&lt;/Cite&gt;&lt;/EndNote&gt;</w:instrText>
      </w:r>
      <w:r w:rsidR="00593AF0" w:rsidRPr="00AB2F51">
        <w:rPr>
          <w:rFonts w:ascii="Garamond" w:hAnsi="Garamond"/>
          <w:lang w:val="en-US"/>
        </w:rPr>
        <w:fldChar w:fldCharType="separate"/>
      </w:r>
      <w:r w:rsidR="00593AF0" w:rsidRPr="003036E1">
        <w:rPr>
          <w:rFonts w:ascii="Garamond" w:hAnsi="Garamond"/>
          <w:noProof/>
          <w:lang w:val="en-US"/>
        </w:rPr>
        <w:t>International Monetary Fund (2024)</w:t>
      </w:r>
      <w:r w:rsidR="00593AF0" w:rsidRPr="00AB2F51">
        <w:rPr>
          <w:rFonts w:ascii="Garamond" w:hAnsi="Garamond"/>
          <w:lang w:val="en-US"/>
        </w:rPr>
        <w:fldChar w:fldCharType="end"/>
      </w:r>
      <w:r w:rsidR="00AB2F51" w:rsidRPr="00AB2F51">
        <w:rPr>
          <w:rFonts w:ascii="Garamond" w:hAnsi="Garamond"/>
          <w:lang w:val="en-US"/>
        </w:rPr>
        <w:t xml:space="preserve"> report, low interest rates have led to</w:t>
      </w:r>
      <w:r w:rsidRPr="00CF1D0F">
        <w:rPr>
          <w:rFonts w:ascii="Garamond" w:hAnsi="Garamond"/>
          <w:lang w:val="en-US"/>
        </w:rPr>
        <w:t xml:space="preserve"> the expansion of a number of alternative investment vehicles. Besides, private credit has established itself as a highly lucrative investment option, boasting extremely high returns and low volatility.</w:t>
      </w:r>
    </w:p>
    <w:p w14:paraId="533DFF72" w14:textId="517216E9" w:rsidR="0090619E" w:rsidRDefault="00BB0C11" w:rsidP="002B2421">
      <w:pPr>
        <w:pStyle w:val="Ttulo2"/>
        <w:rPr>
          <w:rFonts w:ascii="Garamond" w:hAnsi="Garamond"/>
          <w:b/>
          <w:bCs/>
          <w:color w:val="000000" w:themeColor="text1"/>
          <w:sz w:val="28"/>
          <w:szCs w:val="28"/>
          <w:lang w:val="en-US"/>
        </w:rPr>
      </w:pPr>
      <w:bookmarkStart w:id="32" w:name="_Toc233142899"/>
      <w:r>
        <w:rPr>
          <w:rFonts w:ascii="Garamond" w:hAnsi="Garamond"/>
          <w:b/>
          <w:bCs/>
          <w:color w:val="000000" w:themeColor="text1"/>
          <w:sz w:val="28"/>
          <w:szCs w:val="28"/>
          <w:lang w:val="en-US"/>
        </w:rPr>
        <w:t>3</w:t>
      </w:r>
      <w:r w:rsidR="002B2421" w:rsidRPr="002B2421">
        <w:rPr>
          <w:rFonts w:ascii="Garamond" w:hAnsi="Garamond"/>
          <w:b/>
          <w:bCs/>
          <w:color w:val="000000" w:themeColor="text1"/>
          <w:sz w:val="28"/>
          <w:szCs w:val="28"/>
          <w:lang w:val="en-US"/>
        </w:rPr>
        <w:t>.3</w:t>
      </w:r>
      <w:r w:rsidR="00F11CF0">
        <w:rPr>
          <w:rFonts w:ascii="Garamond" w:hAnsi="Garamond"/>
          <w:b/>
          <w:bCs/>
          <w:color w:val="000000" w:themeColor="text1"/>
          <w:sz w:val="28"/>
          <w:szCs w:val="28"/>
          <w:lang w:val="en-US"/>
        </w:rPr>
        <w:t>.</w:t>
      </w:r>
      <w:r w:rsidR="002B2421" w:rsidRPr="002B2421">
        <w:rPr>
          <w:rFonts w:ascii="Garamond" w:hAnsi="Garamond"/>
          <w:b/>
          <w:bCs/>
          <w:color w:val="000000" w:themeColor="text1"/>
          <w:sz w:val="28"/>
          <w:szCs w:val="28"/>
          <w:lang w:val="en-US"/>
        </w:rPr>
        <w:t xml:space="preserve"> </w:t>
      </w:r>
      <w:bookmarkStart w:id="33" w:name="_Toc220403262"/>
      <w:bookmarkStart w:id="34" w:name="_Toc220500099"/>
      <w:r w:rsidR="7DB57EE1" w:rsidRPr="002B2421">
        <w:rPr>
          <w:rFonts w:ascii="Garamond" w:hAnsi="Garamond"/>
          <w:b/>
          <w:bCs/>
          <w:color w:val="000000" w:themeColor="text1"/>
          <w:sz w:val="28"/>
          <w:szCs w:val="28"/>
          <w:lang w:val="en-US"/>
        </w:rPr>
        <w:t>Advantages and Limitations of Private Credit</w:t>
      </w:r>
      <w:bookmarkEnd w:id="33"/>
      <w:bookmarkEnd w:id="34"/>
      <w:bookmarkEnd w:id="32"/>
    </w:p>
    <w:p w14:paraId="1E72B69B" w14:textId="77777777" w:rsidR="002B2421" w:rsidRPr="002B2421" w:rsidRDefault="002B2421" w:rsidP="002B2421">
      <w:pPr>
        <w:rPr>
          <w:lang w:val="en-US"/>
        </w:rPr>
      </w:pPr>
    </w:p>
    <w:p w14:paraId="1D462537" w14:textId="3C82DB2B" w:rsidR="00B324BC" w:rsidRPr="003036E1" w:rsidRDefault="00FA211B" w:rsidP="002B2421">
      <w:pPr>
        <w:spacing w:line="360" w:lineRule="auto"/>
        <w:ind w:firstLine="360"/>
        <w:jc w:val="both"/>
        <w:rPr>
          <w:rFonts w:ascii="Garamond" w:hAnsi="Garamond"/>
          <w:lang w:val="en-US"/>
        </w:rPr>
      </w:pPr>
      <w:r w:rsidRPr="003036E1">
        <w:rPr>
          <w:rFonts w:ascii="Garamond" w:hAnsi="Garamond"/>
          <w:lang w:val="en-US"/>
        </w:rPr>
        <w:t xml:space="preserve">The growing number of private credit funds with assets under management of $158 billion at the beginning of 2010 and over $2 trillion as of mid-2024 has stimulated numerous studies examining the advantages and disadvantages of such financial products </w:t>
      </w:r>
      <w:r w:rsidR="00392080" w:rsidRPr="003036E1">
        <w:rPr>
          <w:rFonts w:ascii="Garamond" w:hAnsi="Garamond"/>
          <w:lang w:val="en-US"/>
        </w:rPr>
        <w:fldChar w:fldCharType="begin"/>
      </w:r>
      <w:r w:rsidR="00593AF0">
        <w:rPr>
          <w:rFonts w:ascii="Garamond" w:hAnsi="Garamond"/>
          <w:lang w:val="en-US"/>
        </w:rPr>
        <w:instrText xml:space="preserve"> ADDIN EN.CITE &lt;EndNote&gt;&lt;Cite&gt;&lt;Author&gt;Zou&lt;/Author&gt;&lt;Year&gt;2026&lt;/Year&gt;&lt;RecNum&gt;69&lt;/RecNum&gt;&lt;DisplayText&gt;(Zou, 2026)&lt;/DisplayText&gt;&lt;record&gt;&lt;rec-number&gt;69&lt;/rec-number&gt;&lt;foreign-keys&gt;&lt;key app="EN" db-id="x2z5xfr9jx5dwcef50b5eedwwwr9x5pperdz" timestamp="1778059973"&gt;69&lt;/key&gt;&lt;/foreign-keys&gt;&lt;ref-type name="Book"&gt;6&lt;/ref-type&gt;&lt;contributors&gt;&lt;authors&gt;&lt;author&gt;Zou, Jiacheng&lt;/author&gt;&lt;/authors&gt;&lt;/contributors&gt;&lt;titles&gt;&lt;title&gt;Private Credit Markets Theory, Evidence, and Emerging Frontiers&lt;/title&gt;&lt;/titles&gt;&lt;dates&gt;&lt;year&gt;2026&lt;/year&gt;&lt;/dates&gt;&lt;urls&gt;&lt;/urls&gt;&lt;electronic-resource-num&gt;10.48550/arXiv.2603.14491&lt;/electronic-resource-num&gt;&lt;/record&gt;&lt;/Cite&gt;&lt;/EndNote&gt;</w:instrText>
      </w:r>
      <w:r w:rsidR="00392080" w:rsidRPr="003036E1">
        <w:rPr>
          <w:rFonts w:ascii="Garamond" w:hAnsi="Garamond"/>
          <w:lang w:val="en-US"/>
        </w:rPr>
        <w:fldChar w:fldCharType="separate"/>
      </w:r>
      <w:r w:rsidR="00392080" w:rsidRPr="003036E1">
        <w:rPr>
          <w:rFonts w:ascii="Garamond" w:hAnsi="Garamond"/>
          <w:noProof/>
          <w:lang w:val="en-US"/>
        </w:rPr>
        <w:t>(</w:t>
      </w:r>
      <w:r w:rsidR="00593AF0" w:rsidRPr="003036E1">
        <w:rPr>
          <w:rFonts w:ascii="Garamond" w:hAnsi="Garamond"/>
          <w:noProof/>
          <w:lang w:val="en-US"/>
        </w:rPr>
        <w:t>Zou, 2026</w:t>
      </w:r>
      <w:r w:rsidR="00392080" w:rsidRPr="003036E1">
        <w:rPr>
          <w:rFonts w:ascii="Garamond" w:hAnsi="Garamond"/>
          <w:noProof/>
          <w:lang w:val="en-US"/>
        </w:rPr>
        <w:t>)</w:t>
      </w:r>
      <w:r w:rsidR="00392080" w:rsidRPr="003036E1">
        <w:rPr>
          <w:rFonts w:ascii="Garamond" w:hAnsi="Garamond"/>
          <w:lang w:val="en-US"/>
        </w:rPr>
        <w:fldChar w:fldCharType="end"/>
      </w:r>
      <w:r w:rsidRPr="003036E1">
        <w:rPr>
          <w:rFonts w:ascii="Garamond" w:hAnsi="Garamond"/>
          <w:lang w:val="en-US"/>
        </w:rPr>
        <w:t xml:space="preserve">. </w:t>
      </w:r>
    </w:p>
    <w:p w14:paraId="08C9D2F3" w14:textId="51033A4C" w:rsidR="00FA211B" w:rsidRPr="003036E1" w:rsidRDefault="00FA211B" w:rsidP="002B2421">
      <w:pPr>
        <w:spacing w:line="360" w:lineRule="auto"/>
        <w:ind w:firstLine="360"/>
        <w:jc w:val="both"/>
        <w:rPr>
          <w:rFonts w:ascii="Garamond" w:hAnsi="Garamond"/>
          <w:lang w:val="en-US"/>
        </w:rPr>
      </w:pPr>
      <w:r w:rsidRPr="003036E1">
        <w:rPr>
          <w:rFonts w:ascii="Garamond" w:hAnsi="Garamond"/>
          <w:lang w:val="en-US"/>
        </w:rPr>
        <w:lastRenderedPageBreak/>
        <w:t>In view of the non-public nature of private credit as an approach to borrowing without using banks, it would be accurate to say that private credit holds a unique position within the economy since it represents an investment opportunity to yield-oriented investors as well as an approach to financing for middle-market companies unable to borrow from banks or bond markets</w:t>
      </w:r>
      <w:r w:rsidR="00392080" w:rsidRPr="003036E1">
        <w:rPr>
          <w:rFonts w:ascii="Garamond" w:hAnsi="Garamond"/>
          <w:lang w:val="en-US"/>
        </w:rPr>
        <w:t xml:space="preserve"> </w:t>
      </w:r>
      <w:r w:rsidR="00392080" w:rsidRPr="003036E1">
        <w:rPr>
          <w:rFonts w:ascii="Garamond" w:hAnsi="Garamond"/>
          <w:lang w:val="en-US"/>
        </w:rPr>
        <w:fldChar w:fldCharType="begin"/>
      </w:r>
      <w:r w:rsidR="00593AF0">
        <w:rPr>
          <w:rFonts w:ascii="Garamond" w:hAnsi="Garamond"/>
          <w:lang w:val="en-US"/>
        </w:rPr>
        <w:instrText xml:space="preserve"> ADDIN EN.CITE &lt;EndNote&gt;&lt;Cite&gt;&lt;Author&gt;International Monetary Fund&lt;/Author&gt;&lt;Year&gt;2024&lt;/Year&gt;&lt;RecNum&gt;61&lt;/RecNum&gt;&lt;DisplayText&gt;(International Monetary Fund, 2024)&lt;/DisplayText&gt;&lt;record&gt;&lt;rec-number&gt;61&lt;/rec-number&gt;&lt;foreign-keys&gt;&lt;key app="EN" db-id="x2z5xfr9jx5dwcef50b5eedwwwr9x5pperdz" timestamp="1769384799"&gt;61&lt;/key&gt;&lt;/foreign-keys&gt;&lt;ref-type name="Book"&gt;6&lt;/ref-type&gt;&lt;contributors&gt;&lt;authors&gt;&lt;author&gt;International Monetary Fund,&lt;/author&gt;&lt;/authors&gt;&lt;/contributors&gt;&lt;titles&gt;&lt;title&gt;Global Financial Stability Report, April 2024: The Last Mile: Financial Vulnerabilities and Risks&lt;/title&gt;&lt;/titles&gt;&lt;dates&gt;&lt;year&gt;2024&lt;/year&gt;&lt;pub-dates&gt;&lt;date&gt;16 Apr. 2024&lt;/date&gt;&lt;/pub-dates&gt;&lt;/dates&gt;&lt;pub-location&gt;USA&lt;/pub-location&gt;&lt;publisher&gt;International Monetary Fund&lt;/publisher&gt;&lt;isbn&gt;9798400257704&lt;/isbn&gt;&lt;urls&gt;&lt;related-urls&gt;&lt;url&gt;https://www.elibrary.imf.org/view/book/9798400257704/9798400257704.xml&lt;/url&gt;&lt;/related-urls&gt;&lt;/urls&gt;&lt;electronic-resource-num&gt;10.5089/9798400257704.082&lt;/electronic-resource-num&gt;&lt;language&gt;English&lt;/language&gt;&lt;/record&gt;&lt;/Cite&gt;&lt;/EndNote&gt;</w:instrText>
      </w:r>
      <w:r w:rsidR="00392080" w:rsidRPr="003036E1">
        <w:rPr>
          <w:rFonts w:ascii="Garamond" w:hAnsi="Garamond"/>
          <w:lang w:val="en-US"/>
        </w:rPr>
        <w:fldChar w:fldCharType="separate"/>
      </w:r>
      <w:r w:rsidR="00392080" w:rsidRPr="003036E1">
        <w:rPr>
          <w:rFonts w:ascii="Garamond" w:hAnsi="Garamond"/>
          <w:noProof/>
          <w:lang w:val="en-US"/>
        </w:rPr>
        <w:t>(</w:t>
      </w:r>
      <w:r w:rsidR="00593AF0" w:rsidRPr="003036E1">
        <w:rPr>
          <w:rFonts w:ascii="Garamond" w:hAnsi="Garamond"/>
          <w:noProof/>
          <w:lang w:val="en-US"/>
        </w:rPr>
        <w:t>International Monetary Fund, 2024</w:t>
      </w:r>
      <w:r w:rsidR="00392080" w:rsidRPr="003036E1">
        <w:rPr>
          <w:rFonts w:ascii="Garamond" w:hAnsi="Garamond"/>
          <w:noProof/>
          <w:lang w:val="en-US"/>
        </w:rPr>
        <w:t>)</w:t>
      </w:r>
      <w:r w:rsidR="00392080" w:rsidRPr="003036E1">
        <w:rPr>
          <w:rFonts w:ascii="Garamond" w:hAnsi="Garamond"/>
          <w:lang w:val="en-US"/>
        </w:rPr>
        <w:fldChar w:fldCharType="end"/>
      </w:r>
      <w:r w:rsidRPr="003036E1">
        <w:rPr>
          <w:rFonts w:ascii="Garamond" w:hAnsi="Garamond"/>
          <w:lang w:val="en-US"/>
        </w:rPr>
        <w:t xml:space="preserve">. </w:t>
      </w:r>
    </w:p>
    <w:p w14:paraId="68C5D16A" w14:textId="39D1D723" w:rsidR="00073A8F" w:rsidRPr="003036E1" w:rsidRDefault="00FA211B" w:rsidP="00073A8F">
      <w:pPr>
        <w:spacing w:line="360" w:lineRule="auto"/>
        <w:ind w:firstLine="360"/>
        <w:jc w:val="both"/>
        <w:rPr>
          <w:rFonts w:ascii="Garamond" w:hAnsi="Garamond"/>
          <w:lang w:val="en-US"/>
        </w:rPr>
      </w:pPr>
      <w:r w:rsidRPr="003036E1">
        <w:rPr>
          <w:rFonts w:ascii="Garamond" w:hAnsi="Garamond"/>
          <w:lang w:val="en-US"/>
        </w:rPr>
        <w:t xml:space="preserve">In the subsequent paragraphs, the literature relevant to the strengths and weaknesses of private credit investments </w:t>
      </w:r>
      <w:r w:rsidR="008658AB" w:rsidRPr="003036E1">
        <w:rPr>
          <w:rFonts w:ascii="Garamond" w:hAnsi="Garamond"/>
          <w:lang w:val="en-US"/>
        </w:rPr>
        <w:t>will be discussed from</w:t>
      </w:r>
      <w:r w:rsidRPr="003036E1">
        <w:rPr>
          <w:rFonts w:ascii="Garamond" w:hAnsi="Garamond"/>
          <w:lang w:val="en-US"/>
        </w:rPr>
        <w:t xml:space="preserve"> the perspectives of investors, borrowers, and financial institutions.</w:t>
      </w:r>
      <w:bookmarkStart w:id="35" w:name="_Toc220403265"/>
      <w:bookmarkStart w:id="36" w:name="_Toc220500102"/>
    </w:p>
    <w:p w14:paraId="6A9DC5DB" w14:textId="77777777" w:rsidR="00073A8F" w:rsidRDefault="00073A8F" w:rsidP="001965FA">
      <w:pPr>
        <w:rPr>
          <w:lang w:val="en-US"/>
        </w:rPr>
      </w:pPr>
    </w:p>
    <w:p w14:paraId="7338C22A" w14:textId="4AE25AE5" w:rsidR="00073A8F" w:rsidRDefault="00073A8F" w:rsidP="00073A8F">
      <w:pPr>
        <w:spacing w:line="360" w:lineRule="auto"/>
        <w:ind w:firstLine="360"/>
        <w:jc w:val="both"/>
        <w:rPr>
          <w:rFonts w:ascii="Garamond" w:eastAsiaTheme="majorEastAsia" w:hAnsi="Garamond" w:cstheme="majorBidi"/>
          <w:b/>
          <w:bCs/>
          <w:color w:val="000000" w:themeColor="text1"/>
          <w:kern w:val="2"/>
          <w:lang w:eastAsia="en-US"/>
          <w14:ligatures w14:val="standardContextual"/>
        </w:rPr>
      </w:pPr>
      <w:r w:rsidRPr="00073A8F">
        <w:rPr>
          <w:rFonts w:ascii="Garamond" w:eastAsiaTheme="majorEastAsia" w:hAnsi="Garamond" w:cstheme="majorBidi"/>
          <w:b/>
          <w:bCs/>
          <w:color w:val="000000" w:themeColor="text1"/>
          <w:kern w:val="2"/>
          <w:lang w:eastAsia="en-US"/>
          <w14:ligatures w14:val="standardContextual"/>
        </w:rPr>
        <w:t>Advantages</w:t>
      </w:r>
    </w:p>
    <w:p w14:paraId="1C93254A" w14:textId="77777777" w:rsidR="00CA6192" w:rsidRPr="00073A8F" w:rsidRDefault="00CA6192" w:rsidP="001965FA">
      <w:pPr>
        <w:rPr>
          <w:lang w:val="en-US"/>
        </w:rPr>
      </w:pPr>
    </w:p>
    <w:p w14:paraId="6DFE38BF" w14:textId="77777777" w:rsidR="004631F1" w:rsidRPr="004631F1" w:rsidRDefault="00073A8F" w:rsidP="00073A8F">
      <w:pPr>
        <w:pStyle w:val="PargrafodaLista"/>
        <w:numPr>
          <w:ilvl w:val="0"/>
          <w:numId w:val="21"/>
        </w:numPr>
        <w:spacing w:line="360" w:lineRule="auto"/>
        <w:jc w:val="both"/>
        <w:rPr>
          <w:rFonts w:ascii="Garamond" w:eastAsiaTheme="majorEastAsia" w:hAnsi="Garamond"/>
          <w:lang w:val="en-US"/>
        </w:rPr>
      </w:pPr>
      <w:r w:rsidRPr="00CA6192">
        <w:rPr>
          <w:rFonts w:ascii="Garamond" w:eastAsiaTheme="majorEastAsia" w:hAnsi="Garamond"/>
          <w:b/>
          <w:bCs/>
          <w:lang w:val="en-US"/>
        </w:rPr>
        <w:t>Illiquidity premium and high yield</w:t>
      </w:r>
    </w:p>
    <w:p w14:paraId="73CBC152" w14:textId="51D2FABE" w:rsidR="00073A8F" w:rsidRPr="003036E1" w:rsidRDefault="002C7EEB" w:rsidP="004631F1">
      <w:pPr>
        <w:pStyle w:val="PargrafodaLista"/>
        <w:spacing w:line="360" w:lineRule="auto"/>
        <w:jc w:val="both"/>
        <w:rPr>
          <w:rFonts w:ascii="Garamond" w:eastAsiaTheme="majorEastAsia" w:hAnsi="Garamond"/>
          <w:lang w:val="en-US"/>
        </w:rPr>
      </w:pPr>
      <w:r w:rsidRPr="003A4A80">
        <w:rPr>
          <w:rFonts w:ascii="Garamond" w:eastAsiaTheme="majorEastAsia" w:hAnsi="Garamond"/>
          <w:lang w:val="en-US"/>
        </w:rPr>
        <w:t xml:space="preserve">Yield spread is always given with respect to a comparison with other publicly traded instruments, such as corporate bonds or treasury bonds, </w:t>
      </w:r>
      <w:proofErr w:type="gramStart"/>
      <w:r w:rsidRPr="003A4A80">
        <w:rPr>
          <w:rFonts w:ascii="Garamond" w:eastAsiaTheme="majorEastAsia" w:hAnsi="Garamond"/>
          <w:lang w:val="en-US"/>
        </w:rPr>
        <w:t>in order to</w:t>
      </w:r>
      <w:proofErr w:type="gramEnd"/>
      <w:r w:rsidRPr="003A4A80">
        <w:rPr>
          <w:rFonts w:ascii="Garamond" w:eastAsiaTheme="majorEastAsia" w:hAnsi="Garamond"/>
          <w:lang w:val="en-US"/>
        </w:rPr>
        <w:t xml:space="preserve"> compensate for the cost of illiquidity and difficulties in the financing process using the two-party mechanism. This category of investment instruments has offered a premium of 2-4 per cent over syndicated leveraged loans in the last ten years </w:t>
      </w:r>
      <w:r w:rsidR="00C16187" w:rsidRPr="003036E1">
        <w:rPr>
          <w:rFonts w:ascii="Garamond" w:eastAsiaTheme="majorEastAsia" w:hAnsi="Garamond"/>
          <w:lang w:val="en-US"/>
        </w:rPr>
        <w:fldChar w:fldCharType="begin"/>
      </w:r>
      <w:r w:rsidR="00593AF0">
        <w:rPr>
          <w:rFonts w:ascii="Garamond" w:eastAsiaTheme="majorEastAsia" w:hAnsi="Garamond"/>
          <w:lang w:val="en-US"/>
        </w:rPr>
        <w:instrText xml:space="preserve"> ADDIN EN.CITE &lt;EndNote&gt;&lt;Cite&gt;&lt;Author&gt;Cai&lt;/Author&gt;&lt;Year&gt;2024&lt;/Year&gt;&lt;RecNum&gt;72&lt;/RecNum&gt;&lt;DisplayText&gt;(Cai &amp;amp; Haque, 2024)&lt;/DisplayText&gt;&lt;record&gt;&lt;rec-number&gt;72&lt;/rec-number&gt;&lt;foreign-keys&gt;&lt;key app="EN" db-id="x2z5xfr9jx5dwcef50b5eedwwwr9x5pperdz" timestamp="1778063226"&gt;72&lt;/key&gt;&lt;/foreign-keys&gt;&lt;ref-type name="Web Page"&gt;12&lt;/ref-type&gt;&lt;contributors&gt;&lt;authors&gt;&lt;author&gt;Cai, Fang&lt;/author&gt;&lt;author&gt;Haque, Sharjil&lt;/author&gt;&lt;/authors&gt;&lt;/contributors&gt;&lt;titles&gt;&lt;title&gt;Private Credit: Characteristics and Risks&lt;/title&gt;&lt;/titles&gt;&lt;dates&gt;&lt;year&gt;2024&lt;/year&gt;&lt;/dates&gt;&lt;publisher&gt;Federal Reserve Board&lt;/publisher&gt;&lt;urls&gt;&lt;related-urls&gt;&lt;url&gt;https://www.federalreserve.gov/econres/notes/feds-notes/private-credit-characteristics-and-risks-20240223.html&lt;/url&gt;&lt;/related-urls&gt;&lt;/urls&gt;&lt;/record&gt;&lt;/Cite&gt;&lt;/EndNote&gt;</w:instrText>
      </w:r>
      <w:r w:rsidR="00C16187" w:rsidRPr="003036E1">
        <w:rPr>
          <w:rFonts w:ascii="Garamond" w:eastAsiaTheme="majorEastAsia" w:hAnsi="Garamond"/>
          <w:lang w:val="en-US"/>
        </w:rPr>
        <w:fldChar w:fldCharType="separate"/>
      </w:r>
      <w:r w:rsidR="00C16187" w:rsidRPr="003036E1">
        <w:rPr>
          <w:rFonts w:ascii="Garamond" w:eastAsiaTheme="majorEastAsia" w:hAnsi="Garamond"/>
          <w:noProof/>
          <w:lang w:val="en-US"/>
        </w:rPr>
        <w:t>(</w:t>
      </w:r>
      <w:r w:rsidR="00593AF0" w:rsidRPr="003036E1">
        <w:rPr>
          <w:rFonts w:ascii="Garamond" w:eastAsia="Times New Roman" w:hAnsi="Garamond" w:cs="Times New Roman"/>
          <w:noProof/>
          <w:kern w:val="0"/>
          <w:lang w:val="en-US" w:eastAsia="pt-PT"/>
          <w14:ligatures w14:val="none"/>
        </w:rPr>
        <w:t>Cai &amp; Haque, 2024</w:t>
      </w:r>
      <w:r w:rsidR="00C16187" w:rsidRPr="003036E1">
        <w:rPr>
          <w:rFonts w:ascii="Garamond" w:eastAsiaTheme="majorEastAsia" w:hAnsi="Garamond"/>
          <w:noProof/>
          <w:lang w:val="en-US"/>
        </w:rPr>
        <w:t>)</w:t>
      </w:r>
      <w:r w:rsidR="00C16187" w:rsidRPr="003036E1">
        <w:rPr>
          <w:rFonts w:ascii="Garamond" w:eastAsiaTheme="majorEastAsia" w:hAnsi="Garamond"/>
          <w:lang w:val="en-US"/>
        </w:rPr>
        <w:fldChar w:fldCharType="end"/>
      </w:r>
      <w:r w:rsidR="00073A8F" w:rsidRPr="003036E1">
        <w:rPr>
          <w:rFonts w:ascii="Garamond" w:eastAsiaTheme="majorEastAsia" w:hAnsi="Garamond"/>
          <w:lang w:val="en-US"/>
        </w:rPr>
        <w:t>.</w:t>
      </w:r>
    </w:p>
    <w:p w14:paraId="40EA80D0" w14:textId="77777777" w:rsidR="00CA6192" w:rsidRDefault="00CA6192" w:rsidP="001965FA">
      <w:pPr>
        <w:rPr>
          <w:rFonts w:eastAsiaTheme="majorEastAsia"/>
          <w:lang w:val="en-US"/>
        </w:rPr>
      </w:pPr>
    </w:p>
    <w:p w14:paraId="278D5398" w14:textId="77777777" w:rsidR="004631F1" w:rsidRDefault="00073A8F" w:rsidP="00073A8F">
      <w:pPr>
        <w:pStyle w:val="PargrafodaLista"/>
        <w:numPr>
          <w:ilvl w:val="0"/>
          <w:numId w:val="21"/>
        </w:numPr>
        <w:spacing w:line="360" w:lineRule="auto"/>
        <w:jc w:val="both"/>
        <w:rPr>
          <w:rFonts w:ascii="Garamond" w:eastAsiaTheme="majorEastAsia" w:hAnsi="Garamond"/>
          <w:lang w:val="en-US"/>
        </w:rPr>
      </w:pPr>
      <w:r w:rsidRPr="00CA6192">
        <w:rPr>
          <w:rFonts w:ascii="Garamond" w:eastAsiaTheme="majorEastAsia" w:hAnsi="Garamond"/>
          <w:b/>
          <w:bCs/>
          <w:lang w:val="en-US"/>
        </w:rPr>
        <w:t>Portfolio diversification</w:t>
      </w:r>
      <w:r w:rsidRPr="00073A8F">
        <w:rPr>
          <w:rFonts w:ascii="Garamond" w:eastAsiaTheme="majorEastAsia" w:hAnsi="Garamond"/>
          <w:lang w:val="en-US"/>
        </w:rPr>
        <w:t xml:space="preserve"> </w:t>
      </w:r>
    </w:p>
    <w:p w14:paraId="66A36483" w14:textId="1D1841FC" w:rsidR="00073A8F" w:rsidRPr="00F551EC" w:rsidRDefault="003A4A80" w:rsidP="004631F1">
      <w:pPr>
        <w:pStyle w:val="PargrafodaLista"/>
        <w:spacing w:line="360" w:lineRule="auto"/>
        <w:jc w:val="both"/>
        <w:rPr>
          <w:rFonts w:ascii="Garamond" w:eastAsiaTheme="majorEastAsia" w:hAnsi="Garamond"/>
          <w:lang w:val="en-US"/>
        </w:rPr>
      </w:pPr>
      <w:r w:rsidRPr="00F551EC">
        <w:rPr>
          <w:rFonts w:ascii="Garamond" w:eastAsiaTheme="majorEastAsia" w:hAnsi="Garamond"/>
          <w:lang w:val="en-US"/>
        </w:rPr>
        <w:t>The attraction of institutional investors towards private credit is partially driven by the non-correlation between private credit and both public stocks and bond markets, thereby contributing to portfolio stability in times of crisis for the public markets</w:t>
      </w:r>
      <w:r w:rsidR="007A6976" w:rsidRPr="00F551EC">
        <w:rPr>
          <w:rFonts w:ascii="Garamond" w:eastAsiaTheme="majorEastAsia" w:hAnsi="Garamond"/>
          <w:lang w:val="en-US"/>
        </w:rPr>
        <w:t xml:space="preserve"> </w:t>
      </w:r>
      <w:r w:rsidR="007A6976" w:rsidRPr="00F551EC">
        <w:rPr>
          <w:rFonts w:ascii="Garamond" w:eastAsiaTheme="majorEastAsia" w:hAnsi="Garamond"/>
          <w:lang w:val="en-US"/>
        </w:rPr>
        <w:fldChar w:fldCharType="begin"/>
      </w:r>
      <w:r w:rsidR="00593AF0">
        <w:rPr>
          <w:rFonts w:ascii="Garamond" w:eastAsiaTheme="majorEastAsia" w:hAnsi="Garamond"/>
          <w:lang w:val="en-US"/>
        </w:rPr>
        <w:instrText xml:space="preserve"> ADDIN EN.CITE &lt;EndNote&gt;&lt;Cite&gt;&lt;Author&gt;Cai&lt;/Author&gt;&lt;Year&gt;2024&lt;/Year&gt;&lt;RecNum&gt;72&lt;/RecNum&gt;&lt;DisplayText&gt;(Cai &amp;amp; Haque, 2024)&lt;/DisplayText&gt;&lt;record&gt;&lt;rec-number&gt;72&lt;/rec-number&gt;&lt;foreign-keys&gt;&lt;key app="EN" db-id="x2z5xfr9jx5dwcef50b5eedwwwr9x5pperdz" timestamp="1778063226"&gt;72&lt;/key&gt;&lt;/foreign-keys&gt;&lt;ref-type name="Web Page"&gt;12&lt;/ref-type&gt;&lt;contributors&gt;&lt;authors&gt;&lt;author&gt;Cai, Fang&lt;/author&gt;&lt;author&gt;Haque, Sharjil&lt;/author&gt;&lt;/authors&gt;&lt;/contributors&gt;&lt;titles&gt;&lt;title&gt;Private Credit: Characteristics and Risks&lt;/title&gt;&lt;/titles&gt;&lt;dates&gt;&lt;year&gt;2024&lt;/year&gt;&lt;/dates&gt;&lt;publisher&gt;Federal Reserve Board&lt;/publisher&gt;&lt;urls&gt;&lt;related-urls&gt;&lt;url&gt;https://www.federalreserve.gov/econres/notes/feds-notes/private-credit-characteristics-and-risks-20240223.html&lt;/url&gt;&lt;/related-urls&gt;&lt;/urls&gt;&lt;/record&gt;&lt;/Cite&gt;&lt;/EndNote&gt;</w:instrText>
      </w:r>
      <w:r w:rsidR="007A6976" w:rsidRPr="00F551EC">
        <w:rPr>
          <w:rFonts w:ascii="Garamond" w:eastAsiaTheme="majorEastAsia" w:hAnsi="Garamond"/>
          <w:lang w:val="en-US"/>
        </w:rPr>
        <w:fldChar w:fldCharType="separate"/>
      </w:r>
      <w:r w:rsidR="007A6976"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Cai &amp; Haque, 2024</w:t>
      </w:r>
      <w:r w:rsidR="007A6976" w:rsidRPr="00F551EC">
        <w:rPr>
          <w:rFonts w:ascii="Garamond" w:eastAsiaTheme="majorEastAsia" w:hAnsi="Garamond"/>
          <w:noProof/>
          <w:lang w:val="en-US"/>
        </w:rPr>
        <w:t>)</w:t>
      </w:r>
      <w:r w:rsidR="007A6976" w:rsidRPr="00F551EC">
        <w:rPr>
          <w:rFonts w:ascii="Garamond" w:eastAsiaTheme="majorEastAsia" w:hAnsi="Garamond"/>
          <w:lang w:val="en-US"/>
        </w:rPr>
        <w:fldChar w:fldCharType="end"/>
      </w:r>
      <w:r w:rsidR="00073A8F" w:rsidRPr="00F551EC">
        <w:rPr>
          <w:rFonts w:ascii="Garamond" w:eastAsiaTheme="majorEastAsia" w:hAnsi="Garamond"/>
          <w:lang w:val="en-US"/>
        </w:rPr>
        <w:t xml:space="preserve">. </w:t>
      </w:r>
      <w:r w:rsidRPr="00F551EC">
        <w:rPr>
          <w:rFonts w:ascii="Garamond" w:eastAsiaTheme="majorEastAsia" w:hAnsi="Garamond"/>
          <w:lang w:val="en-US"/>
        </w:rPr>
        <w:t>Nevertheless, as noted in the literature, this non-correlation is partly attributable to the fact that valuation is conducted infrequently, which smooths the cycle</w:t>
      </w:r>
      <w:r w:rsidR="00073A8F" w:rsidRPr="00F551EC">
        <w:rPr>
          <w:rFonts w:ascii="Garamond" w:eastAsiaTheme="majorEastAsia" w:hAnsi="Garamond"/>
          <w:lang w:val="en-US"/>
        </w:rPr>
        <w:t xml:space="preserve"> </w:t>
      </w:r>
      <w:r w:rsidR="00C322E3" w:rsidRPr="00F551EC">
        <w:rPr>
          <w:rFonts w:ascii="Garamond" w:eastAsiaTheme="majorEastAsia" w:hAnsi="Garamond"/>
          <w:lang w:val="en-US"/>
        </w:rPr>
        <w:fldChar w:fldCharType="begin"/>
      </w:r>
      <w:r w:rsidR="00593AF0">
        <w:rPr>
          <w:rFonts w:ascii="Garamond" w:eastAsiaTheme="majorEastAsia" w:hAnsi="Garamond"/>
          <w:lang w:val="en-US"/>
        </w:rPr>
        <w:instrText xml:space="preserve"> ADDIN EN.CITE &lt;EndNote&gt;&lt;Cite&gt;&lt;Author&gt;Zou&lt;/Author&gt;&lt;Year&gt;2026&lt;/Year&gt;&lt;RecNum&gt;69&lt;/RecNum&gt;&lt;DisplayText&gt;(Zou, 2026)&lt;/DisplayText&gt;&lt;record&gt;&lt;rec-number&gt;69&lt;/rec-number&gt;&lt;foreign-keys&gt;&lt;key app="EN" db-id="x2z5xfr9jx5dwcef50b5eedwwwr9x5pperdz" timestamp="1778059973"&gt;69&lt;/key&gt;&lt;/foreign-keys&gt;&lt;ref-type name="Book"&gt;6&lt;/ref-type&gt;&lt;contributors&gt;&lt;authors&gt;&lt;author&gt;Zou, Jiacheng&lt;/author&gt;&lt;/authors&gt;&lt;/contributors&gt;&lt;titles&gt;&lt;title&gt;Private Credit Markets Theory, Evidence, and Emerging Frontiers&lt;/title&gt;&lt;/titles&gt;&lt;dates&gt;&lt;year&gt;2026&lt;/year&gt;&lt;/dates&gt;&lt;urls&gt;&lt;/urls&gt;&lt;electronic-resource-num&gt;10.48550/arXiv.2603.14491&lt;/electronic-resource-num&gt;&lt;/record&gt;&lt;/Cite&gt;&lt;/EndNote&gt;</w:instrText>
      </w:r>
      <w:r w:rsidR="00C322E3" w:rsidRPr="00F551EC">
        <w:rPr>
          <w:rFonts w:ascii="Garamond" w:eastAsiaTheme="majorEastAsia" w:hAnsi="Garamond"/>
          <w:lang w:val="en-US"/>
        </w:rPr>
        <w:fldChar w:fldCharType="separate"/>
      </w:r>
      <w:r w:rsidR="00C322E3"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Zou, 2026</w:t>
      </w:r>
      <w:r w:rsidR="00C322E3" w:rsidRPr="00F551EC">
        <w:rPr>
          <w:rFonts w:ascii="Garamond" w:eastAsiaTheme="majorEastAsia" w:hAnsi="Garamond"/>
          <w:noProof/>
          <w:lang w:val="en-US"/>
        </w:rPr>
        <w:t>)</w:t>
      </w:r>
      <w:r w:rsidR="00C322E3" w:rsidRPr="00F551EC">
        <w:rPr>
          <w:rFonts w:ascii="Garamond" w:eastAsiaTheme="majorEastAsia" w:hAnsi="Garamond"/>
          <w:lang w:val="en-US"/>
        </w:rPr>
        <w:fldChar w:fldCharType="end"/>
      </w:r>
      <w:r w:rsidR="00073A8F" w:rsidRPr="00F551EC">
        <w:rPr>
          <w:rFonts w:ascii="Garamond" w:eastAsiaTheme="majorEastAsia" w:hAnsi="Garamond"/>
          <w:lang w:val="en-US"/>
        </w:rPr>
        <w:t>.</w:t>
      </w:r>
    </w:p>
    <w:p w14:paraId="6367E7BF" w14:textId="77777777" w:rsidR="00CA6192" w:rsidRDefault="00CA6192" w:rsidP="001965FA">
      <w:pPr>
        <w:rPr>
          <w:rFonts w:eastAsiaTheme="majorEastAsia"/>
          <w:lang w:val="en-US"/>
        </w:rPr>
      </w:pPr>
    </w:p>
    <w:p w14:paraId="6A1972AB" w14:textId="77777777" w:rsidR="004631F1" w:rsidRDefault="00073A8F" w:rsidP="00CA6192">
      <w:pPr>
        <w:pStyle w:val="PargrafodaLista"/>
        <w:numPr>
          <w:ilvl w:val="0"/>
          <w:numId w:val="21"/>
        </w:numPr>
        <w:spacing w:line="360" w:lineRule="auto"/>
        <w:jc w:val="both"/>
        <w:rPr>
          <w:rFonts w:ascii="Garamond" w:eastAsiaTheme="majorEastAsia" w:hAnsi="Garamond"/>
          <w:lang w:val="en-US"/>
        </w:rPr>
      </w:pPr>
      <w:r w:rsidRPr="00CA6192">
        <w:rPr>
          <w:rFonts w:ascii="Garamond" w:eastAsiaTheme="majorEastAsia" w:hAnsi="Garamond"/>
          <w:b/>
          <w:bCs/>
          <w:lang w:val="en-US"/>
        </w:rPr>
        <w:t>Speed, execution and flexibility</w:t>
      </w:r>
      <w:r w:rsidRPr="00CA6192">
        <w:rPr>
          <w:rFonts w:ascii="Garamond" w:eastAsiaTheme="majorEastAsia" w:hAnsi="Garamond"/>
          <w:lang w:val="en-US"/>
        </w:rPr>
        <w:t xml:space="preserve"> </w:t>
      </w:r>
    </w:p>
    <w:p w14:paraId="2553E53C" w14:textId="39D59330" w:rsidR="00073A8F" w:rsidRPr="00F551EC" w:rsidRDefault="003E5DF4" w:rsidP="004631F1">
      <w:pPr>
        <w:pStyle w:val="PargrafodaLista"/>
        <w:spacing w:line="360" w:lineRule="auto"/>
        <w:jc w:val="both"/>
        <w:rPr>
          <w:rFonts w:ascii="Garamond" w:eastAsiaTheme="majorEastAsia" w:hAnsi="Garamond"/>
          <w:lang w:val="en-US"/>
        </w:rPr>
      </w:pPr>
      <w:r w:rsidRPr="00F551EC">
        <w:rPr>
          <w:rFonts w:ascii="Garamond" w:eastAsiaTheme="majorEastAsia" w:hAnsi="Garamond"/>
          <w:lang w:val="en-US"/>
        </w:rPr>
        <w:t>In most cases, such private credit deals usually take four to eight weeks for completion. On the other hand, syndicated loans could require up to three to six months for completion. The latter is highly crucial in the M&amp;A process, where speed and certainty in financing increase the probability of success</w:t>
      </w:r>
      <w:r w:rsidR="00073A8F" w:rsidRPr="00F551EC">
        <w:rPr>
          <w:rFonts w:ascii="Garamond" w:eastAsiaTheme="majorEastAsia" w:hAnsi="Garamond"/>
          <w:lang w:val="en-US"/>
        </w:rPr>
        <w:t xml:space="preserve"> </w:t>
      </w:r>
      <w:r w:rsidR="003507C0" w:rsidRPr="00F551EC">
        <w:rPr>
          <w:rFonts w:ascii="Garamond" w:eastAsiaTheme="majorEastAsia" w:hAnsi="Garamond"/>
          <w:lang w:val="en-US"/>
        </w:rPr>
        <w:fldChar w:fldCharType="begin"/>
      </w:r>
      <w:r w:rsidR="00593AF0">
        <w:rPr>
          <w:rFonts w:ascii="Garamond" w:eastAsiaTheme="majorEastAsia" w:hAnsi="Garamond"/>
          <w:lang w:val="en-US"/>
        </w:rPr>
        <w:instrText xml:space="preserve"> ADDIN EN.CITE &lt;EndNote&gt;&lt;Cite&gt;&lt;Author&gt;Blackstone&lt;/Author&gt;&lt;Year&gt;2025&lt;/Year&gt;&lt;RecNum&gt;74&lt;/RecNum&gt;&lt;DisplayText&gt;(Blackstone, 2025)&lt;/DisplayText&gt;&lt;record&gt;&lt;rec-number&gt;74&lt;/rec-number&gt;&lt;foreign-keys&gt;&lt;key app="EN" db-id="x2z5xfr9jx5dwcef50b5eedwwwr9x5pperdz" timestamp="1778068434"&gt;74&lt;/key&gt;&lt;/foreign-keys&gt;&lt;ref-type name="Web Page"&gt;12&lt;/ref-type&gt;&lt;contributors&gt;&lt;authors&gt;&lt;author&gt;Blackstone&lt;/author&gt;&lt;/authors&gt;&lt;/contributors&gt;&lt;titles&gt;&lt;title&gt;Essentials of Private Credit&lt;/title&gt;&lt;/titles&gt;&lt;dates&gt;&lt;year&gt;2025&lt;/year&gt;&lt;/dates&gt;&lt;urls&gt;&lt;related-urls&gt;&lt;url&gt;https://www.blackstone.com/en-emea/pws/essentials-of-private-credit/&lt;/url&gt;&lt;/related-urls&gt;&lt;/urls&gt;&lt;/record&gt;&lt;/Cite&gt;&lt;/EndNote&gt;</w:instrText>
      </w:r>
      <w:r w:rsidR="003507C0" w:rsidRPr="00F551EC">
        <w:rPr>
          <w:rFonts w:ascii="Garamond" w:eastAsiaTheme="majorEastAsia" w:hAnsi="Garamond"/>
          <w:lang w:val="en-US"/>
        </w:rPr>
        <w:fldChar w:fldCharType="separate"/>
      </w:r>
      <w:r w:rsidR="003507C0"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Blackstone, 2025</w:t>
      </w:r>
      <w:r w:rsidR="003507C0" w:rsidRPr="00F551EC">
        <w:rPr>
          <w:rFonts w:ascii="Garamond" w:eastAsiaTheme="majorEastAsia" w:hAnsi="Garamond"/>
          <w:noProof/>
          <w:lang w:val="en-US"/>
        </w:rPr>
        <w:t>)</w:t>
      </w:r>
      <w:r w:rsidR="003507C0" w:rsidRPr="00F551EC">
        <w:rPr>
          <w:rFonts w:ascii="Garamond" w:eastAsiaTheme="majorEastAsia" w:hAnsi="Garamond"/>
          <w:lang w:val="en-US"/>
        </w:rPr>
        <w:fldChar w:fldCharType="end"/>
      </w:r>
      <w:r w:rsidR="00073A8F" w:rsidRPr="00F551EC">
        <w:rPr>
          <w:rFonts w:ascii="Garamond" w:eastAsiaTheme="majorEastAsia" w:hAnsi="Garamond"/>
          <w:lang w:val="en-US"/>
        </w:rPr>
        <w:t>.</w:t>
      </w:r>
    </w:p>
    <w:p w14:paraId="299F328F" w14:textId="77777777" w:rsidR="00CA6192" w:rsidRPr="00CA6192" w:rsidRDefault="00CA6192" w:rsidP="001965FA">
      <w:pPr>
        <w:rPr>
          <w:rFonts w:eastAsiaTheme="majorEastAsia"/>
          <w:lang w:val="en-US"/>
        </w:rPr>
      </w:pPr>
    </w:p>
    <w:p w14:paraId="53095AC4" w14:textId="4A82694A" w:rsidR="00CA6192" w:rsidRPr="00F551EC" w:rsidRDefault="00C73729" w:rsidP="00CA6192">
      <w:pPr>
        <w:pStyle w:val="PargrafodaLista"/>
        <w:numPr>
          <w:ilvl w:val="0"/>
          <w:numId w:val="21"/>
        </w:numPr>
        <w:spacing w:line="360" w:lineRule="auto"/>
        <w:jc w:val="both"/>
        <w:rPr>
          <w:rFonts w:ascii="Garamond" w:eastAsiaTheme="majorEastAsia" w:hAnsi="Garamond"/>
          <w:lang w:val="en-US"/>
        </w:rPr>
      </w:pPr>
      <w:r w:rsidRPr="00F551EC">
        <w:rPr>
          <w:rFonts w:ascii="Garamond" w:eastAsiaTheme="majorEastAsia" w:hAnsi="Garamond"/>
          <w:lang w:val="en-US"/>
        </w:rPr>
        <w:t xml:space="preserve">In the private lending system, more room exists for the negotiation of the terms of financing that can provide solutions like payment in kind (PIK), bullet payments, </w:t>
      </w:r>
      <w:r w:rsidRPr="00F551EC">
        <w:rPr>
          <w:rFonts w:ascii="Garamond" w:eastAsiaTheme="majorEastAsia" w:hAnsi="Garamond"/>
          <w:lang w:val="en-US"/>
        </w:rPr>
        <w:lastRenderedPageBreak/>
        <w:t>balloon payments, deferred drawdown credit facilities, or one-time repayment on maturity. Such negotiation options are often hard to come by in the case of bank lending systems and provide a ray of hope to borrowers in tough times</w:t>
      </w:r>
      <w:r w:rsidR="00BD7386" w:rsidRPr="00F551EC">
        <w:rPr>
          <w:rFonts w:ascii="Garamond" w:eastAsiaTheme="majorEastAsia" w:hAnsi="Garamond"/>
          <w:lang w:val="en-US"/>
        </w:rPr>
        <w:t xml:space="preserve"> </w:t>
      </w:r>
      <w:r w:rsidR="00BD7386" w:rsidRPr="00F551EC">
        <w:rPr>
          <w:rFonts w:ascii="Garamond" w:eastAsiaTheme="majorEastAsia" w:hAnsi="Garamond"/>
          <w:lang w:val="en-US"/>
        </w:rPr>
        <w:fldChar w:fldCharType="begin"/>
      </w:r>
      <w:r w:rsidR="00593AF0">
        <w:rPr>
          <w:rFonts w:ascii="Garamond" w:eastAsiaTheme="majorEastAsia" w:hAnsi="Garamond"/>
          <w:lang w:val="en-US"/>
        </w:rPr>
        <w:instrText xml:space="preserve"> ADDIN EN.CITE &lt;EndNote&gt;&lt;Cite&gt;&lt;Author&gt;N. Sambur&lt;/Author&gt;&lt;Year&gt;2025&lt;/Year&gt;&lt;RecNum&gt;73&lt;/RecNum&gt;&lt;DisplayText&gt;(N. Sambur &amp;amp; Minorini, 2025; Zou, 2026)&lt;/DisplayText&gt;&lt;record&gt;&lt;rec-number&gt;73&lt;/rec-number&gt;&lt;foreign-keys&gt;&lt;key app="EN" db-id="x2z5xfr9jx5dwcef50b5eedwwwr9x5pperdz" timestamp="1778068235"&gt;73&lt;/key&gt;&lt;/foreign-keys&gt;&lt;ref-type name="Journal Article"&gt;17&lt;/ref-type&gt;&lt;contributors&gt;&lt;authors&gt;&lt;author&gt;N. Sambur, Keith&lt;/author&gt;&lt;author&gt;Minorini, Sean&lt;/author&gt;&lt;/authors&gt;&lt;/contributors&gt;&lt;titles&gt;&lt;title&gt;The Private Credit Surge: Implications for Sponsors, Borrowers and Traditional Lending Structures&lt;/title&gt;&lt;secondary-title&gt;ABF Journal&lt;/secondary-title&gt;&lt;/titles&gt;&lt;periodical&gt;&lt;full-title&gt;ABF Journal&lt;/full-title&gt;&lt;/periodical&gt;&lt;dates&gt;&lt;year&gt;2025&lt;/year&gt;&lt;/dates&gt;&lt;urls&gt;&lt;related-urls&gt;&lt;url&gt;https://www.hklaw.com/en/insights/publications/2025/08/the-private-credit-surge-implications-for-sponsors&lt;/url&gt;&lt;/related-urls&gt;&lt;/urls&gt;&lt;/record&gt;&lt;/Cite&gt;&lt;Cite&gt;&lt;Author&gt;Zou&lt;/Author&gt;&lt;Year&gt;2026&lt;/Year&gt;&lt;RecNum&gt;69&lt;/RecNum&gt;&lt;record&gt;&lt;rec-number&gt;69&lt;/rec-number&gt;&lt;foreign-keys&gt;&lt;key app="EN" db-id="x2z5xfr9jx5dwcef50b5eedwwwr9x5pperdz" timestamp="1778059973"&gt;69&lt;/key&gt;&lt;/foreign-keys&gt;&lt;ref-type name="Book"&gt;6&lt;/ref-type&gt;&lt;contributors&gt;&lt;authors&gt;&lt;author&gt;Zou, Jiacheng&lt;/author&gt;&lt;/authors&gt;&lt;/contributors&gt;&lt;titles&gt;&lt;title&gt;Private Credit Markets Theory, Evidence, and Emerging Frontiers&lt;/title&gt;&lt;/titles&gt;&lt;dates&gt;&lt;year&gt;2026&lt;/year&gt;&lt;/dates&gt;&lt;urls&gt;&lt;/urls&gt;&lt;electronic-resource-num&gt;10.48550/arXiv.2603.14491&lt;/electronic-resource-num&gt;&lt;/record&gt;&lt;/Cite&gt;&lt;/EndNote&gt;</w:instrText>
      </w:r>
      <w:r w:rsidR="00BD7386" w:rsidRPr="00F551EC">
        <w:rPr>
          <w:rFonts w:ascii="Garamond" w:eastAsiaTheme="majorEastAsia" w:hAnsi="Garamond"/>
          <w:lang w:val="en-US"/>
        </w:rPr>
        <w:fldChar w:fldCharType="separate"/>
      </w:r>
      <w:r w:rsidR="00BD7386"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N. Sambur &amp; Minorini, 2025</w:t>
      </w:r>
      <w:r w:rsidR="00BD7386" w:rsidRPr="00F551EC">
        <w:rPr>
          <w:rFonts w:ascii="Garamond" w:eastAsiaTheme="majorEastAsia" w:hAnsi="Garamond"/>
          <w:noProof/>
          <w:lang w:val="en-US"/>
        </w:rPr>
        <w:t xml:space="preserve">; </w:t>
      </w:r>
      <w:r w:rsidR="00593AF0" w:rsidRPr="00F551EC">
        <w:rPr>
          <w:rFonts w:ascii="Garamond" w:eastAsia="Times New Roman" w:hAnsi="Garamond" w:cs="Times New Roman"/>
          <w:noProof/>
          <w:kern w:val="0"/>
          <w:lang w:val="en-US" w:eastAsia="pt-PT"/>
          <w14:ligatures w14:val="none"/>
        </w:rPr>
        <w:t>Zou, 2026</w:t>
      </w:r>
      <w:r w:rsidR="00BD7386" w:rsidRPr="00F551EC">
        <w:rPr>
          <w:rFonts w:ascii="Garamond" w:eastAsiaTheme="majorEastAsia" w:hAnsi="Garamond"/>
          <w:noProof/>
          <w:lang w:val="en-US"/>
        </w:rPr>
        <w:t>)</w:t>
      </w:r>
      <w:r w:rsidR="00BD7386" w:rsidRPr="00F551EC">
        <w:rPr>
          <w:rFonts w:ascii="Garamond" w:eastAsiaTheme="majorEastAsia" w:hAnsi="Garamond"/>
          <w:lang w:val="en-US"/>
        </w:rPr>
        <w:fldChar w:fldCharType="end"/>
      </w:r>
      <w:r w:rsidR="00073A8F" w:rsidRPr="00F551EC">
        <w:rPr>
          <w:rFonts w:ascii="Garamond" w:eastAsiaTheme="majorEastAsia" w:hAnsi="Garamond"/>
          <w:lang w:val="en-US"/>
        </w:rPr>
        <w:t>.</w:t>
      </w:r>
    </w:p>
    <w:p w14:paraId="28EBEEDD" w14:textId="77777777" w:rsidR="00CA6192" w:rsidRPr="00CA6192" w:rsidRDefault="00CA6192" w:rsidP="001965FA">
      <w:pPr>
        <w:rPr>
          <w:rFonts w:eastAsiaTheme="majorEastAsia"/>
          <w:lang w:val="en-US"/>
        </w:rPr>
      </w:pPr>
    </w:p>
    <w:p w14:paraId="7082B85A" w14:textId="77777777" w:rsidR="00AB7916" w:rsidRPr="00AB7916" w:rsidRDefault="00073A8F" w:rsidP="00CA6192">
      <w:pPr>
        <w:pStyle w:val="PargrafodaLista"/>
        <w:numPr>
          <w:ilvl w:val="0"/>
          <w:numId w:val="21"/>
        </w:numPr>
        <w:spacing w:line="360" w:lineRule="auto"/>
        <w:jc w:val="both"/>
        <w:rPr>
          <w:rFonts w:ascii="Garamond" w:eastAsiaTheme="majorEastAsia" w:hAnsi="Garamond"/>
          <w:lang w:val="en-US"/>
        </w:rPr>
      </w:pPr>
      <w:r w:rsidRPr="00CA6192">
        <w:rPr>
          <w:rFonts w:ascii="Garamond" w:eastAsiaTheme="majorEastAsia" w:hAnsi="Garamond"/>
          <w:b/>
          <w:bCs/>
          <w:lang w:val="en-US"/>
        </w:rPr>
        <w:t>Superior monitoring and creditor protection</w:t>
      </w:r>
    </w:p>
    <w:p w14:paraId="3CD81248" w14:textId="135C2F76" w:rsidR="00CA6192" w:rsidRPr="00F551EC" w:rsidRDefault="00073A8F" w:rsidP="00AB7916">
      <w:pPr>
        <w:pStyle w:val="PargrafodaLista"/>
        <w:spacing w:line="360" w:lineRule="auto"/>
        <w:jc w:val="both"/>
        <w:rPr>
          <w:rFonts w:ascii="Garamond" w:eastAsiaTheme="majorEastAsia" w:hAnsi="Garamond"/>
          <w:lang w:val="en-US"/>
        </w:rPr>
      </w:pPr>
      <w:r w:rsidRPr="00F551EC">
        <w:rPr>
          <w:rFonts w:ascii="Garamond" w:eastAsiaTheme="majorEastAsia" w:hAnsi="Garamond"/>
          <w:lang w:val="en-US"/>
        </w:rPr>
        <w:t xml:space="preserve"> </w:t>
      </w:r>
      <w:r w:rsidR="00BA00DA" w:rsidRPr="00F551EC">
        <w:rPr>
          <w:rFonts w:ascii="Garamond" w:eastAsiaTheme="majorEastAsia" w:hAnsi="Garamond"/>
          <w:lang w:val="en-US"/>
        </w:rPr>
        <w:t>Since they are supposed to keep the loans until maturity, they may be encouraged to do proper due diligence along with proper portfolio management. If anything is to arise during this period, they will definitely cope better than the syndicate financing because there will only be one creditor in this scenario</w:t>
      </w:r>
      <w:r w:rsidRPr="00F551EC">
        <w:rPr>
          <w:rFonts w:ascii="Garamond" w:eastAsiaTheme="majorEastAsia" w:hAnsi="Garamond"/>
          <w:lang w:val="en-US"/>
        </w:rPr>
        <w:t xml:space="preserve"> </w:t>
      </w:r>
      <w:r w:rsidR="00741EEE" w:rsidRPr="00F551EC">
        <w:rPr>
          <w:rFonts w:ascii="Garamond" w:eastAsiaTheme="majorEastAsia" w:hAnsi="Garamond"/>
          <w:lang w:val="en-US"/>
        </w:rPr>
        <w:fldChar w:fldCharType="begin"/>
      </w:r>
      <w:r w:rsidR="00593AF0">
        <w:rPr>
          <w:rFonts w:ascii="Garamond" w:eastAsiaTheme="majorEastAsia" w:hAnsi="Garamond"/>
          <w:lang w:val="en-US"/>
        </w:rPr>
        <w:instrText xml:space="preserve"> ADDIN EN.CITE &lt;EndNote&gt;&lt;Cite&gt;&lt;Author&gt;Gunter&lt;/Author&gt;&lt;Year&gt;2021&lt;/Year&gt;&lt;RecNum&gt;58&lt;/RecNum&gt;&lt;DisplayText&gt;(Gunter et al., 2021; Jang, 2023)&lt;/DisplayText&gt;&lt;record&gt;&lt;rec-number&gt;58&lt;/rec-number&gt;&lt;foreign-keys&gt;&lt;key app="EN" db-id="x2z5xfr9jx5dwcef50b5eedwwwr9x5pperdz" timestamp="1769380414"&gt;58&lt;/key&gt;&lt;/foreign-keys&gt;&lt;ref-type name="Web Page"&gt;12&lt;/ref-type&gt;&lt;contributors&gt;&lt;authors&gt;&lt;author&gt;Gunter, Evan &lt;/author&gt;&lt;author&gt;Latour, Abby  &lt;/author&gt;&lt;author&gt;Maguire, Joe &lt;/author&gt;&lt;author&gt;Drury Byrne, Patrick&lt;/author&gt;&lt;author&gt;Lukatsky,  Marina &lt;/author&gt;&lt;author&gt;Carroll, Matt  &lt;/author&gt;&lt;author&gt;Campbell, Elizabeth  &lt;/author&gt;&lt;author&gt;Caglayan, Sebnem &lt;/author&gt;&lt;author&gt;Muthukrishan, Ramki &lt;/author&gt;&lt;/authors&gt;&lt;/contributors&gt;&lt;titles&gt;&lt;title&gt;Private Debt: A Lesser-Known Corner Of Finance Finds The Spotlight&lt;/title&gt;&lt;/titles&gt;&lt;dates&gt;&lt;year&gt;2021&lt;/year&gt;&lt;/dates&gt;&lt;publisher&gt;S&amp;amp;P Global&lt;/publisher&gt;&lt;urls&gt;&lt;related-urls&gt;&lt;url&gt;https://www.spglobal.com/en/research-insights/special-reports/private-debt&lt;/url&gt;&lt;/related-urls&gt;&lt;/urls&gt;&lt;/record&gt;&lt;/Cite&gt;&lt;Cite&gt;&lt;Author&gt;Jang&lt;/Author&gt;&lt;Year&gt;2023&lt;/Year&gt;&lt;RecNum&gt;32&lt;/RecNum&gt;&lt;record&gt;&lt;rec-number&gt;32&lt;/rec-number&gt;&lt;foreign-keys&gt;&lt;key app="EN" db-id="x2z5xfr9jx5dwcef50b5eedwwwr9x5pperdz" timestamp="1764787277"&gt;32&lt;/key&gt;&lt;/foreign-keys&gt;&lt;ref-type name="Journal Article"&gt;17&lt;/ref-type&gt;&lt;contributors&gt;&lt;authors&gt;&lt;author&gt;Jang, Young&lt;/author&gt;&lt;/authors&gt;&lt;/contributors&gt;&lt;titles&gt;&lt;title&gt;Are Direct Lenders More Like Banks or Arm’s-Length Investors? Evidence from Loan Agreements and COVID-Related Distress&lt;/title&gt;&lt;secondary-title&gt;SSRN Electronic Journal&lt;/secondary-title&gt;&lt;/titles&gt;&lt;periodical&gt;&lt;full-title&gt;SSRN Electronic Journal&lt;/full-title&gt;&lt;/periodical&gt;&lt;dates&gt;&lt;year&gt;2023&lt;/year&gt;&lt;pub-dates&gt;&lt;date&gt;01/01&lt;/date&gt;&lt;/pub-dates&gt;&lt;/dates&gt;&lt;urls&gt;&lt;/urls&gt;&lt;electronic-resource-num&gt;10.2139/ssrn.4529656&lt;/electronic-resource-num&gt;&lt;/record&gt;&lt;/Cite&gt;&lt;/EndNote&gt;</w:instrText>
      </w:r>
      <w:r w:rsidR="00741EEE" w:rsidRPr="00F551EC">
        <w:rPr>
          <w:rFonts w:ascii="Garamond" w:eastAsiaTheme="majorEastAsia" w:hAnsi="Garamond"/>
          <w:lang w:val="en-US"/>
        </w:rPr>
        <w:fldChar w:fldCharType="separate"/>
      </w:r>
      <w:r w:rsidR="00741EEE"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Gunter et al., 2021</w:t>
      </w:r>
      <w:r w:rsidR="00741EEE" w:rsidRPr="00F551EC">
        <w:rPr>
          <w:rFonts w:ascii="Garamond" w:eastAsiaTheme="majorEastAsia" w:hAnsi="Garamond"/>
          <w:noProof/>
          <w:lang w:val="en-US"/>
        </w:rPr>
        <w:t xml:space="preserve">; </w:t>
      </w:r>
      <w:r w:rsidR="00593AF0" w:rsidRPr="00F551EC">
        <w:rPr>
          <w:rFonts w:ascii="Garamond" w:eastAsia="Times New Roman" w:hAnsi="Garamond" w:cs="Times New Roman"/>
          <w:noProof/>
          <w:kern w:val="0"/>
          <w:lang w:val="en-US" w:eastAsia="pt-PT"/>
          <w14:ligatures w14:val="none"/>
        </w:rPr>
        <w:t>Jang, 2023</w:t>
      </w:r>
      <w:r w:rsidR="00741EEE" w:rsidRPr="00F551EC">
        <w:rPr>
          <w:rFonts w:ascii="Garamond" w:eastAsiaTheme="majorEastAsia" w:hAnsi="Garamond"/>
          <w:noProof/>
          <w:lang w:val="en-US"/>
        </w:rPr>
        <w:t>)</w:t>
      </w:r>
      <w:r w:rsidR="00741EEE" w:rsidRPr="00F551EC">
        <w:rPr>
          <w:rFonts w:ascii="Garamond" w:eastAsiaTheme="majorEastAsia" w:hAnsi="Garamond"/>
          <w:lang w:val="en-US"/>
        </w:rPr>
        <w:fldChar w:fldCharType="end"/>
      </w:r>
      <w:r w:rsidR="00741EEE" w:rsidRPr="00F551EC">
        <w:rPr>
          <w:rFonts w:ascii="Garamond" w:eastAsiaTheme="majorEastAsia" w:hAnsi="Garamond"/>
          <w:lang w:val="en-US"/>
        </w:rPr>
        <w:t>.</w:t>
      </w:r>
    </w:p>
    <w:p w14:paraId="484223CE" w14:textId="77777777" w:rsidR="00CA6192" w:rsidRPr="00CA6192" w:rsidRDefault="00CA6192" w:rsidP="00CA6192">
      <w:pPr>
        <w:pStyle w:val="PargrafodaLista"/>
        <w:rPr>
          <w:rFonts w:ascii="Garamond" w:eastAsiaTheme="majorEastAsia" w:hAnsi="Garamond"/>
          <w:lang w:val="en-US"/>
        </w:rPr>
      </w:pPr>
    </w:p>
    <w:p w14:paraId="28060DA5" w14:textId="77777777" w:rsidR="00CA6192" w:rsidRPr="00D65512" w:rsidRDefault="00073A8F" w:rsidP="00D65512">
      <w:pPr>
        <w:spacing w:line="360" w:lineRule="auto"/>
        <w:ind w:firstLine="360"/>
        <w:jc w:val="both"/>
        <w:rPr>
          <w:rFonts w:ascii="Garamond" w:eastAsiaTheme="majorEastAsia" w:hAnsi="Garamond" w:cstheme="majorBidi"/>
          <w:b/>
          <w:bCs/>
          <w:color w:val="000000" w:themeColor="text1"/>
          <w:kern w:val="2"/>
          <w:lang w:eastAsia="en-US"/>
          <w14:ligatures w14:val="standardContextual"/>
        </w:rPr>
      </w:pPr>
      <w:r w:rsidRPr="00D65512">
        <w:rPr>
          <w:rFonts w:ascii="Garamond" w:eastAsiaTheme="majorEastAsia" w:hAnsi="Garamond" w:cstheme="majorBidi"/>
          <w:b/>
          <w:bCs/>
          <w:color w:val="000000" w:themeColor="text1"/>
          <w:kern w:val="2"/>
          <w:lang w:eastAsia="en-US"/>
          <w14:ligatures w14:val="standardContextual"/>
        </w:rPr>
        <w:t>Disadvantages and Limitations</w:t>
      </w:r>
    </w:p>
    <w:p w14:paraId="2058E4B9" w14:textId="77777777" w:rsidR="00CA6192" w:rsidRDefault="00CA6192" w:rsidP="001965FA">
      <w:pPr>
        <w:rPr>
          <w:rFonts w:eastAsiaTheme="majorEastAsia"/>
          <w:lang w:val="en-US"/>
        </w:rPr>
      </w:pPr>
    </w:p>
    <w:p w14:paraId="09E7B593" w14:textId="77777777" w:rsidR="00AB7916" w:rsidRPr="00AB7916" w:rsidRDefault="00A974FF" w:rsidP="00A974FF">
      <w:pPr>
        <w:pStyle w:val="PargrafodaLista"/>
        <w:numPr>
          <w:ilvl w:val="0"/>
          <w:numId w:val="21"/>
        </w:numPr>
        <w:spacing w:line="360" w:lineRule="auto"/>
        <w:jc w:val="both"/>
        <w:rPr>
          <w:rFonts w:ascii="Garamond" w:eastAsiaTheme="majorEastAsia" w:hAnsi="Garamond"/>
          <w:lang w:val="en-US"/>
        </w:rPr>
      </w:pPr>
      <w:r w:rsidRPr="00A974FF">
        <w:rPr>
          <w:rFonts w:ascii="Garamond" w:eastAsiaTheme="majorEastAsia" w:hAnsi="Garamond"/>
          <w:b/>
          <w:bCs/>
          <w:lang w:val="en-US"/>
        </w:rPr>
        <w:t>Illiquidity and capital</w:t>
      </w:r>
      <w:r w:rsidR="00BA00DA">
        <w:rPr>
          <w:rFonts w:ascii="Garamond" w:eastAsiaTheme="majorEastAsia" w:hAnsi="Garamond"/>
          <w:b/>
          <w:bCs/>
          <w:lang w:val="en-US"/>
        </w:rPr>
        <w:t xml:space="preserve"> lock-in</w:t>
      </w:r>
    </w:p>
    <w:p w14:paraId="47245BBA" w14:textId="4C2AD279" w:rsidR="00A974FF" w:rsidRPr="00F551EC" w:rsidRDefault="00467889" w:rsidP="00AB7916">
      <w:pPr>
        <w:pStyle w:val="PargrafodaLista"/>
        <w:spacing w:line="360" w:lineRule="auto"/>
        <w:jc w:val="both"/>
        <w:rPr>
          <w:rFonts w:ascii="Garamond" w:eastAsiaTheme="majorEastAsia" w:hAnsi="Garamond"/>
          <w:lang w:val="en-US"/>
        </w:rPr>
      </w:pPr>
      <w:r w:rsidRPr="00F551EC">
        <w:rPr>
          <w:rFonts w:ascii="Garamond" w:eastAsiaTheme="majorEastAsia" w:hAnsi="Garamond"/>
          <w:lang w:val="en-US"/>
        </w:rPr>
        <w:t xml:space="preserve">Illiquidity is one of the most important factors for an investor that contributes to the premium on private credit investments. An investor cannot withdraw capital from such an investment for many years, and it may be impossible to exit this kind of investment before its maturity </w:t>
      </w:r>
      <w:r w:rsidR="00A974FF" w:rsidRPr="00F551EC">
        <w:rPr>
          <w:rFonts w:ascii="Garamond" w:eastAsiaTheme="majorEastAsia" w:hAnsi="Garamond"/>
          <w:lang w:val="en-US"/>
        </w:rPr>
        <w:t xml:space="preserve"> </w:t>
      </w:r>
      <w:r w:rsidR="00741EEE" w:rsidRPr="00F551EC">
        <w:rPr>
          <w:rFonts w:ascii="Garamond" w:eastAsiaTheme="majorEastAsia" w:hAnsi="Garamond"/>
          <w:lang w:val="en-US"/>
        </w:rPr>
        <w:fldChar w:fldCharType="begin"/>
      </w:r>
      <w:r w:rsidR="00593AF0">
        <w:rPr>
          <w:rFonts w:ascii="Garamond" w:eastAsiaTheme="majorEastAsia" w:hAnsi="Garamond"/>
          <w:lang w:val="en-US"/>
        </w:rPr>
        <w:instrText xml:space="preserve"> ADDIN EN.CITE &lt;EndNote&gt;&lt;Cite&gt;&lt;Author&gt;International Monetary Fund&lt;/Author&gt;&lt;Year&gt;2024&lt;/Year&gt;&lt;RecNum&gt;61&lt;/RecNum&gt;&lt;DisplayText&gt;(International Monetary Fund, 2024)&lt;/DisplayText&gt;&lt;record&gt;&lt;rec-number&gt;61&lt;/rec-number&gt;&lt;foreign-keys&gt;&lt;key app="EN" db-id="x2z5xfr9jx5dwcef50b5eedwwwr9x5pperdz" timestamp="1769384799"&gt;61&lt;/key&gt;&lt;/foreign-keys&gt;&lt;ref-type name="Book"&gt;6&lt;/ref-type&gt;&lt;contributors&gt;&lt;authors&gt;&lt;author&gt;International Monetary Fund,&lt;/author&gt;&lt;/authors&gt;&lt;/contributors&gt;&lt;titles&gt;&lt;title&gt;Global Financial Stability Report, April 2024: The Last Mile: Financial Vulnerabilities and Risks&lt;/title&gt;&lt;/titles&gt;&lt;dates&gt;&lt;year&gt;2024&lt;/year&gt;&lt;pub-dates&gt;&lt;date&gt;16 Apr. 2024&lt;/date&gt;&lt;/pub-dates&gt;&lt;/dates&gt;&lt;pub-location&gt;USA&lt;/pub-location&gt;&lt;publisher&gt;International Monetary Fund&lt;/publisher&gt;&lt;isbn&gt;9798400257704&lt;/isbn&gt;&lt;urls&gt;&lt;related-urls&gt;&lt;url&gt;https://www.elibrary.imf.org/view/book/9798400257704/9798400257704.xml&lt;/url&gt;&lt;/related-urls&gt;&lt;/urls&gt;&lt;electronic-resource-num&gt;10.5089/9798400257704.082&lt;/electronic-resource-num&gt;&lt;language&gt;English&lt;/language&gt;&lt;/record&gt;&lt;/Cite&gt;&lt;/EndNote&gt;</w:instrText>
      </w:r>
      <w:r w:rsidR="00741EEE" w:rsidRPr="00F551EC">
        <w:rPr>
          <w:rFonts w:ascii="Garamond" w:eastAsiaTheme="majorEastAsia" w:hAnsi="Garamond"/>
          <w:lang w:val="en-US"/>
        </w:rPr>
        <w:fldChar w:fldCharType="separate"/>
      </w:r>
      <w:r w:rsidR="00741EEE"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International Monetary Fund, 2024</w:t>
      </w:r>
      <w:r w:rsidR="00741EEE" w:rsidRPr="00F551EC">
        <w:rPr>
          <w:rFonts w:ascii="Garamond" w:eastAsiaTheme="majorEastAsia" w:hAnsi="Garamond"/>
          <w:noProof/>
          <w:lang w:val="en-US"/>
        </w:rPr>
        <w:t>)</w:t>
      </w:r>
      <w:r w:rsidR="00741EEE" w:rsidRPr="00F551EC">
        <w:rPr>
          <w:rFonts w:ascii="Garamond" w:eastAsiaTheme="majorEastAsia" w:hAnsi="Garamond"/>
          <w:lang w:val="en-US"/>
        </w:rPr>
        <w:fldChar w:fldCharType="end"/>
      </w:r>
      <w:r w:rsidR="00A974FF" w:rsidRPr="00F551EC">
        <w:rPr>
          <w:rFonts w:ascii="Garamond" w:eastAsiaTheme="majorEastAsia" w:hAnsi="Garamond"/>
          <w:lang w:val="en-US"/>
        </w:rPr>
        <w:t>.</w:t>
      </w:r>
    </w:p>
    <w:p w14:paraId="58DFCCFB" w14:textId="77777777" w:rsidR="00A974FF" w:rsidRPr="00A974FF" w:rsidRDefault="00A974FF" w:rsidP="001965FA">
      <w:pPr>
        <w:rPr>
          <w:rFonts w:eastAsiaTheme="majorEastAsia"/>
          <w:lang w:val="en-US"/>
        </w:rPr>
      </w:pPr>
    </w:p>
    <w:p w14:paraId="7F21AD7D" w14:textId="4A09815B" w:rsidR="00AB7916" w:rsidRPr="00AB7916" w:rsidRDefault="00A974FF" w:rsidP="00B44D4C">
      <w:pPr>
        <w:pStyle w:val="PargrafodaLista"/>
        <w:numPr>
          <w:ilvl w:val="0"/>
          <w:numId w:val="21"/>
        </w:numPr>
        <w:spacing w:line="360" w:lineRule="auto"/>
        <w:jc w:val="both"/>
        <w:rPr>
          <w:rFonts w:ascii="Garamond" w:eastAsiaTheme="majorEastAsia" w:hAnsi="Garamond"/>
          <w:lang w:val="en-US"/>
        </w:rPr>
      </w:pPr>
      <w:r w:rsidRPr="00A974FF">
        <w:rPr>
          <w:rFonts w:ascii="Garamond" w:eastAsiaTheme="majorEastAsia" w:hAnsi="Garamond"/>
          <w:b/>
          <w:bCs/>
          <w:lang w:val="en-US"/>
        </w:rPr>
        <w:t>Limitations in asset valuation and delayed price adjustments</w:t>
      </w:r>
    </w:p>
    <w:p w14:paraId="1CC78DEE" w14:textId="07A4E2C8" w:rsidR="00A974FF" w:rsidRPr="00F551EC" w:rsidRDefault="00A974FF" w:rsidP="00AB7916">
      <w:pPr>
        <w:pStyle w:val="PargrafodaLista"/>
        <w:spacing w:line="360" w:lineRule="auto"/>
        <w:jc w:val="both"/>
        <w:rPr>
          <w:rFonts w:ascii="Garamond" w:eastAsiaTheme="majorEastAsia" w:hAnsi="Garamond"/>
          <w:lang w:val="en-US"/>
        </w:rPr>
      </w:pPr>
      <w:r w:rsidRPr="00A974FF">
        <w:rPr>
          <w:rFonts w:ascii="Garamond" w:eastAsiaTheme="majorEastAsia" w:hAnsi="Garamond"/>
          <w:lang w:val="en-US"/>
        </w:rPr>
        <w:t xml:space="preserve"> </w:t>
      </w:r>
      <w:r w:rsidR="002F6B2E" w:rsidRPr="00F551EC">
        <w:rPr>
          <w:rFonts w:ascii="Garamond" w:eastAsiaTheme="majorEastAsia" w:hAnsi="Garamond"/>
          <w:lang w:val="en-US"/>
        </w:rPr>
        <w:t xml:space="preserve">Reduced activity in secondary markets means that private credit portfolios are valued less frequently than other assets traded in financial markets, reducing the apparent volatility of these assets and contributing to a more </w:t>
      </w:r>
      <w:proofErr w:type="spellStart"/>
      <w:r w:rsidR="002F6B2E" w:rsidRPr="00F551EC">
        <w:rPr>
          <w:rFonts w:ascii="Garamond" w:eastAsiaTheme="majorEastAsia" w:hAnsi="Garamond"/>
          <w:lang w:val="en-US"/>
        </w:rPr>
        <w:t>favourable</w:t>
      </w:r>
      <w:proofErr w:type="spellEnd"/>
      <w:r w:rsidR="002F6B2E" w:rsidRPr="00F551EC">
        <w:rPr>
          <w:rFonts w:ascii="Garamond" w:eastAsiaTheme="majorEastAsia" w:hAnsi="Garamond"/>
          <w:lang w:val="en-US"/>
        </w:rPr>
        <w:t xml:space="preserve"> perception of risk-adjusted performance</w:t>
      </w:r>
      <w:r w:rsidRPr="00F551EC">
        <w:rPr>
          <w:rFonts w:ascii="Garamond" w:eastAsiaTheme="majorEastAsia" w:hAnsi="Garamond"/>
          <w:lang w:val="en-US"/>
        </w:rPr>
        <w:t xml:space="preserve"> </w:t>
      </w:r>
      <w:r w:rsidR="00741EEE" w:rsidRPr="00F551EC">
        <w:rPr>
          <w:rFonts w:ascii="Garamond" w:eastAsiaTheme="majorEastAsia" w:hAnsi="Garamond"/>
          <w:lang w:val="en-US"/>
        </w:rPr>
        <w:fldChar w:fldCharType="begin"/>
      </w:r>
      <w:r w:rsidR="00593AF0">
        <w:rPr>
          <w:rFonts w:ascii="Garamond" w:eastAsiaTheme="majorEastAsia" w:hAnsi="Garamond"/>
          <w:lang w:val="en-US"/>
        </w:rPr>
        <w:instrText xml:space="preserve"> ADDIN EN.CITE &lt;EndNote&gt;&lt;Cite&gt;&lt;Author&gt;Zou&lt;/Author&gt;&lt;Year&gt;2026&lt;/Year&gt;&lt;RecNum&gt;69&lt;/RecNum&gt;&lt;DisplayText&gt;(Zou, 2026)&lt;/DisplayText&gt;&lt;record&gt;&lt;rec-number&gt;69&lt;/rec-number&gt;&lt;foreign-keys&gt;&lt;key app="EN" db-id="x2z5xfr9jx5dwcef50b5eedwwwr9x5pperdz" timestamp="1778059973"&gt;69&lt;/key&gt;&lt;/foreign-keys&gt;&lt;ref-type name="Book"&gt;6&lt;/ref-type&gt;&lt;contributors&gt;&lt;authors&gt;&lt;author&gt;Zou, Jiacheng&lt;/author&gt;&lt;/authors&gt;&lt;/contributors&gt;&lt;titles&gt;&lt;title&gt;Private Credit Markets Theory, Evidence, and Emerging Frontiers&lt;/title&gt;&lt;/titles&gt;&lt;dates&gt;&lt;year&gt;2026&lt;/year&gt;&lt;/dates&gt;&lt;urls&gt;&lt;/urls&gt;&lt;electronic-resource-num&gt;10.48550/arXiv.2603.14491&lt;/electronic-resource-num&gt;&lt;/record&gt;&lt;/Cite&gt;&lt;/EndNote&gt;</w:instrText>
      </w:r>
      <w:r w:rsidR="00741EEE" w:rsidRPr="00F551EC">
        <w:rPr>
          <w:rFonts w:ascii="Garamond" w:eastAsiaTheme="majorEastAsia" w:hAnsi="Garamond"/>
          <w:lang w:val="en-US"/>
        </w:rPr>
        <w:fldChar w:fldCharType="separate"/>
      </w:r>
      <w:r w:rsidR="00741EEE"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Zou, 2026</w:t>
      </w:r>
      <w:r w:rsidR="00741EEE" w:rsidRPr="00F551EC">
        <w:rPr>
          <w:rFonts w:ascii="Garamond" w:eastAsiaTheme="majorEastAsia" w:hAnsi="Garamond"/>
          <w:noProof/>
          <w:lang w:val="en-US"/>
        </w:rPr>
        <w:t>)</w:t>
      </w:r>
      <w:r w:rsidR="00741EEE" w:rsidRPr="00F551EC">
        <w:rPr>
          <w:rFonts w:ascii="Garamond" w:eastAsiaTheme="majorEastAsia" w:hAnsi="Garamond"/>
          <w:lang w:val="en-US"/>
        </w:rPr>
        <w:fldChar w:fldCharType="end"/>
      </w:r>
      <w:r w:rsidRPr="00F551EC">
        <w:rPr>
          <w:rFonts w:ascii="Garamond" w:eastAsiaTheme="majorEastAsia" w:hAnsi="Garamond"/>
          <w:lang w:val="en-US"/>
        </w:rPr>
        <w:t xml:space="preserve">. </w:t>
      </w:r>
      <w:r w:rsidR="002F6B2E" w:rsidRPr="00F551EC">
        <w:rPr>
          <w:rFonts w:ascii="Garamond" w:eastAsiaTheme="majorEastAsia" w:hAnsi="Garamond"/>
          <w:lang w:val="en-US"/>
        </w:rPr>
        <w:t>In turn, the incentive structure of fund managers can create situations that delay the recognition of losses during periods of fundraising or when the performance of these funds is being assessed</w:t>
      </w:r>
      <w:r w:rsidRPr="00F551EC">
        <w:rPr>
          <w:rFonts w:ascii="Garamond" w:eastAsiaTheme="majorEastAsia" w:hAnsi="Garamond"/>
          <w:lang w:val="en-US"/>
        </w:rPr>
        <w:t xml:space="preserve"> </w:t>
      </w:r>
      <w:r w:rsidR="00BA48D6" w:rsidRPr="00F551EC">
        <w:rPr>
          <w:rFonts w:ascii="Garamond" w:eastAsiaTheme="majorEastAsia" w:hAnsi="Garamond"/>
          <w:lang w:val="en-US"/>
        </w:rPr>
        <w:fldChar w:fldCharType="begin"/>
      </w:r>
      <w:r w:rsidR="00593AF0">
        <w:rPr>
          <w:rFonts w:ascii="Garamond" w:eastAsiaTheme="majorEastAsia" w:hAnsi="Garamond"/>
          <w:lang w:val="en-US"/>
        </w:rPr>
        <w:instrText xml:space="preserve"> ADDIN EN.CITE &lt;EndNote&gt;&lt;Cite&gt;&lt;Author&gt;International Monetary Fund&lt;/Author&gt;&lt;Year&gt;2024&lt;/Year&gt;&lt;RecNum&gt;61&lt;/RecNum&gt;&lt;DisplayText&gt;(International Monetary Fund, 2024)&lt;/DisplayText&gt;&lt;record&gt;&lt;rec-number&gt;61&lt;/rec-number&gt;&lt;foreign-keys&gt;&lt;key app="EN" db-id="x2z5xfr9jx5dwcef50b5eedwwwr9x5pperdz" timestamp="1769384799"&gt;61&lt;/key&gt;&lt;/foreign-keys&gt;&lt;ref-type name="Book"&gt;6&lt;/ref-type&gt;&lt;contributors&gt;&lt;authors&gt;&lt;author&gt;International Monetary Fund,&lt;/author&gt;&lt;/authors&gt;&lt;/contributors&gt;&lt;titles&gt;&lt;title&gt;Global Financial Stability Report, April 2024: The Last Mile: Financial Vulnerabilities and Risks&lt;/title&gt;&lt;/titles&gt;&lt;dates&gt;&lt;year&gt;2024&lt;/year&gt;&lt;pub-dates&gt;&lt;date&gt;16 Apr. 2024&lt;/date&gt;&lt;/pub-dates&gt;&lt;/dates&gt;&lt;pub-location&gt;USA&lt;/pub-location&gt;&lt;publisher&gt;International Monetary Fund&lt;/publisher&gt;&lt;isbn&gt;9798400257704&lt;/isbn&gt;&lt;urls&gt;&lt;related-urls&gt;&lt;url&gt;https://www.elibrary.imf.org/view/book/9798400257704/9798400257704.xml&lt;/url&gt;&lt;/related-urls&gt;&lt;/urls&gt;&lt;electronic-resource-num&gt;10.5089/9798400257704.082&lt;/electronic-resource-num&gt;&lt;language&gt;English&lt;/language&gt;&lt;/record&gt;&lt;/Cite&gt;&lt;/EndNote&gt;</w:instrText>
      </w:r>
      <w:r w:rsidR="00BA48D6" w:rsidRPr="00F551EC">
        <w:rPr>
          <w:rFonts w:ascii="Garamond" w:eastAsiaTheme="majorEastAsia" w:hAnsi="Garamond"/>
          <w:lang w:val="en-US"/>
        </w:rPr>
        <w:fldChar w:fldCharType="separate"/>
      </w:r>
      <w:r w:rsidR="00BA48D6"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International Monetary Fund, 2024</w:t>
      </w:r>
      <w:r w:rsidR="00BA48D6" w:rsidRPr="00F551EC">
        <w:rPr>
          <w:rFonts w:ascii="Garamond" w:eastAsiaTheme="majorEastAsia" w:hAnsi="Garamond"/>
          <w:noProof/>
          <w:lang w:val="en-US"/>
        </w:rPr>
        <w:t>)</w:t>
      </w:r>
      <w:r w:rsidR="00BA48D6" w:rsidRPr="00F551EC">
        <w:rPr>
          <w:rFonts w:ascii="Garamond" w:eastAsiaTheme="majorEastAsia" w:hAnsi="Garamond"/>
          <w:lang w:val="en-US"/>
        </w:rPr>
        <w:fldChar w:fldCharType="end"/>
      </w:r>
      <w:r w:rsidRPr="00F551EC">
        <w:rPr>
          <w:rFonts w:ascii="Garamond" w:eastAsiaTheme="majorEastAsia" w:hAnsi="Garamond"/>
          <w:lang w:val="en-US"/>
        </w:rPr>
        <w:t>.</w:t>
      </w:r>
    </w:p>
    <w:p w14:paraId="2E9CA7A6" w14:textId="77777777" w:rsidR="00A974FF" w:rsidRPr="00A974FF" w:rsidRDefault="00A974FF" w:rsidP="00A974FF">
      <w:pPr>
        <w:pStyle w:val="PargrafodaLista"/>
        <w:spacing w:line="360" w:lineRule="auto"/>
        <w:jc w:val="both"/>
        <w:rPr>
          <w:rFonts w:ascii="Garamond" w:eastAsiaTheme="majorEastAsia" w:hAnsi="Garamond"/>
          <w:lang w:val="en-US"/>
        </w:rPr>
      </w:pPr>
    </w:p>
    <w:p w14:paraId="478A96FC" w14:textId="66323872" w:rsidR="00AB7916" w:rsidRPr="00AB7916" w:rsidRDefault="00A974FF" w:rsidP="00693FF5">
      <w:pPr>
        <w:pStyle w:val="PargrafodaLista"/>
        <w:numPr>
          <w:ilvl w:val="0"/>
          <w:numId w:val="21"/>
        </w:numPr>
        <w:spacing w:line="360" w:lineRule="auto"/>
        <w:jc w:val="both"/>
        <w:rPr>
          <w:rFonts w:eastAsiaTheme="majorEastAsia"/>
          <w:lang w:val="en-US"/>
        </w:rPr>
      </w:pPr>
      <w:r w:rsidRPr="006F7929">
        <w:rPr>
          <w:rFonts w:ascii="Garamond" w:eastAsiaTheme="majorEastAsia" w:hAnsi="Garamond"/>
          <w:b/>
          <w:bCs/>
          <w:lang w:val="en-US"/>
        </w:rPr>
        <w:t>High financing costs</w:t>
      </w:r>
    </w:p>
    <w:p w14:paraId="669C7CED" w14:textId="2A107C02" w:rsidR="00A974FF" w:rsidRPr="00F551EC" w:rsidRDefault="006F7929" w:rsidP="00AB7916">
      <w:pPr>
        <w:pStyle w:val="PargrafodaLista"/>
        <w:spacing w:line="360" w:lineRule="auto"/>
        <w:jc w:val="both"/>
        <w:rPr>
          <w:rFonts w:ascii="Garamond" w:eastAsiaTheme="majorEastAsia" w:hAnsi="Garamond"/>
          <w:lang w:val="en-US"/>
        </w:rPr>
      </w:pPr>
      <w:r w:rsidRPr="00F551EC">
        <w:rPr>
          <w:rFonts w:ascii="Garamond" w:eastAsiaTheme="majorEastAsia" w:hAnsi="Garamond"/>
          <w:lang w:val="en-US"/>
        </w:rPr>
        <w:t>Compared with bank financing, private credit tends to entail a higher cost for the borrower, resulting in a premium of between 100 and 300 basis points. At the same time, lenders may require a higher level of monitoring and oversight of the company’s governance</w:t>
      </w:r>
      <w:r w:rsidR="00A974FF" w:rsidRPr="00F551EC">
        <w:rPr>
          <w:rFonts w:ascii="Garamond" w:eastAsiaTheme="majorEastAsia" w:hAnsi="Garamond"/>
          <w:lang w:val="en-US"/>
        </w:rPr>
        <w:t xml:space="preserve"> </w:t>
      </w:r>
      <w:r w:rsidR="006226B3" w:rsidRPr="00F551EC">
        <w:rPr>
          <w:rFonts w:ascii="Garamond" w:eastAsiaTheme="majorEastAsia" w:hAnsi="Garamond"/>
          <w:lang w:val="en-US"/>
        </w:rPr>
        <w:fldChar w:fldCharType="begin"/>
      </w:r>
      <w:r w:rsidR="00593AF0">
        <w:rPr>
          <w:rFonts w:ascii="Garamond" w:eastAsiaTheme="majorEastAsia" w:hAnsi="Garamond"/>
          <w:lang w:val="en-US"/>
        </w:rPr>
        <w:instrText xml:space="preserve"> ADDIN EN.CITE &lt;EndNote&gt;&lt;Cite&gt;&lt;Author&gt;N. Sambur&lt;/Author&gt;&lt;Year&gt;2025&lt;/Year&gt;&lt;RecNum&gt;73&lt;/RecNum&gt;&lt;DisplayText&gt;(N. Sambur &amp;amp; Minorini, 2025)&lt;/DisplayText&gt;&lt;record&gt;&lt;rec-number&gt;73&lt;/rec-number&gt;&lt;foreign-keys&gt;&lt;key app="EN" db-id="x2z5xfr9jx5dwcef50b5eedwwwr9x5pperdz" timestamp="1778068235"&gt;73&lt;/key&gt;&lt;/foreign-keys&gt;&lt;ref-type name="Journal Article"&gt;17&lt;/ref-type&gt;&lt;contributors&gt;&lt;authors&gt;&lt;author&gt;N. Sambur, Keith&lt;/author&gt;&lt;author&gt;Minorini, Sean&lt;/author&gt;&lt;/authors&gt;&lt;/contributors&gt;&lt;titles&gt;&lt;title&gt;The Private Credit Surge: Implications for Sponsors, Borrowers and Traditional Lending Structures&lt;/title&gt;&lt;secondary-title&gt;ABF Journal&lt;/secondary-title&gt;&lt;/titles&gt;&lt;periodical&gt;&lt;full-title&gt;ABF Journal&lt;/full-title&gt;&lt;/periodical&gt;&lt;dates&gt;&lt;year&gt;2025&lt;/year&gt;&lt;/dates&gt;&lt;urls&gt;&lt;related-urls&gt;&lt;url&gt;https://www.hklaw.com/en/insights/publications/2025/08/the-private-credit-surge-implications-for-sponsors&lt;/url&gt;&lt;/related-urls&gt;&lt;/urls&gt;&lt;/record&gt;&lt;/Cite&gt;&lt;/EndNote&gt;</w:instrText>
      </w:r>
      <w:r w:rsidR="006226B3" w:rsidRPr="00F551EC">
        <w:rPr>
          <w:rFonts w:ascii="Garamond" w:eastAsiaTheme="majorEastAsia" w:hAnsi="Garamond"/>
          <w:lang w:val="en-US"/>
        </w:rPr>
        <w:fldChar w:fldCharType="separate"/>
      </w:r>
      <w:r w:rsidR="006226B3"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N. Sambur &amp; Minorini, 2025</w:t>
      </w:r>
      <w:r w:rsidR="006226B3" w:rsidRPr="00F551EC">
        <w:rPr>
          <w:rFonts w:ascii="Garamond" w:eastAsiaTheme="majorEastAsia" w:hAnsi="Garamond"/>
          <w:noProof/>
          <w:lang w:val="en-US"/>
        </w:rPr>
        <w:t>)</w:t>
      </w:r>
      <w:r w:rsidR="006226B3" w:rsidRPr="00F551EC">
        <w:rPr>
          <w:rFonts w:ascii="Garamond" w:eastAsiaTheme="majorEastAsia" w:hAnsi="Garamond"/>
          <w:lang w:val="en-US"/>
        </w:rPr>
        <w:fldChar w:fldCharType="end"/>
      </w:r>
      <w:r w:rsidR="00A974FF" w:rsidRPr="00F551EC">
        <w:rPr>
          <w:rFonts w:ascii="Garamond" w:eastAsiaTheme="majorEastAsia" w:hAnsi="Garamond"/>
          <w:lang w:val="en-US"/>
        </w:rPr>
        <w:t xml:space="preserve">. </w:t>
      </w:r>
      <w:r w:rsidRPr="00F551EC">
        <w:rPr>
          <w:rFonts w:ascii="Garamond" w:eastAsiaTheme="majorEastAsia" w:hAnsi="Garamond"/>
          <w:lang w:val="en-US"/>
        </w:rPr>
        <w:t xml:space="preserve">For this reason, its use tends to prove </w:t>
      </w:r>
      <w:r w:rsidRPr="00F551EC">
        <w:rPr>
          <w:rFonts w:ascii="Garamond" w:eastAsiaTheme="majorEastAsia" w:hAnsi="Garamond"/>
          <w:lang w:val="en-US"/>
        </w:rPr>
        <w:lastRenderedPageBreak/>
        <w:t>less economically efficient for companies that have access to bank financing on competitive terms.</w:t>
      </w:r>
    </w:p>
    <w:p w14:paraId="69D3305C" w14:textId="77777777" w:rsidR="004631F1" w:rsidRPr="006F7929" w:rsidRDefault="004631F1" w:rsidP="00AB7916">
      <w:pPr>
        <w:pStyle w:val="PargrafodaLista"/>
        <w:spacing w:line="360" w:lineRule="auto"/>
        <w:jc w:val="both"/>
        <w:rPr>
          <w:rFonts w:eastAsiaTheme="majorEastAsia"/>
          <w:lang w:val="en-US"/>
        </w:rPr>
      </w:pPr>
    </w:p>
    <w:p w14:paraId="1A49B586" w14:textId="77777777" w:rsidR="004631F1" w:rsidRDefault="00A974FF" w:rsidP="00A974FF">
      <w:pPr>
        <w:pStyle w:val="PargrafodaLista"/>
        <w:numPr>
          <w:ilvl w:val="0"/>
          <w:numId w:val="21"/>
        </w:numPr>
        <w:spacing w:line="360" w:lineRule="auto"/>
        <w:jc w:val="both"/>
        <w:rPr>
          <w:rFonts w:ascii="Garamond" w:eastAsiaTheme="majorEastAsia" w:hAnsi="Garamond"/>
          <w:lang w:val="en-US"/>
        </w:rPr>
      </w:pPr>
      <w:r w:rsidRPr="00A974FF">
        <w:rPr>
          <w:rFonts w:ascii="Garamond" w:eastAsiaTheme="majorEastAsia" w:hAnsi="Garamond"/>
          <w:b/>
          <w:bCs/>
          <w:lang w:val="en-US"/>
        </w:rPr>
        <w:t>Systemic risk and interconnectedness</w:t>
      </w:r>
      <w:r w:rsidRPr="00A974FF">
        <w:rPr>
          <w:rFonts w:ascii="Garamond" w:eastAsiaTheme="majorEastAsia" w:hAnsi="Garamond"/>
          <w:lang w:val="en-US"/>
        </w:rPr>
        <w:t xml:space="preserve"> </w:t>
      </w:r>
    </w:p>
    <w:p w14:paraId="55842820" w14:textId="4FA65303" w:rsidR="00A974FF" w:rsidRPr="00F551EC" w:rsidRDefault="00B66BB9" w:rsidP="004631F1">
      <w:pPr>
        <w:pStyle w:val="PargrafodaLista"/>
        <w:spacing w:line="360" w:lineRule="auto"/>
        <w:jc w:val="both"/>
        <w:rPr>
          <w:rFonts w:ascii="Garamond" w:eastAsiaTheme="majorEastAsia" w:hAnsi="Garamond"/>
          <w:lang w:val="en-US"/>
        </w:rPr>
      </w:pPr>
      <w:r w:rsidRPr="00F551EC">
        <w:rPr>
          <w:rFonts w:ascii="Garamond" w:eastAsiaTheme="majorEastAsia" w:hAnsi="Garamond"/>
          <w:lang w:val="en-US"/>
        </w:rPr>
        <w:t>The private credit market has five vulnerabilities: the financial fragility of certain borrowers, the use of semi-liquid vehicles, the existence of multiple layers of leverage, valuation mismatches, and limited transparency among market participants. Although private credit funds use less leverage than banks, the complexity of these interconnections can amplify losses in a scenario of instability</w:t>
      </w:r>
      <w:r w:rsidR="0051216A" w:rsidRPr="00F551EC">
        <w:rPr>
          <w:rFonts w:ascii="Garamond" w:eastAsiaTheme="majorEastAsia" w:hAnsi="Garamond"/>
          <w:lang w:val="en-US"/>
        </w:rPr>
        <w:t xml:space="preserve"> </w:t>
      </w:r>
      <w:r w:rsidR="0051216A" w:rsidRPr="00F551EC">
        <w:rPr>
          <w:rFonts w:ascii="Garamond" w:eastAsiaTheme="majorEastAsia" w:hAnsi="Garamond"/>
          <w:lang w:val="en-US"/>
        </w:rPr>
        <w:fldChar w:fldCharType="begin"/>
      </w:r>
      <w:r w:rsidR="00593AF0">
        <w:rPr>
          <w:rFonts w:ascii="Garamond" w:eastAsiaTheme="majorEastAsia" w:hAnsi="Garamond"/>
          <w:lang w:val="en-US"/>
        </w:rPr>
        <w:instrText xml:space="preserve"> ADDIN EN.CITE &lt;EndNote&gt;&lt;Cite&gt;&lt;Author&gt;Bank for International Settlements&lt;/Author&gt;&lt;Year&gt;2025&lt;/Year&gt;&lt;RecNum&gt;77&lt;/RecNum&gt;&lt;DisplayText&gt;(Bank for International Settlements, 2025; International Monetary Fund, 2024)&lt;/DisplayText&gt;&lt;record&gt;&lt;rec-number&gt;77&lt;/rec-number&gt;&lt;foreign-keys&gt;&lt;key app="EN" db-id="x2z5xfr9jx5dwcef50b5eedwwwr9x5pperdz" timestamp="1778094724"&gt;77&lt;/key&gt;&lt;/foreign-keys&gt;&lt;ref-type name="Web Page"&gt;12&lt;/ref-type&gt;&lt;contributors&gt;&lt;authors&gt;&lt;author&gt;Bank for International Settlements,&lt;/author&gt;&lt;/authors&gt;&lt;/contributors&gt;&lt;titles&gt;&lt;title&gt;The Global Drivers of Private Credit&lt;/title&gt;&lt;/titles&gt;&lt;dates&gt;&lt;year&gt;2025&lt;/year&gt;&lt;/dates&gt;&lt;publisher&gt;BIS&lt;/publisher&gt;&lt;urls&gt;&lt;related-urls&gt;&lt;url&gt;https://www.bis.org/publ/qtrpdf/r_qt2503.htm&lt;/url&gt;&lt;/related-urls&gt;&lt;/urls&gt;&lt;/record&gt;&lt;/Cite&gt;&lt;Cite&gt;&lt;Author&gt;International Monetary Fund&lt;/Author&gt;&lt;Year&gt;2024&lt;/Year&gt;&lt;RecNum&gt;61&lt;/RecNum&gt;&lt;record&gt;&lt;rec-number&gt;61&lt;/rec-number&gt;&lt;foreign-keys&gt;&lt;key app="EN" db-id="x2z5xfr9jx5dwcef50b5eedwwwr9x5pperdz" timestamp="1769384799"&gt;61&lt;/key&gt;&lt;/foreign-keys&gt;&lt;ref-type name="Book"&gt;6&lt;/ref-type&gt;&lt;contributors&gt;&lt;authors&gt;&lt;author&gt;International Monetary Fund,&lt;/author&gt;&lt;/authors&gt;&lt;/contributors&gt;&lt;titles&gt;&lt;title&gt;Global Financial Stability Report, April 2024: The Last Mile: Financial Vulnerabilities and Risks&lt;/title&gt;&lt;/titles&gt;&lt;dates&gt;&lt;year&gt;2024&lt;/year&gt;&lt;pub-dates&gt;&lt;date&gt;16 Apr. 2024&lt;/date&gt;&lt;/pub-dates&gt;&lt;/dates&gt;&lt;pub-location&gt;USA&lt;/pub-location&gt;&lt;publisher&gt;International Monetary Fund&lt;/publisher&gt;&lt;isbn&gt;9798400257704&lt;/isbn&gt;&lt;urls&gt;&lt;related-urls&gt;&lt;url&gt;https://www.elibrary.imf.org/view/book/9798400257704/9798400257704.xml&lt;/url&gt;&lt;/related-urls&gt;&lt;/urls&gt;&lt;electronic-resource-num&gt;10.5089/9798400257704.082&lt;/electronic-resource-num&gt;&lt;language&gt;English&lt;/language&gt;&lt;/record&gt;&lt;/Cite&gt;&lt;/EndNote&gt;</w:instrText>
      </w:r>
      <w:r w:rsidR="0051216A" w:rsidRPr="00F551EC">
        <w:rPr>
          <w:rFonts w:ascii="Garamond" w:eastAsiaTheme="majorEastAsia" w:hAnsi="Garamond"/>
          <w:lang w:val="en-US"/>
        </w:rPr>
        <w:fldChar w:fldCharType="separate"/>
      </w:r>
      <w:r w:rsidR="0051216A"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Bank for International Settlements, 2025</w:t>
      </w:r>
      <w:r w:rsidR="0051216A" w:rsidRPr="00F551EC">
        <w:rPr>
          <w:rFonts w:ascii="Garamond" w:eastAsiaTheme="majorEastAsia" w:hAnsi="Garamond"/>
          <w:noProof/>
          <w:lang w:val="en-US"/>
        </w:rPr>
        <w:t xml:space="preserve">; </w:t>
      </w:r>
      <w:r w:rsidR="00593AF0" w:rsidRPr="00F551EC">
        <w:rPr>
          <w:rFonts w:ascii="Garamond" w:eastAsia="Times New Roman" w:hAnsi="Garamond" w:cs="Times New Roman"/>
          <w:noProof/>
          <w:kern w:val="0"/>
          <w:lang w:val="en-US" w:eastAsia="pt-PT"/>
          <w14:ligatures w14:val="none"/>
        </w:rPr>
        <w:t>International Monetary Fund, 2024</w:t>
      </w:r>
      <w:r w:rsidR="0051216A" w:rsidRPr="00F551EC">
        <w:rPr>
          <w:rFonts w:ascii="Garamond" w:eastAsiaTheme="majorEastAsia" w:hAnsi="Garamond"/>
          <w:noProof/>
          <w:lang w:val="en-US"/>
        </w:rPr>
        <w:t>)</w:t>
      </w:r>
      <w:r w:rsidR="0051216A" w:rsidRPr="00F551EC">
        <w:rPr>
          <w:rFonts w:ascii="Garamond" w:eastAsiaTheme="majorEastAsia" w:hAnsi="Garamond"/>
          <w:lang w:val="en-US"/>
        </w:rPr>
        <w:fldChar w:fldCharType="end"/>
      </w:r>
      <w:r w:rsidR="00A974FF" w:rsidRPr="00F551EC">
        <w:rPr>
          <w:rFonts w:ascii="Garamond" w:eastAsiaTheme="majorEastAsia" w:hAnsi="Garamond"/>
          <w:lang w:val="en-US"/>
        </w:rPr>
        <w:t>.</w:t>
      </w:r>
    </w:p>
    <w:p w14:paraId="7F91C05A" w14:textId="77777777" w:rsidR="001965FA" w:rsidRPr="00F551EC" w:rsidRDefault="001965FA" w:rsidP="001965FA">
      <w:pPr>
        <w:rPr>
          <w:rFonts w:ascii="Garamond" w:eastAsiaTheme="majorEastAsia" w:hAnsi="Garamond"/>
          <w:lang w:val="en-US"/>
        </w:rPr>
      </w:pPr>
    </w:p>
    <w:p w14:paraId="4922DE7E" w14:textId="4137F707" w:rsidR="00942820" w:rsidRPr="00942820" w:rsidRDefault="00942820" w:rsidP="00942820">
      <w:pPr>
        <w:pStyle w:val="PargrafodaLista"/>
        <w:numPr>
          <w:ilvl w:val="0"/>
          <w:numId w:val="21"/>
        </w:numPr>
        <w:spacing w:line="360" w:lineRule="auto"/>
        <w:jc w:val="both"/>
        <w:rPr>
          <w:rFonts w:ascii="Garamond" w:eastAsiaTheme="majorEastAsia" w:hAnsi="Garamond"/>
          <w:b/>
          <w:bCs/>
          <w:lang w:val="en-US"/>
        </w:rPr>
      </w:pPr>
      <w:r w:rsidRPr="00942820">
        <w:rPr>
          <w:rFonts w:ascii="Garamond" w:eastAsiaTheme="majorEastAsia" w:hAnsi="Garamond"/>
          <w:b/>
          <w:bCs/>
          <w:lang w:val="en-US"/>
        </w:rPr>
        <w:t>Performance and Impact of Fees</w:t>
      </w:r>
    </w:p>
    <w:p w14:paraId="203C5E48" w14:textId="368F330F" w:rsidR="00A974FF" w:rsidRPr="00F551EC" w:rsidRDefault="00D74B43" w:rsidP="004631F1">
      <w:pPr>
        <w:pStyle w:val="PargrafodaLista"/>
        <w:spacing w:line="360" w:lineRule="auto"/>
        <w:jc w:val="both"/>
        <w:rPr>
          <w:rFonts w:ascii="Garamond" w:eastAsiaTheme="majorEastAsia" w:hAnsi="Garamond"/>
          <w:lang w:val="en-US"/>
        </w:rPr>
      </w:pPr>
      <w:r w:rsidRPr="00F551EC">
        <w:rPr>
          <w:rFonts w:ascii="Garamond" w:eastAsiaTheme="majorEastAsia" w:hAnsi="Garamond"/>
          <w:lang w:val="en-US"/>
        </w:rPr>
        <w:t xml:space="preserve">The problem with assessing the performance of risk-adjusted assets in the private credit market arises from the inability to draw parallels with other types of assets. The structure of the fees that are usually tied to such investments and consist of management fees, accrued interest, and origination fees results in lower gains for investors </w:t>
      </w:r>
      <w:r w:rsidR="0051216A" w:rsidRPr="00F551EC">
        <w:rPr>
          <w:rFonts w:ascii="Garamond" w:eastAsiaTheme="majorEastAsia" w:hAnsi="Garamond"/>
          <w:lang w:val="en-US"/>
        </w:rPr>
        <w:fldChar w:fldCharType="begin">
          <w:fldData xml:space="preserve">PEVuZE5vdGU+PENpdGU+PEF1dGhvcj5CbG9jazwvQXV0aG9yPjxZZWFyPjIwMjQ8L1llYXI+PFJl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</w:fldData>
        </w:fldChar>
      </w:r>
      <w:r w:rsidR="00593AF0">
        <w:rPr>
          <w:rFonts w:ascii="Garamond" w:eastAsiaTheme="majorEastAsia" w:hAnsi="Garamond"/>
          <w:lang w:val="en-US"/>
        </w:rPr>
        <w:instrText xml:space="preserve"> ADDIN EN.CITE </w:instrText>
      </w:r>
      <w:r w:rsidR="00593AF0">
        <w:rPr>
          <w:rFonts w:ascii="Garamond" w:eastAsiaTheme="majorEastAsia" w:hAnsi="Garamond"/>
          <w:lang w:val="en-US"/>
        </w:rPr>
        <w:fldChar w:fldCharType="begin">
          <w:fldData xml:space="preserve">PEVuZE5vdGU+PENpdGU+PEF1dGhvcj5CbG9jazwvQXV0aG9yPjxZZWFyPjIwMjQ8L1llYXI+PFJl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</w:fldData>
        </w:fldChar>
      </w:r>
      <w:r w:rsidR="00593AF0">
        <w:rPr>
          <w:rFonts w:ascii="Garamond" w:eastAsiaTheme="majorEastAsia" w:hAnsi="Garamond"/>
          <w:lang w:val="en-US"/>
        </w:rPr>
        <w:instrText xml:space="preserve"> ADDIN EN.CITE.DATA </w:instrText>
      </w:r>
      <w:r w:rsidR="00593AF0">
        <w:rPr>
          <w:rFonts w:ascii="Garamond" w:eastAsiaTheme="majorEastAsia" w:hAnsi="Garamond"/>
          <w:lang w:val="en-US"/>
        </w:rPr>
      </w:r>
      <w:r w:rsidR="00593AF0">
        <w:rPr>
          <w:rFonts w:ascii="Garamond" w:eastAsiaTheme="majorEastAsia" w:hAnsi="Garamond"/>
          <w:lang w:val="en-US"/>
        </w:rPr>
        <w:fldChar w:fldCharType="end"/>
      </w:r>
      <w:r w:rsidR="0051216A" w:rsidRPr="00F551EC">
        <w:rPr>
          <w:rFonts w:ascii="Garamond" w:eastAsiaTheme="majorEastAsia" w:hAnsi="Garamond"/>
          <w:lang w:val="en-US"/>
        </w:rPr>
      </w:r>
      <w:r w:rsidR="0051216A" w:rsidRPr="00F551EC">
        <w:rPr>
          <w:rFonts w:ascii="Garamond" w:eastAsiaTheme="majorEastAsia" w:hAnsi="Garamond"/>
          <w:lang w:val="en-US"/>
        </w:rPr>
        <w:fldChar w:fldCharType="separate"/>
      </w:r>
      <w:r w:rsidR="0051216A"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Block et al., 2024</w:t>
      </w:r>
      <w:r w:rsidR="0051216A" w:rsidRPr="00F551EC">
        <w:rPr>
          <w:rFonts w:ascii="Garamond" w:eastAsiaTheme="majorEastAsia" w:hAnsi="Garamond"/>
          <w:noProof/>
          <w:lang w:val="en-US"/>
        </w:rPr>
        <w:t xml:space="preserve">; </w:t>
      </w:r>
      <w:r w:rsidR="00593AF0" w:rsidRPr="00F551EC">
        <w:rPr>
          <w:rFonts w:ascii="Garamond" w:eastAsia="Times New Roman" w:hAnsi="Garamond" w:cs="Times New Roman"/>
          <w:noProof/>
          <w:kern w:val="0"/>
          <w:lang w:val="en-US" w:eastAsia="pt-PT"/>
          <w14:ligatures w14:val="none"/>
        </w:rPr>
        <w:t>Chernenko et al., 2022</w:t>
      </w:r>
      <w:r w:rsidR="0051216A" w:rsidRPr="00F551EC">
        <w:rPr>
          <w:rFonts w:ascii="Garamond" w:eastAsiaTheme="majorEastAsia" w:hAnsi="Garamond"/>
          <w:noProof/>
          <w:lang w:val="en-US"/>
        </w:rPr>
        <w:t xml:space="preserve">; </w:t>
      </w:r>
      <w:r w:rsidR="00593AF0" w:rsidRPr="00F551EC">
        <w:rPr>
          <w:rFonts w:ascii="Garamond" w:eastAsia="Times New Roman" w:hAnsi="Garamond" w:cs="Times New Roman"/>
          <w:noProof/>
          <w:kern w:val="0"/>
          <w:lang w:val="en-US" w:eastAsia="pt-PT"/>
          <w14:ligatures w14:val="none"/>
        </w:rPr>
        <w:t>Zou, 2026</w:t>
      </w:r>
      <w:r w:rsidR="0051216A" w:rsidRPr="00F551EC">
        <w:rPr>
          <w:rFonts w:ascii="Garamond" w:eastAsiaTheme="majorEastAsia" w:hAnsi="Garamond"/>
          <w:noProof/>
          <w:lang w:val="en-US"/>
        </w:rPr>
        <w:t>)</w:t>
      </w:r>
      <w:r w:rsidR="0051216A" w:rsidRPr="00F551EC">
        <w:rPr>
          <w:rFonts w:ascii="Garamond" w:eastAsiaTheme="majorEastAsia" w:hAnsi="Garamond"/>
          <w:lang w:val="en-US"/>
        </w:rPr>
        <w:fldChar w:fldCharType="end"/>
      </w:r>
      <w:r w:rsidR="00A974FF" w:rsidRPr="00F551EC">
        <w:rPr>
          <w:rFonts w:ascii="Garamond" w:eastAsiaTheme="majorEastAsia" w:hAnsi="Garamond"/>
          <w:lang w:val="en-US"/>
        </w:rPr>
        <w:t>.</w:t>
      </w:r>
    </w:p>
    <w:p w14:paraId="0B2B7722" w14:textId="77777777" w:rsidR="00A974FF" w:rsidRPr="00F551EC" w:rsidRDefault="00A974FF" w:rsidP="001965FA">
      <w:pPr>
        <w:rPr>
          <w:rFonts w:ascii="Garamond" w:eastAsiaTheme="majorEastAsia" w:hAnsi="Garamond"/>
          <w:lang w:val="en-US"/>
        </w:rPr>
      </w:pPr>
    </w:p>
    <w:p w14:paraId="0A431205" w14:textId="77777777" w:rsidR="00C14630" w:rsidRDefault="00C14630" w:rsidP="00C14630">
      <w:pPr>
        <w:pStyle w:val="PargrafodaLista"/>
        <w:numPr>
          <w:ilvl w:val="0"/>
          <w:numId w:val="21"/>
        </w:numPr>
        <w:spacing w:line="360" w:lineRule="auto"/>
        <w:jc w:val="both"/>
        <w:rPr>
          <w:rFonts w:ascii="Garamond" w:eastAsiaTheme="majorEastAsia" w:hAnsi="Garamond"/>
          <w:b/>
          <w:bCs/>
          <w:lang w:val="en-US"/>
        </w:rPr>
      </w:pPr>
      <w:r w:rsidRPr="00C14630">
        <w:rPr>
          <w:rFonts w:ascii="Garamond" w:eastAsiaTheme="majorEastAsia" w:hAnsi="Garamond"/>
          <w:b/>
          <w:bCs/>
          <w:lang w:val="en-US"/>
        </w:rPr>
        <w:t>Borrower Credit Risk</w:t>
      </w:r>
    </w:p>
    <w:p w14:paraId="6FB3EC43" w14:textId="4ACD1821" w:rsidR="001965FA" w:rsidRPr="00F551EC" w:rsidRDefault="00157C33" w:rsidP="004631F1">
      <w:pPr>
        <w:pStyle w:val="PargrafodaLista"/>
        <w:spacing w:line="360" w:lineRule="auto"/>
        <w:jc w:val="both"/>
        <w:rPr>
          <w:rFonts w:ascii="Garamond" w:eastAsiaTheme="majorEastAsia" w:hAnsi="Garamond"/>
          <w:lang w:val="en-US"/>
        </w:rPr>
      </w:pPr>
      <w:r w:rsidRPr="00F551EC">
        <w:rPr>
          <w:rFonts w:ascii="Garamond" w:eastAsiaTheme="majorEastAsia" w:hAnsi="Garamond"/>
          <w:lang w:val="en-US"/>
        </w:rPr>
        <w:t xml:space="preserve">The clients who resort to private credit alternatives usually find themselves in a relatively more vulnerable financial state than corporate </w:t>
      </w:r>
      <w:proofErr w:type="spellStart"/>
      <w:r w:rsidRPr="00F551EC">
        <w:rPr>
          <w:rFonts w:ascii="Garamond" w:eastAsiaTheme="majorEastAsia" w:hAnsi="Garamond"/>
          <w:lang w:val="en-US"/>
        </w:rPr>
        <w:t>organi</w:t>
      </w:r>
      <w:r w:rsidR="008A5228" w:rsidRPr="00F551EC">
        <w:rPr>
          <w:rFonts w:ascii="Garamond" w:eastAsiaTheme="majorEastAsia" w:hAnsi="Garamond"/>
          <w:lang w:val="en-US"/>
        </w:rPr>
        <w:t>s</w:t>
      </w:r>
      <w:r w:rsidRPr="00F551EC">
        <w:rPr>
          <w:rFonts w:ascii="Garamond" w:eastAsiaTheme="majorEastAsia" w:hAnsi="Garamond"/>
          <w:lang w:val="en-US"/>
        </w:rPr>
        <w:t>ations</w:t>
      </w:r>
      <w:proofErr w:type="spellEnd"/>
      <w:r w:rsidRPr="00F551EC">
        <w:rPr>
          <w:rFonts w:ascii="Garamond" w:eastAsiaTheme="majorEastAsia" w:hAnsi="Garamond"/>
          <w:lang w:val="en-US"/>
        </w:rPr>
        <w:t xml:space="preserve"> receiving financing from conventional bank structures. Hence, private credit collections usually consist of a greater number of risky clients </w:t>
      </w:r>
      <w:r w:rsidR="0051216A" w:rsidRPr="00F551EC">
        <w:rPr>
          <w:rFonts w:ascii="Garamond" w:eastAsiaTheme="majorEastAsia" w:hAnsi="Garamond"/>
          <w:lang w:val="en-US"/>
        </w:rPr>
        <w:fldChar w:fldCharType="begin"/>
      </w:r>
      <w:r w:rsidR="009A7A70" w:rsidRPr="00F551EC">
        <w:rPr>
          <w:rFonts w:ascii="Garamond" w:eastAsiaTheme="majorEastAsia" w:hAnsi="Garamond"/>
          <w:lang w:val="en-US"/>
        </w:rPr>
        <w:instrText xml:space="preserve"> ADDIN EN.CITE &lt;EndNote&gt;&lt;Cite&gt;&lt;Author&gt;Chernenko&lt;/Author&gt;&lt;Year&gt;2022&lt;/Year&gt;&lt;RecNum&gt;16&lt;/RecNum&gt;&lt;DisplayText&gt;(Chernenko et al., 2022)&lt;/DisplayText&gt;&lt;record&gt;&lt;rec-number&gt;16&lt;/rec-number&gt;&lt;foreign-keys&gt;&lt;key app="EN" db-id="sxxdsp95kwt90peaaeyx9etk2zp0zfp5aaxs" timestamp="1782068927"&gt;16&lt;/key&gt;&lt;/foreign-keys&gt;&lt;ref-type name="Journal Article"&gt;17&lt;/ref-type&gt;&lt;contributors&gt;&lt;authors&gt;&lt;author&gt;Chernenko, Sergey&lt;/author&gt;&lt;author&gt;Erel, Isil&lt;/author&gt;&lt;author&gt;Prilmeier, Robert&lt;/author&gt;&lt;/authors&gt;&lt;/contributors&gt;&lt;titles&gt;&lt;title&gt;Why Do Firms Borrow Directly from Nonbanks?&lt;/title&gt;&lt;secondary-title&gt;The Review of Financial Studies&lt;/secondary-title&gt;&lt;/titles&gt;&lt;periodical&gt;&lt;full-title&gt;The Review of Financial Studies&lt;/full-title&gt;&lt;/periodical&gt;&lt;pages&gt;4902-4947&lt;/pages&gt;&lt;volume&gt;35&lt;/volume&gt;&lt;number&gt;11&lt;/number&gt;&lt;dates&gt;&lt;year&gt;2022&lt;/year&gt;&lt;/dates&gt;&lt;isbn&gt;0893-9454&lt;/isbn&gt;&lt;urls&gt;&lt;related-urls&gt;&lt;url&gt;https://doi.org/10.1093/rfs/hhac016&lt;/url&gt;&lt;/related-urls&gt;&lt;/urls&gt;&lt;electronic-resource-num&gt;10.1093/rfs/hhac016&lt;/electronic-resource-num&gt;&lt;access-date&gt;12/26/2025&lt;/access-date&gt;&lt;/record&gt;&lt;/Cite&gt;&lt;/EndNote&gt;</w:instrText>
      </w:r>
      <w:r w:rsidR="0051216A" w:rsidRPr="00F551EC">
        <w:rPr>
          <w:rFonts w:ascii="Garamond" w:eastAsiaTheme="majorEastAsia" w:hAnsi="Garamond"/>
          <w:lang w:val="en-US"/>
        </w:rPr>
        <w:fldChar w:fldCharType="separate"/>
      </w:r>
      <w:r w:rsidR="0051216A" w:rsidRPr="00F551EC">
        <w:rPr>
          <w:rFonts w:ascii="Garamond" w:eastAsiaTheme="majorEastAsia" w:hAnsi="Garamond"/>
          <w:noProof/>
          <w:lang w:val="en-US"/>
        </w:rPr>
        <w:t>(</w:t>
      </w:r>
      <w:r w:rsidR="00593AF0" w:rsidRPr="00F551EC">
        <w:rPr>
          <w:rFonts w:ascii="Garamond" w:eastAsia="Times New Roman" w:hAnsi="Garamond" w:cs="Times New Roman"/>
          <w:noProof/>
          <w:kern w:val="0"/>
          <w:lang w:val="en-US" w:eastAsia="pt-PT"/>
          <w14:ligatures w14:val="none"/>
        </w:rPr>
        <w:t>Chernenko et al., 2022</w:t>
      </w:r>
      <w:r w:rsidR="0051216A" w:rsidRPr="00F551EC">
        <w:rPr>
          <w:rFonts w:ascii="Garamond" w:eastAsiaTheme="majorEastAsia" w:hAnsi="Garamond"/>
          <w:noProof/>
          <w:lang w:val="en-US"/>
        </w:rPr>
        <w:t>)</w:t>
      </w:r>
      <w:r w:rsidR="0051216A" w:rsidRPr="00F551EC">
        <w:rPr>
          <w:rFonts w:ascii="Garamond" w:eastAsiaTheme="majorEastAsia" w:hAnsi="Garamond"/>
          <w:lang w:val="en-US"/>
        </w:rPr>
        <w:fldChar w:fldCharType="end"/>
      </w:r>
      <w:r w:rsidR="00065118" w:rsidRPr="00F551EC">
        <w:rPr>
          <w:rFonts w:ascii="Garamond" w:eastAsiaTheme="majorEastAsia" w:hAnsi="Garamond"/>
          <w:lang w:val="en-US"/>
        </w:rPr>
        <w:t>.</w:t>
      </w:r>
    </w:p>
    <w:bookmarkEnd w:id="35"/>
    <w:bookmarkEnd w:id="36"/>
    <w:p w14:paraId="69466248" w14:textId="77777777" w:rsidR="002B2421" w:rsidRDefault="002B2421" w:rsidP="002B2421">
      <w:pPr>
        <w:spacing w:line="360" w:lineRule="auto"/>
        <w:ind w:firstLine="360"/>
        <w:jc w:val="both"/>
        <w:rPr>
          <w:rFonts w:ascii="Garamond" w:hAnsi="Garamond"/>
          <w:color w:val="000000" w:themeColor="text1"/>
          <w:lang w:val="en-US"/>
        </w:rPr>
      </w:pPr>
    </w:p>
    <w:p w14:paraId="711FA279" w14:textId="77777777" w:rsidR="00B516E7" w:rsidRDefault="00B516E7" w:rsidP="002B2421">
      <w:pPr>
        <w:spacing w:line="360" w:lineRule="auto"/>
        <w:ind w:firstLine="360"/>
        <w:jc w:val="both"/>
        <w:rPr>
          <w:rFonts w:ascii="Garamond" w:hAnsi="Garamond"/>
          <w:color w:val="000000" w:themeColor="text1"/>
          <w:lang w:val="en-US"/>
        </w:rPr>
      </w:pPr>
    </w:p>
    <w:p w14:paraId="6BE8141E" w14:textId="77777777" w:rsidR="00B516E7" w:rsidRDefault="00B516E7" w:rsidP="002B2421">
      <w:pPr>
        <w:spacing w:line="360" w:lineRule="auto"/>
        <w:ind w:firstLine="360"/>
        <w:jc w:val="both"/>
        <w:rPr>
          <w:rFonts w:ascii="Garamond" w:hAnsi="Garamond"/>
          <w:color w:val="000000" w:themeColor="text1"/>
          <w:lang w:val="en-US"/>
        </w:rPr>
      </w:pPr>
    </w:p>
    <w:p w14:paraId="2D7923CD" w14:textId="77777777" w:rsidR="00B516E7" w:rsidRDefault="00B516E7" w:rsidP="002B2421">
      <w:pPr>
        <w:spacing w:line="360" w:lineRule="auto"/>
        <w:ind w:firstLine="360"/>
        <w:jc w:val="both"/>
        <w:rPr>
          <w:rFonts w:ascii="Garamond" w:hAnsi="Garamond"/>
          <w:color w:val="000000" w:themeColor="text1"/>
          <w:lang w:val="en-US"/>
        </w:rPr>
      </w:pPr>
    </w:p>
    <w:p w14:paraId="2ABFFFC6" w14:textId="77777777" w:rsidR="00B516E7" w:rsidRDefault="00B516E7" w:rsidP="002B2421">
      <w:pPr>
        <w:spacing w:line="360" w:lineRule="auto"/>
        <w:ind w:firstLine="360"/>
        <w:jc w:val="both"/>
        <w:rPr>
          <w:rFonts w:ascii="Garamond" w:hAnsi="Garamond"/>
          <w:color w:val="000000" w:themeColor="text1"/>
          <w:lang w:val="en-US"/>
        </w:rPr>
      </w:pPr>
    </w:p>
    <w:p w14:paraId="66353AF1" w14:textId="77777777" w:rsidR="00B516E7" w:rsidRDefault="00B516E7" w:rsidP="002B2421">
      <w:pPr>
        <w:spacing w:line="360" w:lineRule="auto"/>
        <w:ind w:firstLine="360"/>
        <w:jc w:val="both"/>
        <w:rPr>
          <w:rFonts w:ascii="Garamond" w:hAnsi="Garamond"/>
          <w:color w:val="000000" w:themeColor="text1"/>
          <w:lang w:val="en-US"/>
        </w:rPr>
      </w:pPr>
    </w:p>
    <w:p w14:paraId="08B6C4E9" w14:textId="77777777" w:rsidR="00B516E7" w:rsidRDefault="00B516E7" w:rsidP="002B2421">
      <w:pPr>
        <w:spacing w:line="360" w:lineRule="auto"/>
        <w:ind w:firstLine="360"/>
        <w:jc w:val="both"/>
        <w:rPr>
          <w:rFonts w:ascii="Garamond" w:hAnsi="Garamond"/>
          <w:color w:val="000000" w:themeColor="text1"/>
          <w:lang w:val="en-US"/>
        </w:rPr>
      </w:pPr>
    </w:p>
    <w:p w14:paraId="5E39C86A" w14:textId="77777777" w:rsidR="00B516E7" w:rsidRDefault="00B516E7" w:rsidP="002B2421">
      <w:pPr>
        <w:spacing w:line="360" w:lineRule="auto"/>
        <w:ind w:firstLine="360"/>
        <w:jc w:val="both"/>
        <w:rPr>
          <w:rFonts w:ascii="Garamond" w:hAnsi="Garamond"/>
          <w:color w:val="000000" w:themeColor="text1"/>
          <w:lang w:val="en-US"/>
        </w:rPr>
      </w:pPr>
    </w:p>
    <w:p w14:paraId="0A667985" w14:textId="77777777" w:rsidR="00B516E7" w:rsidRDefault="00B516E7" w:rsidP="002B2421">
      <w:pPr>
        <w:spacing w:line="360" w:lineRule="auto"/>
        <w:ind w:firstLine="360"/>
        <w:jc w:val="both"/>
        <w:rPr>
          <w:rFonts w:ascii="Garamond" w:hAnsi="Garamond"/>
          <w:color w:val="000000" w:themeColor="text1"/>
          <w:lang w:val="en-US"/>
        </w:rPr>
      </w:pPr>
    </w:p>
    <w:p w14:paraId="113FC898" w14:textId="77777777" w:rsidR="00B516E7" w:rsidRDefault="00B516E7" w:rsidP="002B2421">
      <w:pPr>
        <w:spacing w:line="360" w:lineRule="auto"/>
        <w:ind w:firstLine="360"/>
        <w:jc w:val="both"/>
        <w:rPr>
          <w:rFonts w:ascii="Garamond" w:hAnsi="Garamond"/>
          <w:color w:val="000000" w:themeColor="text1"/>
          <w:lang w:val="en-US"/>
        </w:rPr>
      </w:pPr>
    </w:p>
    <w:p w14:paraId="5DC98A05" w14:textId="2C961BDD" w:rsidR="00142F7D" w:rsidRDefault="00BB0C11" w:rsidP="00D31DBA">
      <w:pPr>
        <w:pStyle w:val="Ttulo1"/>
        <w:rPr>
          <w:rFonts w:ascii="Garamond" w:hAnsi="Garamond"/>
          <w:b/>
          <w:bCs/>
          <w:color w:val="000000" w:themeColor="text1"/>
          <w:sz w:val="28"/>
          <w:szCs w:val="28"/>
        </w:rPr>
      </w:pPr>
      <w:bookmarkStart w:id="37" w:name="_Toc233142900"/>
      <w:r>
        <w:rPr>
          <w:rFonts w:ascii="Garamond" w:hAnsi="Garamond"/>
          <w:b/>
          <w:bCs/>
          <w:color w:val="000000" w:themeColor="text1"/>
          <w:sz w:val="28"/>
          <w:szCs w:val="28"/>
        </w:rPr>
        <w:lastRenderedPageBreak/>
        <w:t>4</w:t>
      </w:r>
      <w:r w:rsidR="00142F7D" w:rsidRPr="00142F7D">
        <w:rPr>
          <w:rFonts w:ascii="Garamond" w:hAnsi="Garamond"/>
          <w:b/>
          <w:bCs/>
          <w:color w:val="000000" w:themeColor="text1"/>
          <w:sz w:val="28"/>
          <w:szCs w:val="28"/>
        </w:rPr>
        <w:t>. Research Problem and Methodology</w:t>
      </w:r>
      <w:bookmarkEnd w:id="37"/>
    </w:p>
    <w:p w14:paraId="4EC443C0" w14:textId="77777777" w:rsidR="00D31DBA" w:rsidRPr="00D31DBA" w:rsidRDefault="00D31DBA" w:rsidP="00D31DBA">
      <w:pPr>
        <w:rPr>
          <w:lang w:eastAsia="en-US"/>
        </w:rPr>
      </w:pPr>
    </w:p>
    <w:p w14:paraId="5F91884A" w14:textId="1F20DB31" w:rsidR="00D31DBA" w:rsidRPr="002254DA" w:rsidRDefault="00142F7D" w:rsidP="00142F7D">
      <w:pPr>
        <w:spacing w:line="360" w:lineRule="auto"/>
        <w:ind w:firstLine="360"/>
        <w:jc w:val="both"/>
        <w:rPr>
          <w:rFonts w:ascii="Garamond" w:eastAsiaTheme="majorEastAsia" w:hAnsi="Garamond" w:cstheme="majorBidi"/>
          <w:color w:val="000000" w:themeColor="text1"/>
          <w:kern w:val="2"/>
          <w:szCs w:val="28"/>
          <w:lang w:val="en-US" w:eastAsia="en-US"/>
          <w14:ligatures w14:val="standardContextual"/>
        </w:rPr>
      </w:pPr>
      <w:r w:rsidRPr="002254DA">
        <w:rPr>
          <w:rFonts w:ascii="Garamond" w:eastAsiaTheme="majorEastAsia" w:hAnsi="Garamond" w:cstheme="majorBidi"/>
          <w:color w:val="000000" w:themeColor="text1"/>
          <w:kern w:val="2"/>
          <w:szCs w:val="28"/>
          <w:lang w:val="en-US" w:eastAsia="en-US"/>
          <w14:ligatures w14:val="standardContextual"/>
        </w:rPr>
        <w:t xml:space="preserve">The chapter connects the discussion of the placement experience provided in the previous chapters to the core of the report that is discussed in Chapter </w:t>
      </w:r>
      <w:r w:rsidR="00A06B25">
        <w:rPr>
          <w:rFonts w:ascii="Garamond" w:eastAsiaTheme="majorEastAsia" w:hAnsi="Garamond" w:cstheme="majorBidi"/>
          <w:color w:val="000000" w:themeColor="text1"/>
          <w:kern w:val="2"/>
          <w:szCs w:val="28"/>
          <w:lang w:val="en-US" w:eastAsia="en-US"/>
          <w14:ligatures w14:val="standardContextual"/>
        </w:rPr>
        <w:t>5</w:t>
      </w:r>
      <w:r w:rsidRPr="002254DA">
        <w:rPr>
          <w:rFonts w:ascii="Garamond" w:eastAsiaTheme="majorEastAsia" w:hAnsi="Garamond" w:cstheme="majorBidi"/>
          <w:color w:val="000000" w:themeColor="text1"/>
          <w:kern w:val="2"/>
          <w:szCs w:val="28"/>
          <w:lang w:val="en-US" w:eastAsia="en-US"/>
          <w14:ligatures w14:val="standardContextual"/>
        </w:rPr>
        <w:t xml:space="preserve">. The chapter provides an answer to the question of what is needed to make the presentation of the methodology clear. The chapter starts with stating the research problem and its goals (Section </w:t>
      </w:r>
      <w:r w:rsidR="00767B04">
        <w:rPr>
          <w:rFonts w:ascii="Garamond" w:eastAsiaTheme="majorEastAsia" w:hAnsi="Garamond" w:cstheme="majorBidi"/>
          <w:color w:val="000000" w:themeColor="text1"/>
          <w:kern w:val="2"/>
          <w:szCs w:val="28"/>
          <w:lang w:val="en-US" w:eastAsia="en-US"/>
          <w14:ligatures w14:val="standardContextual"/>
        </w:rPr>
        <w:t>4.1</w:t>
      </w:r>
      <w:r w:rsidRPr="002254DA">
        <w:rPr>
          <w:rFonts w:ascii="Garamond" w:eastAsiaTheme="majorEastAsia" w:hAnsi="Garamond" w:cstheme="majorBidi"/>
          <w:color w:val="000000" w:themeColor="text1"/>
          <w:kern w:val="2"/>
          <w:szCs w:val="28"/>
          <w:lang w:val="en-US" w:eastAsia="en-US"/>
          <w14:ligatures w14:val="standardContextual"/>
        </w:rPr>
        <w:t xml:space="preserve">), continues with the description of the methodological approach to solving the problem (Section </w:t>
      </w:r>
      <w:r w:rsidR="00767B04">
        <w:rPr>
          <w:rFonts w:ascii="Garamond" w:eastAsiaTheme="majorEastAsia" w:hAnsi="Garamond" w:cstheme="majorBidi"/>
          <w:color w:val="000000" w:themeColor="text1"/>
          <w:kern w:val="2"/>
          <w:szCs w:val="28"/>
          <w:lang w:val="en-US" w:eastAsia="en-US"/>
          <w14:ligatures w14:val="standardContextual"/>
        </w:rPr>
        <w:t>4</w:t>
      </w:r>
      <w:r w:rsidRPr="002254DA">
        <w:rPr>
          <w:rFonts w:ascii="Garamond" w:eastAsiaTheme="majorEastAsia" w:hAnsi="Garamond" w:cstheme="majorBidi"/>
          <w:color w:val="000000" w:themeColor="text1"/>
          <w:kern w:val="2"/>
          <w:szCs w:val="28"/>
          <w:lang w:val="en-US" w:eastAsia="en-US"/>
          <w14:ligatures w14:val="standardContextual"/>
        </w:rPr>
        <w:t xml:space="preserve">.2), and ends with a critical discussion of its limitations (Section </w:t>
      </w:r>
      <w:r w:rsidR="00767B04">
        <w:rPr>
          <w:rFonts w:ascii="Garamond" w:eastAsiaTheme="majorEastAsia" w:hAnsi="Garamond" w:cstheme="majorBidi"/>
          <w:color w:val="000000" w:themeColor="text1"/>
          <w:kern w:val="2"/>
          <w:szCs w:val="28"/>
          <w:lang w:val="en-US" w:eastAsia="en-US"/>
          <w14:ligatures w14:val="standardContextual"/>
        </w:rPr>
        <w:t>4</w:t>
      </w:r>
      <w:r w:rsidRPr="002254DA">
        <w:rPr>
          <w:rFonts w:ascii="Garamond" w:eastAsiaTheme="majorEastAsia" w:hAnsi="Garamond" w:cstheme="majorBidi"/>
          <w:color w:val="000000" w:themeColor="text1"/>
          <w:kern w:val="2"/>
          <w:szCs w:val="28"/>
          <w:lang w:val="en-US" w:eastAsia="en-US"/>
          <w14:ligatures w14:val="standardContextual"/>
        </w:rPr>
        <w:t>.3). </w:t>
      </w:r>
    </w:p>
    <w:p w14:paraId="497271D8" w14:textId="42C431D0" w:rsidR="00142F7D" w:rsidRDefault="00BB0C11" w:rsidP="00D31DBA">
      <w:pPr>
        <w:pStyle w:val="Ttulo2"/>
        <w:rPr>
          <w:rFonts w:ascii="Garamond" w:hAnsi="Garamond"/>
          <w:b/>
          <w:bCs/>
          <w:color w:val="000000" w:themeColor="text1"/>
          <w:sz w:val="28"/>
          <w:szCs w:val="28"/>
        </w:rPr>
      </w:pPr>
      <w:bookmarkStart w:id="38" w:name="_Toc233142901"/>
      <w:r>
        <w:rPr>
          <w:rFonts w:ascii="Garamond" w:hAnsi="Garamond"/>
          <w:b/>
          <w:bCs/>
          <w:color w:val="000000" w:themeColor="text1"/>
          <w:sz w:val="28"/>
          <w:szCs w:val="28"/>
        </w:rPr>
        <w:t>4</w:t>
      </w:r>
      <w:r w:rsidR="00142F7D" w:rsidRPr="00D31DBA">
        <w:rPr>
          <w:rFonts w:ascii="Garamond" w:hAnsi="Garamond"/>
          <w:b/>
          <w:bCs/>
          <w:color w:val="000000" w:themeColor="text1"/>
          <w:sz w:val="28"/>
          <w:szCs w:val="28"/>
        </w:rPr>
        <w:t>.1. Research Problem and Objectives</w:t>
      </w:r>
      <w:bookmarkEnd w:id="38"/>
    </w:p>
    <w:p w14:paraId="30A86DD6" w14:textId="77777777" w:rsidR="00D31DBA" w:rsidRPr="00D31DBA" w:rsidRDefault="00D31DBA" w:rsidP="00D31DBA">
      <w:pPr>
        <w:rPr>
          <w:rFonts w:eastAsiaTheme="majorEastAsia"/>
          <w:lang w:eastAsia="en-US"/>
        </w:rPr>
      </w:pPr>
    </w:p>
    <w:p w14:paraId="46865425" w14:textId="77777777" w:rsidR="00142F7D" w:rsidRPr="002254DA" w:rsidRDefault="00142F7D" w:rsidP="00142F7D">
      <w:pPr>
        <w:spacing w:line="360" w:lineRule="auto"/>
        <w:ind w:firstLine="360"/>
        <w:jc w:val="both"/>
        <w:rPr>
          <w:rFonts w:ascii="Garamond" w:eastAsiaTheme="majorEastAsia" w:hAnsi="Garamond" w:cstheme="majorBidi"/>
          <w:color w:val="000000" w:themeColor="text1"/>
          <w:kern w:val="2"/>
          <w:szCs w:val="28"/>
          <w:lang w:val="en-US" w:eastAsia="en-US"/>
          <w14:ligatures w14:val="standardContextual"/>
        </w:rPr>
      </w:pPr>
      <w:r w:rsidRPr="002254DA">
        <w:rPr>
          <w:rFonts w:ascii="Garamond" w:eastAsiaTheme="majorEastAsia" w:hAnsi="Garamond" w:cstheme="majorBidi"/>
          <w:color w:val="000000" w:themeColor="text1"/>
          <w:kern w:val="2"/>
          <w:szCs w:val="28"/>
          <w:lang w:val="en-US" w:eastAsia="en-US"/>
          <w14:ligatures w14:val="standardContextual"/>
        </w:rPr>
        <w:t>This is the problem that has become the source of inspiration for the current report – it emerged through the process of completion of three projects within the placement. As it became evident, although the clients showed their growing interest in using the alternative forms of finance, there was no particular methodology of analysis that would help to make an evaluation of the environment in which the private credit could be used as a strategic alternative to bank finance. The analysis relied much on the intuition of the consultant.</w:t>
      </w:r>
    </w:p>
    <w:p w14:paraId="2A56DFC4" w14:textId="77B23682" w:rsidR="00142F7D" w:rsidRPr="002254DA" w:rsidRDefault="00142F7D" w:rsidP="00142F7D">
      <w:pPr>
        <w:spacing w:line="360" w:lineRule="auto"/>
        <w:ind w:firstLine="360"/>
        <w:jc w:val="both"/>
        <w:rPr>
          <w:rFonts w:ascii="Garamond" w:eastAsiaTheme="majorEastAsia" w:hAnsi="Garamond" w:cstheme="majorBidi"/>
          <w:color w:val="000000" w:themeColor="text1"/>
          <w:kern w:val="2"/>
          <w:szCs w:val="28"/>
          <w:lang w:val="en-US" w:eastAsia="en-US"/>
          <w14:ligatures w14:val="standardContextual"/>
        </w:rPr>
      </w:pPr>
      <w:r w:rsidRPr="002254DA">
        <w:rPr>
          <w:rFonts w:ascii="Garamond" w:eastAsiaTheme="majorEastAsia" w:hAnsi="Garamond" w:cstheme="majorBidi"/>
          <w:color w:val="000000" w:themeColor="text1"/>
          <w:kern w:val="2"/>
          <w:szCs w:val="28"/>
          <w:lang w:val="en-US" w:eastAsia="en-US"/>
          <w14:ligatures w14:val="standardContextual"/>
        </w:rPr>
        <w:t>It is even more important from the point of view of the Portuguese case. Financing of domestic firms, especially SMEs, is based largely on bank loans, while the availability of private credits, which is increasing, is still low and is little understood by the business community. This is why the lack of structured methodology is both an internal challenge for the firm and a reflection of certain deficienc</w:t>
      </w:r>
      <w:r>
        <w:rPr>
          <w:rFonts w:ascii="Garamond" w:eastAsiaTheme="majorEastAsia" w:hAnsi="Garamond" w:cstheme="majorBidi"/>
          <w:color w:val="000000" w:themeColor="text1"/>
          <w:kern w:val="2"/>
          <w:szCs w:val="28"/>
          <w:lang w:val="en-US" w:eastAsia="en-US"/>
          <w14:ligatures w14:val="standardContextual"/>
        </w:rPr>
        <w:t>ies</w:t>
      </w:r>
      <w:r w:rsidRPr="002254DA">
        <w:rPr>
          <w:rFonts w:ascii="Garamond" w:eastAsiaTheme="majorEastAsia" w:hAnsi="Garamond" w:cstheme="majorBidi"/>
          <w:color w:val="000000" w:themeColor="text1"/>
          <w:kern w:val="2"/>
          <w:szCs w:val="28"/>
          <w:lang w:val="en-US" w:eastAsia="en-US"/>
          <w14:ligatures w14:val="standardContextual"/>
        </w:rPr>
        <w:t xml:space="preserve"> in the advisory services for Portuguese businesses.</w:t>
      </w:r>
    </w:p>
    <w:p w14:paraId="54E89D65" w14:textId="60928221" w:rsidR="00D31DBA" w:rsidRPr="002254DA" w:rsidRDefault="00142F7D" w:rsidP="00142F7D">
      <w:pPr>
        <w:spacing w:line="360" w:lineRule="auto"/>
        <w:ind w:firstLine="360"/>
        <w:jc w:val="both"/>
        <w:rPr>
          <w:rFonts w:ascii="Garamond" w:eastAsiaTheme="majorEastAsia" w:hAnsi="Garamond" w:cstheme="majorBidi"/>
          <w:color w:val="000000" w:themeColor="text1"/>
          <w:kern w:val="2"/>
          <w:szCs w:val="28"/>
          <w:lang w:val="en-US" w:eastAsia="en-US"/>
          <w14:ligatures w14:val="standardContextual"/>
        </w:rPr>
      </w:pPr>
      <w:r w:rsidRPr="002254DA">
        <w:rPr>
          <w:rFonts w:ascii="Garamond" w:eastAsiaTheme="majorEastAsia" w:hAnsi="Garamond" w:cstheme="majorBidi"/>
          <w:color w:val="000000" w:themeColor="text1"/>
          <w:kern w:val="2"/>
          <w:szCs w:val="28"/>
          <w:lang w:val="en-US" w:eastAsia="en-US"/>
          <w14:ligatures w14:val="standardContextual"/>
        </w:rPr>
        <w:t>The principal aim is to create an advisory framework to assess private credit as an alternative financing instrument. Besides, there are three additional aims listed: (</w:t>
      </w:r>
      <w:proofErr w:type="spellStart"/>
      <w:r w:rsidRPr="002254DA">
        <w:rPr>
          <w:rFonts w:ascii="Garamond" w:eastAsiaTheme="majorEastAsia" w:hAnsi="Garamond" w:cstheme="majorBidi"/>
          <w:color w:val="000000" w:themeColor="text1"/>
          <w:kern w:val="2"/>
          <w:szCs w:val="28"/>
          <w:lang w:val="en-US" w:eastAsia="en-US"/>
          <w14:ligatures w14:val="standardContextual"/>
        </w:rPr>
        <w:t>i</w:t>
      </w:r>
      <w:proofErr w:type="spellEnd"/>
      <w:r w:rsidRPr="002254DA">
        <w:rPr>
          <w:rFonts w:ascii="Garamond" w:eastAsiaTheme="majorEastAsia" w:hAnsi="Garamond" w:cstheme="majorBidi"/>
          <w:color w:val="000000" w:themeColor="text1"/>
          <w:kern w:val="2"/>
          <w:szCs w:val="28"/>
          <w:lang w:val="en-US" w:eastAsia="en-US"/>
          <w14:ligatures w14:val="standardContextual"/>
        </w:rPr>
        <w:t>) comparing private and bank credits by their cost and other characteristics</w:t>
      </w:r>
      <w:r>
        <w:rPr>
          <w:rFonts w:ascii="Garamond" w:eastAsiaTheme="majorEastAsia" w:hAnsi="Garamond" w:cstheme="majorBidi"/>
          <w:color w:val="000000" w:themeColor="text1"/>
          <w:kern w:val="2"/>
          <w:szCs w:val="28"/>
          <w:lang w:val="en-US" w:eastAsia="en-US"/>
          <w14:ligatures w14:val="standardContextual"/>
        </w:rPr>
        <w:t>,</w:t>
      </w:r>
      <w:r w:rsidRPr="002254DA">
        <w:rPr>
          <w:rFonts w:ascii="Garamond" w:eastAsiaTheme="majorEastAsia" w:hAnsi="Garamond" w:cstheme="majorBidi"/>
          <w:color w:val="000000" w:themeColor="text1"/>
          <w:kern w:val="2"/>
          <w:szCs w:val="28"/>
          <w:lang w:val="en-US" w:eastAsia="en-US"/>
          <w14:ligatures w14:val="standardContextual"/>
        </w:rPr>
        <w:t xml:space="preserve"> (ii) finding out when private credit can be used as a solution and (iii) assisting Triple A in its advisory activities through a structured assessment methodology.</w:t>
      </w:r>
    </w:p>
    <w:p w14:paraId="7E15564A" w14:textId="53048E23" w:rsidR="00142F7D" w:rsidRPr="00142F7D" w:rsidRDefault="00BB0C11" w:rsidP="00142F7D">
      <w:pPr>
        <w:pStyle w:val="Ttulo2"/>
        <w:rPr>
          <w:rFonts w:ascii="Garamond" w:hAnsi="Garamond"/>
          <w:b/>
          <w:bCs/>
          <w:color w:val="000000" w:themeColor="text1"/>
          <w:sz w:val="28"/>
          <w:szCs w:val="28"/>
          <w:lang w:val="en-US"/>
        </w:rPr>
      </w:pPr>
      <w:bookmarkStart w:id="39" w:name="_Toc233142902"/>
      <w:r>
        <w:rPr>
          <w:rFonts w:ascii="Garamond" w:hAnsi="Garamond"/>
          <w:b/>
          <w:bCs/>
          <w:color w:val="000000" w:themeColor="text1"/>
          <w:sz w:val="28"/>
          <w:szCs w:val="28"/>
          <w:lang w:val="en-US"/>
        </w:rPr>
        <w:t>4</w:t>
      </w:r>
      <w:r w:rsidR="00142F7D" w:rsidRPr="00142F7D">
        <w:rPr>
          <w:rFonts w:ascii="Garamond" w:hAnsi="Garamond"/>
          <w:b/>
          <w:bCs/>
          <w:color w:val="000000" w:themeColor="text1"/>
          <w:sz w:val="28"/>
          <w:szCs w:val="28"/>
          <w:lang w:val="en-US"/>
        </w:rPr>
        <w:t>.2. Methodological Approach</w:t>
      </w:r>
      <w:bookmarkEnd w:id="39"/>
    </w:p>
    <w:p w14:paraId="139C4042" w14:textId="77777777" w:rsidR="00142F7D" w:rsidRPr="00142F7D" w:rsidRDefault="00142F7D" w:rsidP="00142F7D">
      <w:pPr>
        <w:rPr>
          <w:rFonts w:eastAsiaTheme="majorEastAsia"/>
          <w:lang w:val="en-US" w:eastAsia="en-US"/>
        </w:rPr>
      </w:pPr>
    </w:p>
    <w:p w14:paraId="6C59E2B0" w14:textId="77777777" w:rsidR="00142F7D" w:rsidRPr="002254DA" w:rsidRDefault="00142F7D" w:rsidP="00142F7D">
      <w:pPr>
        <w:spacing w:line="360" w:lineRule="auto"/>
        <w:ind w:firstLine="360"/>
        <w:jc w:val="both"/>
        <w:rPr>
          <w:rFonts w:ascii="Garamond" w:eastAsiaTheme="majorEastAsia" w:hAnsi="Garamond" w:cstheme="majorBidi"/>
          <w:color w:val="000000" w:themeColor="text1"/>
          <w:kern w:val="2"/>
          <w:szCs w:val="28"/>
          <w:lang w:val="en-US" w:eastAsia="en-US"/>
          <w14:ligatures w14:val="standardContextual"/>
        </w:rPr>
      </w:pPr>
      <w:r w:rsidRPr="002254DA">
        <w:rPr>
          <w:rFonts w:ascii="Garamond" w:eastAsiaTheme="majorEastAsia" w:hAnsi="Garamond" w:cstheme="majorBidi"/>
          <w:color w:val="000000" w:themeColor="text1"/>
          <w:kern w:val="2"/>
          <w:szCs w:val="28"/>
          <w:lang w:val="en-US" w:eastAsia="en-US"/>
          <w14:ligatures w14:val="standardContextual"/>
        </w:rPr>
        <w:t xml:space="preserve">To answer the research question, a qualitative and applied methodological approach was adopted, as the aim is not to test a statistical hypothesis, but rather to develop a decision-support tool that is both theory-based and useful in advisory practice. The methodology is </w:t>
      </w:r>
      <w:r w:rsidRPr="002254DA">
        <w:rPr>
          <w:rFonts w:ascii="Garamond" w:eastAsiaTheme="majorEastAsia" w:hAnsi="Garamond" w:cstheme="majorBidi"/>
          <w:color w:val="000000" w:themeColor="text1"/>
          <w:kern w:val="2"/>
          <w:szCs w:val="28"/>
          <w:lang w:val="en-US" w:eastAsia="en-US"/>
          <w14:ligatures w14:val="standardContextual"/>
        </w:rPr>
        <w:lastRenderedPageBreak/>
        <w:t>therefore based on the triangulation of various sources of evidence, combining direct observation, market data collection and a review of the literature.</w:t>
      </w:r>
    </w:p>
    <w:p w14:paraId="4F5A7B6A" w14:textId="77777777" w:rsidR="00142F7D" w:rsidRPr="002254DA" w:rsidRDefault="00142F7D" w:rsidP="00142F7D">
      <w:pPr>
        <w:spacing w:line="360" w:lineRule="auto"/>
        <w:ind w:firstLine="360"/>
        <w:jc w:val="both"/>
        <w:rPr>
          <w:rFonts w:ascii="Garamond" w:eastAsiaTheme="majorEastAsia" w:hAnsi="Garamond" w:cstheme="majorBidi"/>
          <w:color w:val="000000" w:themeColor="text1"/>
          <w:kern w:val="2"/>
          <w:szCs w:val="28"/>
          <w:lang w:val="en-US" w:eastAsia="en-US"/>
          <w14:ligatures w14:val="standardContextual"/>
        </w:rPr>
      </w:pPr>
      <w:r w:rsidRPr="002254DA">
        <w:rPr>
          <w:rFonts w:ascii="Garamond" w:eastAsiaTheme="majorEastAsia" w:hAnsi="Garamond" w:cstheme="majorBidi"/>
          <w:color w:val="000000" w:themeColor="text1"/>
          <w:kern w:val="2"/>
          <w:szCs w:val="28"/>
          <w:lang w:val="en-US" w:eastAsia="en-US"/>
          <w14:ligatures w14:val="standardContextual"/>
        </w:rPr>
        <w:t>The analysis drew on three complementary types of sources. The first consisted of observations gathered during the work placement, arising from direct participation in the projects described in Chapter 2. These projects provided a first-hand understanding of the reality of financial advisory services in Portugal, the financing needs of companies and the limitations of the banking system in catering for certain types of transactions. The second source consisted of market data on bank financing, gathered from official sources such as the Bank of Portugal and the European Central Bank, supplemented by data published by leading institutional managers in the European private credit market. The third source was the academic and institutional literature on the subject, which provided the conceptual framework and a basis for comparison with the empirical observations.</w:t>
      </w:r>
    </w:p>
    <w:p w14:paraId="5D3D668D" w14:textId="3C450E4E" w:rsidR="00142F7D" w:rsidRPr="002254DA" w:rsidRDefault="00142F7D" w:rsidP="00142F7D">
      <w:pPr>
        <w:spacing w:line="360" w:lineRule="auto"/>
        <w:ind w:firstLine="360"/>
        <w:jc w:val="both"/>
        <w:rPr>
          <w:rFonts w:ascii="Garamond" w:eastAsiaTheme="majorEastAsia" w:hAnsi="Garamond" w:cstheme="majorBidi"/>
          <w:color w:val="000000" w:themeColor="text1"/>
          <w:kern w:val="2"/>
          <w:szCs w:val="28"/>
          <w:lang w:val="en-US" w:eastAsia="en-US"/>
          <w14:ligatures w14:val="standardContextual"/>
        </w:rPr>
      </w:pPr>
      <w:r w:rsidRPr="002254DA">
        <w:rPr>
          <w:rFonts w:ascii="Garamond" w:eastAsiaTheme="majorEastAsia" w:hAnsi="Garamond" w:cstheme="majorBidi"/>
          <w:color w:val="000000" w:themeColor="text1"/>
          <w:kern w:val="2"/>
          <w:szCs w:val="28"/>
          <w:lang w:val="en-US" w:eastAsia="en-US"/>
          <w14:ligatures w14:val="standardContextual"/>
        </w:rPr>
        <w:t>Empirical observations played a central role in the development of the framework. The drafting of the business plan highlighted the importance of the financing structure and the interaction between different sources of capital. Furthermore, the creation of the database enabled us to map, directly, the supply of private credit available to Portuguese and Spanish companies, revealing the underdevelopment of the national ecosystem</w:t>
      </w:r>
      <w:r w:rsidR="00BF6FBF">
        <w:rPr>
          <w:rFonts w:ascii="Garamond" w:eastAsiaTheme="majorEastAsia" w:hAnsi="Garamond" w:cstheme="majorBidi"/>
          <w:color w:val="000000" w:themeColor="text1"/>
          <w:kern w:val="2"/>
          <w:szCs w:val="28"/>
          <w:lang w:val="en-US" w:eastAsia="en-US"/>
          <w14:ligatures w14:val="standardContextual"/>
        </w:rPr>
        <w:t>,</w:t>
      </w:r>
      <w:r w:rsidRPr="002254DA">
        <w:rPr>
          <w:rFonts w:ascii="Garamond" w:eastAsiaTheme="majorEastAsia" w:hAnsi="Garamond" w:cstheme="majorBidi"/>
          <w:color w:val="000000" w:themeColor="text1"/>
          <w:kern w:val="2"/>
          <w:szCs w:val="28"/>
          <w:lang w:val="en-US" w:eastAsia="en-US"/>
          <w14:ligatures w14:val="standardContextual"/>
        </w:rPr>
        <w:t xml:space="preserve"> and</w:t>
      </w:r>
      <w:r w:rsidR="00BF6FBF">
        <w:rPr>
          <w:rFonts w:ascii="Garamond" w:eastAsiaTheme="majorEastAsia" w:hAnsi="Garamond" w:cstheme="majorBidi"/>
          <w:color w:val="000000" w:themeColor="text1"/>
          <w:kern w:val="2"/>
          <w:szCs w:val="28"/>
          <w:lang w:val="en-US" w:eastAsia="en-US"/>
          <w14:ligatures w14:val="standardContextual"/>
        </w:rPr>
        <w:t xml:space="preserve"> </w:t>
      </w:r>
      <w:r w:rsidRPr="002254DA">
        <w:rPr>
          <w:rFonts w:ascii="Garamond" w:eastAsiaTheme="majorEastAsia" w:hAnsi="Garamond" w:cstheme="majorBidi"/>
          <w:color w:val="000000" w:themeColor="text1"/>
          <w:kern w:val="2"/>
          <w:szCs w:val="28"/>
          <w:lang w:val="en-US" w:eastAsia="en-US"/>
          <w14:ligatures w14:val="standardContextual"/>
        </w:rPr>
        <w:t>no less importantly, the valuations submitted to the CMVM provided an in-depth understanding of the relationship between the cost of capital, the company’s risk profile and the macroeconomic context. Taken together, these three projects provide empirical support for the dimensions of the proposed framework.</w:t>
      </w:r>
    </w:p>
    <w:p w14:paraId="17940F49" w14:textId="77777777" w:rsidR="00142F7D" w:rsidRPr="002254DA" w:rsidRDefault="00142F7D" w:rsidP="00142F7D">
      <w:pPr>
        <w:spacing w:line="360" w:lineRule="auto"/>
        <w:ind w:firstLine="360"/>
        <w:jc w:val="both"/>
        <w:rPr>
          <w:rFonts w:ascii="Garamond" w:eastAsiaTheme="majorEastAsia" w:hAnsi="Garamond" w:cstheme="majorBidi"/>
          <w:color w:val="000000" w:themeColor="text1"/>
          <w:kern w:val="2"/>
          <w:szCs w:val="28"/>
          <w:lang w:val="en-US" w:eastAsia="en-US"/>
          <w14:ligatures w14:val="standardContextual"/>
        </w:rPr>
      </w:pPr>
      <w:r w:rsidRPr="002254DA">
        <w:rPr>
          <w:rFonts w:ascii="Garamond" w:eastAsiaTheme="majorEastAsia" w:hAnsi="Garamond" w:cstheme="majorBidi"/>
          <w:color w:val="000000" w:themeColor="text1"/>
          <w:kern w:val="2"/>
          <w:szCs w:val="28"/>
          <w:lang w:val="en-US" w:eastAsia="en-US"/>
          <w14:ligatures w14:val="standardContextual"/>
        </w:rPr>
        <w:t xml:space="preserve">The literature review, presented in Chapter 4, was conducted with a view to covering the main determinants of private credit growth, its structural characteristics and instruments, as well as the empirical evidence regarding its advantages and limitations, from the perspectives of investors, borrowers and the financial </w:t>
      </w:r>
      <w:proofErr w:type="gramStart"/>
      <w:r w:rsidRPr="002254DA">
        <w:rPr>
          <w:rFonts w:ascii="Garamond" w:eastAsiaTheme="majorEastAsia" w:hAnsi="Garamond" w:cstheme="majorBidi"/>
          <w:color w:val="000000" w:themeColor="text1"/>
          <w:kern w:val="2"/>
          <w:szCs w:val="28"/>
          <w:lang w:val="en-US" w:eastAsia="en-US"/>
          <w14:ligatures w14:val="standardContextual"/>
        </w:rPr>
        <w:t>system as a whole</w:t>
      </w:r>
      <w:proofErr w:type="gramEnd"/>
      <w:r w:rsidRPr="002254DA">
        <w:rPr>
          <w:rFonts w:ascii="Garamond" w:eastAsiaTheme="majorEastAsia" w:hAnsi="Garamond" w:cstheme="majorBidi"/>
          <w:color w:val="000000" w:themeColor="text1"/>
          <w:kern w:val="2"/>
          <w:szCs w:val="28"/>
          <w:lang w:val="en-US" w:eastAsia="en-US"/>
          <w14:ligatures w14:val="standardContextual"/>
        </w:rPr>
        <w:t>.</w:t>
      </w:r>
    </w:p>
    <w:p w14:paraId="261B11C1" w14:textId="1D913FEA" w:rsidR="00142F7D" w:rsidRDefault="00142F7D" w:rsidP="00142F7D">
      <w:pPr>
        <w:spacing w:line="360" w:lineRule="auto"/>
        <w:ind w:firstLine="360"/>
        <w:jc w:val="both"/>
        <w:rPr>
          <w:rFonts w:ascii="Garamond" w:eastAsiaTheme="majorEastAsia" w:hAnsi="Garamond" w:cstheme="majorBidi"/>
          <w:color w:val="000000" w:themeColor="text1"/>
          <w:kern w:val="2"/>
          <w:szCs w:val="28"/>
          <w:lang w:val="en-US" w:eastAsia="en-US"/>
          <w14:ligatures w14:val="standardContextual"/>
        </w:rPr>
      </w:pPr>
      <w:r w:rsidRPr="002254DA">
        <w:rPr>
          <w:rFonts w:ascii="Garamond" w:eastAsiaTheme="majorEastAsia" w:hAnsi="Garamond" w:cstheme="majorBidi"/>
          <w:color w:val="000000" w:themeColor="text1"/>
          <w:kern w:val="2"/>
          <w:szCs w:val="28"/>
          <w:lang w:val="en-US" w:eastAsia="en-US"/>
          <w14:ligatures w14:val="standardContextual"/>
        </w:rPr>
        <w:t>The proposed analytical framework has been developed through integration of the findings from the literature review and observations conducted during the internship period. None of the four dimensions has been chosen at random</w:t>
      </w:r>
      <w:r w:rsidR="00D35D08">
        <w:rPr>
          <w:rFonts w:ascii="Garamond" w:eastAsiaTheme="majorEastAsia" w:hAnsi="Garamond" w:cstheme="majorBidi"/>
          <w:color w:val="000000" w:themeColor="text1"/>
          <w:kern w:val="2"/>
          <w:szCs w:val="28"/>
          <w:lang w:val="en-US" w:eastAsia="en-US"/>
          <w14:ligatures w14:val="standardContextual"/>
        </w:rPr>
        <w:t>,</w:t>
      </w:r>
      <w:r w:rsidRPr="002254DA">
        <w:rPr>
          <w:rFonts w:ascii="Garamond" w:eastAsiaTheme="majorEastAsia" w:hAnsi="Garamond" w:cstheme="majorBidi"/>
          <w:color w:val="000000" w:themeColor="text1"/>
          <w:kern w:val="2"/>
          <w:szCs w:val="28"/>
          <w:lang w:val="en-US" w:eastAsia="en-US"/>
          <w14:ligatures w14:val="standardContextual"/>
        </w:rPr>
        <w:t xml:space="preserve"> they are all chosen based on the criteria discovered during the literature review and observed in practice. First, it reflects the importance of the firm’s profile and strategic context identified in the literature as an important criterion of the appropriateness of the tool. Second, it is related to the critical importance of the firm’s financing structure and the firm’s relationship with the bank, which is well-known from the literature. Third, the third dimension highlights the advantages of </w:t>
      </w:r>
      <w:r w:rsidRPr="002254DA">
        <w:rPr>
          <w:rFonts w:ascii="Garamond" w:eastAsiaTheme="majorEastAsia" w:hAnsi="Garamond" w:cstheme="majorBidi"/>
          <w:color w:val="000000" w:themeColor="text1"/>
          <w:kern w:val="2"/>
          <w:szCs w:val="28"/>
          <w:lang w:val="en-US" w:eastAsia="en-US"/>
          <w14:ligatures w14:val="standardContextual"/>
        </w:rPr>
        <w:lastRenderedPageBreak/>
        <w:t xml:space="preserve">using the credit in terms of speed, flexibility and covenants, observed in the context of M&amp;A projects. Finally, the fourth dimension comes from the conclusion derived from the literature review concerning the need to </w:t>
      </w:r>
      <w:proofErr w:type="gramStart"/>
      <w:r w:rsidRPr="002254DA">
        <w:rPr>
          <w:rFonts w:ascii="Garamond" w:eastAsiaTheme="majorEastAsia" w:hAnsi="Garamond" w:cstheme="majorBidi"/>
          <w:color w:val="000000" w:themeColor="text1"/>
          <w:kern w:val="2"/>
          <w:szCs w:val="28"/>
          <w:lang w:val="en-US" w:eastAsia="en-US"/>
          <w14:ligatures w14:val="standardContextual"/>
        </w:rPr>
        <w:t>take into account</w:t>
      </w:r>
      <w:proofErr w:type="gramEnd"/>
      <w:r w:rsidRPr="002254DA">
        <w:rPr>
          <w:rFonts w:ascii="Garamond" w:eastAsiaTheme="majorEastAsia" w:hAnsi="Garamond" w:cstheme="majorBidi"/>
          <w:color w:val="000000" w:themeColor="text1"/>
          <w:kern w:val="2"/>
          <w:szCs w:val="28"/>
          <w:lang w:val="en-US" w:eastAsia="en-US"/>
          <w14:ligatures w14:val="standardContextual"/>
        </w:rPr>
        <w:t xml:space="preserve"> strategic value creation in the cost comparison analysis.</w:t>
      </w:r>
    </w:p>
    <w:p w14:paraId="57E16C6F" w14:textId="77777777" w:rsidR="00142F7D" w:rsidRPr="002254DA" w:rsidRDefault="00142F7D" w:rsidP="00142F7D">
      <w:pPr>
        <w:rPr>
          <w:rFonts w:eastAsiaTheme="majorEastAsia"/>
          <w:lang w:val="en-US" w:eastAsia="en-US"/>
        </w:rPr>
      </w:pPr>
    </w:p>
    <w:p w14:paraId="7784CF5C" w14:textId="1E43C889" w:rsidR="00142F7D" w:rsidRPr="00142F7D" w:rsidRDefault="00BB0C11" w:rsidP="00142F7D">
      <w:pPr>
        <w:pStyle w:val="Ttulo2"/>
        <w:rPr>
          <w:rFonts w:ascii="Garamond" w:hAnsi="Garamond"/>
          <w:b/>
          <w:bCs/>
          <w:color w:val="000000" w:themeColor="text1"/>
          <w:sz w:val="28"/>
          <w:szCs w:val="28"/>
          <w:lang w:val="en-US"/>
        </w:rPr>
      </w:pPr>
      <w:bookmarkStart w:id="40" w:name="_Toc233142903"/>
      <w:r>
        <w:rPr>
          <w:rFonts w:ascii="Garamond" w:hAnsi="Garamond"/>
          <w:b/>
          <w:bCs/>
          <w:color w:val="000000" w:themeColor="text1"/>
          <w:sz w:val="28"/>
          <w:szCs w:val="28"/>
          <w:lang w:val="en-US"/>
        </w:rPr>
        <w:t>4</w:t>
      </w:r>
      <w:r w:rsidR="00142F7D" w:rsidRPr="00142F7D">
        <w:rPr>
          <w:rFonts w:ascii="Garamond" w:hAnsi="Garamond"/>
          <w:b/>
          <w:bCs/>
          <w:color w:val="000000" w:themeColor="text1"/>
          <w:sz w:val="28"/>
          <w:szCs w:val="28"/>
          <w:lang w:val="en-US"/>
        </w:rPr>
        <w:t>.3. Limitations of the Methodological Approach</w:t>
      </w:r>
      <w:bookmarkEnd w:id="40"/>
    </w:p>
    <w:p w14:paraId="3D13E9BE" w14:textId="77777777" w:rsidR="00142F7D" w:rsidRPr="002254DA" w:rsidRDefault="00142F7D" w:rsidP="00E12E45">
      <w:pPr>
        <w:rPr>
          <w:rFonts w:eastAsiaTheme="majorEastAsia"/>
          <w:lang w:val="en-US" w:eastAsia="en-US"/>
        </w:rPr>
      </w:pPr>
    </w:p>
    <w:p w14:paraId="3FFAF876" w14:textId="737EA07F" w:rsidR="00142F7D" w:rsidRPr="002254DA" w:rsidRDefault="00142F7D" w:rsidP="00142F7D">
      <w:pPr>
        <w:spacing w:line="360" w:lineRule="auto"/>
        <w:ind w:firstLine="360"/>
        <w:jc w:val="both"/>
        <w:rPr>
          <w:rFonts w:ascii="Garamond" w:eastAsiaTheme="majorEastAsia" w:hAnsi="Garamond" w:cstheme="majorBidi"/>
          <w:color w:val="000000" w:themeColor="text1"/>
          <w:kern w:val="2"/>
          <w:szCs w:val="28"/>
          <w:lang w:val="en-US" w:eastAsia="en-US"/>
          <w14:ligatures w14:val="standardContextual"/>
        </w:rPr>
      </w:pPr>
      <w:r w:rsidRPr="002254DA">
        <w:rPr>
          <w:rFonts w:ascii="Garamond" w:eastAsiaTheme="majorEastAsia" w:hAnsi="Garamond" w:cstheme="majorBidi"/>
          <w:color w:val="000000" w:themeColor="text1"/>
          <w:kern w:val="2"/>
          <w:szCs w:val="28"/>
          <w:lang w:val="en-US" w:eastAsia="en-US"/>
          <w14:ligatures w14:val="standardContextual"/>
        </w:rPr>
        <w:t xml:space="preserve">However, the chosen methodology has certain limitations that should be mentioned since they set the boundaries of the results and open new directions for further research. First, the current analysis did not include the formal interviews with the creditors and the borrowers that would allow us to understand their perspective and motivation in the context of the private credit relationship. Second, the proposed theory was not checked with real-life examples, which means that its empirical proof requires further research. Third, the analysis was hindered by the scarcity of data related to the Portuguese private credit market, which is quite underdeveloped and </w:t>
      </w:r>
      <w:proofErr w:type="spellStart"/>
      <w:r w:rsidRPr="002254DA">
        <w:rPr>
          <w:rFonts w:ascii="Garamond" w:eastAsiaTheme="majorEastAsia" w:hAnsi="Garamond" w:cstheme="majorBidi"/>
          <w:color w:val="000000" w:themeColor="text1"/>
          <w:kern w:val="2"/>
          <w:szCs w:val="28"/>
          <w:lang w:val="en-US" w:eastAsia="en-US"/>
          <w14:ligatures w14:val="standardContextual"/>
        </w:rPr>
        <w:t>underdocumented</w:t>
      </w:r>
      <w:proofErr w:type="spellEnd"/>
      <w:r w:rsidRPr="002254DA">
        <w:rPr>
          <w:rFonts w:ascii="Garamond" w:eastAsiaTheme="majorEastAsia" w:hAnsi="Garamond" w:cstheme="majorBidi"/>
          <w:color w:val="000000" w:themeColor="text1"/>
          <w:kern w:val="2"/>
          <w:szCs w:val="28"/>
          <w:lang w:val="en-US" w:eastAsia="en-US"/>
          <w14:ligatures w14:val="standardContextual"/>
        </w:rPr>
        <w:t>. Thus, it became necessary to use the reference data from the European market. Fourth, the current research uses partly secondary sources of information</w:t>
      </w:r>
      <w:r>
        <w:rPr>
          <w:rFonts w:ascii="Garamond" w:eastAsiaTheme="majorEastAsia" w:hAnsi="Garamond" w:cstheme="majorBidi"/>
          <w:color w:val="000000" w:themeColor="text1"/>
          <w:kern w:val="2"/>
          <w:szCs w:val="28"/>
          <w:lang w:val="en-US" w:eastAsia="en-US"/>
          <w14:ligatures w14:val="standardContextual"/>
        </w:rPr>
        <w:t>,</w:t>
      </w:r>
      <w:r w:rsidRPr="002254DA">
        <w:rPr>
          <w:rFonts w:ascii="Garamond" w:eastAsiaTheme="majorEastAsia" w:hAnsi="Garamond" w:cstheme="majorBidi"/>
          <w:color w:val="000000" w:themeColor="text1"/>
          <w:kern w:val="2"/>
          <w:szCs w:val="28"/>
          <w:lang w:val="en-US" w:eastAsia="en-US"/>
          <w14:ligatures w14:val="standardContextual"/>
        </w:rPr>
        <w:t xml:space="preserve"> such as private credit prices benchmarks, which require reliable primary sources. Fifth, the empirical observation was done only in the context of one </w:t>
      </w:r>
      <w:proofErr w:type="spellStart"/>
      <w:r w:rsidRPr="002254DA">
        <w:rPr>
          <w:rFonts w:ascii="Garamond" w:eastAsiaTheme="majorEastAsia" w:hAnsi="Garamond" w:cstheme="majorBidi"/>
          <w:color w:val="000000" w:themeColor="text1"/>
          <w:kern w:val="2"/>
          <w:szCs w:val="28"/>
          <w:lang w:val="en-US" w:eastAsia="en-US"/>
          <w14:ligatures w14:val="standardContextual"/>
        </w:rPr>
        <w:t>organi</w:t>
      </w:r>
      <w:r>
        <w:rPr>
          <w:rFonts w:ascii="Garamond" w:eastAsiaTheme="majorEastAsia" w:hAnsi="Garamond" w:cstheme="majorBidi"/>
          <w:color w:val="000000" w:themeColor="text1"/>
          <w:kern w:val="2"/>
          <w:szCs w:val="28"/>
          <w:lang w:val="en-US" w:eastAsia="en-US"/>
          <w14:ligatures w14:val="standardContextual"/>
        </w:rPr>
        <w:t>s</w:t>
      </w:r>
      <w:r w:rsidRPr="002254DA">
        <w:rPr>
          <w:rFonts w:ascii="Garamond" w:eastAsiaTheme="majorEastAsia" w:hAnsi="Garamond" w:cstheme="majorBidi"/>
          <w:color w:val="000000" w:themeColor="text1"/>
          <w:kern w:val="2"/>
          <w:szCs w:val="28"/>
          <w:lang w:val="en-US" w:eastAsia="en-US"/>
          <w14:ligatures w14:val="standardContextual"/>
        </w:rPr>
        <w:t>ation</w:t>
      </w:r>
      <w:proofErr w:type="spellEnd"/>
      <w:r w:rsidRPr="002254DA">
        <w:rPr>
          <w:rFonts w:ascii="Garamond" w:eastAsiaTheme="majorEastAsia" w:hAnsi="Garamond" w:cstheme="majorBidi"/>
          <w:color w:val="000000" w:themeColor="text1"/>
          <w:kern w:val="2"/>
          <w:szCs w:val="28"/>
          <w:lang w:val="en-US" w:eastAsia="en-US"/>
          <w14:ligatures w14:val="standardContextual"/>
        </w:rPr>
        <w:t>, wh</w:t>
      </w:r>
      <w:r>
        <w:rPr>
          <w:rFonts w:ascii="Garamond" w:eastAsiaTheme="majorEastAsia" w:hAnsi="Garamond" w:cstheme="majorBidi"/>
          <w:color w:val="000000" w:themeColor="text1"/>
          <w:kern w:val="2"/>
          <w:szCs w:val="28"/>
          <w:lang w:val="en-US" w:eastAsia="en-US"/>
          <w14:ligatures w14:val="standardContextual"/>
        </w:rPr>
        <w:t>ich</w:t>
      </w:r>
      <w:r w:rsidRPr="002254DA">
        <w:rPr>
          <w:rFonts w:ascii="Garamond" w:eastAsiaTheme="majorEastAsia" w:hAnsi="Garamond" w:cstheme="majorBidi"/>
          <w:color w:val="000000" w:themeColor="text1"/>
          <w:kern w:val="2"/>
          <w:szCs w:val="28"/>
          <w:lang w:val="en-US" w:eastAsia="en-US"/>
          <w14:ligatures w14:val="standardContextual"/>
        </w:rPr>
        <w:t xml:space="preserve"> gives the study additional practical value but makes it less applicable for other </w:t>
      </w:r>
      <w:proofErr w:type="spellStart"/>
      <w:r w:rsidRPr="002254DA">
        <w:rPr>
          <w:rFonts w:ascii="Garamond" w:eastAsiaTheme="majorEastAsia" w:hAnsi="Garamond" w:cstheme="majorBidi"/>
          <w:color w:val="000000" w:themeColor="text1"/>
          <w:kern w:val="2"/>
          <w:szCs w:val="28"/>
          <w:lang w:val="en-US" w:eastAsia="en-US"/>
          <w14:ligatures w14:val="standardContextual"/>
        </w:rPr>
        <w:t>organi</w:t>
      </w:r>
      <w:r>
        <w:rPr>
          <w:rFonts w:ascii="Garamond" w:eastAsiaTheme="majorEastAsia" w:hAnsi="Garamond" w:cstheme="majorBidi"/>
          <w:color w:val="000000" w:themeColor="text1"/>
          <w:kern w:val="2"/>
          <w:szCs w:val="28"/>
          <w:lang w:val="en-US" w:eastAsia="en-US"/>
          <w14:ligatures w14:val="standardContextual"/>
        </w:rPr>
        <w:t>s</w:t>
      </w:r>
      <w:r w:rsidRPr="002254DA">
        <w:rPr>
          <w:rFonts w:ascii="Garamond" w:eastAsiaTheme="majorEastAsia" w:hAnsi="Garamond" w:cstheme="majorBidi"/>
          <w:color w:val="000000" w:themeColor="text1"/>
          <w:kern w:val="2"/>
          <w:szCs w:val="28"/>
          <w:lang w:val="en-US" w:eastAsia="en-US"/>
          <w14:ligatures w14:val="standardContextual"/>
        </w:rPr>
        <w:t>ational</w:t>
      </w:r>
      <w:proofErr w:type="spellEnd"/>
      <w:r w:rsidRPr="002254DA">
        <w:rPr>
          <w:rFonts w:ascii="Garamond" w:eastAsiaTheme="majorEastAsia" w:hAnsi="Garamond" w:cstheme="majorBidi"/>
          <w:color w:val="000000" w:themeColor="text1"/>
          <w:kern w:val="2"/>
          <w:szCs w:val="28"/>
          <w:lang w:val="en-US" w:eastAsia="en-US"/>
          <w14:ligatures w14:val="standardContextual"/>
        </w:rPr>
        <w:t xml:space="preserve"> settings. All these limitations do not influence the relevance of the contribution, but they set boundaries for it and prove the relevance of directions of further research.</w:t>
      </w:r>
    </w:p>
    <w:p w14:paraId="6590F7D8" w14:textId="77777777" w:rsidR="00142F7D" w:rsidRDefault="00142F7D" w:rsidP="000235CC">
      <w:pPr>
        <w:pStyle w:val="Ttulo1"/>
        <w:rPr>
          <w:rFonts w:ascii="Garamond" w:hAnsi="Garamond"/>
          <w:b/>
          <w:bCs/>
          <w:color w:val="000000" w:themeColor="text1"/>
          <w:sz w:val="28"/>
          <w:szCs w:val="28"/>
          <w:lang w:val="en-US"/>
        </w:rPr>
      </w:pPr>
    </w:p>
    <w:p w14:paraId="41309648" w14:textId="77777777" w:rsidR="00142F7D" w:rsidRDefault="00142F7D" w:rsidP="00142F7D">
      <w:pPr>
        <w:rPr>
          <w:lang w:val="en-US" w:eastAsia="en-US"/>
        </w:rPr>
      </w:pPr>
    </w:p>
    <w:p w14:paraId="6DB97B7A" w14:textId="77777777" w:rsidR="00142F7D" w:rsidRDefault="00142F7D" w:rsidP="00142F7D">
      <w:pPr>
        <w:rPr>
          <w:lang w:val="en-US" w:eastAsia="en-US"/>
        </w:rPr>
      </w:pPr>
    </w:p>
    <w:p w14:paraId="749BFADA" w14:textId="77777777" w:rsidR="00142F7D" w:rsidRDefault="00142F7D" w:rsidP="00142F7D">
      <w:pPr>
        <w:rPr>
          <w:lang w:val="en-US" w:eastAsia="en-US"/>
        </w:rPr>
      </w:pPr>
    </w:p>
    <w:p w14:paraId="79DFF4AF" w14:textId="77777777" w:rsidR="00142F7D" w:rsidRDefault="00142F7D" w:rsidP="00142F7D">
      <w:pPr>
        <w:rPr>
          <w:lang w:val="en-US" w:eastAsia="en-US"/>
        </w:rPr>
      </w:pPr>
    </w:p>
    <w:p w14:paraId="5D905BD6" w14:textId="77777777" w:rsidR="00142F7D" w:rsidRDefault="00142F7D" w:rsidP="00142F7D">
      <w:pPr>
        <w:rPr>
          <w:lang w:val="en-US" w:eastAsia="en-US"/>
        </w:rPr>
      </w:pPr>
    </w:p>
    <w:p w14:paraId="15D4012C" w14:textId="77777777" w:rsidR="00142F7D" w:rsidRDefault="00142F7D" w:rsidP="00142F7D">
      <w:pPr>
        <w:rPr>
          <w:lang w:val="en-US" w:eastAsia="en-US"/>
        </w:rPr>
      </w:pPr>
    </w:p>
    <w:p w14:paraId="368B5BFF" w14:textId="77777777" w:rsidR="00142F7D" w:rsidRDefault="00142F7D" w:rsidP="00142F7D">
      <w:pPr>
        <w:rPr>
          <w:lang w:val="en-US" w:eastAsia="en-US"/>
        </w:rPr>
      </w:pPr>
    </w:p>
    <w:p w14:paraId="292A250A" w14:textId="77777777" w:rsidR="00142F7D" w:rsidRDefault="00142F7D" w:rsidP="00142F7D">
      <w:pPr>
        <w:rPr>
          <w:lang w:val="en-US" w:eastAsia="en-US"/>
        </w:rPr>
      </w:pPr>
    </w:p>
    <w:p w14:paraId="18303572" w14:textId="77777777" w:rsidR="00142F7D" w:rsidRDefault="00142F7D" w:rsidP="00142F7D">
      <w:pPr>
        <w:rPr>
          <w:lang w:val="en-US" w:eastAsia="en-US"/>
        </w:rPr>
      </w:pPr>
    </w:p>
    <w:p w14:paraId="030CA616" w14:textId="77777777" w:rsidR="00142F7D" w:rsidRDefault="00142F7D" w:rsidP="00142F7D">
      <w:pPr>
        <w:rPr>
          <w:lang w:val="en-US" w:eastAsia="en-US"/>
        </w:rPr>
      </w:pPr>
    </w:p>
    <w:p w14:paraId="6680F80A" w14:textId="77777777" w:rsidR="00142F7D" w:rsidRDefault="00142F7D" w:rsidP="00142F7D">
      <w:pPr>
        <w:rPr>
          <w:lang w:val="en-US" w:eastAsia="en-US"/>
        </w:rPr>
      </w:pPr>
    </w:p>
    <w:p w14:paraId="4F556D8B" w14:textId="77777777" w:rsidR="00142F7D" w:rsidRDefault="00142F7D" w:rsidP="00142F7D">
      <w:pPr>
        <w:rPr>
          <w:lang w:val="en-US" w:eastAsia="en-US"/>
        </w:rPr>
      </w:pPr>
    </w:p>
    <w:p w14:paraId="27EB9AEE" w14:textId="77777777" w:rsidR="00142F7D" w:rsidRDefault="00142F7D" w:rsidP="00142F7D">
      <w:pPr>
        <w:rPr>
          <w:lang w:val="en-US" w:eastAsia="en-US"/>
        </w:rPr>
      </w:pPr>
    </w:p>
    <w:p w14:paraId="58DCF978" w14:textId="6D209EA8" w:rsidR="002B2421" w:rsidRPr="005F36BF" w:rsidRDefault="00BB0C11" w:rsidP="000235CC">
      <w:pPr>
        <w:pStyle w:val="Ttulo1"/>
        <w:rPr>
          <w:rFonts w:ascii="Garamond" w:hAnsi="Garamond"/>
          <w:b/>
          <w:bCs/>
          <w:color w:val="000000" w:themeColor="text1"/>
          <w:sz w:val="28"/>
          <w:szCs w:val="28"/>
          <w:lang w:val="en-US"/>
        </w:rPr>
      </w:pPr>
      <w:bookmarkStart w:id="41" w:name="_Toc233142904"/>
      <w:r>
        <w:rPr>
          <w:rFonts w:ascii="Garamond" w:hAnsi="Garamond"/>
          <w:b/>
          <w:bCs/>
          <w:color w:val="000000" w:themeColor="text1"/>
          <w:sz w:val="28"/>
          <w:szCs w:val="28"/>
          <w:lang w:val="en-US"/>
        </w:rPr>
        <w:lastRenderedPageBreak/>
        <w:t>5</w:t>
      </w:r>
      <w:r w:rsidR="00B44D4C">
        <w:rPr>
          <w:rFonts w:ascii="Garamond" w:hAnsi="Garamond"/>
          <w:b/>
          <w:bCs/>
          <w:color w:val="000000" w:themeColor="text1"/>
          <w:sz w:val="28"/>
          <w:szCs w:val="28"/>
          <w:lang w:val="en-US"/>
        </w:rPr>
        <w:t>.</w:t>
      </w:r>
      <w:r w:rsidR="002B2421" w:rsidRPr="005F36BF">
        <w:rPr>
          <w:rFonts w:ascii="Garamond" w:hAnsi="Garamond"/>
          <w:b/>
          <w:bCs/>
          <w:color w:val="000000" w:themeColor="text1"/>
          <w:sz w:val="28"/>
          <w:szCs w:val="28"/>
          <w:lang w:val="en-US"/>
        </w:rPr>
        <w:t xml:space="preserve"> </w:t>
      </w:r>
      <w:r w:rsidR="00233EA7">
        <w:rPr>
          <w:rFonts w:ascii="Garamond" w:hAnsi="Garamond"/>
          <w:b/>
          <w:bCs/>
          <w:color w:val="000000" w:themeColor="text1"/>
          <w:sz w:val="28"/>
          <w:szCs w:val="28"/>
          <w:lang w:val="en-US"/>
        </w:rPr>
        <w:t>Private Credit - an Applied</w:t>
      </w:r>
      <w:r w:rsidR="002B2421" w:rsidRPr="005F36BF">
        <w:rPr>
          <w:rFonts w:ascii="Garamond" w:hAnsi="Garamond"/>
          <w:b/>
          <w:bCs/>
          <w:color w:val="000000" w:themeColor="text1"/>
          <w:sz w:val="28"/>
          <w:szCs w:val="28"/>
          <w:lang w:val="en-US"/>
        </w:rPr>
        <w:t xml:space="preserve"> Advisory Framework</w:t>
      </w:r>
      <w:bookmarkEnd w:id="41"/>
    </w:p>
    <w:p w14:paraId="0F046A9A" w14:textId="77777777" w:rsidR="000235CC" w:rsidRPr="005F36BF" w:rsidRDefault="000235CC" w:rsidP="000235CC">
      <w:pPr>
        <w:rPr>
          <w:lang w:val="en-US"/>
        </w:rPr>
      </w:pPr>
    </w:p>
    <w:p w14:paraId="5A7B032F" w14:textId="77777777" w:rsidR="005D40AD" w:rsidRPr="005D40AD" w:rsidRDefault="005D40AD" w:rsidP="005D40AD">
      <w:pPr>
        <w:spacing w:line="360" w:lineRule="auto"/>
        <w:ind w:firstLine="360"/>
        <w:jc w:val="both"/>
        <w:rPr>
          <w:rFonts w:ascii="Garamond" w:hAnsi="Garamond"/>
          <w:color w:val="000000" w:themeColor="text1"/>
          <w:lang w:val="en-US"/>
        </w:rPr>
      </w:pPr>
      <w:r w:rsidRPr="005D40AD">
        <w:rPr>
          <w:rFonts w:ascii="Garamond" w:hAnsi="Garamond"/>
          <w:color w:val="000000" w:themeColor="text1"/>
          <w:lang w:val="en-US"/>
        </w:rPr>
        <w:t>The activities undertaken during my internship at Triple A – Capital &amp; Finance provided me with ongoing exposure to the practical aspects of corporate finance consultancy within the Portuguese market. Throughout the various challenges faced during the internship, the most significant of which are described in Chapter 2, a recurring theme emerged: the financing decisions faced by medium-sized Portuguese companies are often sub-optimal, not because there are no suitable alternatives, but because there is no structured analytical tool to guide consultants and clients through a systematic evaluation of these alternatives.</w:t>
      </w:r>
    </w:p>
    <w:p w14:paraId="3C35FD1D" w14:textId="007541BE" w:rsidR="005D40AD" w:rsidRPr="005D40AD" w:rsidRDefault="005D40AD" w:rsidP="005D40AD">
      <w:pPr>
        <w:spacing w:line="360" w:lineRule="auto"/>
        <w:ind w:firstLine="360"/>
        <w:jc w:val="both"/>
        <w:rPr>
          <w:rFonts w:ascii="Garamond" w:hAnsi="Garamond"/>
          <w:color w:val="000000" w:themeColor="text1"/>
          <w:lang w:val="en-US"/>
        </w:rPr>
      </w:pPr>
      <w:r w:rsidRPr="005D40AD">
        <w:rPr>
          <w:rFonts w:ascii="Garamond" w:hAnsi="Garamond"/>
          <w:color w:val="000000" w:themeColor="text1"/>
          <w:lang w:val="en-US"/>
        </w:rPr>
        <w:t>This chapter aims to address this gap directly</w:t>
      </w:r>
      <w:r w:rsidR="00C66B7A">
        <w:rPr>
          <w:rFonts w:ascii="Garamond" w:hAnsi="Garamond"/>
          <w:color w:val="000000" w:themeColor="text1"/>
          <w:lang w:val="en-US"/>
        </w:rPr>
        <w:t xml:space="preserve"> and</w:t>
      </w:r>
      <w:r w:rsidRPr="005D40AD">
        <w:rPr>
          <w:rFonts w:ascii="Garamond" w:hAnsi="Garamond"/>
          <w:color w:val="000000" w:themeColor="text1"/>
          <w:lang w:val="en-US"/>
        </w:rPr>
        <w:t xml:space="preserve">, at the same time, can be implemented as an essential tool at the core of the company. To this end, a practical advisory framework for Private Credit Assessment will be developed </w:t>
      </w:r>
      <w:r w:rsidR="00C66B7A">
        <w:rPr>
          <w:rFonts w:ascii="Garamond" w:hAnsi="Garamond"/>
          <w:color w:val="000000" w:themeColor="text1"/>
          <w:lang w:val="en-US"/>
        </w:rPr>
        <w:t>an</w:t>
      </w:r>
      <w:r w:rsidRPr="005D40AD">
        <w:rPr>
          <w:rFonts w:ascii="Garamond" w:hAnsi="Garamond"/>
          <w:color w:val="000000" w:themeColor="text1"/>
          <w:lang w:val="en-US"/>
        </w:rPr>
        <w:t xml:space="preserve">d </w:t>
      </w:r>
      <w:r w:rsidR="00C66B7A">
        <w:rPr>
          <w:rFonts w:ascii="Garamond" w:hAnsi="Garamond"/>
          <w:color w:val="000000" w:themeColor="text1"/>
          <w:lang w:val="en-US"/>
        </w:rPr>
        <w:t>designed</w:t>
      </w:r>
      <w:r w:rsidRPr="005D40AD">
        <w:rPr>
          <w:rFonts w:ascii="Garamond" w:hAnsi="Garamond"/>
          <w:color w:val="000000" w:themeColor="text1"/>
          <w:lang w:val="en-US"/>
        </w:rPr>
        <w:t xml:space="preserve"> </w:t>
      </w:r>
      <w:r w:rsidR="00C66B7A">
        <w:rPr>
          <w:rFonts w:ascii="Garamond" w:hAnsi="Garamond"/>
          <w:color w:val="000000" w:themeColor="text1"/>
          <w:lang w:val="en-US"/>
        </w:rPr>
        <w:t>for</w:t>
      </w:r>
      <w:r w:rsidRPr="005D40AD">
        <w:rPr>
          <w:rFonts w:ascii="Garamond" w:hAnsi="Garamond"/>
          <w:color w:val="000000" w:themeColor="text1"/>
          <w:lang w:val="en-US"/>
        </w:rPr>
        <w:t xml:space="preserve"> use by Triple A – Capital &amp; Finance to assess whether private credit </w:t>
      </w:r>
      <w:r w:rsidR="00C66B7A">
        <w:rPr>
          <w:rFonts w:ascii="Garamond" w:hAnsi="Garamond"/>
          <w:color w:val="000000" w:themeColor="text1"/>
          <w:lang w:val="en-US"/>
        </w:rPr>
        <w:t>i</w:t>
      </w:r>
      <w:r w:rsidRPr="005D40AD">
        <w:rPr>
          <w:rFonts w:ascii="Garamond" w:hAnsi="Garamond"/>
          <w:color w:val="000000" w:themeColor="text1"/>
          <w:lang w:val="en-US"/>
        </w:rPr>
        <w:t>s a feasible and strategically appropriate financing alternative for a particular type of client.</w:t>
      </w:r>
    </w:p>
    <w:p w14:paraId="13A539A8" w14:textId="1B294EC4" w:rsidR="002A4AF5" w:rsidRPr="005D40AD" w:rsidRDefault="005D40AD" w:rsidP="005D40AD">
      <w:pPr>
        <w:spacing w:line="360" w:lineRule="auto"/>
        <w:ind w:firstLine="360"/>
        <w:jc w:val="both"/>
        <w:rPr>
          <w:rFonts w:ascii="Garamond" w:hAnsi="Garamond"/>
          <w:color w:val="000000" w:themeColor="text1"/>
          <w:lang w:val="en-US"/>
        </w:rPr>
      </w:pPr>
      <w:r w:rsidRPr="005D40AD">
        <w:rPr>
          <w:rFonts w:ascii="Garamond" w:hAnsi="Garamond"/>
          <w:color w:val="000000" w:themeColor="text1"/>
          <w:lang w:val="en-US"/>
        </w:rPr>
        <w:t xml:space="preserve">The table is based on the literature reviewed in Chapter </w:t>
      </w:r>
      <w:r w:rsidR="00383B67">
        <w:rPr>
          <w:rFonts w:ascii="Garamond" w:hAnsi="Garamond"/>
          <w:color w:val="000000" w:themeColor="text1"/>
          <w:lang w:val="en-US"/>
        </w:rPr>
        <w:t>3</w:t>
      </w:r>
      <w:r w:rsidRPr="005D40AD">
        <w:rPr>
          <w:rFonts w:ascii="Garamond" w:hAnsi="Garamond"/>
          <w:color w:val="000000" w:themeColor="text1"/>
          <w:lang w:val="en-US"/>
        </w:rPr>
        <w:t>, draws on empirical observations gathered during the internship, and is adjusted using current market data from official and institutional sources. The chapter begins with the rationale for the framework, continues with the establishment of a rigorous cost benchmark using official data from the European Central Bank and the Bank of Portugal, together with evidence from renowned international investment managers, and concludes with the framework itself and a critical reflection on its contribution to the firm’s consulting practice.</w:t>
      </w:r>
    </w:p>
    <w:p w14:paraId="0F9C8733" w14:textId="77777777" w:rsidR="00A357E9" w:rsidRPr="00DB4534" w:rsidRDefault="00A357E9" w:rsidP="00E23D74">
      <w:pPr>
        <w:rPr>
          <w:lang w:val="en-US"/>
        </w:rPr>
      </w:pPr>
    </w:p>
    <w:p w14:paraId="01D4D568" w14:textId="45D90E15" w:rsidR="002A4AF5" w:rsidRPr="000235CC" w:rsidRDefault="00BB0C11" w:rsidP="000235CC">
      <w:pPr>
        <w:pStyle w:val="Ttulo2"/>
        <w:jc w:val="both"/>
        <w:rPr>
          <w:rFonts w:ascii="Garamond" w:hAnsi="Garamond"/>
          <w:b/>
          <w:bCs/>
          <w:color w:val="000000" w:themeColor="text1"/>
          <w:sz w:val="28"/>
          <w:szCs w:val="28"/>
          <w:lang w:val="en-US"/>
        </w:rPr>
      </w:pPr>
      <w:bookmarkStart w:id="42" w:name="_Toc233142905"/>
      <w:r>
        <w:rPr>
          <w:rFonts w:ascii="Garamond" w:hAnsi="Garamond"/>
          <w:b/>
          <w:bCs/>
          <w:color w:val="000000" w:themeColor="text1"/>
          <w:sz w:val="28"/>
          <w:szCs w:val="28"/>
          <w:lang w:val="en-US"/>
        </w:rPr>
        <w:t>5</w:t>
      </w:r>
      <w:r w:rsidR="000235CC" w:rsidRPr="000235CC">
        <w:rPr>
          <w:rFonts w:ascii="Garamond" w:hAnsi="Garamond"/>
          <w:b/>
          <w:bCs/>
          <w:color w:val="000000" w:themeColor="text1"/>
          <w:sz w:val="28"/>
          <w:szCs w:val="28"/>
          <w:lang w:val="en-US"/>
        </w:rPr>
        <w:t>.</w:t>
      </w:r>
      <w:r w:rsidR="00233EA7">
        <w:rPr>
          <w:rFonts w:ascii="Garamond" w:hAnsi="Garamond"/>
          <w:b/>
          <w:bCs/>
          <w:color w:val="000000" w:themeColor="text1"/>
          <w:sz w:val="28"/>
          <w:szCs w:val="28"/>
          <w:lang w:val="en-US"/>
        </w:rPr>
        <w:t>1</w:t>
      </w:r>
      <w:r w:rsidR="00F11CF0">
        <w:rPr>
          <w:rFonts w:ascii="Garamond" w:hAnsi="Garamond"/>
          <w:b/>
          <w:bCs/>
          <w:color w:val="000000" w:themeColor="text1"/>
          <w:sz w:val="28"/>
          <w:szCs w:val="28"/>
          <w:lang w:val="en-US"/>
        </w:rPr>
        <w:t>.</w:t>
      </w:r>
      <w:r w:rsidR="000235CC" w:rsidRPr="000235CC">
        <w:rPr>
          <w:rFonts w:ascii="Garamond" w:hAnsi="Garamond"/>
          <w:b/>
          <w:bCs/>
          <w:color w:val="000000" w:themeColor="text1"/>
          <w:sz w:val="28"/>
          <w:szCs w:val="28"/>
          <w:lang w:val="en-US"/>
        </w:rPr>
        <w:t xml:space="preserve"> </w:t>
      </w:r>
      <w:r w:rsidR="002A4AF5" w:rsidRPr="000235CC">
        <w:rPr>
          <w:rFonts w:ascii="Garamond" w:hAnsi="Garamond"/>
          <w:b/>
          <w:bCs/>
          <w:color w:val="000000" w:themeColor="text1"/>
          <w:sz w:val="28"/>
          <w:szCs w:val="28"/>
          <w:lang w:val="en-US"/>
        </w:rPr>
        <w:t>The Cost of Private Credit: Official Benchmarks and Market Evidence</w:t>
      </w:r>
      <w:bookmarkEnd w:id="42"/>
    </w:p>
    <w:p w14:paraId="560D066F" w14:textId="77777777" w:rsidR="002A4AF5" w:rsidRDefault="002A4AF5" w:rsidP="00595FD0">
      <w:pPr>
        <w:rPr>
          <w:lang w:val="en-US"/>
        </w:rPr>
      </w:pPr>
    </w:p>
    <w:p w14:paraId="4ACF06F1" w14:textId="5D34D352" w:rsidR="00B71D1E" w:rsidRDefault="00B71D1E" w:rsidP="00B71D1E">
      <w:pPr>
        <w:spacing w:line="360" w:lineRule="auto"/>
        <w:ind w:firstLine="360"/>
        <w:jc w:val="both"/>
        <w:rPr>
          <w:rFonts w:ascii="Garamond" w:hAnsi="Garamond"/>
          <w:color w:val="000000" w:themeColor="text1"/>
          <w:lang w:val="en-US"/>
        </w:rPr>
      </w:pPr>
      <w:r w:rsidRPr="00B71D1E">
        <w:rPr>
          <w:rFonts w:ascii="Garamond" w:hAnsi="Garamond"/>
          <w:color w:val="000000" w:themeColor="text1"/>
          <w:lang w:val="en-US"/>
        </w:rPr>
        <w:t xml:space="preserve">A prerequisite for any guidance framework on private credit is a clear and well-founded understanding of its actual cost compared with traditional bank financing. To this end, this section aims to establish a </w:t>
      </w:r>
      <w:r>
        <w:rPr>
          <w:rFonts w:ascii="Garamond" w:hAnsi="Garamond"/>
          <w:color w:val="000000" w:themeColor="text1"/>
          <w:lang w:val="en-US"/>
        </w:rPr>
        <w:t>cost</w:t>
      </w:r>
      <w:r w:rsidRPr="00B71D1E">
        <w:rPr>
          <w:rFonts w:ascii="Garamond" w:hAnsi="Garamond"/>
          <w:color w:val="000000" w:themeColor="text1"/>
          <w:lang w:val="en-US"/>
        </w:rPr>
        <w:t xml:space="preserve"> </w:t>
      </w:r>
      <w:r>
        <w:rPr>
          <w:rFonts w:ascii="Garamond" w:hAnsi="Garamond"/>
          <w:color w:val="000000" w:themeColor="text1"/>
          <w:lang w:val="en-US"/>
        </w:rPr>
        <w:t>benchmark</w:t>
      </w:r>
      <w:r w:rsidRPr="00B71D1E">
        <w:rPr>
          <w:rFonts w:ascii="Garamond" w:hAnsi="Garamond"/>
          <w:color w:val="000000" w:themeColor="text1"/>
          <w:lang w:val="en-US"/>
        </w:rPr>
        <w:t xml:space="preserve"> using official data from the European Central Bank and the Bank of Portugal, supplemented by pricing data </w:t>
      </w:r>
      <w:r>
        <w:rPr>
          <w:rFonts w:ascii="Garamond" w:hAnsi="Garamond"/>
          <w:color w:val="000000" w:themeColor="text1"/>
          <w:lang w:val="en-US"/>
        </w:rPr>
        <w:t>from</w:t>
      </w:r>
      <w:r w:rsidRPr="00B71D1E">
        <w:rPr>
          <w:rFonts w:ascii="Garamond" w:hAnsi="Garamond"/>
          <w:color w:val="000000" w:themeColor="text1"/>
          <w:lang w:val="en-US"/>
        </w:rPr>
        <w:t xml:space="preserve"> renowned institutional investors active in the European direct </w:t>
      </w:r>
      <w:r w:rsidR="006B09B9">
        <w:rPr>
          <w:rFonts w:ascii="Garamond" w:hAnsi="Garamond"/>
          <w:color w:val="000000" w:themeColor="text1"/>
          <w:lang w:val="en-US"/>
        </w:rPr>
        <w:t>lending</w:t>
      </w:r>
      <w:r w:rsidRPr="00B71D1E">
        <w:rPr>
          <w:rFonts w:ascii="Garamond" w:hAnsi="Garamond"/>
          <w:color w:val="000000" w:themeColor="text1"/>
          <w:lang w:val="en-US"/>
        </w:rPr>
        <w:t xml:space="preserve"> market.</w:t>
      </w:r>
    </w:p>
    <w:p w14:paraId="10577907" w14:textId="77777777" w:rsidR="00233EA7" w:rsidRDefault="00233EA7" w:rsidP="00B71D1E">
      <w:pPr>
        <w:spacing w:line="360" w:lineRule="auto"/>
        <w:ind w:firstLine="360"/>
        <w:jc w:val="both"/>
        <w:rPr>
          <w:rFonts w:ascii="Garamond" w:hAnsi="Garamond"/>
          <w:color w:val="000000" w:themeColor="text1"/>
          <w:lang w:val="en-US"/>
        </w:rPr>
      </w:pPr>
    </w:p>
    <w:p w14:paraId="14254CA8" w14:textId="77777777" w:rsidR="00233EA7" w:rsidRPr="00B71D1E" w:rsidRDefault="00233EA7" w:rsidP="00B71D1E">
      <w:pPr>
        <w:spacing w:line="360" w:lineRule="auto"/>
        <w:ind w:firstLine="360"/>
        <w:jc w:val="both"/>
        <w:rPr>
          <w:rFonts w:ascii="Garamond" w:hAnsi="Garamond"/>
          <w:color w:val="000000" w:themeColor="text1"/>
          <w:lang w:val="en-US"/>
        </w:rPr>
      </w:pPr>
    </w:p>
    <w:p w14:paraId="23BA95B7" w14:textId="5F13AD78" w:rsidR="002A4AF5" w:rsidRPr="000235CC" w:rsidRDefault="00BB0C11" w:rsidP="000235CC">
      <w:pPr>
        <w:pStyle w:val="Ttulo3"/>
        <w:rPr>
          <w:rFonts w:ascii="Garamond" w:hAnsi="Garamond"/>
          <w:b/>
          <w:bCs/>
          <w:color w:val="000000" w:themeColor="text1"/>
          <w:lang w:val="en-US"/>
        </w:rPr>
      </w:pPr>
      <w:bookmarkStart w:id="43" w:name="_Toc233142906"/>
      <w:r>
        <w:rPr>
          <w:rFonts w:ascii="Garamond" w:hAnsi="Garamond"/>
          <w:b/>
          <w:bCs/>
          <w:color w:val="000000" w:themeColor="text1"/>
          <w:lang w:val="en-US"/>
        </w:rPr>
        <w:lastRenderedPageBreak/>
        <w:t>5</w:t>
      </w:r>
      <w:r w:rsidR="000235CC" w:rsidRPr="000235CC">
        <w:rPr>
          <w:rFonts w:ascii="Garamond" w:hAnsi="Garamond"/>
          <w:b/>
          <w:bCs/>
          <w:color w:val="000000" w:themeColor="text1"/>
          <w:lang w:val="en-US"/>
        </w:rPr>
        <w:t>.</w:t>
      </w:r>
      <w:r w:rsidR="00233EA7">
        <w:rPr>
          <w:rFonts w:ascii="Garamond" w:hAnsi="Garamond"/>
          <w:b/>
          <w:bCs/>
          <w:color w:val="000000" w:themeColor="text1"/>
          <w:lang w:val="en-US"/>
        </w:rPr>
        <w:t>1</w:t>
      </w:r>
      <w:r w:rsidR="000235CC" w:rsidRPr="000235CC">
        <w:rPr>
          <w:rFonts w:ascii="Garamond" w:hAnsi="Garamond"/>
          <w:b/>
          <w:bCs/>
          <w:color w:val="000000" w:themeColor="text1"/>
          <w:lang w:val="en-US"/>
        </w:rPr>
        <w:t>.1</w:t>
      </w:r>
      <w:r w:rsidR="0066352F">
        <w:rPr>
          <w:rFonts w:ascii="Garamond" w:hAnsi="Garamond"/>
          <w:b/>
          <w:bCs/>
          <w:color w:val="000000" w:themeColor="text1"/>
          <w:lang w:val="en-US"/>
        </w:rPr>
        <w:t>.</w:t>
      </w:r>
      <w:r w:rsidR="000235CC" w:rsidRPr="000235CC">
        <w:rPr>
          <w:rFonts w:ascii="Garamond" w:hAnsi="Garamond"/>
          <w:b/>
          <w:bCs/>
          <w:color w:val="000000" w:themeColor="text1"/>
          <w:lang w:val="en-US"/>
        </w:rPr>
        <w:t xml:space="preserve"> </w:t>
      </w:r>
      <w:r w:rsidR="002A4AF5" w:rsidRPr="000235CC">
        <w:rPr>
          <w:rFonts w:ascii="Garamond" w:hAnsi="Garamond"/>
          <w:b/>
          <w:bCs/>
          <w:color w:val="000000" w:themeColor="text1"/>
          <w:lang w:val="en-US"/>
        </w:rPr>
        <w:t>Bank Lending Rates: Official Data from the ECB and Banco de Portugal</w:t>
      </w:r>
      <w:bookmarkEnd w:id="43"/>
    </w:p>
    <w:p w14:paraId="4B4B608A" w14:textId="77777777" w:rsidR="006F03C4" w:rsidRDefault="006F03C4" w:rsidP="00595FD0">
      <w:pPr>
        <w:rPr>
          <w:lang w:val="en-US"/>
        </w:rPr>
      </w:pPr>
    </w:p>
    <w:p w14:paraId="6BB427F9" w14:textId="77777777" w:rsidR="00135314" w:rsidRDefault="00135314" w:rsidP="00135314">
      <w:pPr>
        <w:spacing w:line="360" w:lineRule="auto"/>
        <w:ind w:firstLine="360"/>
        <w:jc w:val="both"/>
        <w:rPr>
          <w:rFonts w:ascii="Garamond" w:hAnsi="Garamond"/>
          <w:color w:val="000000" w:themeColor="text1"/>
          <w:lang w:val="en-US"/>
        </w:rPr>
      </w:pPr>
      <w:r w:rsidRPr="00135314">
        <w:rPr>
          <w:rFonts w:ascii="Garamond" w:hAnsi="Garamond"/>
          <w:color w:val="000000" w:themeColor="text1"/>
          <w:lang w:val="en-US"/>
        </w:rPr>
        <w:t xml:space="preserve">The logical starting point for a cost comparison is the rate at which Portuguese non-financial corporations currently access bank credit. The Bank of Portugal, through its statistical series published by the Office of Strategy and Studies (GEE), provides </w:t>
      </w:r>
      <w:proofErr w:type="spellStart"/>
      <w:r w:rsidRPr="00135314">
        <w:rPr>
          <w:rFonts w:ascii="Garamond" w:hAnsi="Garamond"/>
          <w:color w:val="000000" w:themeColor="text1"/>
          <w:lang w:val="en-US"/>
        </w:rPr>
        <w:t>harmonised</w:t>
      </w:r>
      <w:proofErr w:type="spellEnd"/>
      <w:r w:rsidRPr="00135314">
        <w:rPr>
          <w:rFonts w:ascii="Garamond" w:hAnsi="Garamond"/>
          <w:color w:val="000000" w:themeColor="text1"/>
          <w:lang w:val="en-US"/>
        </w:rPr>
        <w:t xml:space="preserve"> monthly data on the interest rates applied by monetary financial institutions (MFIs) resident in Portugal to new credit operations.</w:t>
      </w:r>
    </w:p>
    <w:p w14:paraId="1FBD9341" w14:textId="6A122316" w:rsidR="00135314" w:rsidRDefault="00135314" w:rsidP="00135314">
      <w:pPr>
        <w:spacing w:line="360" w:lineRule="auto"/>
        <w:ind w:firstLine="360"/>
        <w:jc w:val="both"/>
        <w:rPr>
          <w:rFonts w:ascii="Garamond" w:hAnsi="Garamond"/>
          <w:color w:val="000000" w:themeColor="text1"/>
          <w:lang w:val="en-US"/>
        </w:rPr>
      </w:pPr>
      <w:r w:rsidRPr="00135314">
        <w:rPr>
          <w:rFonts w:ascii="Garamond" w:hAnsi="Garamond"/>
          <w:color w:val="000000" w:themeColor="text1"/>
          <w:lang w:val="en-US"/>
        </w:rPr>
        <w:t xml:space="preserve">According to the most recent official source, the interest rate on loans granted to non-financial corporations in Portugal stood at 3.53% in March 2026, </w:t>
      </w:r>
      <w:r w:rsidR="002C028D">
        <w:rPr>
          <w:rFonts w:ascii="Garamond" w:hAnsi="Garamond"/>
          <w:color w:val="000000" w:themeColor="text1"/>
          <w:lang w:val="en-US"/>
        </w:rPr>
        <w:t>a drop of</w:t>
      </w:r>
      <w:r w:rsidRPr="00135314">
        <w:rPr>
          <w:rFonts w:ascii="Garamond" w:hAnsi="Garamond"/>
          <w:color w:val="000000" w:themeColor="text1"/>
          <w:lang w:val="en-US"/>
        </w:rPr>
        <w:t xml:space="preserve"> 0.18 percentage points from February 2026. However, what is most important in this context is that there appears to be a significant difference between small and large loans, in particular, interest rates on loans up to €1 million, which generally include loans to SMEs, were calculated at 3.60%, whilst those for loans above €1 million, which are generally medium-sized loans, stood at 3.45% </w:t>
      </w:r>
      <w:r w:rsidR="007F7B5A">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&lt;EndNote&gt;&lt;Cite&gt;&lt;Author&gt;Gabinete de Estratégia e Estudos&lt;/Author&gt;&lt;Year&gt;2026&lt;/Year&gt;&lt;RecNum&gt;78&lt;/RecNum&gt;&lt;DisplayText&gt;(Gabinete de Estratégia e Estudos, 2026)&lt;/DisplayText&gt;&lt;record&gt;&lt;rec-number&gt;78&lt;/rec-number&gt;&lt;foreign-keys&gt;&lt;key app="EN" db-id="x2z5xfr9jx5dwcef50b5eedwwwr9x5pperdz" timestamp="1778489055"&gt;78&lt;/key&gt;&lt;/foreign-keys&gt;&lt;ref-type name="Government Document"&gt;46&lt;/ref-type&gt;&lt;contributors&gt;&lt;authors&gt;&lt;author&gt;Gabinete de Estratégia e Estudos,&lt;/author&gt;&lt;/authors&gt;&lt;/contributors&gt;&lt;titles&gt;&lt;title&gt;Taxa de Juro dos Novos Empréstimos - Banco de Portugal&lt;/title&gt;&lt;/titles&gt;&lt;dates&gt;&lt;year&gt;2026&lt;/year&gt;&lt;/dates&gt;&lt;urls&gt;&lt;related-urls&gt;&lt;url&gt;https://www.gee.gov.pt/pt/indicadores-diarios/ultimos-indicadores/35063-taxa-de-juro-dos-novos-emprestimos-banco-de-portugal-51&lt;/url&gt;&lt;/related-urls&gt;&lt;/urls&gt;&lt;/record&gt;&lt;/Cite&gt;&lt;/EndNote&gt;</w:instrText>
      </w:r>
      <w:r w:rsidR="007F7B5A">
        <w:rPr>
          <w:rFonts w:ascii="Garamond" w:hAnsi="Garamond"/>
          <w:color w:val="000000" w:themeColor="text1"/>
          <w:lang w:val="en-US"/>
        </w:rPr>
        <w:fldChar w:fldCharType="separate"/>
      </w:r>
      <w:r w:rsidR="007F7B5A">
        <w:rPr>
          <w:rFonts w:ascii="Garamond" w:hAnsi="Garamond"/>
          <w:noProof/>
          <w:color w:val="000000" w:themeColor="text1"/>
          <w:lang w:val="en-US"/>
        </w:rPr>
        <w:t>(</w:t>
      </w:r>
      <w:r w:rsidR="00593AF0" w:rsidRPr="00F551EC">
        <w:rPr>
          <w:rFonts w:ascii="Garamond" w:hAnsi="Garamond"/>
          <w:noProof/>
          <w:color w:val="000000" w:themeColor="text1"/>
          <w:lang w:val="en-US"/>
        </w:rPr>
        <w:t>Gabinete de Estratégia e Estudos, 2026</w:t>
      </w:r>
      <w:r w:rsidR="007F7B5A">
        <w:rPr>
          <w:rFonts w:ascii="Garamond" w:hAnsi="Garamond"/>
          <w:noProof/>
          <w:color w:val="000000" w:themeColor="text1"/>
          <w:lang w:val="en-US"/>
        </w:rPr>
        <w:t>)</w:t>
      </w:r>
      <w:r w:rsidR="007F7B5A">
        <w:rPr>
          <w:rFonts w:ascii="Garamond" w:hAnsi="Garamond"/>
          <w:color w:val="000000" w:themeColor="text1"/>
          <w:lang w:val="en-US"/>
        </w:rPr>
        <w:fldChar w:fldCharType="end"/>
      </w:r>
    </w:p>
    <w:p w14:paraId="36369464" w14:textId="21E4034A" w:rsidR="00D66169" w:rsidRDefault="00135314" w:rsidP="00135314">
      <w:pPr>
        <w:spacing w:line="360" w:lineRule="auto"/>
        <w:ind w:firstLine="360"/>
        <w:jc w:val="both"/>
        <w:rPr>
          <w:rFonts w:ascii="Garamond" w:hAnsi="Garamond"/>
          <w:color w:val="000000" w:themeColor="text1"/>
          <w:lang w:val="en-US"/>
        </w:rPr>
      </w:pPr>
      <w:r w:rsidRPr="00135314">
        <w:rPr>
          <w:rFonts w:ascii="Garamond" w:hAnsi="Garamond"/>
          <w:color w:val="000000" w:themeColor="text1"/>
          <w:lang w:val="en-US"/>
        </w:rPr>
        <w:t xml:space="preserve">Across the euro area, the ECB’s statistics on MFI interest rates for December 2025 confirm a broadly consistent picture. New loans to businesses exceeding €1 million, with a variable rate and an initial rate fixation period of up to three months, stood at 3.31% across the euro area, whilst small loans of up to €250,000, with a variable rate, had an average rate of 3.65% </w:t>
      </w:r>
      <w:r w:rsidR="007F7B5A">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&lt;EndNote&gt;&lt;Cite&gt;&lt;Author&gt;European Central Bank&lt;/Author&gt;&lt;Year&gt;2026&lt;/Year&gt;&lt;RecNum&gt;84&lt;/RecNum&gt;&lt;DisplayText&gt;(European Central Bank, 2026)&lt;/DisplayText&gt;&lt;record&gt;&lt;rec-number&gt;84&lt;/rec-number&gt;&lt;foreign-keys&gt;&lt;key app="EN" db-id="x2z5xfr9jx5dwcef50b5eedwwwr9x5pperdz" timestamp="1779520583"&gt;84&lt;/key&gt;&lt;/foreign-keys&gt;&lt;ref-type name="Web Page"&gt;12&lt;/ref-type&gt;&lt;contributors&gt;&lt;authors&gt;&lt;author&gt;European Central Bank,&lt;/author&gt;&lt;/authors&gt;&lt;/contributors&gt;&lt;titles&gt;&lt;title&gt;Euro area bank interest rate statistics: December 2025&lt;/title&gt;&lt;/titles&gt;&lt;dates&gt;&lt;year&gt;2026&lt;/year&gt;&lt;/dates&gt;&lt;urls&gt;&lt;related-urls&gt;&lt;url&gt;https://www.ecb.europa.eu/press/stats/mfi/html/ecb.mir2602~11392d94d2.pt.html&lt;/url&gt;&lt;/related-urls&gt;&lt;/urls&gt;&lt;/record&gt;&lt;/Cite&gt;&lt;/EndNote&gt;</w:instrText>
      </w:r>
      <w:r w:rsidR="007F7B5A">
        <w:rPr>
          <w:rFonts w:ascii="Garamond" w:hAnsi="Garamond"/>
          <w:color w:val="000000" w:themeColor="text1"/>
          <w:lang w:val="en-US"/>
        </w:rPr>
        <w:fldChar w:fldCharType="separate"/>
      </w:r>
      <w:r w:rsidR="00C83B53">
        <w:rPr>
          <w:rFonts w:ascii="Garamond" w:hAnsi="Garamond"/>
          <w:noProof/>
          <w:color w:val="000000" w:themeColor="text1"/>
          <w:lang w:val="en-US"/>
        </w:rPr>
        <w:t>(</w:t>
      </w:r>
      <w:r w:rsidR="00593AF0" w:rsidRPr="00F551EC">
        <w:rPr>
          <w:rFonts w:ascii="Garamond" w:hAnsi="Garamond"/>
          <w:noProof/>
          <w:color w:val="000000" w:themeColor="text1"/>
          <w:lang w:val="en-US"/>
        </w:rPr>
        <w:t>European Central Bank, 2026</w:t>
      </w:r>
      <w:r w:rsidR="00C83B53">
        <w:rPr>
          <w:rFonts w:ascii="Garamond" w:hAnsi="Garamond"/>
          <w:noProof/>
          <w:color w:val="000000" w:themeColor="text1"/>
          <w:lang w:val="en-US"/>
        </w:rPr>
        <w:t>)</w:t>
      </w:r>
      <w:r w:rsidR="007F7B5A">
        <w:rPr>
          <w:rFonts w:ascii="Garamond" w:hAnsi="Garamond"/>
          <w:color w:val="000000" w:themeColor="text1"/>
          <w:lang w:val="en-US"/>
        </w:rPr>
        <w:fldChar w:fldCharType="end"/>
      </w:r>
      <w:r w:rsidRPr="00135314">
        <w:rPr>
          <w:rFonts w:ascii="Garamond" w:hAnsi="Garamond"/>
          <w:color w:val="000000" w:themeColor="text1"/>
          <w:lang w:val="en-US"/>
        </w:rPr>
        <w:t xml:space="preserve">. Rates in Portugal are therefore broadly in line with the euro area average, reflecting comparable monetary policy </w:t>
      </w:r>
      <w:r w:rsidR="00B01A36">
        <w:rPr>
          <w:rFonts w:ascii="Garamond" w:hAnsi="Garamond"/>
          <w:color w:val="000000" w:themeColor="text1"/>
          <w:lang w:val="en-US"/>
        </w:rPr>
        <w:t xml:space="preserve">transmission </w:t>
      </w:r>
      <w:r w:rsidRPr="00135314">
        <w:rPr>
          <w:rFonts w:ascii="Garamond" w:hAnsi="Garamond"/>
          <w:color w:val="000000" w:themeColor="text1"/>
          <w:lang w:val="en-US"/>
        </w:rPr>
        <w:t xml:space="preserve">across the monetary union. Table 1 </w:t>
      </w:r>
      <w:proofErr w:type="spellStart"/>
      <w:r w:rsidRPr="00135314">
        <w:rPr>
          <w:rFonts w:ascii="Garamond" w:hAnsi="Garamond"/>
          <w:color w:val="000000" w:themeColor="text1"/>
          <w:lang w:val="en-US"/>
        </w:rPr>
        <w:t>summarises</w:t>
      </w:r>
      <w:proofErr w:type="spellEnd"/>
      <w:r w:rsidRPr="00135314">
        <w:rPr>
          <w:rFonts w:ascii="Garamond" w:hAnsi="Garamond"/>
          <w:color w:val="000000" w:themeColor="text1"/>
          <w:lang w:val="en-US"/>
        </w:rPr>
        <w:t xml:space="preserve"> these official reference figures.</w:t>
      </w:r>
    </w:p>
    <w:p w14:paraId="583F29BB" w14:textId="77777777" w:rsidR="00B01A36" w:rsidRPr="00135314" w:rsidRDefault="00B01A36" w:rsidP="00135314">
      <w:pPr>
        <w:spacing w:line="360" w:lineRule="auto"/>
        <w:ind w:firstLine="360"/>
        <w:jc w:val="both"/>
        <w:rPr>
          <w:rFonts w:ascii="Garamond" w:hAnsi="Garamond"/>
          <w:color w:val="000000" w:themeColor="text1"/>
          <w:lang w:val="en-US"/>
        </w:rPr>
      </w:pPr>
    </w:p>
    <w:tbl>
      <w:tblPr>
        <w:tblStyle w:val="TabelacomGrelha"/>
        <w:tblW w:w="0" w:type="auto"/>
        <w:jc w:val="center"/>
        <w:tblLook w:val="04A0" w:firstRow="1" w:lastRow="0" w:firstColumn="1" w:lastColumn="0" w:noHBand="0" w:noVBand="1"/>
      </w:tblPr>
      <w:tblGrid>
        <w:gridCol w:w="2675"/>
        <w:gridCol w:w="2113"/>
        <w:gridCol w:w="2112"/>
      </w:tblGrid>
      <w:tr w:rsidR="00B01159" w14:paraId="3E2F7037" w14:textId="77777777" w:rsidTr="00933CAE">
        <w:trPr>
          <w:jc w:val="center"/>
        </w:trPr>
        <w:tc>
          <w:tcPr>
            <w:tcW w:w="2675" w:type="dxa"/>
            <w:shd w:val="clear" w:color="auto" w:fill="C9D4E8"/>
            <w:vAlign w:val="center"/>
          </w:tcPr>
          <w:p w14:paraId="71AFD149" w14:textId="77777777" w:rsidR="00B01159" w:rsidRDefault="00B01159" w:rsidP="00933CAE">
            <w:pPr>
              <w:spacing w:before="40" w:after="40"/>
              <w:jc w:val="center"/>
            </w:pPr>
            <w:r>
              <w:rPr>
                <w:rFonts w:ascii="Garamond" w:hAnsi="Garamond"/>
                <w:b/>
                <w:sz w:val="20"/>
              </w:rPr>
              <w:t>Loan Category</w:t>
            </w:r>
          </w:p>
        </w:tc>
        <w:tc>
          <w:tcPr>
            <w:tcW w:w="2113" w:type="dxa"/>
            <w:shd w:val="clear" w:color="auto" w:fill="C9D4E8"/>
            <w:vAlign w:val="center"/>
          </w:tcPr>
          <w:p w14:paraId="00FCE0F3" w14:textId="38D2AD30" w:rsidR="00B01159" w:rsidRDefault="00B01159" w:rsidP="00933CAE">
            <w:pPr>
              <w:spacing w:before="40" w:after="40"/>
              <w:jc w:val="center"/>
            </w:pPr>
            <w:r>
              <w:rPr>
                <w:rFonts w:ascii="Garamond" w:hAnsi="Garamond"/>
                <w:b/>
                <w:sz w:val="20"/>
              </w:rPr>
              <w:t>Portugal Rate</w:t>
            </w:r>
            <w:r>
              <w:rPr>
                <w:rFonts w:ascii="Garamond" w:hAnsi="Garamond"/>
                <w:b/>
                <w:sz w:val="20"/>
              </w:rPr>
              <w:br/>
              <w:t>(</w:t>
            </w:r>
            <w:r w:rsidR="00AE43C8">
              <w:rPr>
                <w:rFonts w:ascii="Garamond" w:hAnsi="Garamond"/>
                <w:b/>
                <w:sz w:val="20"/>
              </w:rPr>
              <w:t>March</w:t>
            </w:r>
            <w:r>
              <w:rPr>
                <w:rFonts w:ascii="Garamond" w:hAnsi="Garamond"/>
                <w:b/>
                <w:sz w:val="20"/>
              </w:rPr>
              <w:t xml:space="preserve"> 2026)</w:t>
            </w:r>
          </w:p>
        </w:tc>
        <w:tc>
          <w:tcPr>
            <w:tcW w:w="2112" w:type="dxa"/>
            <w:shd w:val="clear" w:color="auto" w:fill="C9D4E8"/>
            <w:vAlign w:val="center"/>
          </w:tcPr>
          <w:p w14:paraId="004E6E79" w14:textId="77777777" w:rsidR="00B01159" w:rsidRDefault="00B01159" w:rsidP="00933CAE">
            <w:pPr>
              <w:spacing w:before="40" w:after="40"/>
              <w:jc w:val="center"/>
            </w:pPr>
            <w:r>
              <w:rPr>
                <w:rFonts w:ascii="Garamond" w:hAnsi="Garamond"/>
                <w:b/>
                <w:sz w:val="20"/>
              </w:rPr>
              <w:t>Euro Area Rate</w:t>
            </w:r>
            <w:r>
              <w:rPr>
                <w:rFonts w:ascii="Garamond" w:hAnsi="Garamond"/>
                <w:b/>
                <w:sz w:val="20"/>
              </w:rPr>
              <w:br/>
              <w:t>(Dec 2025)</w:t>
            </w:r>
          </w:p>
        </w:tc>
      </w:tr>
      <w:tr w:rsidR="00B01159" w14:paraId="07D35C5D" w14:textId="77777777" w:rsidTr="00B01159">
        <w:trPr>
          <w:jc w:val="center"/>
        </w:trPr>
        <w:tc>
          <w:tcPr>
            <w:tcW w:w="2675" w:type="dxa"/>
            <w:shd w:val="clear" w:color="auto" w:fill="EEF2F8"/>
          </w:tcPr>
          <w:p w14:paraId="3CF0B709" w14:textId="56659537" w:rsidR="00B01159" w:rsidRPr="0087542E" w:rsidRDefault="00B01159" w:rsidP="00693FF5">
            <w:pPr>
              <w:spacing w:before="40" w:after="40"/>
              <w:rPr>
                <w:lang w:val="en-US"/>
              </w:rPr>
            </w:pPr>
            <w:r w:rsidRPr="0087542E">
              <w:rPr>
                <w:rFonts w:ascii="Garamond" w:hAnsi="Garamond"/>
                <w:sz w:val="20"/>
                <w:lang w:val="en-US"/>
              </w:rPr>
              <w:t>New loans to NFCs – all maturities (av</w:t>
            </w:r>
            <w:r w:rsidR="007E7ACB">
              <w:rPr>
                <w:rFonts w:ascii="Garamond" w:hAnsi="Garamond"/>
                <w:sz w:val="20"/>
                <w:lang w:val="en-US"/>
              </w:rPr>
              <w:t>erage</w:t>
            </w:r>
            <w:r w:rsidRPr="0087542E">
              <w:rPr>
                <w:rFonts w:ascii="Garamond" w:hAnsi="Garamond"/>
                <w:sz w:val="20"/>
                <w:lang w:val="en-US"/>
              </w:rPr>
              <w:t>)</w:t>
            </w:r>
          </w:p>
        </w:tc>
        <w:tc>
          <w:tcPr>
            <w:tcW w:w="2113" w:type="dxa"/>
            <w:shd w:val="clear" w:color="auto" w:fill="EEF2F8"/>
          </w:tcPr>
          <w:p w14:paraId="79AAB1ED" w14:textId="52087036" w:rsidR="00B01159" w:rsidRDefault="00B01159" w:rsidP="00693FF5">
            <w:pPr>
              <w:spacing w:before="40" w:after="40"/>
              <w:jc w:val="center"/>
            </w:pPr>
            <w:r>
              <w:rPr>
                <w:rFonts w:ascii="Garamond" w:hAnsi="Garamond"/>
                <w:sz w:val="20"/>
              </w:rPr>
              <w:t>3.</w:t>
            </w:r>
            <w:r w:rsidR="00AE43C8">
              <w:rPr>
                <w:rFonts w:ascii="Garamond" w:hAnsi="Garamond"/>
                <w:sz w:val="20"/>
              </w:rPr>
              <w:t>53</w:t>
            </w:r>
            <w:r>
              <w:rPr>
                <w:rFonts w:ascii="Garamond" w:hAnsi="Garamond"/>
                <w:sz w:val="20"/>
              </w:rPr>
              <w:t>%</w:t>
            </w:r>
          </w:p>
        </w:tc>
        <w:tc>
          <w:tcPr>
            <w:tcW w:w="2112" w:type="dxa"/>
            <w:shd w:val="clear" w:color="auto" w:fill="EEF2F8"/>
          </w:tcPr>
          <w:p w14:paraId="2478D340" w14:textId="77777777" w:rsidR="00B01159" w:rsidRDefault="00B01159" w:rsidP="00693FF5">
            <w:pPr>
              <w:spacing w:before="40" w:after="40"/>
              <w:jc w:val="center"/>
            </w:pPr>
            <w:r>
              <w:rPr>
                <w:rFonts w:ascii="Garamond" w:hAnsi="Garamond"/>
                <w:sz w:val="20"/>
              </w:rPr>
              <w:t>n/a (country-specific)</w:t>
            </w:r>
          </w:p>
        </w:tc>
      </w:tr>
      <w:tr w:rsidR="00B01159" w:rsidRPr="00763D45" w14:paraId="369C6BE1" w14:textId="77777777" w:rsidTr="00B01159">
        <w:trPr>
          <w:jc w:val="center"/>
        </w:trPr>
        <w:tc>
          <w:tcPr>
            <w:tcW w:w="2675" w:type="dxa"/>
          </w:tcPr>
          <w:p w14:paraId="528B0944" w14:textId="77777777" w:rsidR="00B01159" w:rsidRDefault="00B01159" w:rsidP="00693FF5">
            <w:pPr>
              <w:spacing w:before="40" w:after="40"/>
            </w:pPr>
            <w:r>
              <w:rPr>
                <w:rFonts w:ascii="Garamond" w:hAnsi="Garamond"/>
                <w:sz w:val="20"/>
              </w:rPr>
              <w:t>Loans ≤ €1M (SME segment)</w:t>
            </w:r>
          </w:p>
        </w:tc>
        <w:tc>
          <w:tcPr>
            <w:tcW w:w="2113" w:type="dxa"/>
          </w:tcPr>
          <w:p w14:paraId="3AEF595C" w14:textId="3283CC7B" w:rsidR="00B01159" w:rsidRDefault="00B01159" w:rsidP="00693FF5">
            <w:pPr>
              <w:spacing w:before="40" w:after="40"/>
              <w:jc w:val="center"/>
            </w:pPr>
            <w:r>
              <w:rPr>
                <w:rFonts w:ascii="Garamond" w:hAnsi="Garamond"/>
                <w:sz w:val="20"/>
              </w:rPr>
              <w:t>3.</w:t>
            </w:r>
            <w:r w:rsidR="004C43C3">
              <w:rPr>
                <w:rFonts w:ascii="Garamond" w:hAnsi="Garamond"/>
                <w:sz w:val="20"/>
              </w:rPr>
              <w:t>6</w:t>
            </w:r>
            <w:r>
              <w:rPr>
                <w:rFonts w:ascii="Garamond" w:hAnsi="Garamond"/>
                <w:sz w:val="20"/>
              </w:rPr>
              <w:t>0%</w:t>
            </w:r>
          </w:p>
        </w:tc>
        <w:tc>
          <w:tcPr>
            <w:tcW w:w="2112" w:type="dxa"/>
          </w:tcPr>
          <w:p w14:paraId="0B43E83B" w14:textId="5A81734F" w:rsidR="00B01159" w:rsidRDefault="00B01159" w:rsidP="00693FF5">
            <w:pPr>
              <w:spacing w:before="40" w:after="40"/>
              <w:jc w:val="center"/>
            </w:pPr>
            <w:r>
              <w:rPr>
                <w:rFonts w:ascii="Garamond" w:hAnsi="Garamond"/>
                <w:sz w:val="20"/>
              </w:rPr>
              <w:t>3.65% (≤ €250K, float.)</w:t>
            </w:r>
          </w:p>
        </w:tc>
      </w:tr>
      <w:tr w:rsidR="00B01159" w:rsidRPr="00763D45" w14:paraId="5D85AA6E" w14:textId="77777777" w:rsidTr="00B01159">
        <w:trPr>
          <w:jc w:val="center"/>
        </w:trPr>
        <w:tc>
          <w:tcPr>
            <w:tcW w:w="2675" w:type="dxa"/>
            <w:shd w:val="clear" w:color="auto" w:fill="EEF2F8"/>
          </w:tcPr>
          <w:p w14:paraId="29E36185" w14:textId="77777777" w:rsidR="00B01159" w:rsidRPr="0087542E" w:rsidRDefault="00B01159" w:rsidP="00693FF5">
            <w:pPr>
              <w:spacing w:before="40" w:after="40"/>
              <w:rPr>
                <w:lang w:val="en-US"/>
              </w:rPr>
            </w:pPr>
            <w:r w:rsidRPr="0087542E">
              <w:rPr>
                <w:rFonts w:ascii="Garamond" w:hAnsi="Garamond"/>
                <w:sz w:val="20"/>
                <w:lang w:val="en-US"/>
              </w:rPr>
              <w:t>Loans &gt; €1M (mid-market segment)</w:t>
            </w:r>
          </w:p>
        </w:tc>
        <w:tc>
          <w:tcPr>
            <w:tcW w:w="2113" w:type="dxa"/>
            <w:shd w:val="clear" w:color="auto" w:fill="EEF2F8"/>
          </w:tcPr>
          <w:p w14:paraId="1320E96F" w14:textId="10E273CE" w:rsidR="00B01159" w:rsidRDefault="00B01159" w:rsidP="00693FF5">
            <w:pPr>
              <w:spacing w:before="40" w:after="40"/>
              <w:jc w:val="center"/>
            </w:pPr>
            <w:r>
              <w:rPr>
                <w:rFonts w:ascii="Garamond" w:hAnsi="Garamond"/>
                <w:sz w:val="20"/>
              </w:rPr>
              <w:t>3.4</w:t>
            </w:r>
            <w:r w:rsidR="004C43C3">
              <w:rPr>
                <w:rFonts w:ascii="Garamond" w:hAnsi="Garamond"/>
                <w:sz w:val="20"/>
              </w:rPr>
              <w:t>5</w:t>
            </w:r>
            <w:r>
              <w:rPr>
                <w:rFonts w:ascii="Garamond" w:hAnsi="Garamond"/>
                <w:sz w:val="20"/>
              </w:rPr>
              <w:t>%</w:t>
            </w:r>
          </w:p>
        </w:tc>
        <w:tc>
          <w:tcPr>
            <w:tcW w:w="2112" w:type="dxa"/>
            <w:shd w:val="clear" w:color="auto" w:fill="EEF2F8"/>
          </w:tcPr>
          <w:p w14:paraId="70A8110D" w14:textId="2780EFD8" w:rsidR="00B01159" w:rsidRDefault="00B01159" w:rsidP="00693FF5">
            <w:pPr>
              <w:spacing w:before="40" w:after="40"/>
              <w:jc w:val="center"/>
            </w:pPr>
            <w:r>
              <w:rPr>
                <w:rFonts w:ascii="Garamond" w:hAnsi="Garamond"/>
                <w:sz w:val="20"/>
              </w:rPr>
              <w:t>3.31% (float., ≤ 3</w:t>
            </w:r>
            <w:r w:rsidR="00BC22BB">
              <w:rPr>
                <w:rFonts w:ascii="Garamond" w:hAnsi="Garamond"/>
                <w:sz w:val="20"/>
              </w:rPr>
              <w:t xml:space="preserve"> months</w:t>
            </w:r>
            <w:r>
              <w:rPr>
                <w:rFonts w:ascii="Garamond" w:hAnsi="Garamond"/>
                <w:sz w:val="20"/>
              </w:rPr>
              <w:t xml:space="preserve"> fix.)</w:t>
            </w:r>
          </w:p>
        </w:tc>
      </w:tr>
    </w:tbl>
    <w:p w14:paraId="1A083609" w14:textId="5110A832" w:rsidR="00B96295" w:rsidRPr="007E7ACB" w:rsidRDefault="00B96295" w:rsidP="00B96295">
      <w:pPr>
        <w:pStyle w:val="Legenda"/>
        <w:keepNext/>
        <w:jc w:val="center"/>
        <w:rPr>
          <w:rFonts w:ascii="Garamond" w:hAnsi="Garamond"/>
          <w:color w:val="000000" w:themeColor="text1"/>
          <w:lang w:val="en-US"/>
        </w:rPr>
      </w:pPr>
      <w:bookmarkStart w:id="44" w:name="_Toc232962125"/>
      <w:bookmarkStart w:id="45" w:name="_Toc233144734"/>
      <w:r w:rsidRPr="007E7ACB">
        <w:rPr>
          <w:rFonts w:ascii="Garamond" w:hAnsi="Garamond"/>
          <w:color w:val="000000" w:themeColor="text1"/>
          <w:lang w:val="en-US"/>
        </w:rPr>
        <w:t xml:space="preserve">Table </w:t>
      </w:r>
      <w:r w:rsidRPr="007E7ACB">
        <w:rPr>
          <w:rFonts w:ascii="Garamond" w:hAnsi="Garamond"/>
          <w:color w:val="000000" w:themeColor="text1"/>
        </w:rPr>
        <w:fldChar w:fldCharType="begin"/>
      </w:r>
      <w:r w:rsidRPr="007E7ACB">
        <w:rPr>
          <w:rFonts w:ascii="Garamond" w:hAnsi="Garamond"/>
          <w:color w:val="000000" w:themeColor="text1"/>
          <w:lang w:val="en-US"/>
        </w:rPr>
        <w:instrText xml:space="preserve"> SEQ Table \* ARABIC </w:instrText>
      </w:r>
      <w:r w:rsidRPr="007E7ACB">
        <w:rPr>
          <w:rFonts w:ascii="Garamond" w:hAnsi="Garamond"/>
          <w:color w:val="000000" w:themeColor="text1"/>
        </w:rPr>
        <w:fldChar w:fldCharType="separate"/>
      </w:r>
      <w:r w:rsidR="000C6C03">
        <w:rPr>
          <w:rFonts w:ascii="Garamond" w:hAnsi="Garamond"/>
          <w:noProof/>
          <w:color w:val="000000" w:themeColor="text1"/>
          <w:lang w:val="en-US"/>
        </w:rPr>
        <w:t>1</w:t>
      </w:r>
      <w:r w:rsidRPr="007E7ACB">
        <w:rPr>
          <w:rFonts w:ascii="Garamond" w:hAnsi="Garamond"/>
          <w:color w:val="000000" w:themeColor="text1"/>
        </w:rPr>
        <w:fldChar w:fldCharType="end"/>
      </w:r>
      <w:r w:rsidRPr="007E7ACB">
        <w:rPr>
          <w:rFonts w:ascii="Garamond" w:hAnsi="Garamond"/>
          <w:color w:val="000000" w:themeColor="text1"/>
          <w:lang w:val="en-US"/>
        </w:rPr>
        <w:t>– Official Bank Lending Rates to Non-Financial Corporations: Portugal and Euro Area (2025–2026)</w:t>
      </w:r>
      <w:bookmarkEnd w:id="44"/>
      <w:bookmarkEnd w:id="45"/>
    </w:p>
    <w:p w14:paraId="1A864552" w14:textId="6BE3EE6E" w:rsidR="00777C6B" w:rsidRDefault="002A4AF5" w:rsidP="00AF3084">
      <w:pPr>
        <w:spacing w:before="40" w:after="160"/>
        <w:rPr>
          <w:rFonts w:ascii="Garamond" w:hAnsi="Garamond"/>
          <w:i/>
          <w:sz w:val="18"/>
          <w:szCs w:val="18"/>
          <w:lang w:val="en-US"/>
        </w:rPr>
      </w:pPr>
      <w:proofErr w:type="spellStart"/>
      <w:r w:rsidRPr="00682998">
        <w:rPr>
          <w:rFonts w:ascii="Garamond" w:hAnsi="Garamond"/>
          <w:i/>
          <w:sz w:val="18"/>
          <w:szCs w:val="18"/>
          <w:lang w:val="pt-PT"/>
        </w:rPr>
        <w:t>Sources</w:t>
      </w:r>
      <w:proofErr w:type="spellEnd"/>
      <w:r w:rsidRPr="00682998">
        <w:rPr>
          <w:rFonts w:ascii="Garamond" w:hAnsi="Garamond"/>
          <w:i/>
          <w:sz w:val="18"/>
          <w:szCs w:val="18"/>
          <w:lang w:val="pt-PT"/>
        </w:rPr>
        <w:t xml:space="preserve">: GEE/Banco de Portugal (2026), Taxa de Juro dos Novos Empréstimos; </w:t>
      </w:r>
      <w:proofErr w:type="spellStart"/>
      <w:r w:rsidRPr="00682998">
        <w:rPr>
          <w:rFonts w:ascii="Garamond" w:hAnsi="Garamond"/>
          <w:i/>
          <w:sz w:val="18"/>
          <w:szCs w:val="18"/>
          <w:lang w:val="pt-PT"/>
        </w:rPr>
        <w:t>European</w:t>
      </w:r>
      <w:proofErr w:type="spellEnd"/>
      <w:r w:rsidRPr="00682998">
        <w:rPr>
          <w:rFonts w:ascii="Garamond" w:hAnsi="Garamond"/>
          <w:i/>
          <w:sz w:val="18"/>
          <w:szCs w:val="18"/>
          <w:lang w:val="pt-PT"/>
        </w:rPr>
        <w:t xml:space="preserve"> Central </w:t>
      </w:r>
      <w:proofErr w:type="spellStart"/>
      <w:r w:rsidRPr="00682998">
        <w:rPr>
          <w:rFonts w:ascii="Garamond" w:hAnsi="Garamond"/>
          <w:i/>
          <w:sz w:val="18"/>
          <w:szCs w:val="18"/>
          <w:lang w:val="pt-PT"/>
        </w:rPr>
        <w:t>Bank</w:t>
      </w:r>
      <w:proofErr w:type="spellEnd"/>
      <w:r w:rsidRPr="00682998">
        <w:rPr>
          <w:rFonts w:ascii="Garamond" w:hAnsi="Garamond"/>
          <w:i/>
          <w:sz w:val="18"/>
          <w:szCs w:val="18"/>
          <w:lang w:val="pt-PT"/>
        </w:rPr>
        <w:t xml:space="preserve"> (2025), MFI </w:t>
      </w:r>
      <w:proofErr w:type="spellStart"/>
      <w:r w:rsidRPr="00682998">
        <w:rPr>
          <w:rFonts w:ascii="Garamond" w:hAnsi="Garamond"/>
          <w:i/>
          <w:sz w:val="18"/>
          <w:szCs w:val="18"/>
          <w:lang w:val="pt-PT"/>
        </w:rPr>
        <w:t>Interest</w:t>
      </w:r>
      <w:proofErr w:type="spellEnd"/>
      <w:r w:rsidRPr="00682998">
        <w:rPr>
          <w:rFonts w:ascii="Garamond" w:hAnsi="Garamond"/>
          <w:i/>
          <w:sz w:val="18"/>
          <w:szCs w:val="18"/>
          <w:lang w:val="pt-PT"/>
        </w:rPr>
        <w:t xml:space="preserve"> Rate </w:t>
      </w:r>
      <w:proofErr w:type="spellStart"/>
      <w:r w:rsidRPr="00682998">
        <w:rPr>
          <w:rFonts w:ascii="Garamond" w:hAnsi="Garamond"/>
          <w:i/>
          <w:sz w:val="18"/>
          <w:szCs w:val="18"/>
          <w:lang w:val="pt-PT"/>
        </w:rPr>
        <w:t>Statistics</w:t>
      </w:r>
      <w:proofErr w:type="spellEnd"/>
      <w:r w:rsidRPr="00682998">
        <w:rPr>
          <w:rFonts w:ascii="Garamond" w:hAnsi="Garamond"/>
          <w:i/>
          <w:sz w:val="18"/>
          <w:szCs w:val="18"/>
          <w:lang w:val="pt-PT"/>
        </w:rPr>
        <w:t xml:space="preserve"> – </w:t>
      </w:r>
      <w:proofErr w:type="spellStart"/>
      <w:r w:rsidRPr="00682998">
        <w:rPr>
          <w:rFonts w:ascii="Garamond" w:hAnsi="Garamond"/>
          <w:i/>
          <w:sz w:val="18"/>
          <w:szCs w:val="18"/>
          <w:lang w:val="pt-PT"/>
        </w:rPr>
        <w:t>December</w:t>
      </w:r>
      <w:proofErr w:type="spellEnd"/>
      <w:r w:rsidRPr="00682998">
        <w:rPr>
          <w:rFonts w:ascii="Garamond" w:hAnsi="Garamond"/>
          <w:i/>
          <w:sz w:val="18"/>
          <w:szCs w:val="18"/>
          <w:lang w:val="pt-PT"/>
        </w:rPr>
        <w:t xml:space="preserve"> 2025 (</w:t>
      </w:r>
      <w:proofErr w:type="spellStart"/>
      <w:r w:rsidRPr="00682998">
        <w:rPr>
          <w:rFonts w:ascii="Garamond" w:hAnsi="Garamond"/>
          <w:i/>
          <w:sz w:val="18"/>
          <w:szCs w:val="18"/>
          <w:lang w:val="pt-PT"/>
        </w:rPr>
        <w:t>Regulation</w:t>
      </w:r>
      <w:proofErr w:type="spellEnd"/>
      <w:r w:rsidRPr="00682998">
        <w:rPr>
          <w:rFonts w:ascii="Garamond" w:hAnsi="Garamond"/>
          <w:i/>
          <w:sz w:val="18"/>
          <w:szCs w:val="18"/>
          <w:lang w:val="pt-PT"/>
        </w:rPr>
        <w:t xml:space="preserve"> ECB/2013/34). </w:t>
      </w:r>
      <w:r w:rsidRPr="00777C6B">
        <w:rPr>
          <w:rFonts w:ascii="Garamond" w:hAnsi="Garamond"/>
          <w:i/>
          <w:sz w:val="18"/>
          <w:szCs w:val="18"/>
          <w:lang w:val="en-US"/>
        </w:rPr>
        <w:t>NFC = non-financial corporation.</w:t>
      </w:r>
    </w:p>
    <w:p w14:paraId="629555BF" w14:textId="77777777" w:rsidR="00AF3084" w:rsidRDefault="00AF3084" w:rsidP="00AF3084">
      <w:pPr>
        <w:rPr>
          <w:lang w:val="en-US"/>
        </w:rPr>
      </w:pPr>
    </w:p>
    <w:p w14:paraId="686B8A18" w14:textId="77777777" w:rsidR="00D31DBA" w:rsidRPr="00AF3084" w:rsidRDefault="00D31DBA" w:rsidP="00AF3084">
      <w:pPr>
        <w:rPr>
          <w:lang w:val="en-US"/>
        </w:rPr>
      </w:pPr>
    </w:p>
    <w:p w14:paraId="1202CC68" w14:textId="503099F3" w:rsidR="007379C5" w:rsidRPr="005F36BF" w:rsidRDefault="00BB0C11" w:rsidP="000235CC">
      <w:pPr>
        <w:pStyle w:val="Ttulo3"/>
        <w:jc w:val="both"/>
        <w:rPr>
          <w:rFonts w:ascii="Garamond" w:hAnsi="Garamond"/>
          <w:b/>
          <w:bCs/>
          <w:color w:val="000000" w:themeColor="text1"/>
          <w:lang w:val="en-US"/>
        </w:rPr>
      </w:pPr>
      <w:bookmarkStart w:id="46" w:name="_Toc233142907"/>
      <w:r>
        <w:rPr>
          <w:rFonts w:ascii="Garamond" w:hAnsi="Garamond"/>
          <w:b/>
          <w:bCs/>
          <w:color w:val="000000" w:themeColor="text1"/>
          <w:lang w:val="en-US"/>
        </w:rPr>
        <w:lastRenderedPageBreak/>
        <w:t>5</w:t>
      </w:r>
      <w:r w:rsidR="007379C5" w:rsidRPr="005F36BF">
        <w:rPr>
          <w:rFonts w:ascii="Garamond" w:hAnsi="Garamond"/>
          <w:b/>
          <w:bCs/>
          <w:color w:val="000000" w:themeColor="text1"/>
          <w:lang w:val="en-US"/>
        </w:rPr>
        <w:t>.</w:t>
      </w:r>
      <w:r w:rsidR="00233EA7">
        <w:rPr>
          <w:rFonts w:ascii="Garamond" w:hAnsi="Garamond"/>
          <w:b/>
          <w:bCs/>
          <w:color w:val="000000" w:themeColor="text1"/>
          <w:lang w:val="en-US"/>
        </w:rPr>
        <w:t>1</w:t>
      </w:r>
      <w:r w:rsidR="007379C5" w:rsidRPr="005F36BF">
        <w:rPr>
          <w:rFonts w:ascii="Garamond" w:hAnsi="Garamond"/>
          <w:b/>
          <w:bCs/>
          <w:color w:val="000000" w:themeColor="text1"/>
          <w:lang w:val="en-US"/>
        </w:rPr>
        <w:t>.2</w:t>
      </w:r>
      <w:r w:rsidR="00233EA7">
        <w:rPr>
          <w:rFonts w:ascii="Garamond" w:hAnsi="Garamond"/>
          <w:b/>
          <w:bCs/>
          <w:color w:val="000000" w:themeColor="text1"/>
          <w:lang w:val="en-US"/>
        </w:rPr>
        <w:t>.</w:t>
      </w:r>
      <w:r w:rsidR="007379C5" w:rsidRPr="005F36BF">
        <w:rPr>
          <w:rFonts w:ascii="Garamond" w:hAnsi="Garamond"/>
          <w:b/>
          <w:bCs/>
          <w:color w:val="000000" w:themeColor="text1"/>
          <w:lang w:val="en-US"/>
        </w:rPr>
        <w:t xml:space="preserve"> Private Credit Pricing: Primary Market Data and Institutional Evidence</w:t>
      </w:r>
      <w:bookmarkEnd w:id="46"/>
    </w:p>
    <w:p w14:paraId="63298989" w14:textId="77777777" w:rsidR="00AB3AEA" w:rsidRDefault="00AB3AEA" w:rsidP="000235CC">
      <w:pPr>
        <w:rPr>
          <w:lang w:val="en-US"/>
        </w:rPr>
      </w:pPr>
    </w:p>
    <w:p w14:paraId="55154C80" w14:textId="2D8A6EF8" w:rsidR="00727C40" w:rsidRPr="00727C40" w:rsidRDefault="00727C40" w:rsidP="00727C40">
      <w:pPr>
        <w:spacing w:line="360" w:lineRule="auto"/>
        <w:ind w:firstLine="360"/>
        <w:jc w:val="both"/>
        <w:rPr>
          <w:rFonts w:ascii="Garamond" w:hAnsi="Garamond"/>
          <w:color w:val="000000" w:themeColor="text1"/>
          <w:lang w:val="en-US"/>
        </w:rPr>
      </w:pPr>
      <w:proofErr w:type="gramStart"/>
      <w:r w:rsidRPr="00727C40">
        <w:rPr>
          <w:rFonts w:ascii="Garamond" w:hAnsi="Garamond"/>
          <w:color w:val="000000" w:themeColor="text1"/>
          <w:lang w:val="en-US"/>
        </w:rPr>
        <w:t>The vast majority of</w:t>
      </w:r>
      <w:proofErr w:type="gramEnd"/>
      <w:r w:rsidRPr="00727C40">
        <w:rPr>
          <w:rFonts w:ascii="Garamond" w:hAnsi="Garamond"/>
          <w:color w:val="000000" w:themeColor="text1"/>
          <w:lang w:val="en-US"/>
        </w:rPr>
        <w:t xml:space="preserve"> European private debt is variable-rate and indexed to the three-month EURIBOR. Given the ECB’s accommodative monetary policy, which led to the deposit facility rate falling to 2.0% by mid-2025, the three-month EURIBOR stood at approximately 2.1% at the end of 2025 and is expected to </w:t>
      </w:r>
      <w:proofErr w:type="spellStart"/>
      <w:r w:rsidRPr="00727C40">
        <w:rPr>
          <w:rFonts w:ascii="Garamond" w:hAnsi="Garamond"/>
          <w:color w:val="000000" w:themeColor="text1"/>
          <w:lang w:val="en-US"/>
        </w:rPr>
        <w:t>stabilise</w:t>
      </w:r>
      <w:proofErr w:type="spellEnd"/>
      <w:r w:rsidRPr="00727C40">
        <w:rPr>
          <w:rFonts w:ascii="Garamond" w:hAnsi="Garamond"/>
          <w:color w:val="000000" w:themeColor="text1"/>
          <w:lang w:val="en-US"/>
        </w:rPr>
        <w:t xml:space="preserve"> between 2.75% and 3.25% in the medium term, due to conservative inflation outlooks among central banks </w:t>
      </w:r>
      <w:r w:rsidRPr="00F551EC">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&lt;EndNote&gt;&lt;Cite&gt;&lt;Author&gt;Czapla&lt;/Author&gt;&lt;Year&gt;2026&lt;/Year&gt;&lt;RecNum&gt;79&lt;/RecNum&gt;&lt;DisplayText&gt;(Czapla et al., 2026)&lt;/DisplayText&gt;&lt;record&gt;&lt;rec-number&gt;79&lt;/rec-number&gt;&lt;foreign-keys&gt;&lt;key app="EN" db-id="x2z5xfr9jx5dwcef50b5eedwwwr9x5pperdz" timestamp="1778489309"&gt;79&lt;/key&gt;&lt;/foreign-keys&gt;&lt;ref-type name="Web Page"&gt;12&lt;/ref-type&gt;&lt;contributors&gt;&lt;authors&gt;&lt;author&gt;Czapla, John&lt;/author&gt;&lt;author&gt;Lowery, Adrian &lt;/author&gt;&lt;author&gt;Turi, Daniel&lt;/author&gt;&lt;/authors&gt;&lt;/contributors&gt;&lt;titles&gt;&lt;title&gt;European Private Market Update: Q1 2026&lt;/title&gt;&lt;/titles&gt;&lt;dates&gt;&lt;year&gt;2026&lt;/year&gt;&lt;/dates&gt;&lt;publisher&gt;Valuation Research Corporation&lt;/publisher&gt;&lt;urls&gt;&lt;related-urls&gt;&lt;url&gt;https://www.valuationresearch.com/insights/european-private-market-update-q1-2026/&lt;/url&gt;&lt;/related-urls&gt;&lt;/urls&gt;&lt;/record&gt;&lt;/Cite&gt;&lt;/EndNote&gt;</w:instrText>
      </w:r>
      <w:r w:rsidRPr="00F551EC">
        <w:rPr>
          <w:rFonts w:ascii="Garamond" w:hAnsi="Garamond"/>
          <w:color w:val="000000" w:themeColor="text1"/>
          <w:lang w:val="en-US"/>
        </w:rPr>
        <w:fldChar w:fldCharType="separate"/>
      </w:r>
      <w:r w:rsidRPr="00BF00C0">
        <w:rPr>
          <w:rFonts w:ascii="Garamond" w:hAnsi="Garamond"/>
          <w:noProof/>
          <w:color w:val="000000" w:themeColor="text1"/>
          <w:lang w:val="en-US"/>
        </w:rPr>
        <w:t>(</w:t>
      </w:r>
      <w:r w:rsidR="00593AF0" w:rsidRPr="00F551EC">
        <w:rPr>
          <w:rFonts w:ascii="Garamond" w:hAnsi="Garamond"/>
          <w:noProof/>
          <w:color w:val="000000" w:themeColor="text1"/>
          <w:lang w:val="en-US"/>
        </w:rPr>
        <w:t>Czapla et al., 2026</w:t>
      </w:r>
      <w:r w:rsidRPr="00BF00C0">
        <w:rPr>
          <w:rFonts w:ascii="Garamond" w:hAnsi="Garamond"/>
          <w:noProof/>
          <w:color w:val="000000" w:themeColor="text1"/>
          <w:lang w:val="en-US"/>
        </w:rPr>
        <w:t>)</w:t>
      </w:r>
      <w:r w:rsidRPr="00F551EC">
        <w:rPr>
          <w:rFonts w:ascii="Garamond" w:hAnsi="Garamond"/>
          <w:color w:val="000000" w:themeColor="text1"/>
          <w:lang w:val="en-US"/>
        </w:rPr>
        <w:fldChar w:fldCharType="end"/>
      </w:r>
      <w:r w:rsidRPr="00727C40">
        <w:rPr>
          <w:rFonts w:ascii="Garamond" w:hAnsi="Garamond"/>
          <w:color w:val="000000" w:themeColor="text1"/>
          <w:lang w:val="en-US"/>
        </w:rPr>
        <w:t>.</w:t>
      </w:r>
    </w:p>
    <w:p w14:paraId="2D24AC6F" w14:textId="467FE8AF" w:rsidR="00727C40" w:rsidRPr="00727C40" w:rsidRDefault="00727C40" w:rsidP="00727C40">
      <w:pPr>
        <w:spacing w:line="360" w:lineRule="auto"/>
        <w:ind w:firstLine="360"/>
        <w:jc w:val="both"/>
        <w:rPr>
          <w:rFonts w:ascii="Garamond" w:hAnsi="Garamond"/>
          <w:color w:val="000000" w:themeColor="text1"/>
          <w:lang w:val="en-US"/>
        </w:rPr>
      </w:pPr>
      <w:r w:rsidRPr="00727C40">
        <w:rPr>
          <w:rFonts w:ascii="Garamond" w:hAnsi="Garamond"/>
          <w:color w:val="000000" w:themeColor="text1"/>
          <w:lang w:val="en-US"/>
        </w:rPr>
        <w:t xml:space="preserve">To facilitate an understanding of </w:t>
      </w:r>
      <w:r w:rsidR="007930BA">
        <w:rPr>
          <w:rFonts w:ascii="Garamond" w:hAnsi="Garamond"/>
          <w:color w:val="000000" w:themeColor="text1"/>
          <w:lang w:val="en-US"/>
        </w:rPr>
        <w:t>costs</w:t>
      </w:r>
      <w:r w:rsidRPr="00727C40">
        <w:rPr>
          <w:rFonts w:ascii="Garamond" w:hAnsi="Garamond"/>
          <w:color w:val="000000" w:themeColor="text1"/>
          <w:lang w:val="en-US"/>
        </w:rPr>
        <w:t xml:space="preserve">, in addition to the benchmark interest rate mentioned above, observed pricing data from Ares Management, </w:t>
      </w:r>
      <w:proofErr w:type="spellStart"/>
      <w:r w:rsidRPr="00727C40">
        <w:rPr>
          <w:rFonts w:ascii="Garamond" w:hAnsi="Garamond"/>
          <w:color w:val="000000" w:themeColor="text1"/>
          <w:lang w:val="en-US"/>
        </w:rPr>
        <w:t>Northleaf</w:t>
      </w:r>
      <w:proofErr w:type="spellEnd"/>
      <w:r w:rsidRPr="00727C40">
        <w:rPr>
          <w:rFonts w:ascii="Garamond" w:hAnsi="Garamond"/>
          <w:color w:val="000000" w:themeColor="text1"/>
          <w:lang w:val="en-US"/>
        </w:rPr>
        <w:t xml:space="preserve"> Capital</w:t>
      </w:r>
      <w:r w:rsidR="007930BA">
        <w:rPr>
          <w:rFonts w:ascii="Garamond" w:hAnsi="Garamond"/>
          <w:color w:val="000000" w:themeColor="text1"/>
          <w:lang w:val="en-US"/>
        </w:rPr>
        <w:t>,</w:t>
      </w:r>
      <w:r w:rsidRPr="00727C40">
        <w:rPr>
          <w:rFonts w:ascii="Garamond" w:hAnsi="Garamond"/>
          <w:color w:val="000000" w:themeColor="text1"/>
          <w:lang w:val="en-US"/>
        </w:rPr>
        <w:t xml:space="preserve"> and KKR</w:t>
      </w:r>
      <w:r w:rsidR="00BF00C0" w:rsidRPr="00BF00C0">
        <w:rPr>
          <w:rFonts w:ascii="Garamond" w:hAnsi="Garamond"/>
          <w:color w:val="000000" w:themeColor="text1"/>
          <w:lang w:val="en-US"/>
        </w:rPr>
        <w:t>,</w:t>
      </w:r>
      <w:r w:rsidR="007930BA">
        <w:rPr>
          <w:rFonts w:ascii="Garamond" w:hAnsi="Garamond"/>
          <w:color w:val="000000" w:themeColor="text1"/>
          <w:lang w:val="en-US"/>
        </w:rPr>
        <w:t xml:space="preserve"> </w:t>
      </w:r>
      <w:r w:rsidRPr="00727C40">
        <w:rPr>
          <w:rFonts w:ascii="Garamond" w:hAnsi="Garamond"/>
          <w:color w:val="000000" w:themeColor="text1"/>
          <w:lang w:val="en-US"/>
        </w:rPr>
        <w:t>all leading players in European private credit</w:t>
      </w:r>
      <w:r w:rsidR="00BF00C0" w:rsidRPr="00BF00C0">
        <w:rPr>
          <w:rFonts w:ascii="Garamond" w:hAnsi="Garamond"/>
          <w:color w:val="000000" w:themeColor="text1"/>
          <w:lang w:val="en-US"/>
        </w:rPr>
        <w:t xml:space="preserve">, </w:t>
      </w:r>
      <w:r w:rsidRPr="00727C40">
        <w:rPr>
          <w:rFonts w:ascii="Garamond" w:hAnsi="Garamond"/>
          <w:color w:val="000000" w:themeColor="text1"/>
          <w:lang w:val="en-US"/>
        </w:rPr>
        <w:t>provide a reliable</w:t>
      </w:r>
      <w:r w:rsidR="007930BA">
        <w:rPr>
          <w:rFonts w:ascii="Garamond" w:hAnsi="Garamond"/>
          <w:color w:val="000000" w:themeColor="text1"/>
          <w:lang w:val="en-US"/>
        </w:rPr>
        <w:t>,</w:t>
      </w:r>
      <w:r w:rsidRPr="00727C40">
        <w:rPr>
          <w:rFonts w:ascii="Garamond" w:hAnsi="Garamond"/>
          <w:color w:val="000000" w:themeColor="text1"/>
          <w:lang w:val="en-US"/>
        </w:rPr>
        <w:t xml:space="preserve"> approximate estimate of costs.</w:t>
      </w:r>
    </w:p>
    <w:p w14:paraId="72F7E14F" w14:textId="6EB722E0" w:rsidR="00727C40" w:rsidRPr="00727C40" w:rsidRDefault="00727C40" w:rsidP="00727C40">
      <w:pPr>
        <w:spacing w:line="360" w:lineRule="auto"/>
        <w:ind w:firstLine="360"/>
        <w:jc w:val="both"/>
        <w:rPr>
          <w:rFonts w:ascii="Garamond" w:hAnsi="Garamond"/>
          <w:color w:val="000000" w:themeColor="text1"/>
          <w:lang w:val="en-US"/>
        </w:rPr>
      </w:pPr>
      <w:r w:rsidRPr="00727C40">
        <w:rPr>
          <w:rFonts w:ascii="Garamond" w:hAnsi="Garamond"/>
          <w:color w:val="000000" w:themeColor="text1"/>
          <w:lang w:val="en-US"/>
        </w:rPr>
        <w:t xml:space="preserve">Ares Management’s direct lending strategy in Europe has generated gross returns </w:t>
      </w:r>
      <w:proofErr w:type="gramStart"/>
      <w:r w:rsidRPr="00727C40">
        <w:rPr>
          <w:rFonts w:ascii="Garamond" w:hAnsi="Garamond"/>
          <w:color w:val="000000" w:themeColor="text1"/>
          <w:lang w:val="en-US"/>
        </w:rPr>
        <w:t>in excess of</w:t>
      </w:r>
      <w:proofErr w:type="gramEnd"/>
      <w:r w:rsidRPr="00727C40">
        <w:rPr>
          <w:rFonts w:ascii="Garamond" w:hAnsi="Garamond"/>
          <w:color w:val="000000" w:themeColor="text1"/>
          <w:lang w:val="en-US"/>
        </w:rPr>
        <w:t xml:space="preserve"> 10% at the asset level since its inception, a figure consistent with the 9–11% yield range observ</w:t>
      </w:r>
      <w:r w:rsidR="00BF00C0" w:rsidRPr="00BF00C0">
        <w:rPr>
          <w:rFonts w:ascii="Garamond" w:hAnsi="Garamond"/>
          <w:color w:val="000000" w:themeColor="text1"/>
          <w:lang w:val="en-US"/>
        </w:rPr>
        <w:t>ed</w:t>
      </w:r>
      <w:r w:rsidRPr="00727C40">
        <w:rPr>
          <w:rFonts w:ascii="Garamond" w:hAnsi="Garamond"/>
          <w:color w:val="000000" w:themeColor="text1"/>
          <w:lang w:val="en-US"/>
        </w:rPr>
        <w:t xml:space="preserve"> across the broader </w:t>
      </w:r>
      <w:r w:rsidR="00BF00C0" w:rsidRPr="00BF00C0">
        <w:rPr>
          <w:rFonts w:ascii="Garamond" w:hAnsi="Garamond"/>
          <w:color w:val="000000" w:themeColor="text1"/>
          <w:lang w:val="en-US"/>
        </w:rPr>
        <w:t>European</w:t>
      </w:r>
      <w:r w:rsidRPr="00727C40">
        <w:rPr>
          <w:rFonts w:ascii="Garamond" w:hAnsi="Garamond"/>
          <w:color w:val="000000" w:themeColor="text1"/>
          <w:lang w:val="en-US"/>
        </w:rPr>
        <w:t xml:space="preserve"> </w:t>
      </w:r>
      <w:r w:rsidR="00BF00C0" w:rsidRPr="00BF00C0">
        <w:rPr>
          <w:rFonts w:ascii="Garamond" w:hAnsi="Garamond"/>
          <w:color w:val="000000" w:themeColor="text1"/>
          <w:lang w:val="en-US"/>
        </w:rPr>
        <w:t>mid-market</w:t>
      </w:r>
      <w:r w:rsidRPr="00727C40">
        <w:rPr>
          <w:rFonts w:ascii="Garamond" w:hAnsi="Garamond"/>
          <w:color w:val="000000" w:themeColor="text1"/>
          <w:lang w:val="en-US"/>
        </w:rPr>
        <w:t xml:space="preserve"> direct lending </w:t>
      </w:r>
      <w:r w:rsidR="00BF00C0" w:rsidRPr="00BF00C0">
        <w:rPr>
          <w:rFonts w:ascii="Garamond" w:hAnsi="Garamond"/>
          <w:color w:val="000000" w:themeColor="text1"/>
          <w:lang w:val="en-US"/>
        </w:rPr>
        <w:t>universe</w:t>
      </w:r>
      <w:r w:rsidRPr="00727C40">
        <w:rPr>
          <w:rFonts w:ascii="Garamond" w:hAnsi="Garamond"/>
          <w:color w:val="000000" w:themeColor="text1"/>
          <w:lang w:val="en-US"/>
        </w:rPr>
        <w:t>. In the second quarter of 2024, the most recent period for which Ares disclosed specific European-equivalent yield metrics in a comparable format, it reported a weighted average yield of 10.8%, with a yield premium over the syndicated loan market of 220 basis points</w:t>
      </w:r>
      <w:r w:rsidR="00C43A37">
        <w:rPr>
          <w:rFonts w:ascii="Garamond" w:hAnsi="Garamond"/>
          <w:color w:val="000000" w:themeColor="text1"/>
          <w:lang w:val="en-US"/>
        </w:rPr>
        <w:t xml:space="preserve"> </w:t>
      </w:r>
      <w:r w:rsidR="007930BA">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&lt;EndNote&gt;&lt;Cite&gt;&lt;Author&gt;Ares Management&lt;/Author&gt;&lt;Year&gt;2024&lt;/Year&gt;&lt;RecNum&gt;80&lt;/RecNum&gt;&lt;DisplayText&gt;(Ares Management, 2024)&lt;/DisplayText&gt;&lt;record&gt;&lt;rec-number&gt;80&lt;/rec-number&gt;&lt;foreign-keys&gt;&lt;key app="EN" db-id="x2z5xfr9jx5dwcef50b5eedwwwr9x5pperdz" timestamp="1778772639"&gt;80&lt;/key&gt;&lt;/foreign-keys&gt;&lt;ref-type name="Web Page"&gt;12&lt;/ref-type&gt;&lt;contributors&gt;&lt;authors&gt;&lt;author&gt;Ares Management,&lt;/author&gt;&lt;/authors&gt;&lt;/contributors&gt;&lt;titles&gt;&lt;title&gt;Quick Insights into the Direct Lending Market&lt;/title&gt;&lt;/titles&gt;&lt;dates&gt;&lt;year&gt;2024&lt;/year&gt;&lt;/dates&gt;&lt;urls&gt;&lt;related-urls&gt;&lt;url&gt;https://www.ares.com/news-and-insights/quick-insights-direct-lending-market&lt;/url&gt;&lt;/related-urls&gt;&lt;/urls&gt;&lt;/record&gt;&lt;/Cite&gt;&lt;/EndNote&gt;</w:instrText>
      </w:r>
      <w:r w:rsidR="007930BA">
        <w:rPr>
          <w:rFonts w:ascii="Garamond" w:hAnsi="Garamond"/>
          <w:color w:val="000000" w:themeColor="text1"/>
          <w:lang w:val="en-US"/>
        </w:rPr>
        <w:fldChar w:fldCharType="separate"/>
      </w:r>
      <w:r w:rsidR="007930BA">
        <w:rPr>
          <w:rFonts w:ascii="Garamond" w:hAnsi="Garamond"/>
          <w:noProof/>
          <w:color w:val="000000" w:themeColor="text1"/>
          <w:lang w:val="en-US"/>
        </w:rPr>
        <w:t>(</w:t>
      </w:r>
      <w:r w:rsidR="00593AF0" w:rsidRPr="00F551EC">
        <w:rPr>
          <w:rFonts w:ascii="Garamond" w:hAnsi="Garamond"/>
          <w:noProof/>
          <w:color w:val="000000" w:themeColor="text1"/>
          <w:lang w:val="en-US"/>
        </w:rPr>
        <w:t>Ares Management, 2024</w:t>
      </w:r>
      <w:r w:rsidR="007930BA">
        <w:rPr>
          <w:rFonts w:ascii="Garamond" w:hAnsi="Garamond"/>
          <w:noProof/>
          <w:color w:val="000000" w:themeColor="text1"/>
          <w:lang w:val="en-US"/>
        </w:rPr>
        <w:t>)</w:t>
      </w:r>
      <w:r w:rsidR="007930BA">
        <w:rPr>
          <w:rFonts w:ascii="Garamond" w:hAnsi="Garamond"/>
          <w:color w:val="000000" w:themeColor="text1"/>
          <w:lang w:val="en-US"/>
        </w:rPr>
        <w:fldChar w:fldCharType="end"/>
      </w:r>
      <w:r w:rsidRPr="00727C40">
        <w:rPr>
          <w:rFonts w:ascii="Garamond" w:hAnsi="Garamond"/>
          <w:color w:val="000000" w:themeColor="text1"/>
          <w:lang w:val="en-US"/>
        </w:rPr>
        <w:t>.</w:t>
      </w:r>
    </w:p>
    <w:p w14:paraId="2A8B7C60" w14:textId="6141437F" w:rsidR="00727C40" w:rsidRPr="00727C40" w:rsidRDefault="00727C40" w:rsidP="00727C40">
      <w:pPr>
        <w:spacing w:line="360" w:lineRule="auto"/>
        <w:ind w:firstLine="360"/>
        <w:jc w:val="both"/>
        <w:rPr>
          <w:rFonts w:ascii="Garamond" w:hAnsi="Garamond"/>
          <w:color w:val="000000" w:themeColor="text1"/>
          <w:lang w:val="en-US"/>
        </w:rPr>
      </w:pPr>
      <w:r w:rsidRPr="00727C40">
        <w:rPr>
          <w:rFonts w:ascii="Garamond" w:hAnsi="Garamond"/>
          <w:color w:val="000000" w:themeColor="text1"/>
          <w:lang w:val="en-US"/>
        </w:rPr>
        <w:t xml:space="preserve">The second observation set out in </w:t>
      </w:r>
      <w:proofErr w:type="spellStart"/>
      <w:r w:rsidRPr="00727C40">
        <w:rPr>
          <w:rFonts w:ascii="Garamond" w:hAnsi="Garamond"/>
          <w:color w:val="000000" w:themeColor="text1"/>
          <w:lang w:val="en-US"/>
        </w:rPr>
        <w:t>Northleaf</w:t>
      </w:r>
      <w:proofErr w:type="spellEnd"/>
      <w:r w:rsidRPr="00727C40">
        <w:rPr>
          <w:rFonts w:ascii="Garamond" w:hAnsi="Garamond"/>
          <w:color w:val="000000" w:themeColor="text1"/>
          <w:lang w:val="en-US"/>
        </w:rPr>
        <w:t xml:space="preserve"> Capital’s “Private Credit Market Update” report for the second quarter of 2025 explains that the spread between European and US credit stands at around 25 basis points, due to the fragmented nature of the markets, as well as the need for bespoke solutions, such as multi-currency financing. M&amp;A and leveraged buyout (LBO) transactions in Europe recorded a year-on-year growth rate of 58% in the second quarter of 2025, marking the strongest period since 2021. With regard to covenants, maintenance covenants predominate in companies with EBITDA of up to €100 million in the small and medium-sized segments, whilst covenant-lite structures predominate in higher-tier transactions, which is particularly significant given the context of the mid-market segment in Portugal </w:t>
      </w:r>
      <w:r w:rsidR="00C43A37">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&lt;EndNote&gt;&lt;Cite&gt;&lt;Author&gt;Northleaf Capital&lt;/Author&gt;&lt;Year&gt;2025&lt;/Year&gt;&lt;RecNum&gt;82&lt;/RecNum&gt;&lt;DisplayText&gt;(Northleaf Capital, 2025)&lt;/DisplayText&gt;&lt;record&gt;&lt;rec-number&gt;82&lt;/rec-number&gt;&lt;foreign-keys&gt;&lt;key app="EN" db-id="x2z5xfr9jx5dwcef50b5eedwwwr9x5pperdz" timestamp="1778773459"&gt;82&lt;/key&gt;&lt;/foreign-keys&gt;&lt;ref-type name="Web Page"&gt;12&lt;/ref-type&gt;&lt;contributors&gt;&lt;authors&gt;&lt;author&gt;Northleaf Capital,&lt;/author&gt;&lt;/authors&gt;&lt;/contributors&gt;&lt;titles&gt;&lt;title&gt;Private Credit Market Update: Q2-2025&lt;/title&gt;&lt;/titles&gt;&lt;dates&gt;&lt;year&gt;2025&lt;/year&gt;&lt;/dates&gt;&lt;urls&gt;&lt;related-urls&gt;&lt;url&gt;https://www.northleafcapital.com/news/private-credit-market-update-q2-2025&lt;/url&gt;&lt;/related-urls&gt;&lt;/urls&gt;&lt;/record&gt;&lt;/Cite&gt;&lt;/EndNote&gt;</w:instrText>
      </w:r>
      <w:r w:rsidR="00C43A37">
        <w:rPr>
          <w:rFonts w:ascii="Garamond" w:hAnsi="Garamond"/>
          <w:color w:val="000000" w:themeColor="text1"/>
          <w:lang w:val="en-US"/>
        </w:rPr>
        <w:fldChar w:fldCharType="separate"/>
      </w:r>
      <w:r w:rsidR="00C43A37">
        <w:rPr>
          <w:rFonts w:ascii="Garamond" w:hAnsi="Garamond"/>
          <w:noProof/>
          <w:color w:val="000000" w:themeColor="text1"/>
          <w:lang w:val="en-US"/>
        </w:rPr>
        <w:t>(</w:t>
      </w:r>
      <w:r w:rsidR="00593AF0" w:rsidRPr="00F551EC">
        <w:rPr>
          <w:rFonts w:ascii="Garamond" w:hAnsi="Garamond"/>
          <w:noProof/>
          <w:color w:val="000000" w:themeColor="text1"/>
          <w:lang w:val="en-US"/>
        </w:rPr>
        <w:t>Northleaf Capital, 2025</w:t>
      </w:r>
      <w:r w:rsidR="00C43A37">
        <w:rPr>
          <w:rFonts w:ascii="Garamond" w:hAnsi="Garamond"/>
          <w:noProof/>
          <w:color w:val="000000" w:themeColor="text1"/>
          <w:lang w:val="en-US"/>
        </w:rPr>
        <w:t>)</w:t>
      </w:r>
      <w:r w:rsidR="00C43A37">
        <w:rPr>
          <w:rFonts w:ascii="Garamond" w:hAnsi="Garamond"/>
          <w:color w:val="000000" w:themeColor="text1"/>
          <w:lang w:val="en-US"/>
        </w:rPr>
        <w:fldChar w:fldCharType="end"/>
      </w:r>
      <w:r w:rsidRPr="00727C40">
        <w:rPr>
          <w:rFonts w:ascii="Garamond" w:hAnsi="Garamond"/>
          <w:color w:val="000000" w:themeColor="text1"/>
          <w:lang w:val="en-US"/>
        </w:rPr>
        <w:t>.</w:t>
      </w:r>
    </w:p>
    <w:p w14:paraId="62E8AFB0" w14:textId="3E035C65" w:rsidR="00F1084F" w:rsidRDefault="00727C40" w:rsidP="00727C40">
      <w:pPr>
        <w:spacing w:line="360" w:lineRule="auto"/>
        <w:ind w:firstLine="360"/>
        <w:jc w:val="both"/>
        <w:rPr>
          <w:rFonts w:ascii="Garamond" w:hAnsi="Garamond"/>
          <w:color w:val="000000" w:themeColor="text1"/>
          <w:lang w:val="en-US"/>
        </w:rPr>
      </w:pPr>
      <w:r w:rsidRPr="00727C40">
        <w:rPr>
          <w:rFonts w:ascii="Garamond" w:hAnsi="Garamond"/>
          <w:color w:val="000000" w:themeColor="text1"/>
          <w:lang w:val="en-US"/>
        </w:rPr>
        <w:t xml:space="preserve">Furthermore, comments on the private credit market, provided by KKR’s Global Head of Private Credit, indicate that direct </w:t>
      </w:r>
      <w:r w:rsidR="007B7A11">
        <w:rPr>
          <w:rFonts w:ascii="Garamond" w:hAnsi="Garamond"/>
          <w:color w:val="000000" w:themeColor="text1"/>
          <w:lang w:val="en-US"/>
        </w:rPr>
        <w:t>lending</w:t>
      </w:r>
      <w:r w:rsidRPr="00727C40">
        <w:rPr>
          <w:rFonts w:ascii="Garamond" w:hAnsi="Garamond"/>
          <w:color w:val="000000" w:themeColor="text1"/>
          <w:lang w:val="en-US"/>
        </w:rPr>
        <w:t xml:space="preserve"> offers gross unlever</w:t>
      </w:r>
      <w:r w:rsidR="0099373A">
        <w:rPr>
          <w:rFonts w:ascii="Garamond" w:hAnsi="Garamond"/>
          <w:color w:val="000000" w:themeColor="text1"/>
          <w:lang w:val="en-US"/>
        </w:rPr>
        <w:t>ed</w:t>
      </w:r>
      <w:r w:rsidRPr="00727C40">
        <w:rPr>
          <w:rFonts w:ascii="Garamond" w:hAnsi="Garamond"/>
          <w:color w:val="000000" w:themeColor="text1"/>
          <w:lang w:val="en-US"/>
        </w:rPr>
        <w:t xml:space="preserve"> yields </w:t>
      </w:r>
      <w:proofErr w:type="gramStart"/>
      <w:r w:rsidRPr="00727C40">
        <w:rPr>
          <w:rFonts w:ascii="Garamond" w:hAnsi="Garamond"/>
          <w:color w:val="000000" w:themeColor="text1"/>
          <w:lang w:val="en-US"/>
        </w:rPr>
        <w:t>in excess of</w:t>
      </w:r>
      <w:proofErr w:type="gramEnd"/>
      <w:r w:rsidRPr="00727C40">
        <w:rPr>
          <w:rFonts w:ascii="Garamond" w:hAnsi="Garamond"/>
          <w:color w:val="000000" w:themeColor="text1"/>
          <w:lang w:val="en-US"/>
        </w:rPr>
        <w:t xml:space="preserve"> 10%, despite competitive conditions amongst lenders, which are squeezing spreads, and the fact that direct </w:t>
      </w:r>
      <w:r w:rsidR="007B7A11">
        <w:rPr>
          <w:rFonts w:ascii="Garamond" w:hAnsi="Garamond"/>
          <w:color w:val="000000" w:themeColor="text1"/>
          <w:lang w:val="en-US"/>
        </w:rPr>
        <w:t>lending</w:t>
      </w:r>
      <w:r w:rsidRPr="00727C40">
        <w:rPr>
          <w:rFonts w:ascii="Garamond" w:hAnsi="Garamond"/>
          <w:color w:val="000000" w:themeColor="text1"/>
          <w:lang w:val="en-US"/>
        </w:rPr>
        <w:t xml:space="preserve"> continues to offer high yields on senior</w:t>
      </w:r>
      <w:r w:rsidR="00633A76">
        <w:rPr>
          <w:rFonts w:ascii="Garamond" w:hAnsi="Garamond"/>
          <w:color w:val="000000" w:themeColor="text1"/>
          <w:lang w:val="en-US"/>
        </w:rPr>
        <w:t xml:space="preserve"> </w:t>
      </w:r>
      <w:r w:rsidRPr="00727C40">
        <w:rPr>
          <w:rFonts w:ascii="Garamond" w:hAnsi="Garamond"/>
          <w:color w:val="000000" w:themeColor="text1"/>
          <w:lang w:val="en-US"/>
        </w:rPr>
        <w:t>secured debt.</w:t>
      </w:r>
      <w:r w:rsidR="00F1084F">
        <w:rPr>
          <w:rFonts w:ascii="Garamond" w:hAnsi="Garamond"/>
          <w:color w:val="000000" w:themeColor="text1"/>
          <w:lang w:val="en-US"/>
        </w:rPr>
        <w:t xml:space="preserve"> </w:t>
      </w:r>
      <w:r w:rsidRPr="00727C40">
        <w:rPr>
          <w:rFonts w:ascii="Garamond" w:hAnsi="Garamond"/>
          <w:color w:val="000000" w:themeColor="text1"/>
          <w:lang w:val="en-US"/>
        </w:rPr>
        <w:t xml:space="preserve">It is important to </w:t>
      </w:r>
      <w:r w:rsidRPr="00727C40">
        <w:rPr>
          <w:rFonts w:ascii="Garamond" w:hAnsi="Garamond"/>
          <w:color w:val="000000" w:themeColor="text1"/>
          <w:lang w:val="en-US"/>
        </w:rPr>
        <w:lastRenderedPageBreak/>
        <w:t xml:space="preserve">note that, although there has been a narrowing of spreads, the contractual terms and collateral remain intact and form the essential framework of private credit investments </w:t>
      </w:r>
      <w:r w:rsidR="00F505A0">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&lt;EndNote&gt;&lt;Cite&gt;&lt;Author&gt;Pietrzak&lt;/Author&gt;&lt;Year&gt;2025&lt;/Year&gt;&lt;RecNum&gt;83&lt;/RecNum&gt;&lt;DisplayText&gt;(Pietrzak, 2025)&lt;/DisplayText&gt;&lt;record&gt;&lt;rec-number&gt;83&lt;/rec-number&gt;&lt;foreign-keys&gt;&lt;key app="EN" db-id="x2z5xfr9jx5dwcef50b5eedwwwr9x5pperdz" timestamp="1778774369"&gt;83&lt;/key&gt;&lt;/foreign-keys&gt;&lt;ref-type name="Web Page"&gt;12&lt;/ref-type&gt;&lt;contributors&gt;&lt;authors&gt;&lt;author&gt;Pietrzak, Daniel&lt;/author&gt;&lt;/authors&gt;&lt;/contributors&gt;&lt;titles&gt;&lt;title&gt;Private Credit 2025: Navigating Yield, Risk, and Real Value&lt;/title&gt;&lt;/titles&gt;&lt;dates&gt;&lt;year&gt;2025&lt;/year&gt;&lt;/dates&gt;&lt;publisher&gt;KKR&lt;/publisher&gt;&lt;urls&gt;&lt;related-urls&gt;&lt;url&gt;https://www.kkr.com/insights/private-credit-outlook&lt;/url&gt;&lt;/related-urls&gt;&lt;/urls&gt;&lt;/record&gt;&lt;/Cite&gt;&lt;/EndNote&gt;</w:instrText>
      </w:r>
      <w:r w:rsidR="00F505A0">
        <w:rPr>
          <w:rFonts w:ascii="Garamond" w:hAnsi="Garamond"/>
          <w:color w:val="000000" w:themeColor="text1"/>
          <w:lang w:val="en-US"/>
        </w:rPr>
        <w:fldChar w:fldCharType="separate"/>
      </w:r>
      <w:r w:rsidR="00F505A0">
        <w:rPr>
          <w:rFonts w:ascii="Garamond" w:hAnsi="Garamond"/>
          <w:noProof/>
          <w:color w:val="000000" w:themeColor="text1"/>
          <w:lang w:val="en-US"/>
        </w:rPr>
        <w:t>(</w:t>
      </w:r>
      <w:r w:rsidR="00593AF0" w:rsidRPr="00F551EC">
        <w:rPr>
          <w:rFonts w:ascii="Garamond" w:hAnsi="Garamond"/>
          <w:noProof/>
          <w:color w:val="000000" w:themeColor="text1"/>
          <w:lang w:val="en-US"/>
        </w:rPr>
        <w:t>Pietrzak, 2025</w:t>
      </w:r>
      <w:r w:rsidR="00F505A0">
        <w:rPr>
          <w:rFonts w:ascii="Garamond" w:hAnsi="Garamond"/>
          <w:noProof/>
          <w:color w:val="000000" w:themeColor="text1"/>
          <w:lang w:val="en-US"/>
        </w:rPr>
        <w:t>)</w:t>
      </w:r>
      <w:r w:rsidR="00F505A0">
        <w:rPr>
          <w:rFonts w:ascii="Garamond" w:hAnsi="Garamond"/>
          <w:color w:val="000000" w:themeColor="text1"/>
          <w:lang w:val="en-US"/>
        </w:rPr>
        <w:fldChar w:fldCharType="end"/>
      </w:r>
      <w:r w:rsidR="00F505A0">
        <w:rPr>
          <w:rFonts w:ascii="Garamond" w:hAnsi="Garamond"/>
          <w:color w:val="000000" w:themeColor="text1"/>
          <w:lang w:val="en-US"/>
        </w:rPr>
        <w:t>.</w:t>
      </w:r>
      <w:r w:rsidRPr="00727C40">
        <w:rPr>
          <w:rFonts w:ascii="Garamond" w:hAnsi="Garamond"/>
          <w:color w:val="000000" w:themeColor="text1"/>
          <w:lang w:val="en-US"/>
        </w:rPr>
        <w:t xml:space="preserve"> </w:t>
      </w:r>
    </w:p>
    <w:p w14:paraId="639B3672" w14:textId="694ED194" w:rsidR="00727C40" w:rsidRPr="00727C40" w:rsidRDefault="00727C40" w:rsidP="00727C40">
      <w:pPr>
        <w:spacing w:line="360" w:lineRule="auto"/>
        <w:ind w:firstLine="360"/>
        <w:jc w:val="both"/>
        <w:rPr>
          <w:rFonts w:ascii="Garamond" w:hAnsi="Garamond"/>
          <w:color w:val="000000" w:themeColor="text1"/>
          <w:lang w:val="en-US"/>
        </w:rPr>
      </w:pPr>
      <w:r w:rsidRPr="00727C40">
        <w:rPr>
          <w:rFonts w:ascii="Garamond" w:hAnsi="Garamond"/>
          <w:color w:val="000000" w:themeColor="text1"/>
          <w:lang w:val="en-US"/>
        </w:rPr>
        <w:t xml:space="preserve">The pricing structure remains in place, according to VRC’s market update for the first quarter of 2026, which shows that prices remained unchanged for </w:t>
      </w:r>
      <w:proofErr w:type="spellStart"/>
      <w:r w:rsidRPr="00727C40">
        <w:rPr>
          <w:rFonts w:ascii="Garamond" w:hAnsi="Garamond"/>
          <w:color w:val="000000" w:themeColor="text1"/>
          <w:lang w:val="en-US"/>
        </w:rPr>
        <w:t>unitranche</w:t>
      </w:r>
      <w:proofErr w:type="spellEnd"/>
      <w:r w:rsidRPr="00727C40">
        <w:rPr>
          <w:rFonts w:ascii="Garamond" w:hAnsi="Garamond"/>
          <w:color w:val="000000" w:themeColor="text1"/>
          <w:lang w:val="en-US"/>
        </w:rPr>
        <w:t xml:space="preserve"> loans in Europe within the direct </w:t>
      </w:r>
      <w:r w:rsidR="006B09B9">
        <w:rPr>
          <w:rFonts w:ascii="Garamond" w:hAnsi="Garamond"/>
          <w:color w:val="000000" w:themeColor="text1"/>
          <w:lang w:val="en-US"/>
        </w:rPr>
        <w:t xml:space="preserve">lending </w:t>
      </w:r>
      <w:r w:rsidRPr="00727C40">
        <w:rPr>
          <w:rFonts w:ascii="Garamond" w:hAnsi="Garamond"/>
          <w:color w:val="000000" w:themeColor="text1"/>
          <w:lang w:val="en-US"/>
        </w:rPr>
        <w:t xml:space="preserve">sector during the fourth quarter of 2025 and at the start of the first quarter of 2026 for </w:t>
      </w:r>
      <w:proofErr w:type="spellStart"/>
      <w:r w:rsidRPr="00727C40">
        <w:rPr>
          <w:rFonts w:ascii="Garamond" w:hAnsi="Garamond"/>
          <w:color w:val="000000" w:themeColor="text1"/>
          <w:lang w:val="en-US"/>
        </w:rPr>
        <w:t>standardised</w:t>
      </w:r>
      <w:proofErr w:type="spellEnd"/>
      <w:r w:rsidRPr="00727C40">
        <w:rPr>
          <w:rFonts w:ascii="Garamond" w:hAnsi="Garamond"/>
          <w:color w:val="000000" w:themeColor="text1"/>
          <w:lang w:val="en-US"/>
        </w:rPr>
        <w:t xml:space="preserve"> loans, with spreads of 4.75–6.00% for upper-middle-market loans, and 5.00–6.25% for traditional middle-market loans with an OID advantage</w:t>
      </w:r>
      <w:r w:rsidR="00F505A0">
        <w:rPr>
          <w:rFonts w:ascii="Garamond" w:hAnsi="Garamond"/>
          <w:color w:val="000000" w:themeColor="text1"/>
          <w:lang w:val="en-US"/>
        </w:rPr>
        <w:t xml:space="preserve"> </w:t>
      </w:r>
      <w:r w:rsidR="00E32DEA">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&lt;EndNote&gt;&lt;Cite&gt;&lt;Author&gt;Czapla&lt;/Author&gt;&lt;Year&gt;2026&lt;/Year&gt;&lt;RecNum&gt;79&lt;/RecNum&gt;&lt;DisplayText&gt;(Czapla et al., 2026)&lt;/DisplayText&gt;&lt;record&gt;&lt;rec-number&gt;79&lt;/rec-number&gt;&lt;foreign-keys&gt;&lt;key app="EN" db-id="x2z5xfr9jx5dwcef50b5eedwwwr9x5pperdz" timestamp="1778489309"&gt;79&lt;/key&gt;&lt;/foreign-keys&gt;&lt;ref-type name="Web Page"&gt;12&lt;/ref-type&gt;&lt;contributors&gt;&lt;authors&gt;&lt;author&gt;Czapla, John&lt;/author&gt;&lt;author&gt;Lowery, Adrian &lt;/author&gt;&lt;author&gt;Turi, Daniel&lt;/author&gt;&lt;/authors&gt;&lt;/contributors&gt;&lt;titles&gt;&lt;title&gt;European Private Market Update: Q1 2026&lt;/title&gt;&lt;/titles&gt;&lt;dates&gt;&lt;year&gt;2026&lt;/year&gt;&lt;/dates&gt;&lt;publisher&gt;Valuation Research Corporation&lt;/publisher&gt;&lt;urls&gt;&lt;related-urls&gt;&lt;url&gt;https://www.valuationresearch.com/insights/european-private-market-update-q1-2026/&lt;/url&gt;&lt;/related-urls&gt;&lt;/urls&gt;&lt;/record&gt;&lt;/Cite&gt;&lt;/EndNote&gt;</w:instrText>
      </w:r>
      <w:r w:rsidR="00E32DEA">
        <w:rPr>
          <w:rFonts w:ascii="Garamond" w:hAnsi="Garamond"/>
          <w:color w:val="000000" w:themeColor="text1"/>
          <w:lang w:val="en-US"/>
        </w:rPr>
        <w:fldChar w:fldCharType="separate"/>
      </w:r>
      <w:r w:rsidR="00E32DEA">
        <w:rPr>
          <w:rFonts w:ascii="Garamond" w:hAnsi="Garamond"/>
          <w:noProof/>
          <w:color w:val="000000" w:themeColor="text1"/>
          <w:lang w:val="en-US"/>
        </w:rPr>
        <w:t>(</w:t>
      </w:r>
      <w:r w:rsidR="00593AF0" w:rsidRPr="00F551EC">
        <w:rPr>
          <w:rFonts w:ascii="Garamond" w:hAnsi="Garamond"/>
          <w:noProof/>
          <w:color w:val="000000" w:themeColor="text1"/>
          <w:lang w:val="en-US"/>
        </w:rPr>
        <w:t>Czapla et al., 2026</w:t>
      </w:r>
      <w:r w:rsidR="00E32DEA">
        <w:rPr>
          <w:rFonts w:ascii="Garamond" w:hAnsi="Garamond"/>
          <w:noProof/>
          <w:color w:val="000000" w:themeColor="text1"/>
          <w:lang w:val="en-US"/>
        </w:rPr>
        <w:t>)</w:t>
      </w:r>
      <w:r w:rsidR="00E32DEA">
        <w:rPr>
          <w:rFonts w:ascii="Garamond" w:hAnsi="Garamond"/>
          <w:color w:val="000000" w:themeColor="text1"/>
          <w:lang w:val="en-US"/>
        </w:rPr>
        <w:fldChar w:fldCharType="end"/>
      </w:r>
      <w:r w:rsidRPr="00727C40">
        <w:rPr>
          <w:rFonts w:ascii="Garamond" w:hAnsi="Garamond"/>
          <w:color w:val="000000" w:themeColor="text1"/>
          <w:lang w:val="en-US"/>
        </w:rPr>
        <w:t>.</w:t>
      </w:r>
    </w:p>
    <w:p w14:paraId="5484A155" w14:textId="5871B967" w:rsidR="00727C40" w:rsidRPr="00727C40" w:rsidRDefault="00727C40" w:rsidP="00727C40">
      <w:pPr>
        <w:spacing w:line="360" w:lineRule="auto"/>
        <w:ind w:firstLine="360"/>
        <w:jc w:val="both"/>
        <w:rPr>
          <w:rFonts w:ascii="Garamond" w:hAnsi="Garamond"/>
          <w:color w:val="000000" w:themeColor="text1"/>
          <w:lang w:val="en-US"/>
        </w:rPr>
      </w:pPr>
      <w:r w:rsidRPr="00727C40">
        <w:rPr>
          <w:rFonts w:ascii="Garamond" w:hAnsi="Garamond"/>
          <w:color w:val="000000" w:themeColor="text1"/>
          <w:lang w:val="en-US"/>
        </w:rPr>
        <w:t xml:space="preserve">To this end, Table 2 has been created to translate this institutional data into a segmented pricing matrix for the average European market. The Portuguese SME segment is treated separately as an estimate, with an upward adjustment of 100 to 150 basis points applied to the main band of the average market, in order to reflect the risk premium attributable to </w:t>
      </w:r>
      <w:r w:rsidR="00891E3D" w:rsidRPr="00B44389">
        <w:rPr>
          <w:rFonts w:ascii="Garamond" w:hAnsi="Garamond"/>
          <w:color w:val="000000" w:themeColor="text1"/>
          <w:lang w:val="en-US"/>
        </w:rPr>
        <w:t>the lack of private equity sponsorship</w:t>
      </w:r>
      <w:r w:rsidRPr="00727C40">
        <w:rPr>
          <w:rFonts w:ascii="Garamond" w:hAnsi="Garamond"/>
          <w:color w:val="000000" w:themeColor="text1"/>
          <w:lang w:val="en-US"/>
        </w:rPr>
        <w:t>, the limited provision of financial information and creditors’ lesser familiarity with the Portuguese market, in line with the observation</w:t>
      </w:r>
      <w:r w:rsidR="00E32DEA">
        <w:rPr>
          <w:rFonts w:ascii="Garamond" w:hAnsi="Garamond"/>
          <w:color w:val="000000" w:themeColor="text1"/>
          <w:lang w:val="en-US"/>
        </w:rPr>
        <w:t>s</w:t>
      </w:r>
      <w:r w:rsidRPr="00727C40">
        <w:rPr>
          <w:rFonts w:ascii="Garamond" w:hAnsi="Garamond"/>
          <w:color w:val="000000" w:themeColor="text1"/>
          <w:lang w:val="en-US"/>
        </w:rPr>
        <w:t xml:space="preserve"> by </w:t>
      </w:r>
      <w:r w:rsidR="00E32DEA">
        <w:rPr>
          <w:rFonts w:ascii="Garamond" w:hAnsi="Garamond"/>
          <w:color w:val="000000" w:themeColor="text1"/>
          <w:lang w:val="en-US"/>
        </w:rPr>
        <w:t>VRC</w:t>
      </w:r>
      <w:r w:rsidRPr="00727C40">
        <w:rPr>
          <w:rFonts w:ascii="Garamond" w:hAnsi="Garamond"/>
          <w:color w:val="000000" w:themeColor="text1"/>
          <w:lang w:val="en-US"/>
        </w:rPr>
        <w:t xml:space="preserve"> that lower-quality or cyclical loans attract premiums of 50 to 100 basis points above the standard credit matrix.</w:t>
      </w:r>
    </w:p>
    <w:p w14:paraId="64B68E42" w14:textId="77777777" w:rsidR="000235CC" w:rsidRPr="002706FE" w:rsidRDefault="000235CC" w:rsidP="000235CC">
      <w:pPr>
        <w:spacing w:line="360" w:lineRule="auto"/>
        <w:ind w:firstLine="360"/>
        <w:jc w:val="both"/>
        <w:rPr>
          <w:rFonts w:ascii="Garamond" w:hAnsi="Garamond"/>
          <w:color w:val="000000" w:themeColor="text1"/>
          <w:lang w:val="en-US"/>
        </w:rPr>
      </w:pPr>
    </w:p>
    <w:tbl>
      <w:tblPr>
        <w:tblStyle w:val="TabelacomGrelha"/>
        <w:tblW w:w="7225" w:type="dxa"/>
        <w:jc w:val="center"/>
        <w:tblLook w:val="04A0" w:firstRow="1" w:lastRow="0" w:firstColumn="1" w:lastColumn="0" w:noHBand="0" w:noVBand="1"/>
      </w:tblPr>
      <w:tblGrid>
        <w:gridCol w:w="4536"/>
        <w:gridCol w:w="1134"/>
        <w:gridCol w:w="1555"/>
      </w:tblGrid>
      <w:tr w:rsidR="001275F1" w:rsidRPr="00653A99" w14:paraId="51EB48E2" w14:textId="77777777" w:rsidTr="00B463B1">
        <w:trPr>
          <w:jc w:val="center"/>
        </w:trPr>
        <w:tc>
          <w:tcPr>
            <w:tcW w:w="4536" w:type="dxa"/>
            <w:shd w:val="clear" w:color="auto" w:fill="C9D4E8"/>
            <w:vAlign w:val="center"/>
          </w:tcPr>
          <w:p w14:paraId="692C35D5" w14:textId="77777777" w:rsidR="001275F1" w:rsidRDefault="001275F1" w:rsidP="00933CAE">
            <w:pPr>
              <w:spacing w:before="40" w:after="40"/>
              <w:jc w:val="center"/>
            </w:pPr>
            <w:r>
              <w:rPr>
                <w:rFonts w:ascii="Garamond" w:hAnsi="Garamond"/>
                <w:b/>
                <w:sz w:val="20"/>
              </w:rPr>
              <w:t>Borrower Segment</w:t>
            </w:r>
          </w:p>
        </w:tc>
        <w:tc>
          <w:tcPr>
            <w:tcW w:w="1134" w:type="dxa"/>
            <w:shd w:val="clear" w:color="auto" w:fill="C9D4E8"/>
            <w:vAlign w:val="center"/>
          </w:tcPr>
          <w:p w14:paraId="601A1966" w14:textId="77777777" w:rsidR="001275F1" w:rsidRDefault="001275F1" w:rsidP="00933CAE">
            <w:pPr>
              <w:spacing w:before="40" w:after="40"/>
              <w:jc w:val="center"/>
            </w:pPr>
            <w:r>
              <w:rPr>
                <w:rFonts w:ascii="Garamond" w:hAnsi="Garamond"/>
                <w:b/>
                <w:sz w:val="20"/>
              </w:rPr>
              <w:t>Indicative</w:t>
            </w:r>
            <w:r>
              <w:rPr>
                <w:rFonts w:ascii="Garamond" w:hAnsi="Garamond"/>
                <w:b/>
                <w:sz w:val="20"/>
              </w:rPr>
              <w:br/>
              <w:t>Gross Spread</w:t>
            </w:r>
          </w:p>
        </w:tc>
        <w:tc>
          <w:tcPr>
            <w:tcW w:w="1555" w:type="dxa"/>
            <w:shd w:val="clear" w:color="auto" w:fill="C9D4E8"/>
            <w:vAlign w:val="center"/>
          </w:tcPr>
          <w:p w14:paraId="644D42E8" w14:textId="1EB08CF4" w:rsidR="001275F1" w:rsidRPr="00AB3AEA" w:rsidRDefault="001275F1" w:rsidP="00933CAE">
            <w:pPr>
              <w:spacing w:before="40" w:after="40"/>
              <w:jc w:val="center"/>
              <w:rPr>
                <w:lang w:val="en-US"/>
              </w:rPr>
            </w:pPr>
            <w:r w:rsidRPr="00AB3AEA">
              <w:rPr>
                <w:rFonts w:ascii="Garamond" w:hAnsi="Garamond"/>
                <w:b/>
                <w:sz w:val="20"/>
                <w:lang w:val="en-US"/>
              </w:rPr>
              <w:t>All-in Rate</w:t>
            </w:r>
            <w:r w:rsidRPr="00AB3AEA">
              <w:rPr>
                <w:rFonts w:ascii="Garamond" w:hAnsi="Garamond"/>
                <w:b/>
                <w:sz w:val="20"/>
                <w:lang w:val="en-US"/>
              </w:rPr>
              <w:br/>
              <w:t>(EURIBOR 2.1%,</w:t>
            </w:r>
            <w:r w:rsidRPr="00AB3AEA">
              <w:rPr>
                <w:rFonts w:ascii="Garamond" w:hAnsi="Garamond"/>
                <w:b/>
                <w:sz w:val="20"/>
                <w:lang w:val="en-US"/>
              </w:rPr>
              <w:br/>
              <w:t>end-2025)</w:t>
            </w:r>
          </w:p>
        </w:tc>
      </w:tr>
      <w:tr w:rsidR="001275F1" w14:paraId="3A723DA8" w14:textId="77777777" w:rsidTr="008660DB">
        <w:trPr>
          <w:jc w:val="center"/>
        </w:trPr>
        <w:tc>
          <w:tcPr>
            <w:tcW w:w="4536" w:type="dxa"/>
            <w:shd w:val="clear" w:color="auto" w:fill="EEF2F8"/>
            <w:vAlign w:val="center"/>
          </w:tcPr>
          <w:p w14:paraId="4A57D5E6" w14:textId="6FA45F63" w:rsidR="001275F1" w:rsidRPr="00AB3AEA" w:rsidRDefault="001275F1" w:rsidP="008660DB">
            <w:pPr>
              <w:spacing w:before="40" w:after="40"/>
              <w:rPr>
                <w:lang w:val="en-US"/>
              </w:rPr>
            </w:pPr>
            <w:r w:rsidRPr="00AB3AEA">
              <w:rPr>
                <w:rFonts w:ascii="Garamond" w:hAnsi="Garamond"/>
                <w:sz w:val="20"/>
                <w:lang w:val="en-US"/>
              </w:rPr>
              <w:t>Upper mid-market</w:t>
            </w:r>
            <w:r w:rsidRPr="00AB3AEA">
              <w:rPr>
                <w:rFonts w:ascii="Garamond" w:hAnsi="Garamond"/>
                <w:sz w:val="20"/>
                <w:lang w:val="en-US"/>
              </w:rPr>
              <w:br/>
              <w:t>(&gt;€75M EBITDA,</w:t>
            </w:r>
            <w:r w:rsidR="00751DB7">
              <w:rPr>
                <w:rFonts w:ascii="Garamond" w:hAnsi="Garamond"/>
                <w:sz w:val="20"/>
                <w:lang w:val="en-US"/>
              </w:rPr>
              <w:t xml:space="preserve"> </w:t>
            </w:r>
            <w:r w:rsidRPr="00AB3AEA">
              <w:rPr>
                <w:rFonts w:ascii="Garamond" w:hAnsi="Garamond"/>
                <w:sz w:val="20"/>
                <w:lang w:val="en-US"/>
              </w:rPr>
              <w:t>PE</w:t>
            </w:r>
            <w:r w:rsidR="00751DB7">
              <w:rPr>
                <w:rFonts w:ascii="Garamond" w:hAnsi="Garamond"/>
                <w:sz w:val="20"/>
                <w:lang w:val="en-US"/>
              </w:rPr>
              <w:t xml:space="preserve">- </w:t>
            </w:r>
            <w:r w:rsidRPr="00AB3AEA">
              <w:rPr>
                <w:rFonts w:ascii="Garamond" w:hAnsi="Garamond"/>
                <w:sz w:val="20"/>
                <w:lang w:val="en-US"/>
              </w:rPr>
              <w:t>sponsored)</w:t>
            </w:r>
          </w:p>
        </w:tc>
        <w:tc>
          <w:tcPr>
            <w:tcW w:w="1134" w:type="dxa"/>
            <w:shd w:val="clear" w:color="auto" w:fill="EEF2F8"/>
            <w:vAlign w:val="center"/>
          </w:tcPr>
          <w:p w14:paraId="26B5C38E" w14:textId="77777777" w:rsidR="001275F1" w:rsidRDefault="001275F1" w:rsidP="00F46CB7">
            <w:pPr>
              <w:spacing w:before="40" w:after="40"/>
              <w:jc w:val="center"/>
            </w:pPr>
            <w:r>
              <w:rPr>
                <w:rFonts w:ascii="Garamond" w:hAnsi="Garamond"/>
                <w:sz w:val="20"/>
              </w:rPr>
              <w:t>E + 350–500 bps</w:t>
            </w:r>
          </w:p>
        </w:tc>
        <w:tc>
          <w:tcPr>
            <w:tcW w:w="1555" w:type="dxa"/>
            <w:shd w:val="clear" w:color="auto" w:fill="EEF2F8"/>
            <w:vAlign w:val="center"/>
          </w:tcPr>
          <w:p w14:paraId="261BE0C0" w14:textId="46EA7244" w:rsidR="001275F1" w:rsidRDefault="005E07C2" w:rsidP="00F46CB7">
            <w:pPr>
              <w:spacing w:before="40" w:after="40"/>
              <w:jc w:val="center"/>
            </w:pPr>
            <w:r>
              <w:rPr>
                <w:rFonts w:ascii="Garamond" w:hAnsi="Garamond"/>
                <w:sz w:val="20"/>
              </w:rPr>
              <w:sym w:font="Symbol" w:char="F0BB"/>
            </w:r>
            <w:r w:rsidR="001275F1">
              <w:rPr>
                <w:rFonts w:ascii="Garamond" w:hAnsi="Garamond"/>
                <w:sz w:val="20"/>
              </w:rPr>
              <w:t>5.</w:t>
            </w:r>
            <w:r w:rsidR="00C60823">
              <w:rPr>
                <w:rFonts w:ascii="Garamond" w:hAnsi="Garamond"/>
                <w:sz w:val="20"/>
              </w:rPr>
              <w:t>6</w:t>
            </w:r>
            <w:r w:rsidR="001275F1">
              <w:rPr>
                <w:rFonts w:ascii="Garamond" w:hAnsi="Garamond"/>
                <w:sz w:val="20"/>
              </w:rPr>
              <w:t>–7.1%</w:t>
            </w:r>
          </w:p>
        </w:tc>
      </w:tr>
      <w:tr w:rsidR="001275F1" w14:paraId="6565F3AB" w14:textId="77777777" w:rsidTr="008660DB">
        <w:trPr>
          <w:jc w:val="center"/>
        </w:trPr>
        <w:tc>
          <w:tcPr>
            <w:tcW w:w="4536" w:type="dxa"/>
            <w:vAlign w:val="center"/>
          </w:tcPr>
          <w:p w14:paraId="4BB42215" w14:textId="0E0AAFF4" w:rsidR="001275F1" w:rsidRPr="00AB3AEA" w:rsidRDefault="001275F1" w:rsidP="008660DB">
            <w:pPr>
              <w:spacing w:before="40" w:after="40"/>
              <w:rPr>
                <w:lang w:val="en-US"/>
              </w:rPr>
            </w:pPr>
            <w:r w:rsidRPr="00AB3AEA">
              <w:rPr>
                <w:rFonts w:ascii="Garamond" w:hAnsi="Garamond"/>
                <w:sz w:val="20"/>
                <w:lang w:val="en-US"/>
              </w:rPr>
              <w:t>Core mid-market</w:t>
            </w:r>
            <w:r w:rsidRPr="00AB3AEA">
              <w:rPr>
                <w:rFonts w:ascii="Garamond" w:hAnsi="Garamond"/>
                <w:sz w:val="20"/>
                <w:lang w:val="en-US"/>
              </w:rPr>
              <w:br/>
              <w:t>(€15M–75M EBITDA,</w:t>
            </w:r>
            <w:r w:rsidR="00751DB7">
              <w:rPr>
                <w:rFonts w:ascii="Garamond" w:hAnsi="Garamond"/>
                <w:sz w:val="20"/>
                <w:lang w:val="en-US"/>
              </w:rPr>
              <w:t xml:space="preserve"> </w:t>
            </w:r>
            <w:r w:rsidRPr="00AB3AEA">
              <w:rPr>
                <w:rFonts w:ascii="Garamond" w:hAnsi="Garamond"/>
                <w:sz w:val="20"/>
                <w:lang w:val="en-US"/>
              </w:rPr>
              <w:t>PE</w:t>
            </w:r>
            <w:r w:rsidR="00751DB7">
              <w:rPr>
                <w:rFonts w:ascii="Garamond" w:hAnsi="Garamond"/>
                <w:sz w:val="20"/>
                <w:lang w:val="en-US"/>
              </w:rPr>
              <w:t xml:space="preserve">- </w:t>
            </w:r>
            <w:r w:rsidRPr="00AB3AEA">
              <w:rPr>
                <w:rFonts w:ascii="Garamond" w:hAnsi="Garamond"/>
                <w:sz w:val="20"/>
                <w:lang w:val="en-US"/>
              </w:rPr>
              <w:t>sponsored)</w:t>
            </w:r>
          </w:p>
        </w:tc>
        <w:tc>
          <w:tcPr>
            <w:tcW w:w="1134" w:type="dxa"/>
            <w:vAlign w:val="center"/>
          </w:tcPr>
          <w:p w14:paraId="588C677A" w14:textId="77777777" w:rsidR="001275F1" w:rsidRDefault="001275F1" w:rsidP="00F46CB7">
            <w:pPr>
              <w:spacing w:before="40" w:after="40"/>
              <w:jc w:val="center"/>
            </w:pPr>
            <w:r>
              <w:rPr>
                <w:rFonts w:ascii="Garamond" w:hAnsi="Garamond"/>
                <w:sz w:val="20"/>
              </w:rPr>
              <w:t>E + 500–625 bps</w:t>
            </w:r>
          </w:p>
        </w:tc>
        <w:tc>
          <w:tcPr>
            <w:tcW w:w="1555" w:type="dxa"/>
            <w:vAlign w:val="center"/>
          </w:tcPr>
          <w:p w14:paraId="1D6AAA16" w14:textId="40F4F54F" w:rsidR="001275F1" w:rsidRDefault="005E07C2" w:rsidP="00F46CB7">
            <w:pPr>
              <w:spacing w:before="40" w:after="40"/>
              <w:jc w:val="center"/>
            </w:pPr>
            <w:r>
              <w:rPr>
                <w:rFonts w:ascii="Garamond" w:hAnsi="Garamond"/>
                <w:sz w:val="20"/>
              </w:rPr>
              <w:sym w:font="Symbol" w:char="F0BB"/>
            </w:r>
            <w:r w:rsidR="001275F1">
              <w:rPr>
                <w:rFonts w:ascii="Garamond" w:hAnsi="Garamond"/>
                <w:sz w:val="20"/>
              </w:rPr>
              <w:t>7.1–8.4%</w:t>
            </w:r>
          </w:p>
        </w:tc>
      </w:tr>
      <w:tr w:rsidR="001275F1" w14:paraId="01AF6F19" w14:textId="77777777" w:rsidTr="008660DB">
        <w:trPr>
          <w:jc w:val="center"/>
        </w:trPr>
        <w:tc>
          <w:tcPr>
            <w:tcW w:w="4536" w:type="dxa"/>
            <w:shd w:val="clear" w:color="auto" w:fill="EEF2F8"/>
            <w:vAlign w:val="center"/>
          </w:tcPr>
          <w:p w14:paraId="1341C8C1" w14:textId="5672CAB1" w:rsidR="001275F1" w:rsidRPr="00AB3AEA" w:rsidRDefault="001275F1" w:rsidP="008660DB">
            <w:pPr>
              <w:spacing w:before="40" w:after="40"/>
              <w:rPr>
                <w:lang w:val="en-US"/>
              </w:rPr>
            </w:pPr>
            <w:r w:rsidRPr="00AB3AEA">
              <w:rPr>
                <w:rFonts w:ascii="Garamond" w:hAnsi="Garamond"/>
                <w:sz w:val="20"/>
                <w:lang w:val="en-US"/>
              </w:rPr>
              <w:t>Lower mid-market</w:t>
            </w:r>
            <w:r w:rsidRPr="00AB3AEA">
              <w:rPr>
                <w:rFonts w:ascii="Garamond" w:hAnsi="Garamond"/>
                <w:sz w:val="20"/>
                <w:lang w:val="en-US"/>
              </w:rPr>
              <w:br/>
              <w:t>(€5M–15M EBITDA,</w:t>
            </w:r>
            <w:r w:rsidR="00751DB7">
              <w:rPr>
                <w:rFonts w:ascii="Garamond" w:hAnsi="Garamond"/>
                <w:sz w:val="20"/>
                <w:lang w:val="en-US"/>
              </w:rPr>
              <w:t xml:space="preserve"> </w:t>
            </w:r>
            <w:r w:rsidRPr="00AB3AEA">
              <w:rPr>
                <w:rFonts w:ascii="Garamond" w:hAnsi="Garamond"/>
                <w:sz w:val="20"/>
                <w:lang w:val="en-US"/>
              </w:rPr>
              <w:t>non-sponsored)</w:t>
            </w:r>
          </w:p>
        </w:tc>
        <w:tc>
          <w:tcPr>
            <w:tcW w:w="1134" w:type="dxa"/>
            <w:shd w:val="clear" w:color="auto" w:fill="EEF2F8"/>
            <w:vAlign w:val="center"/>
          </w:tcPr>
          <w:p w14:paraId="5DBF6196" w14:textId="77777777" w:rsidR="001275F1" w:rsidRDefault="001275F1" w:rsidP="00F46CB7">
            <w:pPr>
              <w:spacing w:before="40" w:after="40"/>
              <w:jc w:val="center"/>
            </w:pPr>
            <w:r>
              <w:rPr>
                <w:rFonts w:ascii="Garamond" w:hAnsi="Garamond"/>
                <w:sz w:val="20"/>
              </w:rPr>
              <w:t>E + 600–750 bps</w:t>
            </w:r>
          </w:p>
        </w:tc>
        <w:tc>
          <w:tcPr>
            <w:tcW w:w="1555" w:type="dxa"/>
            <w:shd w:val="clear" w:color="auto" w:fill="EEF2F8"/>
            <w:vAlign w:val="center"/>
          </w:tcPr>
          <w:p w14:paraId="120FB0A8" w14:textId="3F4CA560" w:rsidR="001275F1" w:rsidRDefault="005E07C2" w:rsidP="00F46CB7">
            <w:pPr>
              <w:spacing w:before="40" w:after="40"/>
              <w:jc w:val="center"/>
            </w:pPr>
            <w:r>
              <w:rPr>
                <w:rFonts w:ascii="Garamond" w:hAnsi="Garamond"/>
                <w:sz w:val="20"/>
              </w:rPr>
              <w:sym w:font="Symbol" w:char="F0BB"/>
            </w:r>
            <w:r w:rsidR="001275F1">
              <w:rPr>
                <w:rFonts w:ascii="Garamond" w:hAnsi="Garamond"/>
                <w:sz w:val="20"/>
              </w:rPr>
              <w:t>8.1–9.6%</w:t>
            </w:r>
          </w:p>
        </w:tc>
      </w:tr>
      <w:tr w:rsidR="001275F1" w:rsidRPr="00AB3AEA" w14:paraId="65E6904E" w14:textId="77777777" w:rsidTr="008660DB">
        <w:trPr>
          <w:jc w:val="center"/>
        </w:trPr>
        <w:tc>
          <w:tcPr>
            <w:tcW w:w="4536" w:type="dxa"/>
            <w:vAlign w:val="center"/>
          </w:tcPr>
          <w:p w14:paraId="4245B034" w14:textId="103F72DE" w:rsidR="001275F1" w:rsidRPr="00AB3AEA" w:rsidRDefault="001275F1" w:rsidP="008660DB">
            <w:pPr>
              <w:spacing w:before="40" w:after="40"/>
              <w:rPr>
                <w:lang w:val="en-US"/>
              </w:rPr>
            </w:pPr>
            <w:r w:rsidRPr="00AB3AEA">
              <w:rPr>
                <w:rFonts w:ascii="Garamond" w:hAnsi="Garamond"/>
                <w:sz w:val="20"/>
                <w:lang w:val="en-US"/>
              </w:rPr>
              <w:t>Portuguese SME</w:t>
            </w:r>
            <w:r w:rsidRPr="00AB3AEA">
              <w:rPr>
                <w:rFonts w:ascii="Garamond" w:hAnsi="Garamond"/>
                <w:sz w:val="20"/>
                <w:lang w:val="en-US"/>
              </w:rPr>
              <w:br/>
              <w:t>(non-sponsored,</w:t>
            </w:r>
            <w:r w:rsidR="00933CAE">
              <w:rPr>
                <w:rFonts w:ascii="Garamond" w:hAnsi="Garamond"/>
                <w:sz w:val="20"/>
                <w:lang w:val="en-US"/>
              </w:rPr>
              <w:t xml:space="preserve"> </w:t>
            </w:r>
            <w:r w:rsidRPr="00AB3AEA">
              <w:rPr>
                <w:rFonts w:ascii="Garamond" w:hAnsi="Garamond"/>
                <w:sz w:val="20"/>
                <w:lang w:val="en-US"/>
              </w:rPr>
              <w:t>non-rated)</w:t>
            </w:r>
          </w:p>
        </w:tc>
        <w:tc>
          <w:tcPr>
            <w:tcW w:w="1134" w:type="dxa"/>
            <w:vAlign w:val="center"/>
          </w:tcPr>
          <w:p w14:paraId="0685957C" w14:textId="519182AA" w:rsidR="001275F1" w:rsidRDefault="001275F1" w:rsidP="00F46CB7">
            <w:pPr>
              <w:spacing w:before="40" w:after="40"/>
              <w:jc w:val="center"/>
            </w:pPr>
            <w:r>
              <w:rPr>
                <w:rFonts w:ascii="Garamond" w:hAnsi="Garamond"/>
                <w:sz w:val="20"/>
              </w:rPr>
              <w:t>E + 700–850 bps</w:t>
            </w:r>
            <w:r>
              <w:rPr>
                <w:rFonts w:ascii="Garamond" w:hAnsi="Garamond"/>
                <w:sz w:val="20"/>
              </w:rPr>
              <w:br/>
              <w:t>(est.)</w:t>
            </w:r>
          </w:p>
        </w:tc>
        <w:tc>
          <w:tcPr>
            <w:tcW w:w="1555" w:type="dxa"/>
            <w:vAlign w:val="center"/>
          </w:tcPr>
          <w:p w14:paraId="4DC47151" w14:textId="577C79E5" w:rsidR="001275F1" w:rsidRDefault="005E07C2" w:rsidP="00F46CB7">
            <w:pPr>
              <w:spacing w:before="40" w:after="40"/>
              <w:jc w:val="center"/>
            </w:pPr>
            <w:r>
              <w:rPr>
                <w:rFonts w:ascii="Garamond" w:hAnsi="Garamond"/>
                <w:sz w:val="20"/>
              </w:rPr>
              <w:sym w:font="Symbol" w:char="F0BB"/>
            </w:r>
            <w:r w:rsidR="00196CBB">
              <w:rPr>
                <w:rFonts w:ascii="Garamond" w:hAnsi="Garamond"/>
                <w:sz w:val="20"/>
              </w:rPr>
              <w:t>9.1</w:t>
            </w:r>
            <w:r w:rsidR="001275F1">
              <w:rPr>
                <w:rFonts w:ascii="Garamond" w:hAnsi="Garamond"/>
                <w:sz w:val="20"/>
              </w:rPr>
              <w:t>–10.</w:t>
            </w:r>
            <w:r w:rsidR="00196CBB">
              <w:rPr>
                <w:rFonts w:ascii="Garamond" w:hAnsi="Garamond"/>
                <w:sz w:val="20"/>
              </w:rPr>
              <w:t>6</w:t>
            </w:r>
            <w:r w:rsidR="001275F1">
              <w:rPr>
                <w:rFonts w:ascii="Garamond" w:hAnsi="Garamond"/>
                <w:sz w:val="20"/>
              </w:rPr>
              <w:t>%</w:t>
            </w:r>
          </w:p>
        </w:tc>
      </w:tr>
    </w:tbl>
    <w:p w14:paraId="162FDC17" w14:textId="47790799" w:rsidR="00B96295" w:rsidRPr="00777C6B" w:rsidRDefault="00B96295" w:rsidP="00B96295">
      <w:pPr>
        <w:pStyle w:val="Legenda"/>
        <w:keepNext/>
        <w:jc w:val="center"/>
        <w:rPr>
          <w:rFonts w:ascii="Garamond" w:hAnsi="Garamond"/>
          <w:color w:val="000000" w:themeColor="text1"/>
          <w:lang w:val="en-US"/>
        </w:rPr>
      </w:pPr>
      <w:bookmarkStart w:id="47" w:name="_Toc232962126"/>
      <w:bookmarkStart w:id="48" w:name="_Toc233144735"/>
      <w:r w:rsidRPr="00777C6B">
        <w:rPr>
          <w:rFonts w:ascii="Garamond" w:hAnsi="Garamond"/>
          <w:color w:val="000000" w:themeColor="text1"/>
          <w:lang w:val="en-US"/>
        </w:rPr>
        <w:t xml:space="preserve">Table </w:t>
      </w:r>
      <w:r w:rsidRPr="00777C6B">
        <w:rPr>
          <w:rFonts w:ascii="Garamond" w:hAnsi="Garamond"/>
          <w:color w:val="000000" w:themeColor="text1"/>
        </w:rPr>
        <w:fldChar w:fldCharType="begin"/>
      </w:r>
      <w:r w:rsidRPr="00777C6B">
        <w:rPr>
          <w:rFonts w:ascii="Garamond" w:hAnsi="Garamond"/>
          <w:color w:val="000000" w:themeColor="text1"/>
          <w:lang w:val="en-US"/>
        </w:rPr>
        <w:instrText xml:space="preserve"> SEQ Table \* ARABIC </w:instrText>
      </w:r>
      <w:r w:rsidRPr="00777C6B">
        <w:rPr>
          <w:rFonts w:ascii="Garamond" w:hAnsi="Garamond"/>
          <w:color w:val="000000" w:themeColor="text1"/>
        </w:rPr>
        <w:fldChar w:fldCharType="separate"/>
      </w:r>
      <w:r w:rsidR="000C6C03">
        <w:rPr>
          <w:rFonts w:ascii="Garamond" w:hAnsi="Garamond"/>
          <w:noProof/>
          <w:color w:val="000000" w:themeColor="text1"/>
          <w:lang w:val="en-US"/>
        </w:rPr>
        <w:t>2</w:t>
      </w:r>
      <w:r w:rsidRPr="00777C6B">
        <w:rPr>
          <w:rFonts w:ascii="Garamond" w:hAnsi="Garamond"/>
          <w:color w:val="000000" w:themeColor="text1"/>
        </w:rPr>
        <w:fldChar w:fldCharType="end"/>
      </w:r>
      <w:r w:rsidRPr="00777C6B">
        <w:rPr>
          <w:rFonts w:ascii="Garamond" w:hAnsi="Garamond"/>
          <w:color w:val="000000" w:themeColor="text1"/>
          <w:lang w:val="en-US"/>
        </w:rPr>
        <w:t xml:space="preserve"> - Indicative Private Credit Pricing in the European Mid-Market (H2 2025 – Q1 2026)</w:t>
      </w:r>
      <w:bookmarkEnd w:id="47"/>
      <w:bookmarkEnd w:id="48"/>
    </w:p>
    <w:p w14:paraId="01760C9A" w14:textId="12A8FA06" w:rsidR="001275F1" w:rsidRPr="002706FE" w:rsidRDefault="00AB3AEA" w:rsidP="00342A29">
      <w:pPr>
        <w:spacing w:before="40" w:after="200"/>
        <w:jc w:val="center"/>
        <w:rPr>
          <w:lang w:val="en-US"/>
        </w:rPr>
      </w:pPr>
      <w:r w:rsidRPr="00AB3AEA">
        <w:rPr>
          <w:rFonts w:ascii="Garamond" w:hAnsi="Garamond"/>
          <w:i/>
          <w:sz w:val="19"/>
          <w:lang w:val="en-US"/>
        </w:rPr>
        <w:t>E = EURIBOR (3-month);</w:t>
      </w:r>
      <w:r w:rsidR="006D1E80">
        <w:rPr>
          <w:rFonts w:ascii="Garamond" w:hAnsi="Garamond"/>
          <w:i/>
          <w:sz w:val="19"/>
          <w:lang w:val="en-US"/>
        </w:rPr>
        <w:t xml:space="preserve"> </w:t>
      </w:r>
      <w:r w:rsidRPr="00AB3AEA">
        <w:rPr>
          <w:rFonts w:ascii="Garamond" w:hAnsi="Garamond"/>
          <w:i/>
          <w:sz w:val="19"/>
          <w:lang w:val="en-US"/>
        </w:rPr>
        <w:t>bps = basis points</w:t>
      </w:r>
      <w:r w:rsidR="00080C26">
        <w:rPr>
          <w:rFonts w:ascii="Garamond" w:hAnsi="Garamond"/>
          <w:i/>
          <w:sz w:val="19"/>
          <w:lang w:val="en-US"/>
        </w:rPr>
        <w:t>, PE-Sponsored = Private Equity Sponsored</w:t>
      </w:r>
    </w:p>
    <w:p w14:paraId="3B880281" w14:textId="77777777" w:rsidR="000235CC" w:rsidRDefault="000235CC" w:rsidP="00AB3AEA">
      <w:pPr>
        <w:pStyle w:val="Ttulo3"/>
        <w:rPr>
          <w:rFonts w:ascii="Garamond" w:hAnsi="Garamond"/>
          <w:b/>
          <w:color w:val="000000" w:themeColor="text1"/>
          <w:sz w:val="24"/>
          <w:lang w:val="en-US"/>
        </w:rPr>
      </w:pPr>
    </w:p>
    <w:p w14:paraId="05C231A8" w14:textId="77777777" w:rsidR="00D31DBA" w:rsidRDefault="00D31DBA" w:rsidP="00D31DBA">
      <w:pPr>
        <w:rPr>
          <w:lang w:val="en-US" w:eastAsia="en-US"/>
        </w:rPr>
      </w:pPr>
    </w:p>
    <w:p w14:paraId="0B0CF74A" w14:textId="77777777" w:rsidR="00D31DBA" w:rsidRPr="00D31DBA" w:rsidRDefault="00D31DBA" w:rsidP="00D31DBA">
      <w:pPr>
        <w:rPr>
          <w:lang w:val="en-US" w:eastAsia="en-US"/>
        </w:rPr>
      </w:pPr>
    </w:p>
    <w:p w14:paraId="30C071D5" w14:textId="48CA957A" w:rsidR="00AB3AEA" w:rsidRPr="00233EA7" w:rsidRDefault="00BB0C11" w:rsidP="00AB3AEA">
      <w:pPr>
        <w:pStyle w:val="Ttulo3"/>
        <w:rPr>
          <w:rFonts w:ascii="Garamond" w:hAnsi="Garamond"/>
          <w:b/>
          <w:color w:val="000000" w:themeColor="text1"/>
          <w:szCs w:val="32"/>
          <w:lang w:val="en-US"/>
        </w:rPr>
      </w:pPr>
      <w:bookmarkStart w:id="49" w:name="_Toc233142908"/>
      <w:r>
        <w:rPr>
          <w:rFonts w:ascii="Garamond" w:hAnsi="Garamond"/>
          <w:b/>
          <w:color w:val="000000" w:themeColor="text1"/>
          <w:szCs w:val="32"/>
          <w:lang w:val="en-US"/>
        </w:rPr>
        <w:lastRenderedPageBreak/>
        <w:t>5</w:t>
      </w:r>
      <w:r w:rsidR="00AB3AEA" w:rsidRPr="00233EA7">
        <w:rPr>
          <w:rFonts w:ascii="Garamond" w:hAnsi="Garamond"/>
          <w:b/>
          <w:color w:val="000000" w:themeColor="text1"/>
          <w:szCs w:val="32"/>
          <w:lang w:val="en-US"/>
        </w:rPr>
        <w:t>.</w:t>
      </w:r>
      <w:r w:rsidR="00233EA7" w:rsidRPr="00233EA7">
        <w:rPr>
          <w:rFonts w:ascii="Garamond" w:hAnsi="Garamond"/>
          <w:b/>
          <w:color w:val="000000" w:themeColor="text1"/>
          <w:szCs w:val="32"/>
          <w:lang w:val="en-US"/>
        </w:rPr>
        <w:t>1</w:t>
      </w:r>
      <w:r w:rsidR="00AB3AEA" w:rsidRPr="00233EA7">
        <w:rPr>
          <w:rFonts w:ascii="Garamond" w:hAnsi="Garamond"/>
          <w:b/>
          <w:color w:val="000000" w:themeColor="text1"/>
          <w:szCs w:val="32"/>
          <w:lang w:val="en-US"/>
        </w:rPr>
        <w:t>.3</w:t>
      </w:r>
      <w:r w:rsidR="00233EA7" w:rsidRPr="00233EA7">
        <w:rPr>
          <w:rFonts w:ascii="Garamond" w:hAnsi="Garamond"/>
          <w:b/>
          <w:color w:val="000000" w:themeColor="text1"/>
          <w:szCs w:val="32"/>
          <w:lang w:val="en-US"/>
        </w:rPr>
        <w:t>.</w:t>
      </w:r>
      <w:r w:rsidR="00AB3AEA" w:rsidRPr="00233EA7">
        <w:rPr>
          <w:rFonts w:ascii="Garamond" w:hAnsi="Garamond"/>
          <w:b/>
          <w:color w:val="000000" w:themeColor="text1"/>
          <w:szCs w:val="32"/>
          <w:lang w:val="en-US"/>
        </w:rPr>
        <w:t xml:space="preserve"> The Cost Differential: Quantifying the Private Credit Premium for Portuguese Borrowers</w:t>
      </w:r>
      <w:bookmarkEnd w:id="49"/>
    </w:p>
    <w:p w14:paraId="00DBF911" w14:textId="77777777" w:rsidR="00595FD0" w:rsidRPr="00595FD0" w:rsidRDefault="00595FD0" w:rsidP="00595FD0">
      <w:pPr>
        <w:rPr>
          <w:lang w:val="en-US"/>
        </w:rPr>
      </w:pPr>
    </w:p>
    <w:p w14:paraId="0617DC20" w14:textId="7A0AA318" w:rsidR="00577315" w:rsidRDefault="00AB3AEA" w:rsidP="00577315">
      <w:pPr>
        <w:spacing w:line="360" w:lineRule="auto"/>
        <w:ind w:firstLine="360"/>
        <w:jc w:val="both"/>
        <w:rPr>
          <w:rFonts w:ascii="Garamond" w:hAnsi="Garamond"/>
          <w:color w:val="000000" w:themeColor="text1"/>
          <w:lang w:val="en-US"/>
        </w:rPr>
      </w:pPr>
      <w:r w:rsidRPr="000235CC">
        <w:rPr>
          <w:rFonts w:ascii="Garamond" w:hAnsi="Garamond"/>
          <w:color w:val="000000" w:themeColor="text1"/>
          <w:lang w:val="en-US"/>
        </w:rPr>
        <w:t>Tables 1 and 2 together enable a direct quantification of the cost differential between private credit and traditional bank financing in the Portuguese context. Table 3 presents this comparison by borrower segment, using the official Banco de Portugal rates as the bank benchmark and the mid-points of Table 2 for private credit.</w:t>
      </w:r>
    </w:p>
    <w:p w14:paraId="320230B1" w14:textId="77777777" w:rsidR="00577315" w:rsidRPr="00577315" w:rsidRDefault="00577315" w:rsidP="00577315">
      <w:pPr>
        <w:spacing w:line="360" w:lineRule="auto"/>
        <w:ind w:firstLine="360"/>
        <w:jc w:val="both"/>
        <w:rPr>
          <w:rFonts w:ascii="Garamond" w:hAnsi="Garamond"/>
          <w:color w:val="000000" w:themeColor="text1"/>
          <w:lang w:val="en-US"/>
        </w:rPr>
      </w:pPr>
    </w:p>
    <w:tbl>
      <w:tblPr>
        <w:tblStyle w:val="TabelacomGrelha"/>
        <w:tblW w:w="7125" w:type="dxa"/>
        <w:jc w:val="center"/>
        <w:tblLook w:val="04A0" w:firstRow="1" w:lastRow="0" w:firstColumn="1" w:lastColumn="0" w:noHBand="0" w:noVBand="1"/>
      </w:tblPr>
      <w:tblGrid>
        <w:gridCol w:w="2122"/>
        <w:gridCol w:w="1542"/>
        <w:gridCol w:w="1774"/>
        <w:gridCol w:w="1687"/>
      </w:tblGrid>
      <w:tr w:rsidR="00577315" w14:paraId="53B2784C" w14:textId="77777777" w:rsidTr="00933CAE">
        <w:trPr>
          <w:jc w:val="center"/>
        </w:trPr>
        <w:tc>
          <w:tcPr>
            <w:tcW w:w="2122" w:type="dxa"/>
            <w:shd w:val="clear" w:color="auto" w:fill="C9D4E8"/>
            <w:vAlign w:val="center"/>
          </w:tcPr>
          <w:p w14:paraId="2CE9DCD1" w14:textId="77777777" w:rsidR="00577315" w:rsidRDefault="00577315" w:rsidP="00933CAE">
            <w:pPr>
              <w:spacing w:before="40" w:after="40"/>
              <w:jc w:val="center"/>
            </w:pPr>
            <w:r>
              <w:rPr>
                <w:rFonts w:ascii="Garamond" w:hAnsi="Garamond"/>
                <w:b/>
                <w:sz w:val="20"/>
              </w:rPr>
              <w:t>Borrower Segment</w:t>
            </w:r>
          </w:p>
        </w:tc>
        <w:tc>
          <w:tcPr>
            <w:tcW w:w="1542" w:type="dxa"/>
            <w:shd w:val="clear" w:color="auto" w:fill="C9D4E8"/>
          </w:tcPr>
          <w:p w14:paraId="22C903FC" w14:textId="65914BB8" w:rsidR="00577315" w:rsidRDefault="00577315" w:rsidP="00693FF5">
            <w:pPr>
              <w:spacing w:before="40" w:after="40"/>
              <w:jc w:val="center"/>
            </w:pPr>
            <w:r>
              <w:rPr>
                <w:rFonts w:ascii="Garamond" w:hAnsi="Garamond"/>
                <w:b/>
                <w:sz w:val="20"/>
              </w:rPr>
              <w:t>Bank Rate</w:t>
            </w:r>
            <w:r>
              <w:rPr>
                <w:rFonts w:ascii="Garamond" w:hAnsi="Garamond"/>
                <w:b/>
                <w:sz w:val="20"/>
              </w:rPr>
              <w:br/>
              <w:t>(Portugal,</w:t>
            </w:r>
            <w:r>
              <w:rPr>
                <w:rFonts w:ascii="Garamond" w:hAnsi="Garamond"/>
                <w:b/>
                <w:sz w:val="20"/>
              </w:rPr>
              <w:br/>
              <w:t>March 2026)</w:t>
            </w:r>
          </w:p>
        </w:tc>
        <w:tc>
          <w:tcPr>
            <w:tcW w:w="1774" w:type="dxa"/>
            <w:shd w:val="clear" w:color="auto" w:fill="C9D4E8"/>
          </w:tcPr>
          <w:p w14:paraId="14AAAE05" w14:textId="77777777" w:rsidR="00577315" w:rsidRPr="00AB3AEA" w:rsidRDefault="00577315" w:rsidP="00693FF5">
            <w:pPr>
              <w:spacing w:before="40" w:after="40"/>
              <w:jc w:val="center"/>
              <w:rPr>
                <w:lang w:val="en-US"/>
              </w:rPr>
            </w:pPr>
            <w:r w:rsidRPr="00AB3AEA">
              <w:rPr>
                <w:rFonts w:ascii="Garamond" w:hAnsi="Garamond"/>
                <w:b/>
                <w:sz w:val="20"/>
                <w:lang w:val="en-US"/>
              </w:rPr>
              <w:t>Private Credit</w:t>
            </w:r>
            <w:r w:rsidRPr="00AB3AEA">
              <w:rPr>
                <w:rFonts w:ascii="Garamond" w:hAnsi="Garamond"/>
                <w:b/>
                <w:sz w:val="20"/>
                <w:lang w:val="en-US"/>
              </w:rPr>
              <w:br/>
              <w:t>All-in Rate</w:t>
            </w:r>
            <w:r w:rsidRPr="00AB3AEA">
              <w:rPr>
                <w:rFonts w:ascii="Garamond" w:hAnsi="Garamond"/>
                <w:b/>
                <w:sz w:val="20"/>
                <w:lang w:val="en-US"/>
              </w:rPr>
              <w:br/>
              <w:t>(end-2025)</w:t>
            </w:r>
          </w:p>
        </w:tc>
        <w:tc>
          <w:tcPr>
            <w:tcW w:w="1687" w:type="dxa"/>
            <w:shd w:val="clear" w:color="auto" w:fill="C9D4E8"/>
            <w:vAlign w:val="center"/>
          </w:tcPr>
          <w:p w14:paraId="72E2B6A0" w14:textId="77777777" w:rsidR="00577315" w:rsidRDefault="00577315" w:rsidP="00933CAE">
            <w:pPr>
              <w:spacing w:before="40" w:after="40"/>
              <w:jc w:val="center"/>
            </w:pPr>
            <w:r>
              <w:rPr>
                <w:rFonts w:ascii="Garamond" w:hAnsi="Garamond"/>
                <w:b/>
                <w:sz w:val="20"/>
              </w:rPr>
              <w:t>Cost</w:t>
            </w:r>
            <w:r>
              <w:rPr>
                <w:rFonts w:ascii="Garamond" w:hAnsi="Garamond"/>
                <w:b/>
                <w:sz w:val="20"/>
              </w:rPr>
              <w:br/>
              <w:t>Differential</w:t>
            </w:r>
          </w:p>
        </w:tc>
      </w:tr>
      <w:tr w:rsidR="00D5330D" w:rsidRPr="003B6AC3" w14:paraId="35B80DC4" w14:textId="77777777" w:rsidTr="008660DB">
        <w:trPr>
          <w:jc w:val="center"/>
        </w:trPr>
        <w:tc>
          <w:tcPr>
            <w:tcW w:w="2122" w:type="dxa"/>
            <w:shd w:val="clear" w:color="auto" w:fill="EEF2F8"/>
            <w:vAlign w:val="center"/>
          </w:tcPr>
          <w:p w14:paraId="00BDE63D" w14:textId="77777777" w:rsidR="00D5330D" w:rsidRPr="00AB3AEA" w:rsidRDefault="00D5330D" w:rsidP="008660DB">
            <w:pPr>
              <w:spacing w:before="40" w:after="40"/>
              <w:rPr>
                <w:lang w:val="en-US"/>
              </w:rPr>
            </w:pPr>
            <w:r w:rsidRPr="00AB3AEA">
              <w:rPr>
                <w:rFonts w:ascii="Garamond" w:hAnsi="Garamond"/>
                <w:sz w:val="20"/>
                <w:lang w:val="en-US"/>
              </w:rPr>
              <w:t>Upper mid-market</w:t>
            </w:r>
            <w:r w:rsidRPr="00AB3AEA">
              <w:rPr>
                <w:rFonts w:ascii="Garamond" w:hAnsi="Garamond"/>
                <w:sz w:val="20"/>
                <w:lang w:val="en-US"/>
              </w:rPr>
              <w:br/>
              <w:t>(&gt;€75M EBITDA)</w:t>
            </w:r>
          </w:p>
        </w:tc>
        <w:tc>
          <w:tcPr>
            <w:tcW w:w="1542" w:type="dxa"/>
            <w:shd w:val="clear" w:color="auto" w:fill="EEF2F8"/>
          </w:tcPr>
          <w:p w14:paraId="1036517C" w14:textId="76F42952" w:rsidR="00D5330D" w:rsidRDefault="00D5330D" w:rsidP="00D5330D">
            <w:pPr>
              <w:spacing w:before="40" w:after="40"/>
              <w:jc w:val="center"/>
            </w:pPr>
            <w:r>
              <w:rPr>
                <w:rFonts w:ascii="Garamond" w:hAnsi="Garamond"/>
                <w:sz w:val="20"/>
              </w:rPr>
              <w:t>3.45%</w:t>
            </w:r>
            <w:r>
              <w:rPr>
                <w:rFonts w:ascii="Garamond" w:hAnsi="Garamond"/>
                <w:sz w:val="20"/>
              </w:rPr>
              <w:br/>
              <w:t>(</w:t>
            </w:r>
            <w:proofErr w:type="spellStart"/>
            <w:r>
              <w:rPr>
                <w:rFonts w:ascii="Garamond" w:hAnsi="Garamond"/>
                <w:sz w:val="20"/>
              </w:rPr>
              <w:t>BdP</w:t>
            </w:r>
            <w:proofErr w:type="spellEnd"/>
            <w:r>
              <w:rPr>
                <w:rFonts w:ascii="Garamond" w:hAnsi="Garamond"/>
                <w:sz w:val="20"/>
              </w:rPr>
              <w:t xml:space="preserve"> official)</w:t>
            </w:r>
          </w:p>
        </w:tc>
        <w:tc>
          <w:tcPr>
            <w:tcW w:w="1774" w:type="dxa"/>
            <w:shd w:val="clear" w:color="auto" w:fill="EEF2F8"/>
            <w:vAlign w:val="center"/>
          </w:tcPr>
          <w:p w14:paraId="0EE0B2AE" w14:textId="5F9E002D" w:rsidR="00D5330D" w:rsidRDefault="00D5330D" w:rsidP="00D5330D">
            <w:pPr>
              <w:spacing w:before="40" w:after="40"/>
              <w:jc w:val="center"/>
            </w:pPr>
            <w:r>
              <w:rPr>
                <w:rFonts w:ascii="Garamond" w:hAnsi="Garamond"/>
                <w:sz w:val="20"/>
              </w:rPr>
              <w:sym w:font="Symbol" w:char="F0BB"/>
            </w:r>
            <w:r>
              <w:rPr>
                <w:rFonts w:ascii="Garamond" w:hAnsi="Garamond"/>
                <w:sz w:val="20"/>
              </w:rPr>
              <w:t>5.6–7.1%</w:t>
            </w:r>
          </w:p>
        </w:tc>
        <w:tc>
          <w:tcPr>
            <w:tcW w:w="1687" w:type="dxa"/>
            <w:shd w:val="clear" w:color="auto" w:fill="EEF2F8"/>
            <w:vAlign w:val="center"/>
          </w:tcPr>
          <w:p w14:paraId="5D3377C4" w14:textId="723A0399" w:rsidR="00D5330D" w:rsidRDefault="00D5330D" w:rsidP="008B3615">
            <w:pPr>
              <w:spacing w:before="40" w:after="40"/>
              <w:jc w:val="center"/>
            </w:pPr>
            <w:r>
              <w:rPr>
                <w:rFonts w:ascii="Garamond" w:hAnsi="Garamond"/>
                <w:sz w:val="20"/>
              </w:rPr>
              <w:t>+2</w:t>
            </w:r>
            <w:r w:rsidR="00A218C8">
              <w:rPr>
                <w:rFonts w:ascii="Garamond" w:hAnsi="Garamond"/>
                <w:sz w:val="20"/>
              </w:rPr>
              <w:t>1</w:t>
            </w:r>
            <w:r>
              <w:rPr>
                <w:rFonts w:ascii="Garamond" w:hAnsi="Garamond"/>
                <w:sz w:val="20"/>
              </w:rPr>
              <w:t>5–365 bps</w:t>
            </w:r>
          </w:p>
        </w:tc>
      </w:tr>
      <w:tr w:rsidR="00D5330D" w14:paraId="33D033AD" w14:textId="77777777" w:rsidTr="008660DB">
        <w:trPr>
          <w:jc w:val="center"/>
        </w:trPr>
        <w:tc>
          <w:tcPr>
            <w:tcW w:w="2122" w:type="dxa"/>
            <w:vAlign w:val="center"/>
          </w:tcPr>
          <w:p w14:paraId="70F4FA22" w14:textId="77777777" w:rsidR="00D5330D" w:rsidRPr="00AB3AEA" w:rsidRDefault="00D5330D" w:rsidP="008660DB">
            <w:pPr>
              <w:spacing w:before="40" w:after="40"/>
              <w:rPr>
                <w:lang w:val="en-US"/>
              </w:rPr>
            </w:pPr>
            <w:r w:rsidRPr="00AB3AEA">
              <w:rPr>
                <w:rFonts w:ascii="Garamond" w:hAnsi="Garamond"/>
                <w:sz w:val="20"/>
                <w:lang w:val="en-US"/>
              </w:rPr>
              <w:t>Core mid-market</w:t>
            </w:r>
            <w:r w:rsidRPr="00AB3AEA">
              <w:rPr>
                <w:rFonts w:ascii="Garamond" w:hAnsi="Garamond"/>
                <w:sz w:val="20"/>
                <w:lang w:val="en-US"/>
              </w:rPr>
              <w:br/>
              <w:t>(€15M–75M EBITDA)</w:t>
            </w:r>
          </w:p>
        </w:tc>
        <w:tc>
          <w:tcPr>
            <w:tcW w:w="1542" w:type="dxa"/>
          </w:tcPr>
          <w:p w14:paraId="012CD3B4" w14:textId="738D93E1" w:rsidR="00D5330D" w:rsidRDefault="00D5330D" w:rsidP="00D5330D">
            <w:pPr>
              <w:spacing w:before="40" w:after="40"/>
              <w:jc w:val="center"/>
            </w:pPr>
            <w:r>
              <w:rPr>
                <w:rFonts w:ascii="Garamond" w:hAnsi="Garamond"/>
                <w:sz w:val="20"/>
              </w:rPr>
              <w:t>3.45%</w:t>
            </w:r>
            <w:r>
              <w:rPr>
                <w:rFonts w:ascii="Garamond" w:hAnsi="Garamond"/>
                <w:sz w:val="20"/>
              </w:rPr>
              <w:br/>
              <w:t>(</w:t>
            </w:r>
            <w:proofErr w:type="spellStart"/>
            <w:r>
              <w:rPr>
                <w:rFonts w:ascii="Garamond" w:hAnsi="Garamond"/>
                <w:sz w:val="20"/>
              </w:rPr>
              <w:t>BdP</w:t>
            </w:r>
            <w:proofErr w:type="spellEnd"/>
            <w:r>
              <w:rPr>
                <w:rFonts w:ascii="Garamond" w:hAnsi="Garamond"/>
                <w:sz w:val="20"/>
              </w:rPr>
              <w:t xml:space="preserve"> official)</w:t>
            </w:r>
          </w:p>
        </w:tc>
        <w:tc>
          <w:tcPr>
            <w:tcW w:w="1774" w:type="dxa"/>
            <w:vAlign w:val="center"/>
          </w:tcPr>
          <w:p w14:paraId="2FC262DA" w14:textId="15EC774A" w:rsidR="00D5330D" w:rsidRDefault="00D5330D" w:rsidP="00D5330D">
            <w:pPr>
              <w:spacing w:before="40" w:after="40"/>
              <w:jc w:val="center"/>
            </w:pPr>
            <w:r>
              <w:rPr>
                <w:rFonts w:ascii="Garamond" w:hAnsi="Garamond"/>
                <w:sz w:val="20"/>
              </w:rPr>
              <w:sym w:font="Symbol" w:char="F0BB"/>
            </w:r>
            <w:r>
              <w:rPr>
                <w:rFonts w:ascii="Garamond" w:hAnsi="Garamond"/>
                <w:sz w:val="20"/>
              </w:rPr>
              <w:t>7.1–8.4%</w:t>
            </w:r>
          </w:p>
        </w:tc>
        <w:tc>
          <w:tcPr>
            <w:tcW w:w="1687" w:type="dxa"/>
            <w:vAlign w:val="center"/>
          </w:tcPr>
          <w:p w14:paraId="4F572375" w14:textId="379AF159" w:rsidR="00D5330D" w:rsidRDefault="00D5330D" w:rsidP="008B3615">
            <w:pPr>
              <w:spacing w:before="40" w:after="40"/>
              <w:jc w:val="center"/>
            </w:pPr>
            <w:r>
              <w:rPr>
                <w:rFonts w:ascii="Garamond" w:hAnsi="Garamond"/>
                <w:sz w:val="20"/>
              </w:rPr>
              <w:t>+365–495 bps</w:t>
            </w:r>
          </w:p>
        </w:tc>
      </w:tr>
      <w:tr w:rsidR="00D5330D" w:rsidRPr="003B6AC3" w14:paraId="53FF66EE" w14:textId="77777777" w:rsidTr="008660DB">
        <w:trPr>
          <w:jc w:val="center"/>
        </w:trPr>
        <w:tc>
          <w:tcPr>
            <w:tcW w:w="2122" w:type="dxa"/>
            <w:shd w:val="clear" w:color="auto" w:fill="EEF2F8"/>
            <w:vAlign w:val="center"/>
          </w:tcPr>
          <w:p w14:paraId="555B48E4" w14:textId="77777777" w:rsidR="00D5330D" w:rsidRPr="00AB3AEA" w:rsidRDefault="00D5330D" w:rsidP="008660DB">
            <w:pPr>
              <w:spacing w:before="40" w:after="40"/>
              <w:rPr>
                <w:lang w:val="en-US"/>
              </w:rPr>
            </w:pPr>
            <w:r w:rsidRPr="00AB3AEA">
              <w:rPr>
                <w:rFonts w:ascii="Garamond" w:hAnsi="Garamond"/>
                <w:sz w:val="20"/>
                <w:lang w:val="en-US"/>
              </w:rPr>
              <w:t>Lower mid-market</w:t>
            </w:r>
            <w:r w:rsidRPr="00AB3AEA">
              <w:rPr>
                <w:rFonts w:ascii="Garamond" w:hAnsi="Garamond"/>
                <w:sz w:val="20"/>
                <w:lang w:val="en-US"/>
              </w:rPr>
              <w:br/>
              <w:t>(€5M–15M EBITDA)</w:t>
            </w:r>
          </w:p>
        </w:tc>
        <w:tc>
          <w:tcPr>
            <w:tcW w:w="1542" w:type="dxa"/>
            <w:shd w:val="clear" w:color="auto" w:fill="EEF2F8"/>
          </w:tcPr>
          <w:p w14:paraId="2A0832E3" w14:textId="45394AD0" w:rsidR="00D5330D" w:rsidRDefault="00D5330D" w:rsidP="00D5330D">
            <w:pPr>
              <w:spacing w:before="40" w:after="40"/>
              <w:jc w:val="center"/>
            </w:pPr>
            <w:r>
              <w:rPr>
                <w:rFonts w:ascii="Garamond" w:hAnsi="Garamond"/>
                <w:sz w:val="20"/>
              </w:rPr>
              <w:t>3.6</w:t>
            </w:r>
            <w:r w:rsidR="00232556">
              <w:rPr>
                <w:rFonts w:ascii="Garamond" w:hAnsi="Garamond"/>
                <w:sz w:val="20"/>
              </w:rPr>
              <w:t>0</w:t>
            </w:r>
            <w:r>
              <w:rPr>
                <w:rFonts w:ascii="Garamond" w:hAnsi="Garamond"/>
                <w:sz w:val="20"/>
              </w:rPr>
              <w:t>%</w:t>
            </w:r>
            <w:r>
              <w:rPr>
                <w:rFonts w:ascii="Garamond" w:hAnsi="Garamond"/>
                <w:sz w:val="20"/>
              </w:rPr>
              <w:br/>
              <w:t>(</w:t>
            </w:r>
            <w:proofErr w:type="spellStart"/>
            <w:r>
              <w:rPr>
                <w:rFonts w:ascii="Garamond" w:hAnsi="Garamond"/>
                <w:sz w:val="20"/>
              </w:rPr>
              <w:t>BdP</w:t>
            </w:r>
            <w:proofErr w:type="spellEnd"/>
            <w:r>
              <w:rPr>
                <w:rFonts w:ascii="Garamond" w:hAnsi="Garamond"/>
                <w:sz w:val="20"/>
              </w:rPr>
              <w:t xml:space="preserve"> official,</w:t>
            </w:r>
            <w:r>
              <w:rPr>
                <w:rFonts w:ascii="Garamond" w:hAnsi="Garamond"/>
                <w:sz w:val="20"/>
              </w:rPr>
              <w:br/>
              <w:t>≤€1M loans)</w:t>
            </w:r>
          </w:p>
        </w:tc>
        <w:tc>
          <w:tcPr>
            <w:tcW w:w="1774" w:type="dxa"/>
            <w:shd w:val="clear" w:color="auto" w:fill="EEF2F8"/>
            <w:vAlign w:val="center"/>
          </w:tcPr>
          <w:p w14:paraId="17950310" w14:textId="0F957CB5" w:rsidR="00D5330D" w:rsidRDefault="00D5330D" w:rsidP="00D5330D">
            <w:pPr>
              <w:spacing w:before="40" w:after="40"/>
              <w:jc w:val="center"/>
            </w:pPr>
            <w:r>
              <w:rPr>
                <w:rFonts w:ascii="Garamond" w:hAnsi="Garamond"/>
                <w:sz w:val="20"/>
              </w:rPr>
              <w:sym w:font="Symbol" w:char="F0BB"/>
            </w:r>
            <w:r>
              <w:rPr>
                <w:rFonts w:ascii="Garamond" w:hAnsi="Garamond"/>
                <w:sz w:val="20"/>
              </w:rPr>
              <w:t>8.1–9.6%</w:t>
            </w:r>
          </w:p>
        </w:tc>
        <w:tc>
          <w:tcPr>
            <w:tcW w:w="1687" w:type="dxa"/>
            <w:shd w:val="clear" w:color="auto" w:fill="EEF2F8"/>
            <w:vAlign w:val="center"/>
          </w:tcPr>
          <w:p w14:paraId="4AA3330F" w14:textId="065CDE10" w:rsidR="00D5330D" w:rsidRDefault="00D5330D" w:rsidP="008B3615">
            <w:pPr>
              <w:spacing w:before="40" w:after="40"/>
              <w:jc w:val="center"/>
            </w:pPr>
            <w:r>
              <w:rPr>
                <w:rFonts w:ascii="Garamond" w:hAnsi="Garamond"/>
                <w:sz w:val="20"/>
              </w:rPr>
              <w:t>+450–600 bps</w:t>
            </w:r>
          </w:p>
        </w:tc>
      </w:tr>
      <w:tr w:rsidR="00D5330D" w14:paraId="655E4F5E" w14:textId="77777777" w:rsidTr="008660DB">
        <w:trPr>
          <w:jc w:val="center"/>
        </w:trPr>
        <w:tc>
          <w:tcPr>
            <w:tcW w:w="2122" w:type="dxa"/>
            <w:vAlign w:val="center"/>
          </w:tcPr>
          <w:p w14:paraId="081C94B4" w14:textId="77777777" w:rsidR="00D5330D" w:rsidRDefault="00D5330D" w:rsidP="008660DB">
            <w:pPr>
              <w:spacing w:before="40" w:after="40"/>
            </w:pPr>
            <w:r>
              <w:rPr>
                <w:rFonts w:ascii="Garamond" w:hAnsi="Garamond"/>
                <w:sz w:val="20"/>
              </w:rPr>
              <w:t>Portuguese SME</w:t>
            </w:r>
            <w:r>
              <w:rPr>
                <w:rFonts w:ascii="Garamond" w:hAnsi="Garamond"/>
                <w:sz w:val="20"/>
              </w:rPr>
              <w:br/>
              <w:t>(non-sponsored)</w:t>
            </w:r>
          </w:p>
        </w:tc>
        <w:tc>
          <w:tcPr>
            <w:tcW w:w="1542" w:type="dxa"/>
          </w:tcPr>
          <w:p w14:paraId="4B816181" w14:textId="02A4E74F" w:rsidR="00D5330D" w:rsidRDefault="00D5330D" w:rsidP="00D5330D">
            <w:pPr>
              <w:spacing w:before="40" w:after="40"/>
              <w:jc w:val="center"/>
            </w:pPr>
            <w:r>
              <w:rPr>
                <w:rFonts w:ascii="Garamond" w:hAnsi="Garamond"/>
                <w:sz w:val="20"/>
              </w:rPr>
              <w:t>3.60%</w:t>
            </w:r>
            <w:r>
              <w:rPr>
                <w:rFonts w:ascii="Garamond" w:hAnsi="Garamond"/>
                <w:sz w:val="20"/>
              </w:rPr>
              <w:br/>
              <w:t>(</w:t>
            </w:r>
            <w:proofErr w:type="spellStart"/>
            <w:r>
              <w:rPr>
                <w:rFonts w:ascii="Garamond" w:hAnsi="Garamond"/>
                <w:sz w:val="20"/>
              </w:rPr>
              <w:t>BdP</w:t>
            </w:r>
            <w:proofErr w:type="spellEnd"/>
            <w:r>
              <w:rPr>
                <w:rFonts w:ascii="Garamond" w:hAnsi="Garamond"/>
                <w:sz w:val="20"/>
              </w:rPr>
              <w:t xml:space="preserve"> official)</w:t>
            </w:r>
          </w:p>
        </w:tc>
        <w:tc>
          <w:tcPr>
            <w:tcW w:w="1774" w:type="dxa"/>
            <w:vAlign w:val="center"/>
          </w:tcPr>
          <w:p w14:paraId="3D8680D5" w14:textId="7FF77E86" w:rsidR="00D5330D" w:rsidRDefault="00D5330D" w:rsidP="00D5330D">
            <w:pPr>
              <w:spacing w:before="40" w:after="40"/>
              <w:jc w:val="center"/>
            </w:pPr>
            <w:r>
              <w:rPr>
                <w:rFonts w:ascii="Garamond" w:hAnsi="Garamond"/>
                <w:sz w:val="20"/>
              </w:rPr>
              <w:sym w:font="Symbol" w:char="F0BB"/>
            </w:r>
            <w:r>
              <w:rPr>
                <w:rFonts w:ascii="Garamond" w:hAnsi="Garamond"/>
                <w:sz w:val="20"/>
              </w:rPr>
              <w:t>9.1–10.6%</w:t>
            </w:r>
          </w:p>
        </w:tc>
        <w:tc>
          <w:tcPr>
            <w:tcW w:w="1687" w:type="dxa"/>
            <w:vAlign w:val="center"/>
          </w:tcPr>
          <w:p w14:paraId="6C094597" w14:textId="279E1BCD" w:rsidR="00D5330D" w:rsidRDefault="00D5330D" w:rsidP="008B3615">
            <w:pPr>
              <w:spacing w:before="40" w:after="40"/>
              <w:jc w:val="center"/>
            </w:pPr>
            <w:r>
              <w:rPr>
                <w:rFonts w:ascii="Garamond" w:hAnsi="Garamond"/>
                <w:sz w:val="20"/>
              </w:rPr>
              <w:t>+5</w:t>
            </w:r>
            <w:r w:rsidR="00905467">
              <w:rPr>
                <w:rFonts w:ascii="Garamond" w:hAnsi="Garamond"/>
                <w:sz w:val="20"/>
              </w:rPr>
              <w:t>5</w:t>
            </w:r>
            <w:r>
              <w:rPr>
                <w:rFonts w:ascii="Garamond" w:hAnsi="Garamond"/>
                <w:sz w:val="20"/>
              </w:rPr>
              <w:t>0–</w:t>
            </w:r>
            <w:r w:rsidR="00905467">
              <w:rPr>
                <w:rFonts w:ascii="Garamond" w:hAnsi="Garamond"/>
                <w:sz w:val="20"/>
              </w:rPr>
              <w:t>70</w:t>
            </w:r>
            <w:r>
              <w:rPr>
                <w:rFonts w:ascii="Garamond" w:hAnsi="Garamond"/>
                <w:sz w:val="20"/>
              </w:rPr>
              <w:t>0 bps</w:t>
            </w:r>
          </w:p>
        </w:tc>
      </w:tr>
    </w:tbl>
    <w:p w14:paraId="2FAB8C0E" w14:textId="02306339" w:rsidR="00D5330D" w:rsidRPr="00777C6B" w:rsidRDefault="00AB3AEA" w:rsidP="00D5330D">
      <w:pPr>
        <w:pStyle w:val="Legenda"/>
        <w:keepNext/>
        <w:jc w:val="center"/>
        <w:rPr>
          <w:rFonts w:ascii="Garamond" w:hAnsi="Garamond"/>
          <w:color w:val="000000" w:themeColor="text1"/>
          <w:lang w:val="en-US"/>
        </w:rPr>
      </w:pPr>
      <w:r w:rsidRPr="00777C6B">
        <w:rPr>
          <w:rFonts w:ascii="Garamond" w:hAnsi="Garamond"/>
          <w:sz w:val="20"/>
          <w:lang w:val="en-US"/>
        </w:rPr>
        <w:t xml:space="preserve"> </w:t>
      </w:r>
      <w:bookmarkStart w:id="50" w:name="_Toc232962127"/>
      <w:bookmarkStart w:id="51" w:name="_Toc233144736"/>
      <w:r w:rsidR="00D5330D" w:rsidRPr="00777C6B">
        <w:rPr>
          <w:rFonts w:ascii="Garamond" w:hAnsi="Garamond"/>
          <w:color w:val="000000" w:themeColor="text1"/>
          <w:lang w:val="en-US"/>
        </w:rPr>
        <w:t xml:space="preserve">Table </w:t>
      </w:r>
      <w:r w:rsidR="00D5330D" w:rsidRPr="00777C6B">
        <w:rPr>
          <w:rFonts w:ascii="Garamond" w:hAnsi="Garamond"/>
          <w:color w:val="000000" w:themeColor="text1"/>
        </w:rPr>
        <w:fldChar w:fldCharType="begin"/>
      </w:r>
      <w:r w:rsidR="00D5330D" w:rsidRPr="00777C6B">
        <w:rPr>
          <w:rFonts w:ascii="Garamond" w:hAnsi="Garamond"/>
          <w:color w:val="000000" w:themeColor="text1"/>
          <w:lang w:val="en-US"/>
        </w:rPr>
        <w:instrText xml:space="preserve"> SEQ Table \* ARABIC </w:instrText>
      </w:r>
      <w:r w:rsidR="00D5330D" w:rsidRPr="00777C6B">
        <w:rPr>
          <w:rFonts w:ascii="Garamond" w:hAnsi="Garamond"/>
          <w:color w:val="000000" w:themeColor="text1"/>
        </w:rPr>
        <w:fldChar w:fldCharType="separate"/>
      </w:r>
      <w:r w:rsidR="000C6C03">
        <w:rPr>
          <w:rFonts w:ascii="Garamond" w:hAnsi="Garamond"/>
          <w:noProof/>
          <w:color w:val="000000" w:themeColor="text1"/>
          <w:lang w:val="en-US"/>
        </w:rPr>
        <w:t>3</w:t>
      </w:r>
      <w:r w:rsidR="00D5330D" w:rsidRPr="00777C6B">
        <w:rPr>
          <w:rFonts w:ascii="Garamond" w:hAnsi="Garamond"/>
          <w:color w:val="000000" w:themeColor="text1"/>
        </w:rPr>
        <w:fldChar w:fldCharType="end"/>
      </w:r>
      <w:r w:rsidR="00D5330D" w:rsidRPr="00777C6B">
        <w:rPr>
          <w:rFonts w:ascii="Garamond" w:hAnsi="Garamond"/>
          <w:color w:val="000000" w:themeColor="text1"/>
          <w:lang w:val="en-US"/>
        </w:rPr>
        <w:t xml:space="preserve"> - Cost Differential Between Private Credit and Bank Financing for Portuguese Borrowers (2025–2026)</w:t>
      </w:r>
      <w:bookmarkEnd w:id="50"/>
      <w:bookmarkEnd w:id="51"/>
    </w:p>
    <w:p w14:paraId="0975E8DD" w14:textId="53A96AAF" w:rsidR="00AE2DBB" w:rsidRDefault="00D5330D" w:rsidP="000941E4">
      <w:pPr>
        <w:spacing w:before="40" w:after="200"/>
        <w:jc w:val="center"/>
        <w:rPr>
          <w:lang w:val="en-US"/>
        </w:rPr>
      </w:pPr>
      <w:r w:rsidRPr="00AB3AEA">
        <w:rPr>
          <w:rFonts w:ascii="Garamond" w:hAnsi="Garamond"/>
          <w:i/>
          <w:sz w:val="19"/>
          <w:lang w:val="en-US"/>
        </w:rPr>
        <w:t>Sources: Bank rates from GEE/Banco de Portugal (2026). Private credit all-in rates from Table 2. bps = basis points</w:t>
      </w:r>
      <w:r w:rsidR="00EC3B38">
        <w:rPr>
          <w:rFonts w:ascii="Garamond" w:hAnsi="Garamond"/>
          <w:i/>
          <w:sz w:val="19"/>
          <w:lang w:val="en-US"/>
        </w:rPr>
        <w:t xml:space="preserve">, </w:t>
      </w:r>
      <w:proofErr w:type="spellStart"/>
      <w:r w:rsidR="00EC3B38">
        <w:rPr>
          <w:rFonts w:ascii="Garamond" w:hAnsi="Garamond"/>
          <w:i/>
          <w:sz w:val="19"/>
          <w:lang w:val="en-US"/>
        </w:rPr>
        <w:t>BdP</w:t>
      </w:r>
      <w:proofErr w:type="spellEnd"/>
      <w:r w:rsidR="00EC3B38">
        <w:rPr>
          <w:rFonts w:ascii="Garamond" w:hAnsi="Garamond"/>
          <w:i/>
          <w:sz w:val="19"/>
          <w:lang w:val="en-US"/>
        </w:rPr>
        <w:t xml:space="preserve"> = Banco de Portugal</w:t>
      </w:r>
    </w:p>
    <w:p w14:paraId="1BDA0693" w14:textId="0FDB313B" w:rsidR="000D5506" w:rsidRPr="000D5506" w:rsidRDefault="000D5506" w:rsidP="000D5506">
      <w:pPr>
        <w:spacing w:line="360" w:lineRule="auto"/>
        <w:ind w:firstLine="360"/>
        <w:jc w:val="both"/>
        <w:rPr>
          <w:rFonts w:ascii="Garamond" w:hAnsi="Garamond"/>
          <w:color w:val="000000" w:themeColor="text1"/>
          <w:lang w:val="en-US"/>
        </w:rPr>
      </w:pPr>
      <w:r w:rsidRPr="000D5506">
        <w:rPr>
          <w:rFonts w:ascii="Garamond" w:hAnsi="Garamond"/>
          <w:color w:val="000000" w:themeColor="text1"/>
          <w:lang w:val="en-US"/>
        </w:rPr>
        <w:t>Upon detailed analysis of Table 3, it is immediately apparent that there is a virtually prohibitive difference for most companies seeking alternative financing. The spread between 2</w:t>
      </w:r>
      <w:r w:rsidR="00905467">
        <w:rPr>
          <w:rFonts w:ascii="Garamond" w:hAnsi="Garamond"/>
          <w:color w:val="000000" w:themeColor="text1"/>
          <w:lang w:val="en-US"/>
        </w:rPr>
        <w:t>1</w:t>
      </w:r>
      <w:r w:rsidRPr="000D5506">
        <w:rPr>
          <w:rFonts w:ascii="Garamond" w:hAnsi="Garamond"/>
          <w:color w:val="000000" w:themeColor="text1"/>
          <w:lang w:val="en-US"/>
        </w:rPr>
        <w:t xml:space="preserve">5 and </w:t>
      </w:r>
      <w:r w:rsidR="00905467">
        <w:rPr>
          <w:rFonts w:ascii="Garamond" w:hAnsi="Garamond"/>
          <w:color w:val="000000" w:themeColor="text1"/>
          <w:lang w:val="en-US"/>
        </w:rPr>
        <w:t>700</w:t>
      </w:r>
      <w:r w:rsidRPr="000D5506">
        <w:rPr>
          <w:rFonts w:ascii="Garamond" w:hAnsi="Garamond"/>
          <w:color w:val="000000" w:themeColor="text1"/>
          <w:lang w:val="en-US"/>
        </w:rPr>
        <w:t xml:space="preserve"> basis points varies depending on the sector and the type of instrument. Following validation of the interest rates, three observations emerge from the data presented.</w:t>
      </w:r>
    </w:p>
    <w:p w14:paraId="163AF4F2" w14:textId="550290E2" w:rsidR="000D5506" w:rsidRPr="000D5506" w:rsidRDefault="000D5506" w:rsidP="000D5506">
      <w:pPr>
        <w:spacing w:line="360" w:lineRule="auto"/>
        <w:ind w:firstLine="360"/>
        <w:jc w:val="both"/>
        <w:rPr>
          <w:rFonts w:ascii="Garamond" w:hAnsi="Garamond"/>
          <w:color w:val="000000" w:themeColor="text1"/>
          <w:lang w:val="en-US"/>
        </w:rPr>
      </w:pPr>
      <w:r w:rsidRPr="000D5506">
        <w:rPr>
          <w:rFonts w:ascii="Garamond" w:hAnsi="Garamond"/>
          <w:color w:val="000000" w:themeColor="text1"/>
          <w:lang w:val="en-US"/>
        </w:rPr>
        <w:t xml:space="preserve">Firstly, the cost premium associated with the private credit solution </w:t>
      </w:r>
      <w:r w:rsidR="00D222C3" w:rsidRPr="00B44389">
        <w:rPr>
          <w:rFonts w:ascii="Garamond" w:hAnsi="Garamond"/>
          <w:color w:val="000000" w:themeColor="text1"/>
          <w:lang w:val="en-US"/>
        </w:rPr>
        <w:t>does not constitute evidence of market inefficiency</w:t>
      </w:r>
      <w:r w:rsidRPr="000D5506">
        <w:rPr>
          <w:rFonts w:ascii="Garamond" w:hAnsi="Garamond"/>
          <w:color w:val="000000" w:themeColor="text1"/>
          <w:lang w:val="en-US"/>
        </w:rPr>
        <w:t xml:space="preserve"> nor a strategy for creditors to obtain excessive profits. Instead, it should be understood as a senior secured financing solution, offered with a guarantee of enforcement, bespoke contractual terms and ongoing, relationship-based involvement from the lender, which bank credit lines are operationally unable to replicate. For this reason, the premium should be understood as the market price of a qualitatively distinct financing service, rather than a quantitative surcharge on a</w:t>
      </w:r>
      <w:r w:rsidR="00571156">
        <w:rPr>
          <w:rFonts w:ascii="Garamond" w:hAnsi="Garamond"/>
          <w:color w:val="000000" w:themeColor="text1"/>
          <w:lang w:val="en-US"/>
        </w:rPr>
        <w:t>n</w:t>
      </w:r>
      <w:r w:rsidRPr="000D5506">
        <w:rPr>
          <w:rFonts w:ascii="Garamond" w:hAnsi="Garamond"/>
          <w:color w:val="000000" w:themeColor="text1"/>
          <w:lang w:val="en-US"/>
        </w:rPr>
        <w:t xml:space="preserve"> otherwise identical</w:t>
      </w:r>
      <w:r w:rsidR="00571156">
        <w:rPr>
          <w:rFonts w:ascii="Garamond" w:hAnsi="Garamond"/>
          <w:color w:val="000000" w:themeColor="text1"/>
          <w:lang w:val="en-US"/>
        </w:rPr>
        <w:t xml:space="preserve"> product</w:t>
      </w:r>
      <w:r w:rsidRPr="000D5506">
        <w:rPr>
          <w:rFonts w:ascii="Garamond" w:hAnsi="Garamond"/>
          <w:color w:val="000000" w:themeColor="text1"/>
          <w:lang w:val="en-US"/>
        </w:rPr>
        <w:t>.</w:t>
      </w:r>
    </w:p>
    <w:p w14:paraId="6ED39C96" w14:textId="40FE363D" w:rsidR="000D5506" w:rsidRPr="000D5506" w:rsidRDefault="00D6060C" w:rsidP="000D5506">
      <w:pPr>
        <w:spacing w:line="360" w:lineRule="auto"/>
        <w:ind w:firstLine="360"/>
        <w:jc w:val="both"/>
        <w:rPr>
          <w:rFonts w:ascii="Garamond" w:hAnsi="Garamond"/>
          <w:color w:val="000000" w:themeColor="text1"/>
          <w:lang w:val="en-US"/>
        </w:rPr>
      </w:pPr>
      <w:r w:rsidRPr="00B44389">
        <w:rPr>
          <w:rFonts w:ascii="Garamond" w:hAnsi="Garamond"/>
          <w:color w:val="000000" w:themeColor="text1"/>
          <w:lang w:val="en-US"/>
        </w:rPr>
        <w:t xml:space="preserve">Secondly, </w:t>
      </w:r>
      <w:proofErr w:type="gramStart"/>
      <w:r w:rsidRPr="00B44389">
        <w:rPr>
          <w:rFonts w:ascii="Garamond" w:hAnsi="Garamond"/>
          <w:color w:val="000000" w:themeColor="text1"/>
          <w:lang w:val="en-US"/>
        </w:rPr>
        <w:t>with regard to</w:t>
      </w:r>
      <w:proofErr w:type="gramEnd"/>
      <w:r w:rsidRPr="00B44389">
        <w:rPr>
          <w:rFonts w:ascii="Garamond" w:hAnsi="Garamond"/>
          <w:color w:val="000000" w:themeColor="text1"/>
          <w:lang w:val="en-US"/>
        </w:rPr>
        <w:t xml:space="preserve"> the evolution of the spread over time, the spread between private credit and public market alternatives has narrowed significantly since the peaks of 2022 and 2023</w:t>
      </w:r>
      <w:r w:rsidR="000D5506" w:rsidRPr="000D5506">
        <w:rPr>
          <w:rFonts w:ascii="Garamond" w:hAnsi="Garamond"/>
          <w:color w:val="000000" w:themeColor="text1"/>
          <w:lang w:val="en-US"/>
        </w:rPr>
        <w:t xml:space="preserve">, driven by a combination of lower reference rates, following the ECB’s easing </w:t>
      </w:r>
      <w:r w:rsidR="000D5506" w:rsidRPr="000D5506">
        <w:rPr>
          <w:rFonts w:ascii="Garamond" w:hAnsi="Garamond"/>
          <w:color w:val="000000" w:themeColor="text1"/>
          <w:lang w:val="en-US"/>
        </w:rPr>
        <w:lastRenderedPageBreak/>
        <w:t xml:space="preserve">cycle, and intensified competition amongst an ever-growing pool of direct lenders, who are </w:t>
      </w:r>
      <w:proofErr w:type="spellStart"/>
      <w:r w:rsidR="000D5506" w:rsidRPr="000D5506">
        <w:rPr>
          <w:rFonts w:ascii="Garamond" w:hAnsi="Garamond"/>
          <w:color w:val="000000" w:themeColor="text1"/>
          <w:lang w:val="en-US"/>
        </w:rPr>
        <w:t>mobilising</w:t>
      </w:r>
      <w:proofErr w:type="spellEnd"/>
      <w:r w:rsidR="000D5506" w:rsidRPr="000D5506">
        <w:rPr>
          <w:rFonts w:ascii="Garamond" w:hAnsi="Garamond"/>
          <w:color w:val="000000" w:themeColor="text1"/>
          <w:lang w:val="en-US"/>
        </w:rPr>
        <w:t xml:space="preserve"> record levels of available funds. This compression has directly benefited borrowers, as the total cost of direct </w:t>
      </w:r>
      <w:r w:rsidR="006B09B9">
        <w:rPr>
          <w:rFonts w:ascii="Garamond" w:hAnsi="Garamond"/>
          <w:color w:val="000000" w:themeColor="text1"/>
          <w:lang w:val="en-US"/>
        </w:rPr>
        <w:t>lending</w:t>
      </w:r>
      <w:r w:rsidR="000D5506" w:rsidRPr="000D5506">
        <w:rPr>
          <w:rFonts w:ascii="Garamond" w:hAnsi="Garamond"/>
          <w:color w:val="000000" w:themeColor="text1"/>
          <w:lang w:val="en-US"/>
        </w:rPr>
        <w:t xml:space="preserve"> in the mid-market has fallen, without a corresponding deterioration in the structural protections, covenants, security arrangements and creditor relationships that define the asset class.</w:t>
      </w:r>
    </w:p>
    <w:p w14:paraId="472B1AEE" w14:textId="0E6AE325" w:rsidR="000D5506" w:rsidRPr="000D5506" w:rsidRDefault="000D5506" w:rsidP="000D5506">
      <w:pPr>
        <w:spacing w:line="360" w:lineRule="auto"/>
        <w:ind w:firstLine="360"/>
        <w:jc w:val="both"/>
        <w:rPr>
          <w:rFonts w:ascii="Garamond" w:hAnsi="Garamond"/>
          <w:color w:val="000000" w:themeColor="text1"/>
          <w:lang w:val="en-US"/>
        </w:rPr>
      </w:pPr>
      <w:r w:rsidRPr="000D5506">
        <w:rPr>
          <w:rFonts w:ascii="Garamond" w:hAnsi="Garamond"/>
          <w:color w:val="000000" w:themeColor="text1"/>
          <w:lang w:val="en-US"/>
        </w:rPr>
        <w:t xml:space="preserve">Finally, the most significant observation in the context of consultancy in Portugal concerns the nature of the counterfactual scenario, since </w:t>
      </w:r>
      <w:r w:rsidR="00F30D29" w:rsidRPr="00B44389">
        <w:rPr>
          <w:rFonts w:ascii="Garamond" w:hAnsi="Garamond"/>
          <w:color w:val="000000" w:themeColor="text1"/>
          <w:lang w:val="en-US"/>
        </w:rPr>
        <w:t>for a significant proportion of Portuguese borrowers, particularly those in the lower mid-market and SME segments, the relevant alternative to private credit is not a competitively priced bank loan, but rather the effective absence of available financing.</w:t>
      </w:r>
    </w:p>
    <w:p w14:paraId="5BB500CA" w14:textId="7E28DBE7" w:rsidR="000D5506" w:rsidRPr="000D5506" w:rsidRDefault="000D5506" w:rsidP="000D5506">
      <w:pPr>
        <w:spacing w:line="360" w:lineRule="auto"/>
        <w:ind w:firstLine="360"/>
        <w:jc w:val="both"/>
        <w:rPr>
          <w:rFonts w:ascii="Garamond" w:hAnsi="Garamond"/>
          <w:color w:val="000000" w:themeColor="text1"/>
          <w:lang w:val="en-US"/>
        </w:rPr>
      </w:pPr>
      <w:r w:rsidRPr="000D5506">
        <w:rPr>
          <w:rFonts w:ascii="Garamond" w:hAnsi="Garamond"/>
          <w:color w:val="000000" w:themeColor="text1"/>
          <w:lang w:val="en-US"/>
        </w:rPr>
        <w:t xml:space="preserve">In such cases, the cost premium presented can be described as the cost of enabling access to a transaction that the conventional banking system is structurally reluctant to finance. This distinction is fundamental to </w:t>
      </w:r>
      <w:r w:rsidR="00777C6B">
        <w:rPr>
          <w:rFonts w:ascii="Garamond" w:hAnsi="Garamond"/>
          <w:color w:val="000000" w:themeColor="text1"/>
          <w:lang w:val="en-US"/>
        </w:rPr>
        <w:t>assessing</w:t>
      </w:r>
      <w:r w:rsidRPr="000D5506">
        <w:rPr>
          <w:rFonts w:ascii="Garamond" w:hAnsi="Garamond"/>
          <w:color w:val="000000" w:themeColor="text1"/>
          <w:lang w:val="en-US"/>
        </w:rPr>
        <w:t xml:space="preserve"> the value-adjusted cost, which constitutes Dimension IV of the Advisory Framework.</w:t>
      </w:r>
    </w:p>
    <w:p w14:paraId="3F9C8F47" w14:textId="77777777" w:rsidR="00FC0691" w:rsidRPr="00D42C0E" w:rsidRDefault="00FC0691" w:rsidP="00595FD0">
      <w:pPr>
        <w:rPr>
          <w:lang w:val="en-US"/>
        </w:rPr>
      </w:pPr>
    </w:p>
    <w:p w14:paraId="5FC0B663" w14:textId="77A9401D" w:rsidR="001B730D" w:rsidRDefault="00BB0C11" w:rsidP="00136CA9">
      <w:pPr>
        <w:pStyle w:val="Ttulo2"/>
        <w:rPr>
          <w:rFonts w:ascii="Garamond" w:hAnsi="Garamond"/>
          <w:b/>
          <w:color w:val="000000" w:themeColor="text1"/>
          <w:sz w:val="28"/>
          <w:szCs w:val="28"/>
        </w:rPr>
      </w:pPr>
      <w:bookmarkStart w:id="52" w:name="_Toc233142909"/>
      <w:r>
        <w:rPr>
          <w:rFonts w:ascii="Garamond" w:hAnsi="Garamond"/>
          <w:b/>
          <w:color w:val="000000" w:themeColor="text1"/>
          <w:sz w:val="28"/>
          <w:szCs w:val="28"/>
        </w:rPr>
        <w:t>5</w:t>
      </w:r>
      <w:r w:rsidR="00233EA7" w:rsidRPr="00136CA9">
        <w:rPr>
          <w:rFonts w:ascii="Garamond" w:hAnsi="Garamond"/>
          <w:b/>
          <w:color w:val="000000" w:themeColor="text1"/>
          <w:sz w:val="28"/>
          <w:szCs w:val="28"/>
        </w:rPr>
        <w:t xml:space="preserve">.2. </w:t>
      </w:r>
      <w:r w:rsidR="001B730D" w:rsidRPr="00136CA9">
        <w:rPr>
          <w:rFonts w:ascii="Garamond" w:hAnsi="Garamond"/>
          <w:b/>
          <w:color w:val="000000" w:themeColor="text1"/>
          <w:sz w:val="28"/>
          <w:szCs w:val="28"/>
        </w:rPr>
        <w:t xml:space="preserve">The </w:t>
      </w:r>
      <w:r w:rsidR="003924EB" w:rsidRPr="00136CA9">
        <w:rPr>
          <w:rFonts w:ascii="Garamond" w:hAnsi="Garamond"/>
          <w:b/>
          <w:color w:val="000000" w:themeColor="text1"/>
          <w:sz w:val="28"/>
          <w:szCs w:val="28"/>
        </w:rPr>
        <w:t xml:space="preserve">Proposed </w:t>
      </w:r>
      <w:r w:rsidR="001B730D" w:rsidRPr="00136CA9">
        <w:rPr>
          <w:rFonts w:ascii="Garamond" w:hAnsi="Garamond"/>
          <w:b/>
          <w:color w:val="000000" w:themeColor="text1"/>
          <w:sz w:val="28"/>
          <w:szCs w:val="28"/>
        </w:rPr>
        <w:t>Advisory Framework: Four Analytical Dimensions</w:t>
      </w:r>
      <w:bookmarkEnd w:id="52"/>
    </w:p>
    <w:p w14:paraId="45D89027" w14:textId="77777777" w:rsidR="00136CA9" w:rsidRPr="00136CA9" w:rsidRDefault="00136CA9" w:rsidP="00136CA9">
      <w:pPr>
        <w:rPr>
          <w:lang w:eastAsia="en-US"/>
        </w:rPr>
      </w:pPr>
    </w:p>
    <w:p w14:paraId="2E60DE67" w14:textId="1427AFCA" w:rsidR="00273B5D" w:rsidRDefault="001B730D" w:rsidP="00273B5D">
      <w:pPr>
        <w:spacing w:line="360" w:lineRule="auto"/>
        <w:ind w:firstLine="360"/>
        <w:jc w:val="both"/>
        <w:rPr>
          <w:rFonts w:ascii="Garamond" w:hAnsi="Garamond"/>
          <w:color w:val="000000" w:themeColor="text1"/>
          <w:lang w:val="en-US"/>
        </w:rPr>
      </w:pPr>
      <w:r w:rsidRPr="00273B5D">
        <w:rPr>
          <w:rFonts w:ascii="Garamond" w:hAnsi="Garamond"/>
          <w:color w:val="000000" w:themeColor="text1"/>
          <w:lang w:val="en-US"/>
        </w:rPr>
        <w:t xml:space="preserve">The framework </w:t>
      </w:r>
      <w:proofErr w:type="spellStart"/>
      <w:r w:rsidRPr="00273B5D">
        <w:rPr>
          <w:rFonts w:ascii="Garamond" w:hAnsi="Garamond"/>
          <w:color w:val="000000" w:themeColor="text1"/>
          <w:lang w:val="en-US"/>
        </w:rPr>
        <w:t>organises</w:t>
      </w:r>
      <w:proofErr w:type="spellEnd"/>
      <w:r w:rsidRPr="00273B5D">
        <w:rPr>
          <w:rFonts w:ascii="Garamond" w:hAnsi="Garamond"/>
          <w:color w:val="000000" w:themeColor="text1"/>
          <w:lang w:val="en-US"/>
        </w:rPr>
        <w:t xml:space="preserve"> the private credit assessment around four sequential dimensions, each addressing a distinct but interrelated facet of the financing decision. The pathway moves from a high-level strategic assessment (Dimension I) through an analysis of the existing financing structure (Dimension II) and the specific structural requirements of the transaction (Dimension III), to a quantitative, value-adjusted cost comparison (Dimension IV). An </w:t>
      </w:r>
      <w:proofErr w:type="spellStart"/>
      <w:r w:rsidRPr="00273B5D">
        <w:rPr>
          <w:rFonts w:ascii="Garamond" w:hAnsi="Garamond"/>
          <w:color w:val="000000" w:themeColor="text1"/>
          <w:lang w:val="en-US"/>
        </w:rPr>
        <w:t>unfavourable</w:t>
      </w:r>
      <w:proofErr w:type="spellEnd"/>
      <w:r w:rsidRPr="00273B5D">
        <w:rPr>
          <w:rFonts w:ascii="Garamond" w:hAnsi="Garamond"/>
          <w:color w:val="000000" w:themeColor="text1"/>
          <w:lang w:val="en-US"/>
        </w:rPr>
        <w:t xml:space="preserve"> signal at an earlier dimension reduces the weight assigned to later stages, though all four should be evaluated before a recommendation is made.</w:t>
      </w:r>
    </w:p>
    <w:p w14:paraId="6D7DA67F" w14:textId="77777777" w:rsidR="00B9483D" w:rsidRDefault="00B9483D" w:rsidP="00342A29">
      <w:pPr>
        <w:rPr>
          <w:lang w:val="en-US"/>
        </w:rPr>
      </w:pPr>
    </w:p>
    <w:p w14:paraId="388436B7" w14:textId="75E54A98" w:rsidR="001B730D" w:rsidRPr="00342A29" w:rsidRDefault="001B730D" w:rsidP="00B9483D">
      <w:pPr>
        <w:rPr>
          <w:rFonts w:ascii="Garamond" w:hAnsi="Garamond"/>
          <w:b/>
          <w:bCs/>
          <w:lang w:val="en-US"/>
        </w:rPr>
      </w:pPr>
      <w:r w:rsidRPr="00342A29">
        <w:rPr>
          <w:rFonts w:ascii="Garamond" w:hAnsi="Garamond"/>
          <w:b/>
          <w:bCs/>
          <w:lang w:val="en-US"/>
        </w:rPr>
        <w:t>Dimension I – Company and Strategic Profile</w:t>
      </w:r>
    </w:p>
    <w:p w14:paraId="300A4339" w14:textId="77777777" w:rsidR="005C155B" w:rsidRPr="005C155B" w:rsidRDefault="005C155B" w:rsidP="005C155B">
      <w:pPr>
        <w:rPr>
          <w:lang w:val="en-US"/>
        </w:rPr>
      </w:pPr>
    </w:p>
    <w:p w14:paraId="78D2B7F4" w14:textId="0FBB2145" w:rsidR="00DE77D4" w:rsidRPr="00D578EA" w:rsidRDefault="005246C6" w:rsidP="00DE77D4">
      <w:pPr>
        <w:spacing w:line="360" w:lineRule="auto"/>
        <w:ind w:firstLine="360"/>
        <w:jc w:val="both"/>
        <w:rPr>
          <w:rFonts w:ascii="Garamond" w:hAnsi="Garamond"/>
          <w:color w:val="000000" w:themeColor="text1"/>
          <w:lang w:val="en-US"/>
        </w:rPr>
      </w:pPr>
      <w:r w:rsidRPr="005246C6">
        <w:rPr>
          <w:rFonts w:ascii="Garamond" w:hAnsi="Garamond"/>
          <w:color w:val="000000" w:themeColor="text1"/>
          <w:lang w:val="en-US"/>
        </w:rPr>
        <w:t xml:space="preserve">The first dimension of the Advisory Framework </w:t>
      </w:r>
      <w:proofErr w:type="spellStart"/>
      <w:r w:rsidRPr="005246C6">
        <w:rPr>
          <w:rFonts w:ascii="Garamond" w:hAnsi="Garamond"/>
          <w:color w:val="000000" w:themeColor="text1"/>
          <w:lang w:val="en-US"/>
        </w:rPr>
        <w:t>characterises</w:t>
      </w:r>
      <w:proofErr w:type="spellEnd"/>
      <w:r w:rsidRPr="005246C6">
        <w:rPr>
          <w:rFonts w:ascii="Garamond" w:hAnsi="Garamond"/>
          <w:color w:val="000000" w:themeColor="text1"/>
          <w:lang w:val="en-US"/>
        </w:rPr>
        <w:t xml:space="preserve"> the </w:t>
      </w:r>
      <w:proofErr w:type="spellStart"/>
      <w:r w:rsidRPr="005246C6">
        <w:rPr>
          <w:rFonts w:ascii="Garamond" w:hAnsi="Garamond"/>
          <w:color w:val="000000" w:themeColor="text1"/>
          <w:lang w:val="en-US"/>
        </w:rPr>
        <w:t>organisational</w:t>
      </w:r>
      <w:proofErr w:type="spellEnd"/>
      <w:r w:rsidRPr="005246C6">
        <w:rPr>
          <w:rFonts w:ascii="Garamond" w:hAnsi="Garamond"/>
          <w:color w:val="000000" w:themeColor="text1"/>
          <w:lang w:val="en-US"/>
        </w:rPr>
        <w:t xml:space="preserve"> and strategic context in which the need for financing arises. The academic literature is quite clear in stating that a private credit solution is not uniform across different types of companies. The evidence presented by</w:t>
      </w:r>
      <w:r w:rsidRPr="00DE77D4">
        <w:rPr>
          <w:rFonts w:ascii="Garamond" w:hAnsi="Garamond"/>
          <w:color w:val="000000" w:themeColor="text1"/>
          <w:lang w:val="en-US"/>
        </w:rPr>
        <w:t xml:space="preserve"> </w:t>
      </w:r>
      <w:r w:rsidR="00593AF0">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 AuthorYear="1"&gt;&lt;Author&gt;Chernenko&lt;/Author&gt;&lt;Year&gt;2022&lt;/Year&gt;&lt;RecNum&gt;16&lt;/RecNum&gt;&lt;DisplayText&gt;Chernenko et al. (2022)&lt;/DisplayText&gt;&lt;record&gt;&lt;rec-number&gt;16&lt;/rec-number&gt;&lt;foreign-keys&gt;&lt;key app="EN" db-id="sxxdsp95kwt90peaaeyx9etk2zp0zfp5aaxs" timestamp="1782068927"&gt;16&lt;/key&gt;&lt;/foreign-keys&gt;&lt;ref-type name="Journal Article"&gt;17&lt;/ref-type&gt;&lt;contributors&gt;&lt;authors&gt;&lt;author&gt;Chernenko, Sergey&lt;/author&gt;&lt;author&gt;Erel, Isil&lt;/author&gt;&lt;author&gt;Prilmeier, Robert&lt;/author&gt;&lt;/authors&gt;&lt;/contributors&gt;&lt;titles&gt;&lt;title&gt;Why Do Firms Borrow Directly from Nonbanks?&lt;/title&gt;&lt;secondary-title&gt;The Review of Financial Studies&lt;/secondary-title&gt;&lt;/titles&gt;&lt;periodical&gt;&lt;full-title&gt;The Review of Financial Studies&lt;/full-title&gt;&lt;/periodical&gt;&lt;pages&gt;4902-4947&lt;/pages&gt;&lt;volume&gt;35&lt;/volume&gt;&lt;number&gt;11&lt;/number&gt;&lt;dates&gt;&lt;year&gt;2022&lt;/year&gt;&lt;/dates&gt;&lt;isbn&gt;0893-9454&lt;/isbn&gt;&lt;urls&gt;&lt;related-urls&gt;&lt;url&gt;https://doi.org/10.1093/rfs/hhac016&lt;/url&gt;&lt;/related-urls&gt;&lt;/urls&gt;&lt;electronic-resource-num&gt;10.1093/rfs/hhac016&lt;/electronic-resource-num&gt;&lt;access-date&gt;12/26/2025&lt;/access-date&gt;&lt;/record&gt;&lt;/Cite&gt;&lt;/EndNote&gt;</w:instrText>
      </w:r>
      <w:r w:rsidR="00593AF0">
        <w:rPr>
          <w:rFonts w:ascii="Garamond" w:hAnsi="Garamond"/>
          <w:color w:val="000000" w:themeColor="text1"/>
          <w:lang w:val="en-US"/>
        </w:rPr>
        <w:fldChar w:fldCharType="separate"/>
      </w:r>
      <w:r w:rsidR="00593AF0" w:rsidRPr="00F551EC">
        <w:rPr>
          <w:rFonts w:ascii="Garamond" w:hAnsi="Garamond"/>
          <w:color w:val="000000" w:themeColor="text1"/>
          <w:lang w:val="en-US"/>
        </w:rPr>
        <w:t>Chernenko et al. (2022)</w:t>
      </w:r>
      <w:r w:rsidR="00593AF0">
        <w:rPr>
          <w:rFonts w:ascii="Garamond" w:hAnsi="Garamond"/>
          <w:color w:val="000000" w:themeColor="text1"/>
          <w:lang w:val="en-US"/>
        </w:rPr>
        <w:fldChar w:fldCharType="end"/>
      </w:r>
      <w:r w:rsidR="00F448CE" w:rsidRPr="00F448CE">
        <w:rPr>
          <w:rFonts w:ascii="Garamond" w:hAnsi="Garamond"/>
          <w:color w:val="000000" w:themeColor="text1"/>
          <w:lang w:val="en-US"/>
        </w:rPr>
        <w:t xml:space="preserve"> </w:t>
      </w:r>
      <w:r w:rsidR="00DE77D4" w:rsidRPr="00D578EA">
        <w:rPr>
          <w:rFonts w:ascii="Garamond" w:hAnsi="Garamond"/>
          <w:color w:val="000000" w:themeColor="text1"/>
          <w:lang w:val="en-US"/>
        </w:rPr>
        <w:t>shows that companies that resort to private credit tend to have higher levels of leverage and a greater need for flexibility in their financing structures. At the same time, </w:t>
      </w:r>
      <w:proofErr w:type="spellStart"/>
      <w:r w:rsidR="00593AF0">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 AuthorYear="1"&gt;&lt;Author&gt;Erel&lt;/Author&gt;&lt;Year&gt;2024&lt;/Year&gt;&lt;RecNum&gt;65&lt;/RecNum&gt;&lt;DisplayText&gt;Erel et al. (2024)&lt;/DisplayText&gt;&lt;record&gt;&lt;rec-number&gt;65&lt;/rec-number&gt;&lt;foreign-keys&gt;&lt;key app="EN" db-id="x2z5xfr9jx5dwcef50b5eedwwwr9x5pperdz" timestamp="1769386406"&gt;65&lt;/key&gt;&lt;/foreign-keys&gt;&lt;ref-type name="Unpublished Work"&gt;34&lt;/ref-type&gt;&lt;contributors&gt;&lt;authors&gt;&lt;author&gt;Erel, Isil&lt;/author&gt;&lt;author&gt;Flanagan, Thomas &lt;/author&gt;&lt;author&gt;S. Weisbach, Michael&lt;/author&gt;&lt;/authors&gt;&lt;/contributors&gt;&lt;titles&gt;&lt;title&gt;Risk-Adjusting the Returns to Private Debt Funds&lt;/title&gt;&lt;/titles&gt;&lt;number&gt;Working Paper No 4779852&lt;/number&gt;&lt;dates&gt;&lt;year&gt;2024&lt;/year&gt;&lt;/dates&gt;&lt;urls&gt;&lt;related-urls&gt;&lt;url&gt;https://papers.ssrn.com/abstract=4779852&lt;/url&gt;&lt;/related-urls&gt;&lt;/urls&gt;&lt;/record&gt;&lt;/Cite&gt;&lt;/EndNote&gt;</w:instrText>
      </w:r>
      <w:r w:rsidR="00593AF0">
        <w:rPr>
          <w:rFonts w:ascii="Garamond" w:hAnsi="Garamond"/>
          <w:color w:val="000000" w:themeColor="text1"/>
          <w:lang w:val="en-US"/>
        </w:rPr>
        <w:fldChar w:fldCharType="separate"/>
      </w:r>
      <w:r w:rsidR="00593AF0" w:rsidRPr="00F551EC">
        <w:rPr>
          <w:rFonts w:ascii="Garamond" w:hAnsi="Garamond"/>
          <w:noProof/>
          <w:color w:val="000000" w:themeColor="text1"/>
          <w:lang w:val="en-US"/>
        </w:rPr>
        <w:t>Erel</w:t>
      </w:r>
      <w:proofErr w:type="spellEnd"/>
      <w:r w:rsidR="00593AF0" w:rsidRPr="00F551EC">
        <w:rPr>
          <w:rFonts w:ascii="Garamond" w:hAnsi="Garamond"/>
          <w:noProof/>
          <w:color w:val="000000" w:themeColor="text1"/>
          <w:lang w:val="en-US"/>
        </w:rPr>
        <w:t xml:space="preserve"> et al. (2024)</w:t>
      </w:r>
      <w:r w:rsidR="00593AF0">
        <w:rPr>
          <w:rFonts w:ascii="Garamond" w:hAnsi="Garamond"/>
          <w:color w:val="000000" w:themeColor="text1"/>
          <w:lang w:val="en-US"/>
        </w:rPr>
        <w:fldChar w:fldCharType="end"/>
      </w:r>
      <w:r w:rsidR="00F448CE" w:rsidRPr="00F448CE">
        <w:rPr>
          <w:rFonts w:ascii="Garamond" w:hAnsi="Garamond"/>
          <w:color w:val="000000" w:themeColor="text1"/>
          <w:lang w:val="en-US"/>
        </w:rPr>
        <w:t xml:space="preserve"> </w:t>
      </w:r>
      <w:proofErr w:type="spellStart"/>
      <w:r w:rsidR="00DE77D4" w:rsidRPr="00D578EA">
        <w:rPr>
          <w:rFonts w:ascii="Garamond" w:hAnsi="Garamond"/>
          <w:color w:val="000000" w:themeColor="text1"/>
          <w:lang w:val="en-US"/>
        </w:rPr>
        <w:t>emphasise</w:t>
      </w:r>
      <w:proofErr w:type="spellEnd"/>
      <w:r w:rsidR="00DE77D4" w:rsidRPr="00D578EA">
        <w:rPr>
          <w:rFonts w:ascii="Garamond" w:hAnsi="Garamond"/>
          <w:color w:val="000000" w:themeColor="text1"/>
          <w:lang w:val="en-US"/>
        </w:rPr>
        <w:t xml:space="preserve"> that private credit meets </w:t>
      </w:r>
      <w:r w:rsidR="00DE77D4" w:rsidRPr="00D578EA">
        <w:rPr>
          <w:rFonts w:ascii="Garamond" w:hAnsi="Garamond"/>
          <w:color w:val="000000" w:themeColor="text1"/>
          <w:lang w:val="en-US"/>
        </w:rPr>
        <w:lastRenderedPageBreak/>
        <w:t>the financing needs of firms that lack another suitable source of capital, a dynamic that is very important in the Portuguese mid-market, given the concentration of the banking sector.</w:t>
      </w:r>
    </w:p>
    <w:p w14:paraId="20B200C9" w14:textId="7D85A555" w:rsidR="003B2473" w:rsidRDefault="00FF0479" w:rsidP="00D578EA">
      <w:pPr>
        <w:spacing w:line="360" w:lineRule="auto"/>
        <w:ind w:firstLine="360"/>
        <w:jc w:val="both"/>
        <w:rPr>
          <w:rFonts w:ascii="Garamond" w:hAnsi="Garamond"/>
          <w:color w:val="000000" w:themeColor="text1"/>
          <w:lang w:val="en-US"/>
        </w:rPr>
      </w:pPr>
      <w:r w:rsidRPr="00FF0479">
        <w:rPr>
          <w:rFonts w:ascii="Garamond" w:hAnsi="Garamond"/>
          <w:color w:val="000000" w:themeColor="text1"/>
          <w:lang w:val="en-US"/>
        </w:rPr>
        <w:t xml:space="preserve">According to </w:t>
      </w:r>
      <w:r w:rsidR="00593AF0">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 AuthorYear="1"&gt;&lt;Author&gt;Block&lt;/Author&gt;&lt;Year&gt;2024&lt;/Year&gt;&lt;RecNum&gt;46&lt;/RecNum&gt;&lt;DisplayText&gt;Block et al. (2024)&lt;/DisplayText&gt;&lt;record&gt;&lt;rec-number&gt;46&lt;/rec-number&gt;&lt;foreign-keys&gt;&lt;key app="EN" db-id="x2z5xfr9jx5dwcef50b5eedwwwr9x5pperdz" timestamp="1769375774"&gt;46&lt;/key&gt;&lt;/foreign-keys&gt;&lt;ref-type name="Journal Article"&gt;17&lt;/ref-type&gt;&lt;contributors&gt;&lt;authors&gt;&lt;author&gt;Block, Joern&lt;/author&gt;&lt;author&gt;Jang, Young Soo&lt;/author&gt;&lt;author&gt;Kaplan, Steven N.&lt;/author&gt;&lt;author&gt;Schulze, Anna&lt;/author&gt;&lt;/authors&gt;&lt;/contributors&gt;&lt;titles&gt;&lt;title&gt;A Survey of Private Debt Funds&lt;/title&gt;&lt;secondary-title&gt;The Review of Corporate Finance Studies&lt;/secondary-title&gt;&lt;/titles&gt;&lt;periodical&gt;&lt;full-title&gt;The Review of Corporate Finance Studies&lt;/full-title&gt;&lt;/periodical&gt;&lt;pages&gt;335-383&lt;/pages&gt;&lt;volume&gt;13&lt;/volume&gt;&lt;number&gt;2&lt;/number&gt;&lt;dates&gt;&lt;year&gt;2024&lt;/year&gt;&lt;/dates&gt;&lt;isbn&gt;2046-9128&lt;/isbn&gt;&lt;urls&gt;&lt;related-urls&gt;&lt;url&gt;https://doi.org/10.1093/rcfs/cfae001&lt;/url&gt;&lt;/related-urls&gt;&lt;/urls&gt;&lt;electronic-resource-num&gt;10.1093/rcfs/cfae001&lt;/electronic-resource-num&gt;&lt;access-date&gt;1/25/2026&lt;/access-date&gt;&lt;/record&gt;&lt;/Cite&gt;&lt;/EndNote&gt;</w:instrText>
      </w:r>
      <w:r w:rsidR="00593AF0">
        <w:rPr>
          <w:rFonts w:ascii="Garamond" w:hAnsi="Garamond"/>
          <w:color w:val="000000" w:themeColor="text1"/>
          <w:lang w:val="en-US"/>
        </w:rPr>
        <w:fldChar w:fldCharType="separate"/>
      </w:r>
      <w:r w:rsidR="00593AF0" w:rsidRPr="00F551EC">
        <w:rPr>
          <w:rFonts w:ascii="Garamond" w:hAnsi="Garamond"/>
          <w:noProof/>
          <w:color w:val="000000" w:themeColor="text1"/>
          <w:lang w:val="en-US"/>
        </w:rPr>
        <w:t>Block et al. (2024)</w:t>
      </w:r>
      <w:r w:rsidR="00593AF0">
        <w:rPr>
          <w:rFonts w:ascii="Garamond" w:hAnsi="Garamond"/>
          <w:color w:val="000000" w:themeColor="text1"/>
          <w:lang w:val="en-US"/>
        </w:rPr>
        <w:fldChar w:fldCharType="end"/>
      </w:r>
      <w:r w:rsidR="00D578EA" w:rsidRPr="00D578EA">
        <w:rPr>
          <w:rFonts w:ascii="Garamond" w:hAnsi="Garamond"/>
          <w:color w:val="000000" w:themeColor="text1"/>
          <w:lang w:val="en-US"/>
        </w:rPr>
        <w:t>, private credit transactions predominantly involve companies owned by private equity (PE) funds, as their financial characteristics and the need for flexible financing solutions make this model especially suitable. In contrast, Portuguese family-owned firms</w:t>
      </w:r>
      <w:r w:rsidR="00D578EA">
        <w:rPr>
          <w:rFonts w:ascii="Garamond" w:hAnsi="Garamond"/>
          <w:color w:val="000000" w:themeColor="text1"/>
          <w:lang w:val="en-US"/>
        </w:rPr>
        <w:t xml:space="preserve">, </w:t>
      </w:r>
      <w:r w:rsidR="00D578EA" w:rsidRPr="00D578EA">
        <w:rPr>
          <w:rFonts w:ascii="Garamond" w:hAnsi="Garamond"/>
          <w:color w:val="000000" w:themeColor="text1"/>
          <w:lang w:val="en-US"/>
        </w:rPr>
        <w:t>the dominant ownership model in the mid-market</w:t>
      </w:r>
      <w:r w:rsidR="00D578EA">
        <w:rPr>
          <w:rFonts w:ascii="Garamond" w:hAnsi="Garamond"/>
          <w:color w:val="000000" w:themeColor="text1"/>
          <w:lang w:val="en-US"/>
        </w:rPr>
        <w:t>,</w:t>
      </w:r>
      <w:r w:rsidR="00D578EA" w:rsidRPr="00D578EA">
        <w:rPr>
          <w:rFonts w:ascii="Garamond" w:hAnsi="Garamond"/>
          <w:color w:val="000000" w:themeColor="text1"/>
          <w:lang w:val="en-US"/>
        </w:rPr>
        <w:t xml:space="preserve"> may lack experience at the level of the chief financial officer (CFO) to manage compliance with contractual covenants and the provision of information to creditors. The main drivers of financing within Triple A’s client base (</w:t>
      </w:r>
      <w:r w:rsidR="003B2473">
        <w:rPr>
          <w:rFonts w:ascii="Garamond" w:hAnsi="Garamond"/>
          <w:color w:val="000000" w:themeColor="text1"/>
          <w:lang w:val="en-US"/>
        </w:rPr>
        <w:t>M&amp;A</w:t>
      </w:r>
      <w:r w:rsidR="00D578EA" w:rsidRPr="00D578EA">
        <w:rPr>
          <w:rFonts w:ascii="Garamond" w:hAnsi="Garamond"/>
          <w:color w:val="000000" w:themeColor="text1"/>
          <w:lang w:val="en-US"/>
        </w:rPr>
        <w:t>, growth capital and restructuring) are well documented in the literature as the primary use cases for private credit.</w:t>
      </w:r>
    </w:p>
    <w:p w14:paraId="53D0C32A" w14:textId="67D4F4CF" w:rsidR="00D578EA" w:rsidRPr="00D578EA" w:rsidRDefault="00D578EA" w:rsidP="00D578EA">
      <w:pPr>
        <w:spacing w:line="360" w:lineRule="auto"/>
        <w:ind w:firstLine="360"/>
        <w:jc w:val="both"/>
        <w:rPr>
          <w:rFonts w:ascii="Garamond" w:hAnsi="Garamond"/>
          <w:color w:val="000000" w:themeColor="text1"/>
          <w:lang w:val="en-US"/>
        </w:rPr>
      </w:pPr>
      <w:r w:rsidRPr="00D578EA">
        <w:rPr>
          <w:rFonts w:ascii="Garamond" w:hAnsi="Garamond"/>
          <w:color w:val="000000" w:themeColor="text1"/>
          <w:lang w:val="en-US"/>
        </w:rPr>
        <w:t xml:space="preserve">To this end, the first recommendation regarding private credit solutions is aimed at companies undergoing a clear strategic shift, backed by venture capital or similar financing, and whose financial statements are sufficiently robust to enable creditors to carry out thorough due diligence. Family-owned businesses with well-established operations and no strategic shift should, first and foremost, </w:t>
      </w:r>
      <w:proofErr w:type="spellStart"/>
      <w:r w:rsidRPr="00D578EA">
        <w:rPr>
          <w:rFonts w:ascii="Garamond" w:hAnsi="Garamond"/>
          <w:color w:val="000000" w:themeColor="text1"/>
          <w:lang w:val="en-US"/>
        </w:rPr>
        <w:t>maximise</w:t>
      </w:r>
      <w:proofErr w:type="spellEnd"/>
      <w:r w:rsidRPr="00D578EA">
        <w:rPr>
          <w:rFonts w:ascii="Garamond" w:hAnsi="Garamond"/>
          <w:color w:val="000000" w:themeColor="text1"/>
          <w:lang w:val="en-US"/>
        </w:rPr>
        <w:t xml:space="preserve"> their bank financing.</w:t>
      </w:r>
    </w:p>
    <w:p w14:paraId="55F542E7" w14:textId="77777777" w:rsidR="00D578EA" w:rsidRPr="00D578EA" w:rsidRDefault="00D578EA" w:rsidP="00D578EA"/>
    <w:p w14:paraId="45C9DE82" w14:textId="0ADC01F2" w:rsidR="00EE4554" w:rsidRPr="00342A29" w:rsidRDefault="001B730D" w:rsidP="00515C6F">
      <w:pPr>
        <w:rPr>
          <w:rFonts w:ascii="Garamond" w:hAnsi="Garamond"/>
          <w:b/>
          <w:bCs/>
          <w:lang w:val="en-US"/>
        </w:rPr>
      </w:pPr>
      <w:r w:rsidRPr="00342A29">
        <w:rPr>
          <w:rFonts w:ascii="Garamond" w:hAnsi="Garamond"/>
          <w:b/>
          <w:bCs/>
          <w:lang w:val="en-US"/>
        </w:rPr>
        <w:t>Dimension II – Financing Structure and Bank Relationship</w:t>
      </w:r>
    </w:p>
    <w:p w14:paraId="42BA3530" w14:textId="77777777" w:rsidR="00EE4554" w:rsidRDefault="00EE4554" w:rsidP="0084347E">
      <w:pPr>
        <w:rPr>
          <w:lang w:val="en-US"/>
        </w:rPr>
      </w:pPr>
    </w:p>
    <w:p w14:paraId="2985FA0F" w14:textId="75654063" w:rsidR="00AB22D0" w:rsidRDefault="00031304" w:rsidP="0034625E">
      <w:pPr>
        <w:spacing w:line="360" w:lineRule="auto"/>
        <w:ind w:firstLine="360"/>
        <w:jc w:val="both"/>
        <w:rPr>
          <w:rFonts w:ascii="Garamond" w:hAnsi="Garamond"/>
          <w:color w:val="000000" w:themeColor="text1"/>
          <w:lang w:val="en-US"/>
        </w:rPr>
      </w:pPr>
      <w:r w:rsidRPr="00031304">
        <w:rPr>
          <w:rFonts w:ascii="Garamond" w:hAnsi="Garamond"/>
          <w:color w:val="000000" w:themeColor="text1"/>
          <w:lang w:val="en-US"/>
        </w:rPr>
        <w:t xml:space="preserve">The second dimension considers the company’s current financial structure, as well as the nature of the relationship between the </w:t>
      </w:r>
      <w:proofErr w:type="spellStart"/>
      <w:r w:rsidRPr="00031304">
        <w:rPr>
          <w:rFonts w:ascii="Garamond" w:hAnsi="Garamond"/>
          <w:color w:val="000000" w:themeColor="text1"/>
          <w:lang w:val="en-US"/>
        </w:rPr>
        <w:t>organisation</w:t>
      </w:r>
      <w:proofErr w:type="spellEnd"/>
      <w:r w:rsidRPr="00031304">
        <w:rPr>
          <w:rFonts w:ascii="Garamond" w:hAnsi="Garamond"/>
          <w:color w:val="000000" w:themeColor="text1"/>
          <w:lang w:val="en-US"/>
        </w:rPr>
        <w:t xml:space="preserve"> and the banks. This issue has been extensively explored </w:t>
      </w:r>
      <w:r w:rsidR="00C271D2" w:rsidRPr="00990082">
        <w:rPr>
          <w:rFonts w:ascii="Garamond" w:hAnsi="Garamond"/>
          <w:color w:val="000000" w:themeColor="text1"/>
          <w:lang w:val="en-US"/>
        </w:rPr>
        <w:t>by</w:t>
      </w:r>
      <w:r w:rsidR="00067DCC" w:rsidRPr="00273B5D">
        <w:rPr>
          <w:rFonts w:ascii="Garamond" w:hAnsi="Garamond"/>
          <w:color w:val="000000" w:themeColor="text1"/>
          <w:lang w:val="en-US"/>
        </w:rPr>
        <w:t xml:space="preserve"> </w:t>
      </w:r>
      <w:r w:rsidR="00593AF0" w:rsidRPr="00273B5D">
        <w:rPr>
          <w:rFonts w:ascii="Garamond" w:hAnsi="Garamond"/>
          <w:color w:val="000000" w:themeColor="text1"/>
          <w:lang w:val="en-US"/>
        </w:rPr>
        <w:fldChar w:fldCharType="begin">
          <w:fldData xml:space="preserve">PEVuZE5vdGU+PENpdGUgQXV0aG9yWWVhcj0iMSI+PEF1dGhvcj5Hcm9wcDwvQXV0aG9yPjxZZWFy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</w:fldData>
        </w:fldChar>
      </w:r>
      <w:r w:rsidR="00206AF2">
        <w:rPr>
          <w:rFonts w:ascii="Garamond" w:hAnsi="Garamond"/>
          <w:color w:val="000000" w:themeColor="text1"/>
          <w:lang w:val="en-US"/>
        </w:rPr>
        <w:instrText xml:space="preserve"> ADDIN EN.CITE </w:instrText>
      </w:r>
      <w:r w:rsidR="00206AF2">
        <w:rPr>
          <w:rFonts w:ascii="Garamond" w:hAnsi="Garamond"/>
          <w:color w:val="000000" w:themeColor="text1"/>
          <w:lang w:val="en-US"/>
        </w:rPr>
        <w:fldChar w:fldCharType="begin">
          <w:fldData xml:space="preserve">PEVuZE5vdGU+PENpdGUgQXV0aG9yWWVhcj0iMSI+PEF1dGhvcj5Hcm9wcDwvQXV0aG9yPjxZZWFy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</w:fldData>
        </w:fldChar>
      </w:r>
      <w:r w:rsidR="00206AF2">
        <w:rPr>
          <w:rFonts w:ascii="Garamond" w:hAnsi="Garamond"/>
          <w:color w:val="000000" w:themeColor="text1"/>
          <w:lang w:val="en-US"/>
        </w:rPr>
        <w:instrText xml:space="preserve"> ADDIN EN.CITE.DATA </w:instrText>
      </w:r>
      <w:r w:rsidR="00206AF2">
        <w:rPr>
          <w:rFonts w:ascii="Garamond" w:hAnsi="Garamond"/>
          <w:color w:val="000000" w:themeColor="text1"/>
          <w:lang w:val="en-US"/>
        </w:rPr>
      </w:r>
      <w:r w:rsidR="00206AF2">
        <w:rPr>
          <w:rFonts w:ascii="Garamond" w:hAnsi="Garamond"/>
          <w:color w:val="000000" w:themeColor="text1"/>
          <w:lang w:val="en-US"/>
        </w:rPr>
        <w:fldChar w:fldCharType="end"/>
      </w:r>
      <w:r w:rsidR="00593AF0" w:rsidRPr="00273B5D">
        <w:rPr>
          <w:rFonts w:ascii="Garamond" w:hAnsi="Garamond"/>
          <w:color w:val="000000" w:themeColor="text1"/>
          <w:lang w:val="en-US"/>
        </w:rPr>
        <w:fldChar w:fldCharType="separate"/>
      </w:r>
      <w:r w:rsidR="00D55551">
        <w:rPr>
          <w:rFonts w:ascii="Garamond" w:hAnsi="Garamond"/>
          <w:noProof/>
          <w:color w:val="000000" w:themeColor="text1"/>
          <w:lang w:val="en-US"/>
        </w:rPr>
        <w:t>Buchak et al. (2018); Gropp et al. (2018)</w:t>
      </w:r>
      <w:r w:rsidR="00593AF0" w:rsidRPr="00273B5D">
        <w:rPr>
          <w:rFonts w:ascii="Garamond" w:hAnsi="Garamond"/>
          <w:color w:val="000000" w:themeColor="text1"/>
          <w:lang w:val="en-US"/>
        </w:rPr>
        <w:fldChar w:fldCharType="end"/>
      </w:r>
      <w:r w:rsidR="006D64DB" w:rsidRPr="00273B5D">
        <w:rPr>
          <w:rFonts w:ascii="Garamond" w:hAnsi="Garamond"/>
          <w:color w:val="000000" w:themeColor="text1"/>
          <w:lang w:val="en-US"/>
        </w:rPr>
        <w:t xml:space="preserve"> </w:t>
      </w:r>
      <w:r w:rsidR="00EE4554" w:rsidRPr="00273B5D">
        <w:rPr>
          <w:rFonts w:ascii="Garamond" w:hAnsi="Garamond"/>
          <w:color w:val="000000" w:themeColor="text1"/>
          <w:lang w:val="en-US"/>
        </w:rPr>
        <w:t xml:space="preserve">and </w:t>
      </w:r>
      <w:r w:rsidR="00593AF0" w:rsidRPr="00273B5D">
        <w:rPr>
          <w:rFonts w:ascii="Garamond" w:hAnsi="Garamond"/>
          <w:color w:val="000000" w:themeColor="text1"/>
          <w:lang w:val="en-US"/>
        </w:rPr>
        <w:fldChar w:fldCharType="begin"/>
      </w:r>
      <w:r w:rsidR="009A74C4">
        <w:rPr>
          <w:rFonts w:ascii="Garamond" w:hAnsi="Garamond"/>
          <w:color w:val="000000" w:themeColor="text1"/>
          <w:lang w:val="en-US"/>
        </w:rPr>
        <w:instrText xml:space="preserve"> ADDIN EN.CITE &lt;EndNote&gt;&lt;Cite AuthorYear="1"&gt;&lt;Author&gt;Chen&lt;/Author&gt;&lt;Year&gt;2023&lt;/Year&gt;&lt;RecNum&gt;29&lt;/RecNum&gt;&lt;DisplayText&gt;Chen et al. (2023)&lt;/DisplayText&gt;&lt;record&gt;&lt;rec-number&gt;29&lt;/rec-number&gt;&lt;foreign-keys&gt;&lt;key app="EN" db-id="x2z5xfr9jx5dwcef50b5eedwwwr9x5pperdz" timestamp="1764784434"&gt;29&lt;/key&gt;&lt;/foreign-keys&gt;&lt;ref-type name="Journal Article"&gt;17&lt;/ref-type&gt;&lt;contributors&gt;&lt;authors&gt;&lt;author&gt;Chen, Mary&lt;/author&gt;&lt;author&gt;Lee, Seung Jung&lt;/author&gt;&lt;author&gt;Neuhann, Daniel&lt;/author&gt;&lt;author&gt;Saidi, Farzad&lt;/author&gt;&lt;/authors&gt;&lt;/contributors&gt;&lt;titles&gt;&lt;title&gt;Less Bank Regulation, More Non-Bank Lending&lt;/title&gt;&lt;secondary-title&gt;Federal Reserve&lt;/secondary-title&gt;&lt;/titles&gt;&lt;periodical&gt;&lt;full-title&gt;Federal Reserve&lt;/full-title&gt;&lt;/periodical&gt;&lt;pages&gt;1-38&lt;/pages&gt;&lt;dates&gt;&lt;year&gt;2023&lt;/year&gt;&lt;pub-dates&gt;&lt;date&gt;05/01&lt;/date&gt;&lt;/pub-dates&gt;&lt;/dates&gt;&lt;urls&gt;&lt;/urls&gt;&lt;electronic-resource-num&gt;10.17016/feds.2023.026&lt;/electronic-resource-num&gt;&lt;/record&gt;&lt;/Cite&gt;&lt;/EndNote&gt;</w:instrText>
      </w:r>
      <w:r w:rsidR="00593AF0" w:rsidRPr="00273B5D">
        <w:rPr>
          <w:rFonts w:ascii="Garamond" w:hAnsi="Garamond"/>
          <w:color w:val="000000" w:themeColor="text1"/>
          <w:lang w:val="en-US"/>
        </w:rPr>
        <w:fldChar w:fldCharType="separate"/>
      </w:r>
      <w:r w:rsidR="00593AF0" w:rsidRPr="00F551EC">
        <w:rPr>
          <w:rFonts w:ascii="Garamond" w:hAnsi="Garamond"/>
          <w:noProof/>
          <w:color w:val="000000" w:themeColor="text1"/>
          <w:lang w:val="en-US"/>
        </w:rPr>
        <w:t>Chen et al. (2023)</w:t>
      </w:r>
      <w:r w:rsidR="00593AF0" w:rsidRPr="00273B5D">
        <w:rPr>
          <w:rFonts w:ascii="Garamond" w:hAnsi="Garamond"/>
          <w:color w:val="000000" w:themeColor="text1"/>
          <w:lang w:val="en-US"/>
        </w:rPr>
        <w:fldChar w:fldCharType="end"/>
      </w:r>
      <w:r w:rsidR="00990082" w:rsidRPr="0034625E">
        <w:rPr>
          <w:rFonts w:ascii="Garamond" w:hAnsi="Garamond"/>
          <w:color w:val="000000" w:themeColor="text1"/>
          <w:lang w:val="en-US"/>
        </w:rPr>
        <w:t>, who have clearly stated that post-Global Financial Crisis regulation has contributed significantly to a reduction in bank lending to highly leveraged, low-quality firms.</w:t>
      </w:r>
      <w:r w:rsidR="00AB22D0">
        <w:rPr>
          <w:rFonts w:ascii="Garamond" w:hAnsi="Garamond"/>
          <w:color w:val="000000" w:themeColor="text1"/>
          <w:lang w:val="en-US"/>
        </w:rPr>
        <w:t xml:space="preserve"> </w:t>
      </w:r>
      <w:r w:rsidR="0034625E" w:rsidRPr="0034625E">
        <w:rPr>
          <w:rFonts w:ascii="Garamond" w:hAnsi="Garamond"/>
          <w:color w:val="000000" w:themeColor="text1"/>
          <w:lang w:val="en-US"/>
        </w:rPr>
        <w:t>The latest ECB Bank Lending Survey for the third quarter of 2025 shows that this trend is continuing, with banks reporting an increase in the number of rejected loan applications compared with the previous quarter’s averages</w:t>
      </w:r>
      <w:r w:rsidR="003F57A7">
        <w:rPr>
          <w:rFonts w:ascii="Garamond" w:hAnsi="Garamond"/>
          <w:color w:val="000000" w:themeColor="text1"/>
          <w:lang w:val="en-US"/>
        </w:rPr>
        <w:t xml:space="preserve"> </w:t>
      </w:r>
      <w:r w:rsidR="003F57A7">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&lt;EndNote&gt;&lt;Cite&gt;&lt;Author&gt;European Central Bank&lt;/Author&gt;&lt;Year&gt;2025&lt;/Year&gt;&lt;RecNum&gt;85&lt;/RecNum&gt;&lt;DisplayText&gt;(European Central Bank, 2025)&lt;/DisplayText&gt;&lt;record&gt;&lt;rec-number&gt;85&lt;/rec-number&gt;&lt;foreign-keys&gt;&lt;key app="EN" db-id="x2z5xfr9jx5dwcef50b5eedwwwr9x5pperdz" timestamp="1779553993"&gt;85&lt;/key&gt;&lt;/foreign-keys&gt;&lt;ref-type name="Web Page"&gt;12&lt;/ref-type&gt;&lt;contributors&gt;&lt;authors&gt;&lt;author&gt;European Central Bank,&lt;/author&gt;&lt;/authors&gt;&lt;/contributors&gt;&lt;titles&gt;&lt;title&gt;October 2025 euro area bank lending survey&lt;/title&gt;&lt;/titles&gt;&lt;dates&gt;&lt;year&gt;2025&lt;/year&gt;&lt;/dates&gt;&lt;urls&gt;&lt;related-urls&gt;&lt;url&gt;https://www.ecb.europa.eu/press/pr/date/2025/html/ecb.pr251028~4288f66757.en.html&lt;/url&gt;&lt;/related-urls&gt;&lt;/urls&gt;&lt;/record&gt;&lt;/Cite&gt;&lt;/EndNote&gt;</w:instrText>
      </w:r>
      <w:r w:rsidR="003F57A7">
        <w:rPr>
          <w:rFonts w:ascii="Garamond" w:hAnsi="Garamond"/>
          <w:color w:val="000000" w:themeColor="text1"/>
          <w:lang w:val="en-US"/>
        </w:rPr>
        <w:fldChar w:fldCharType="separate"/>
      </w:r>
      <w:r w:rsidR="003F57A7">
        <w:rPr>
          <w:rFonts w:ascii="Garamond" w:hAnsi="Garamond"/>
          <w:noProof/>
          <w:color w:val="000000" w:themeColor="text1"/>
          <w:lang w:val="en-US"/>
        </w:rPr>
        <w:t>(</w:t>
      </w:r>
      <w:r w:rsidR="00593AF0" w:rsidRPr="00F551EC">
        <w:rPr>
          <w:rFonts w:ascii="Garamond" w:hAnsi="Garamond"/>
          <w:noProof/>
          <w:color w:val="000000" w:themeColor="text1"/>
          <w:lang w:val="en-US"/>
        </w:rPr>
        <w:t>European Central Bank, 2025</w:t>
      </w:r>
      <w:r w:rsidR="003F57A7">
        <w:rPr>
          <w:rFonts w:ascii="Garamond" w:hAnsi="Garamond"/>
          <w:noProof/>
          <w:color w:val="000000" w:themeColor="text1"/>
          <w:lang w:val="en-US"/>
        </w:rPr>
        <w:t>)</w:t>
      </w:r>
      <w:r w:rsidR="003F57A7">
        <w:rPr>
          <w:rFonts w:ascii="Garamond" w:hAnsi="Garamond"/>
          <w:color w:val="000000" w:themeColor="text1"/>
          <w:lang w:val="en-US"/>
        </w:rPr>
        <w:fldChar w:fldCharType="end"/>
      </w:r>
      <w:r w:rsidR="0034625E" w:rsidRPr="0034625E">
        <w:rPr>
          <w:rFonts w:ascii="Garamond" w:hAnsi="Garamond"/>
          <w:color w:val="000000" w:themeColor="text1"/>
          <w:lang w:val="en-US"/>
        </w:rPr>
        <w:t xml:space="preserve">. </w:t>
      </w:r>
    </w:p>
    <w:p w14:paraId="736A266A" w14:textId="671E5516" w:rsidR="00C87A59" w:rsidRPr="00C87A59" w:rsidRDefault="00C87A59" w:rsidP="00C87A59">
      <w:pPr>
        <w:spacing w:line="360" w:lineRule="auto"/>
        <w:ind w:firstLine="360"/>
        <w:jc w:val="both"/>
        <w:rPr>
          <w:rFonts w:ascii="Garamond" w:hAnsi="Garamond"/>
          <w:color w:val="000000" w:themeColor="text1"/>
          <w:lang w:val="en-US"/>
        </w:rPr>
      </w:pPr>
      <w:r w:rsidRPr="00C87A59">
        <w:rPr>
          <w:rFonts w:ascii="Garamond" w:hAnsi="Garamond"/>
          <w:color w:val="000000" w:themeColor="text1"/>
          <w:lang w:val="en-US"/>
        </w:rPr>
        <w:t xml:space="preserve">The above difference is intrinsic to the system itself. In the origination and holding strategy, the private lender </w:t>
      </w:r>
      <w:proofErr w:type="gramStart"/>
      <w:r w:rsidRPr="00C87A59">
        <w:rPr>
          <w:rFonts w:ascii="Garamond" w:hAnsi="Garamond"/>
          <w:color w:val="000000" w:themeColor="text1"/>
          <w:lang w:val="en-US"/>
        </w:rPr>
        <w:t>has the opportunity to</w:t>
      </w:r>
      <w:proofErr w:type="gramEnd"/>
      <w:r w:rsidRPr="00C87A59">
        <w:rPr>
          <w:rFonts w:ascii="Garamond" w:hAnsi="Garamond"/>
          <w:color w:val="000000" w:themeColor="text1"/>
          <w:lang w:val="en-US"/>
        </w:rPr>
        <w:t xml:space="preserve"> create the structure based on the borrower’s cash flow characteristics, offering flexible lending that cannot be matched by the credit lines offered by the bank. At this juncture, the role of the consultant is to </w:t>
      </w:r>
      <w:proofErr w:type="spellStart"/>
      <w:r w:rsidRPr="00C87A59">
        <w:rPr>
          <w:rFonts w:ascii="Garamond" w:hAnsi="Garamond"/>
          <w:color w:val="000000" w:themeColor="text1"/>
          <w:lang w:val="en-US"/>
        </w:rPr>
        <w:t>analy</w:t>
      </w:r>
      <w:r w:rsidR="00F2606C">
        <w:rPr>
          <w:rFonts w:ascii="Garamond" w:hAnsi="Garamond"/>
          <w:color w:val="000000" w:themeColor="text1"/>
          <w:lang w:val="en-US"/>
        </w:rPr>
        <w:t>s</w:t>
      </w:r>
      <w:r w:rsidRPr="00C87A59">
        <w:rPr>
          <w:rFonts w:ascii="Garamond" w:hAnsi="Garamond"/>
          <w:color w:val="000000" w:themeColor="text1"/>
          <w:lang w:val="en-US"/>
        </w:rPr>
        <w:t>e</w:t>
      </w:r>
      <w:proofErr w:type="spellEnd"/>
      <w:r w:rsidRPr="00C87A59">
        <w:rPr>
          <w:rFonts w:ascii="Garamond" w:hAnsi="Garamond"/>
          <w:color w:val="000000" w:themeColor="text1"/>
          <w:lang w:val="en-US"/>
        </w:rPr>
        <w:t xml:space="preserve"> the maturity structure, the headroom available under restrictive covenants, the concentration of the creditors, and the limitations of the bank, particularly the control limitation </w:t>
      </w:r>
      <w:r w:rsidR="00E37772">
        <w:rPr>
          <w:rFonts w:ascii="Garamond" w:hAnsi="Garamond"/>
          <w:color w:val="000000" w:themeColor="text1"/>
          <w:lang w:val="en-US"/>
        </w:rPr>
        <w:fldChar w:fldCharType="begin"/>
      </w:r>
      <w:r w:rsidR="000115C3">
        <w:rPr>
          <w:rFonts w:ascii="Garamond" w:hAnsi="Garamond"/>
          <w:color w:val="000000" w:themeColor="text1"/>
          <w:lang w:val="en-US"/>
        </w:rPr>
        <w:instrText xml:space="preserve"> ADDIN EN.CITE &lt;EndNote&gt;&lt;Cite&gt;&lt;Author&gt;Ellias&lt;/Author&gt;&lt;Year&gt;2025&lt;/Year&gt;&lt;RecNum&gt;60&lt;/RecNum&gt;&lt;DisplayText&gt;(Ellias &amp;amp; de Fontenay, 2025; European Central Bank, 2007)&lt;/DisplayText&gt;&lt;record&gt;&lt;rec-number&gt;60&lt;/rec-number&gt;&lt;foreign-keys&gt;&lt;key app="EN" db-id="x2z5xfr9jx5dwcef50b5eedwwwr9x5pperdz" timestamp="1769381170"&gt;60&lt;/key&gt;&lt;/foreign-keys&gt;&lt;ref-type name="Unpublished Work"&gt;34&lt;/ref-type&gt;&lt;contributors&gt;&lt;authors&gt;&lt;author&gt;Ellias, Jared&lt;/author&gt;&lt;author&gt;de Fontenay, Elisabeth&lt;/author&gt;&lt;/authors&gt;&lt;/contributors&gt;&lt;titles&gt;&lt;title&gt;The Credit Markets Go Dark&lt;/title&gt;&lt;secondary-title&gt;Yale Law Journal&lt;/secondary-title&gt;&lt;/titles&gt;&lt;periodical&gt;&lt;full-title&gt;Yale Law Journal&lt;/full-title&gt;&lt;/periodical&gt;&lt;pages&gt;696&lt;/pages&gt;&lt;volume&gt;134&lt;/volume&gt;&lt;number&gt;Working Paper No 4879742&lt;/number&gt;&lt;dates&gt;&lt;year&gt;2025&lt;/year&gt;&lt;/dates&gt;&lt;publisher&gt;SSRN&lt;/publisher&gt;&lt;urls&gt;&lt;related-urls&gt;&lt;url&gt;https://papers.ssrn.com/sol3/papers.cfm?abstract_id=4879742&lt;/url&gt;&lt;/related-urls&gt;&lt;/urls&gt;&lt;electronic-resource-num&gt;https://dx.doi.org/10.2139/ssrn.4879742&lt;/electronic-resource-num&gt;&lt;research-notes&gt;Duke Law School Public Law &amp;amp; Legal Theory Series No. 2024-45; European Corporate Governance Institute – Law Working Paper No. 810/2024&lt;/research-notes&gt;&lt;/record&gt;&lt;/Cite&gt;&lt;Cite&gt;&lt;Author&gt;European Central Bank&lt;/Author&gt;&lt;Year&gt;2007&lt;/Year&gt;&lt;RecNum&gt;63&lt;/RecNum&gt;&lt;record&gt;&lt;rec-number&gt;63&lt;/rec-number&gt;&lt;foreign-keys&gt;&lt;key app="EN" db-id="x2z5xfr9jx5dwcef50b5eedwwwr9x5pperdz" timestamp="1769385583"&gt;63&lt;/key&gt;&lt;/foreign-keys&gt;&lt;ref-type name="Report"&gt;27&lt;/ref-type&gt;&lt;contributors&gt;&lt;authors&gt;&lt;author&gt;European Central Bank,&lt;/author&gt;&lt;/authors&gt;&lt;/contributors&gt;&lt;titles&gt;&lt;title&gt;Financial Stability Review&lt;/title&gt;&lt;/titles&gt;&lt;dates&gt;&lt;year&gt;2007&lt;/year&gt;&lt;/dates&gt;&lt;publisher&gt;European Central Bank&lt;/publisher&gt;&lt;urls&gt;&lt;related-urls&gt;&lt;url&gt;https://www.ecb.europa.eu/pub/pdf/fsr/financialstabilityreview200712en.pdf&lt;/url&gt;&lt;/related-urls&gt;&lt;/urls&gt;&lt;/record&gt;&lt;/Cite&gt;&lt;/EndNote&gt;</w:instrText>
      </w:r>
      <w:r w:rsidR="00E37772">
        <w:rPr>
          <w:rFonts w:ascii="Garamond" w:hAnsi="Garamond"/>
          <w:color w:val="000000" w:themeColor="text1"/>
          <w:lang w:val="en-US"/>
        </w:rPr>
        <w:fldChar w:fldCharType="separate"/>
      </w:r>
      <w:r w:rsidR="00E37772">
        <w:rPr>
          <w:rFonts w:ascii="Garamond" w:hAnsi="Garamond"/>
          <w:noProof/>
          <w:color w:val="000000" w:themeColor="text1"/>
          <w:lang w:val="en-US"/>
        </w:rPr>
        <w:t>(</w:t>
      </w:r>
      <w:r w:rsidR="00593AF0" w:rsidRPr="00F551EC">
        <w:rPr>
          <w:rFonts w:ascii="Garamond" w:hAnsi="Garamond"/>
          <w:noProof/>
          <w:color w:val="000000" w:themeColor="text1"/>
          <w:lang w:val="en-US"/>
        </w:rPr>
        <w:t>Ellias &amp; de Fontenay, 2025</w:t>
      </w:r>
      <w:r w:rsidR="00E37772">
        <w:rPr>
          <w:rFonts w:ascii="Garamond" w:hAnsi="Garamond"/>
          <w:noProof/>
          <w:color w:val="000000" w:themeColor="text1"/>
          <w:lang w:val="en-US"/>
        </w:rPr>
        <w:t xml:space="preserve">; </w:t>
      </w:r>
      <w:r w:rsidR="00593AF0" w:rsidRPr="00F551EC">
        <w:rPr>
          <w:rFonts w:ascii="Garamond" w:hAnsi="Garamond"/>
          <w:noProof/>
          <w:color w:val="000000" w:themeColor="text1"/>
          <w:lang w:val="en-US"/>
        </w:rPr>
        <w:t>European Central Bank, 2007</w:t>
      </w:r>
      <w:r w:rsidR="00E37772">
        <w:rPr>
          <w:rFonts w:ascii="Garamond" w:hAnsi="Garamond"/>
          <w:noProof/>
          <w:color w:val="000000" w:themeColor="text1"/>
          <w:lang w:val="en-US"/>
        </w:rPr>
        <w:t>)</w:t>
      </w:r>
      <w:r w:rsidR="00E37772">
        <w:rPr>
          <w:rFonts w:ascii="Garamond" w:hAnsi="Garamond"/>
          <w:color w:val="000000" w:themeColor="text1"/>
          <w:lang w:val="en-US"/>
        </w:rPr>
        <w:fldChar w:fldCharType="end"/>
      </w:r>
    </w:p>
    <w:p w14:paraId="1FB1F0A0" w14:textId="33A72BC9" w:rsidR="00AC6119" w:rsidRDefault="0034625E" w:rsidP="0034625E">
      <w:pPr>
        <w:spacing w:line="360" w:lineRule="auto"/>
        <w:ind w:firstLine="360"/>
        <w:jc w:val="both"/>
        <w:rPr>
          <w:rFonts w:ascii="Garamond" w:hAnsi="Garamond"/>
          <w:color w:val="000000" w:themeColor="text1"/>
          <w:lang w:val="en-US"/>
        </w:rPr>
      </w:pPr>
      <w:r w:rsidRPr="0034625E">
        <w:rPr>
          <w:rFonts w:ascii="Garamond" w:hAnsi="Garamond"/>
          <w:color w:val="000000" w:themeColor="text1"/>
          <w:lang w:val="en-US"/>
        </w:rPr>
        <w:lastRenderedPageBreak/>
        <w:t xml:space="preserve">As a warning sign in </w:t>
      </w:r>
      <w:r w:rsidR="00AB22D0">
        <w:rPr>
          <w:rFonts w:ascii="Garamond" w:hAnsi="Garamond"/>
          <w:color w:val="000000" w:themeColor="text1"/>
          <w:lang w:val="en-US"/>
        </w:rPr>
        <w:t>this dimension</w:t>
      </w:r>
      <w:r w:rsidRPr="0034625E">
        <w:rPr>
          <w:rFonts w:ascii="Garamond" w:hAnsi="Garamond"/>
          <w:color w:val="000000" w:themeColor="text1"/>
          <w:lang w:val="en-US"/>
        </w:rPr>
        <w:t>, companies facing restrictions on bank credit, reduced financing limits, high concentrations of loans</w:t>
      </w:r>
      <w:r w:rsidR="009F2458">
        <w:rPr>
          <w:rFonts w:ascii="Garamond" w:hAnsi="Garamond"/>
          <w:color w:val="000000" w:themeColor="text1"/>
          <w:lang w:val="en-US"/>
        </w:rPr>
        <w:t>,</w:t>
      </w:r>
      <w:r w:rsidRPr="0034625E">
        <w:rPr>
          <w:rFonts w:ascii="Garamond" w:hAnsi="Garamond"/>
          <w:color w:val="000000" w:themeColor="text1"/>
          <w:lang w:val="en-US"/>
        </w:rPr>
        <w:t xml:space="preserve"> or imminent maturities are ideal candidates for private credit. Companies with diversified banking relationships and sufficient financial flexibility are unlikely to qualify for the cost premium, unless there is a pressing need for a specific structure.</w:t>
      </w:r>
    </w:p>
    <w:p w14:paraId="675E2AC3" w14:textId="77777777" w:rsidR="00342A29" w:rsidRPr="0034625E" w:rsidRDefault="00342A29" w:rsidP="00342A29">
      <w:pPr>
        <w:rPr>
          <w:lang w:val="en-US"/>
        </w:rPr>
      </w:pPr>
    </w:p>
    <w:p w14:paraId="7F66989E" w14:textId="0D54FDFD" w:rsidR="00145E46" w:rsidRPr="00342A29" w:rsidRDefault="001B730D" w:rsidP="00342A29">
      <w:pPr>
        <w:rPr>
          <w:rFonts w:ascii="Garamond" w:hAnsi="Garamond"/>
          <w:b/>
          <w:bCs/>
          <w:lang w:val="en-US"/>
        </w:rPr>
      </w:pPr>
      <w:r w:rsidRPr="00342A29">
        <w:rPr>
          <w:rFonts w:ascii="Garamond" w:hAnsi="Garamond"/>
          <w:b/>
          <w:bCs/>
          <w:lang w:val="en-US"/>
        </w:rPr>
        <w:t>Dimension III – Speed, Flexibility, and Covenant Requirements</w:t>
      </w:r>
    </w:p>
    <w:p w14:paraId="16AA451C" w14:textId="77777777" w:rsidR="00145E46" w:rsidRDefault="00145E46" w:rsidP="00595FD0">
      <w:pPr>
        <w:rPr>
          <w:lang w:val="en-US"/>
        </w:rPr>
      </w:pPr>
    </w:p>
    <w:p w14:paraId="3A2A5CC0" w14:textId="5787A3EA" w:rsidR="00633C2A" w:rsidRDefault="00633C2A" w:rsidP="00633C2A">
      <w:pPr>
        <w:spacing w:line="360" w:lineRule="auto"/>
        <w:ind w:firstLine="360"/>
        <w:jc w:val="both"/>
        <w:rPr>
          <w:rFonts w:ascii="Garamond" w:hAnsi="Garamond"/>
          <w:color w:val="000000" w:themeColor="text1"/>
          <w:lang w:val="en-US"/>
        </w:rPr>
      </w:pPr>
      <w:r w:rsidRPr="00633C2A">
        <w:rPr>
          <w:rFonts w:ascii="Garamond" w:hAnsi="Garamond"/>
          <w:color w:val="000000" w:themeColor="text1"/>
          <w:lang w:val="en-US"/>
        </w:rPr>
        <w:t xml:space="preserve">The third dimension translates the operational advantages of private debt into concrete advisory criteria. </w:t>
      </w:r>
      <w:r>
        <w:rPr>
          <w:rFonts w:ascii="Garamond" w:hAnsi="Garamond"/>
          <w:color w:val="000000" w:themeColor="text1"/>
          <w:lang w:val="en-US"/>
        </w:rPr>
        <w:t>Concerning</w:t>
      </w:r>
      <w:r w:rsidRPr="00633C2A">
        <w:rPr>
          <w:rFonts w:ascii="Garamond" w:hAnsi="Garamond"/>
          <w:color w:val="000000" w:themeColor="text1"/>
          <w:lang w:val="en-US"/>
        </w:rPr>
        <w:t xml:space="preserve"> speed of execution, </w:t>
      </w:r>
      <w:r w:rsidR="00593AF0">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 AuthorYear="1"&gt;&lt;Author&gt;Blackstone&lt;/Author&gt;&lt;Year&gt;2025&lt;/Year&gt;&lt;RecNum&gt;74&lt;/RecNum&gt;&lt;DisplayText&gt;Blackstone (2025)&lt;/DisplayText&gt;&lt;record&gt;&lt;rec-number&gt;74&lt;/rec-number&gt;&lt;foreign-keys&gt;&lt;key app="EN" db-id="x2z5xfr9jx5dwcef50b5eedwwwr9x5pperdz" timestamp="1778068434"&gt;74&lt;/key&gt;&lt;/foreign-keys&gt;&lt;ref-type name="Web Page"&gt;12&lt;/ref-type&gt;&lt;contributors&gt;&lt;authors&gt;&lt;author&gt;Blackstone&lt;/author&gt;&lt;/authors&gt;&lt;/contributors&gt;&lt;titles&gt;&lt;title&gt;Essentials of Private Credit&lt;/title&gt;&lt;/titles&gt;&lt;dates&gt;&lt;year&gt;2025&lt;/year&gt;&lt;/dates&gt;&lt;urls&gt;&lt;related-urls&gt;&lt;url&gt;https://www.blackstone.com/en-emea/pws/essentials-of-private-credit/&lt;/url&gt;&lt;/related-urls&gt;&lt;/urls&gt;&lt;/record&gt;&lt;/Cite&gt;&lt;/EndNote&gt;</w:instrText>
      </w:r>
      <w:r w:rsidR="00593AF0">
        <w:rPr>
          <w:rFonts w:ascii="Garamond" w:hAnsi="Garamond"/>
          <w:color w:val="000000" w:themeColor="text1"/>
          <w:lang w:val="en-US"/>
        </w:rPr>
        <w:fldChar w:fldCharType="separate"/>
      </w:r>
      <w:r w:rsidR="00593AF0" w:rsidRPr="00F551EC">
        <w:rPr>
          <w:rFonts w:ascii="Garamond" w:hAnsi="Garamond"/>
          <w:noProof/>
          <w:color w:val="000000" w:themeColor="text1"/>
          <w:lang w:val="en-US"/>
        </w:rPr>
        <w:t>Blackstone (2025)</w:t>
      </w:r>
      <w:r w:rsidR="00593AF0">
        <w:rPr>
          <w:rFonts w:ascii="Garamond" w:hAnsi="Garamond"/>
          <w:color w:val="000000" w:themeColor="text1"/>
          <w:lang w:val="en-US"/>
        </w:rPr>
        <w:fldChar w:fldCharType="end"/>
      </w:r>
      <w:r w:rsidR="005C5376">
        <w:rPr>
          <w:rFonts w:ascii="Garamond" w:hAnsi="Garamond"/>
          <w:color w:val="000000" w:themeColor="text1"/>
          <w:lang w:val="en-US"/>
        </w:rPr>
        <w:t xml:space="preserve"> </w:t>
      </w:r>
      <w:r w:rsidRPr="00633C2A">
        <w:rPr>
          <w:rFonts w:ascii="Garamond" w:hAnsi="Garamond"/>
          <w:color w:val="000000" w:themeColor="text1"/>
          <w:lang w:val="en-US"/>
        </w:rPr>
        <w:t>note that private debt transactions are completed in four to eight weeks, compared with syndicated financing, which takes between three and six months. According to</w:t>
      </w:r>
      <w:r w:rsidR="0049121D">
        <w:rPr>
          <w:rFonts w:ascii="Garamond" w:hAnsi="Garamond"/>
          <w:color w:val="000000" w:themeColor="text1"/>
          <w:lang w:val="en-US"/>
        </w:rPr>
        <w:t xml:space="preserve"> </w:t>
      </w:r>
      <w:r w:rsidR="00593AF0">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 AuthorYear="1"&gt;&lt;Author&gt;N. Sambur&lt;/Author&gt;&lt;Year&gt;2025&lt;/Year&gt;&lt;RecNum&gt;73&lt;/RecNum&gt;&lt;DisplayText&gt;N. Sambur and Minorini (2025)&lt;/DisplayText&gt;&lt;record&gt;&lt;rec-number&gt;73&lt;/rec-number&gt;&lt;foreign-keys&gt;&lt;key app="EN" db-id="x2z5xfr9jx5dwcef50b5eedwwwr9x5pperdz" timestamp="1778068235"&gt;73&lt;/key&gt;&lt;/foreign-keys&gt;&lt;ref-type name="Journal Article"&gt;17&lt;/ref-type&gt;&lt;contributors&gt;&lt;authors&gt;&lt;author&gt;N. Sambur, Keith&lt;/author&gt;&lt;author&gt;Minorini, Sean&lt;/author&gt;&lt;/authors&gt;&lt;/contributors&gt;&lt;titles&gt;&lt;title&gt;The Private Credit Surge: Implications for Sponsors, Borrowers and Traditional Lending Structures&lt;/title&gt;&lt;secondary-title&gt;ABF Journal&lt;/secondary-title&gt;&lt;/titles&gt;&lt;periodical&gt;&lt;full-title&gt;ABF Journal&lt;/full-title&gt;&lt;/periodical&gt;&lt;dates&gt;&lt;year&gt;2025&lt;/year&gt;&lt;/dates&gt;&lt;urls&gt;&lt;related-urls&gt;&lt;url&gt;https://www.hklaw.com/en/insights/publications/2025/08/the-private-credit-surge-implications-for-sponsors&lt;/url&gt;&lt;/related-urls&gt;&lt;/urls&gt;&lt;/record&gt;&lt;/Cite&gt;&lt;/EndNote&gt;</w:instrText>
      </w:r>
      <w:r w:rsidR="00593AF0">
        <w:rPr>
          <w:rFonts w:ascii="Garamond" w:hAnsi="Garamond"/>
          <w:color w:val="000000" w:themeColor="text1"/>
          <w:lang w:val="en-US"/>
        </w:rPr>
        <w:fldChar w:fldCharType="separate"/>
      </w:r>
      <w:r w:rsidR="00593AF0" w:rsidRPr="00F551EC">
        <w:rPr>
          <w:rFonts w:ascii="Garamond" w:hAnsi="Garamond"/>
          <w:noProof/>
          <w:color w:val="000000" w:themeColor="text1"/>
          <w:lang w:val="en-US"/>
        </w:rPr>
        <w:t>N. Sambur and Minorini (2025)</w:t>
      </w:r>
      <w:r w:rsidR="00593AF0">
        <w:rPr>
          <w:rFonts w:ascii="Garamond" w:hAnsi="Garamond"/>
          <w:color w:val="000000" w:themeColor="text1"/>
          <w:lang w:val="en-US"/>
        </w:rPr>
        <w:fldChar w:fldCharType="end"/>
      </w:r>
      <w:r w:rsidRPr="00633C2A">
        <w:rPr>
          <w:rFonts w:ascii="Garamond" w:hAnsi="Garamond"/>
          <w:color w:val="000000" w:themeColor="text1"/>
          <w:lang w:val="en-US"/>
        </w:rPr>
        <w:t xml:space="preserve">, the certainty of financing is the determining factor in borrowers’ preferences in competitive M&amp;A scenarios, as the terms of the syndicated deal are only known after the book-building process has been completed. In terms of flexibility, </w:t>
      </w:r>
      <w:proofErr w:type="spellStart"/>
      <w:r w:rsidRPr="00633C2A">
        <w:rPr>
          <w:rFonts w:ascii="Garamond" w:hAnsi="Garamond"/>
          <w:color w:val="000000" w:themeColor="text1"/>
          <w:lang w:val="en-US"/>
        </w:rPr>
        <w:t>unitranche</w:t>
      </w:r>
      <w:proofErr w:type="spellEnd"/>
      <w:r w:rsidRPr="00633C2A">
        <w:rPr>
          <w:rFonts w:ascii="Garamond" w:hAnsi="Garamond"/>
          <w:color w:val="000000" w:themeColor="text1"/>
          <w:lang w:val="en-US"/>
        </w:rPr>
        <w:t xml:space="preserve"> financing has some advantages that make capital structure easier and faster, as reported by </w:t>
      </w:r>
      <w:r w:rsidR="00593AF0">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 AuthorYear="1"&gt;&lt;Author&gt;CAIA Association&lt;/Author&gt;&lt;Year&gt;2024&lt;/Year&gt;&lt;RecNum&gt;66&lt;/RecNum&gt;&lt;DisplayText&gt;CAIA Association (2024)&lt;/DisplayText&gt;&lt;record&gt;&lt;rec-number&gt;66&lt;/rec-number&gt;&lt;foreign-keys&gt;&lt;key app="EN" db-id="x2z5xfr9jx5dwcef50b5eedwwwr9x5pperdz" timestamp="1769386631"&gt;66&lt;/key&gt;&lt;/foreign-keys&gt;&lt;ref-type name="Report"&gt;27&lt;/ref-type&gt;&lt;contributors&gt;&lt;authors&gt;&lt;author&gt;CAIA Association,&lt;/author&gt;&lt;/authors&gt;&lt;/contributors&gt;&lt;titles&gt;&lt;title&gt;Private credit and distressed debt&lt;/title&gt;&lt;/titles&gt;&lt;dates&gt;&lt;year&gt;2024&lt;/year&gt;&lt;/dates&gt;&lt;publisher&gt;CAIA Association&lt;/publisher&gt;&lt;urls&gt;&lt;related-urls&gt;&lt;url&gt;https://caia.org/sites/default/files/2024-02/Private%20Credit%20and%20Distressed%20Debt_0.pdf&lt;/url&gt;&lt;/related-urls&gt;&lt;/urls&gt;&lt;/record&gt;&lt;/Cite&gt;&lt;/EndNote&gt;</w:instrText>
      </w:r>
      <w:r w:rsidR="00593AF0">
        <w:rPr>
          <w:rFonts w:ascii="Garamond" w:hAnsi="Garamond"/>
          <w:color w:val="000000" w:themeColor="text1"/>
          <w:lang w:val="en-US"/>
        </w:rPr>
        <w:fldChar w:fldCharType="separate"/>
      </w:r>
      <w:r w:rsidR="00593AF0" w:rsidRPr="00F551EC">
        <w:rPr>
          <w:rFonts w:ascii="Garamond" w:hAnsi="Garamond"/>
          <w:noProof/>
          <w:color w:val="000000" w:themeColor="text1"/>
          <w:lang w:val="en-US"/>
        </w:rPr>
        <w:t>CAIA Association (2024)</w:t>
      </w:r>
      <w:r w:rsidR="00593AF0">
        <w:rPr>
          <w:rFonts w:ascii="Garamond" w:hAnsi="Garamond"/>
          <w:color w:val="000000" w:themeColor="text1"/>
          <w:lang w:val="en-US"/>
        </w:rPr>
        <w:fldChar w:fldCharType="end"/>
      </w:r>
      <w:r w:rsidR="00627FBA">
        <w:rPr>
          <w:rFonts w:ascii="Garamond" w:hAnsi="Garamond"/>
          <w:color w:val="000000" w:themeColor="text1"/>
          <w:lang w:val="en-US"/>
        </w:rPr>
        <w:t xml:space="preserve"> </w:t>
      </w:r>
      <w:r w:rsidRPr="00633C2A">
        <w:rPr>
          <w:rFonts w:ascii="Garamond" w:hAnsi="Garamond"/>
          <w:color w:val="000000" w:themeColor="text1"/>
          <w:lang w:val="en-US"/>
        </w:rPr>
        <w:t xml:space="preserve">and </w:t>
      </w:r>
      <w:r w:rsidR="00593AF0">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 AuthorYear="1"&gt;&lt;Author&gt;E. Bosman&lt;/Author&gt;&lt;Year&gt;2025&lt;/Year&gt;&lt;RecNum&gt;56&lt;/RecNum&gt;&lt;DisplayText&gt;E. Bosman et al. (2025)&lt;/DisplayText&gt;&lt;record&gt;&lt;rec-number&gt;56&lt;/rec-number&gt;&lt;foreign-keys&gt;&lt;key app="EN" db-id="x2z5xfr9jx5dwcef50b5eedwwwr9x5pperdz" timestamp="1769379970"&gt;56&lt;/key&gt;&lt;/foreign-keys&gt;&lt;ref-type name="Web Page"&gt;12&lt;/ref-type&gt;&lt;contributors&gt;&lt;authors&gt;&lt;author&gt;E. Bosman, Peter&lt;/author&gt;&lt;author&gt;A. McNeill, Tricia&lt;/author&gt;&lt;author&gt;S. Ishee, Zachary&lt;/author&gt;&lt;/authors&gt;&lt;/contributors&gt;&lt;titles&gt;&lt;title&gt;Unitranche Debt Structures: Practical Insights for Borrowers and Lenders&lt;/title&gt;&lt;/titles&gt;&lt;dates&gt;&lt;year&gt;2025&lt;/year&gt;&lt;/dates&gt;&lt;publisher&gt;Baker Donelson&lt;/publisher&gt;&lt;urls&gt;&lt;related-urls&gt;&lt;url&gt;https://www.bakerdonelson.com/unitranche-debt-structures-practical-insights-for-borrowers-and-lenders&lt;/url&gt;&lt;/related-urls&gt;&lt;/urls&gt;&lt;/record&gt;&lt;/Cite&gt;&lt;/EndNote&gt;</w:instrText>
      </w:r>
      <w:r w:rsidR="00593AF0">
        <w:rPr>
          <w:rFonts w:ascii="Garamond" w:hAnsi="Garamond"/>
          <w:color w:val="000000" w:themeColor="text1"/>
          <w:lang w:val="en-US"/>
        </w:rPr>
        <w:fldChar w:fldCharType="separate"/>
      </w:r>
      <w:r w:rsidR="00593AF0" w:rsidRPr="00F551EC">
        <w:rPr>
          <w:rFonts w:ascii="Garamond" w:hAnsi="Garamond"/>
          <w:noProof/>
          <w:color w:val="000000" w:themeColor="text1"/>
          <w:lang w:val="en-US"/>
        </w:rPr>
        <w:t>E. Bosman et al. (2025)</w:t>
      </w:r>
      <w:r w:rsidR="00593AF0">
        <w:rPr>
          <w:rFonts w:ascii="Garamond" w:hAnsi="Garamond"/>
          <w:color w:val="000000" w:themeColor="text1"/>
          <w:lang w:val="en-US"/>
        </w:rPr>
        <w:fldChar w:fldCharType="end"/>
      </w:r>
      <w:r w:rsidR="00627FBA">
        <w:rPr>
          <w:rFonts w:ascii="Garamond" w:hAnsi="Garamond"/>
          <w:color w:val="000000" w:themeColor="text1"/>
          <w:lang w:val="en-US"/>
        </w:rPr>
        <w:t>.</w:t>
      </w:r>
    </w:p>
    <w:p w14:paraId="310A0336" w14:textId="5E1460AD" w:rsidR="00633C2A" w:rsidRDefault="00633C2A" w:rsidP="00633C2A">
      <w:pPr>
        <w:spacing w:line="360" w:lineRule="auto"/>
        <w:ind w:firstLine="360"/>
        <w:jc w:val="both"/>
        <w:rPr>
          <w:rFonts w:ascii="Garamond" w:hAnsi="Garamond"/>
          <w:color w:val="000000" w:themeColor="text1"/>
          <w:lang w:val="en-US"/>
        </w:rPr>
      </w:pPr>
      <w:r w:rsidRPr="00633C2A">
        <w:rPr>
          <w:rFonts w:ascii="Garamond" w:hAnsi="Garamond"/>
          <w:color w:val="000000" w:themeColor="text1"/>
          <w:lang w:val="en-US"/>
        </w:rPr>
        <w:t>When it comes to covenants, according to</w:t>
      </w:r>
      <w:r w:rsidR="00F46F9C">
        <w:rPr>
          <w:rFonts w:ascii="Garamond" w:hAnsi="Garamond"/>
          <w:color w:val="000000" w:themeColor="text1"/>
          <w:lang w:val="en-US"/>
        </w:rPr>
        <w:t xml:space="preserve"> </w:t>
      </w:r>
      <w:r w:rsidR="00593AF0">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 AuthorYear="1"&gt;&lt;Author&gt;Lalafaryan&lt;/Author&gt;&lt;Year&gt;2024&lt;/Year&gt;&lt;RecNum&gt;41&lt;/RecNum&gt;&lt;DisplayText&gt;Lalafaryan (2024)&lt;/DisplayText&gt;&lt;record&gt;&lt;rec-number&gt;41&lt;/rec-number&gt;&lt;foreign-keys&gt;&lt;key app="EN" db-id="x2z5xfr9jx5dwcef50b5eedwwwr9x5pperdz" timestamp="1767097125"&gt;41&lt;/key&gt;&lt;/foreign-keys&gt;&lt;ref-type name="Journal Article"&gt;17&lt;/ref-type&gt;&lt;contributors&gt;&lt;authors&gt;&lt;author&gt;Lalafaryan, Narine&lt;/author&gt;&lt;/authors&gt;&lt;/contributors&gt;&lt;titles&gt;&lt;title&gt;Private credit: a renaissance in corporate finance&lt;/title&gt;&lt;secondary-title&gt;Journal of Corporate Law Studies&lt;/secondary-title&gt;&lt;/titles&gt;&lt;periodical&gt;&lt;full-title&gt;Journal of Corporate Law Studies&lt;/full-title&gt;&lt;/periodical&gt;&lt;pages&gt;41-95&lt;/pages&gt;&lt;volume&gt;24&lt;/volume&gt;&lt;number&gt;1&lt;/number&gt;&lt;dates&gt;&lt;year&gt;2024&lt;/year&gt;&lt;pub-dates&gt;&lt;date&gt;2024/01/02&lt;/date&gt;&lt;/pub-dates&gt;&lt;/dates&gt;&lt;publisher&gt;Routledge&lt;/publisher&gt;&lt;isbn&gt;1473-5970&lt;/isbn&gt;&lt;urls&gt;&lt;related-urls&gt;&lt;url&gt;https://doi.org/10.1080/14735970.2024.2351230&lt;/url&gt;&lt;/related-urls&gt;&lt;/urls&gt;&lt;electronic-resource-num&gt;10.1080/14735970.2024.2351230&lt;/electronic-resource-num&gt;&lt;/record&gt;&lt;/Cite&gt;&lt;/EndNote&gt;</w:instrText>
      </w:r>
      <w:r w:rsidR="00593AF0">
        <w:rPr>
          <w:rFonts w:ascii="Garamond" w:hAnsi="Garamond"/>
          <w:color w:val="000000" w:themeColor="text1"/>
          <w:lang w:val="en-US"/>
        </w:rPr>
        <w:fldChar w:fldCharType="separate"/>
      </w:r>
      <w:r w:rsidR="00593AF0" w:rsidRPr="00F551EC">
        <w:rPr>
          <w:rFonts w:ascii="Garamond" w:hAnsi="Garamond"/>
          <w:noProof/>
          <w:color w:val="000000" w:themeColor="text1"/>
          <w:lang w:val="en-US"/>
        </w:rPr>
        <w:t>Lalafaryan (2024)</w:t>
      </w:r>
      <w:r w:rsidR="00593AF0">
        <w:rPr>
          <w:rFonts w:ascii="Garamond" w:hAnsi="Garamond"/>
          <w:color w:val="000000" w:themeColor="text1"/>
          <w:lang w:val="en-US"/>
        </w:rPr>
        <w:fldChar w:fldCharType="end"/>
      </w:r>
      <w:r w:rsidRPr="00633C2A">
        <w:rPr>
          <w:rFonts w:ascii="Garamond" w:hAnsi="Garamond"/>
          <w:color w:val="000000" w:themeColor="text1"/>
          <w:lang w:val="en-US"/>
        </w:rPr>
        <w:t xml:space="preserve"> and</w:t>
      </w:r>
      <w:r w:rsidR="00F46F9C">
        <w:rPr>
          <w:rFonts w:ascii="Garamond" w:hAnsi="Garamond"/>
          <w:color w:val="000000" w:themeColor="text1"/>
          <w:lang w:val="en-US"/>
        </w:rPr>
        <w:t xml:space="preserve"> </w:t>
      </w:r>
      <w:r w:rsidR="00593AF0">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 AuthorYear="1"&gt;&lt;Author&gt;Jang&lt;/Author&gt;&lt;Year&gt;2023&lt;/Year&gt;&lt;RecNum&gt;32&lt;/RecNum&gt;&lt;DisplayText&gt;Jang (2023)&lt;/DisplayText&gt;&lt;record&gt;&lt;rec-number&gt;32&lt;/rec-number&gt;&lt;foreign-keys&gt;&lt;key app="EN" db-id="x2z5xfr9jx5dwcef50b5eedwwwr9x5pperdz" timestamp="1764787277"&gt;32&lt;/key&gt;&lt;/foreign-keys&gt;&lt;ref-type name="Journal Article"&gt;17&lt;/ref-type&gt;&lt;contributors&gt;&lt;authors&gt;&lt;author&gt;Jang, Young&lt;/author&gt;&lt;/authors&gt;&lt;/contributors&gt;&lt;titles&gt;&lt;title&gt;Are Direct Lenders More Like Banks or Arm’s-Length Investors? Evidence from Loan Agreements and COVID-Related Distress&lt;/title&gt;&lt;secondary-title&gt;SSRN Electronic Journal&lt;/secondary-title&gt;&lt;/titles&gt;&lt;periodical&gt;&lt;full-title&gt;SSRN Electronic Journal&lt;/full-title&gt;&lt;/periodical&gt;&lt;dates&gt;&lt;year&gt;2023&lt;/year&gt;&lt;pub-dates&gt;&lt;date&gt;01/01&lt;/date&gt;&lt;/pub-dates&gt;&lt;/dates&gt;&lt;urls&gt;&lt;/urls&gt;&lt;electronic-resource-num&gt;10.2139/ssrn.4529656&lt;/electronic-resource-num&gt;&lt;/record&gt;&lt;/Cite&gt;&lt;/EndNote&gt;</w:instrText>
      </w:r>
      <w:r w:rsidR="00593AF0">
        <w:rPr>
          <w:rFonts w:ascii="Garamond" w:hAnsi="Garamond"/>
          <w:color w:val="000000" w:themeColor="text1"/>
          <w:lang w:val="en-US"/>
        </w:rPr>
        <w:fldChar w:fldCharType="separate"/>
      </w:r>
      <w:r w:rsidR="00593AF0" w:rsidRPr="00F551EC">
        <w:rPr>
          <w:rFonts w:ascii="Garamond" w:hAnsi="Garamond"/>
          <w:noProof/>
          <w:color w:val="000000" w:themeColor="text1"/>
          <w:lang w:val="en-US"/>
        </w:rPr>
        <w:t>Jang (2023)</w:t>
      </w:r>
      <w:r w:rsidR="00593AF0">
        <w:rPr>
          <w:rFonts w:ascii="Garamond" w:hAnsi="Garamond"/>
          <w:color w:val="000000" w:themeColor="text1"/>
          <w:lang w:val="en-US"/>
        </w:rPr>
        <w:fldChar w:fldCharType="end"/>
      </w:r>
      <w:r w:rsidRPr="00633C2A">
        <w:rPr>
          <w:rFonts w:ascii="Garamond" w:hAnsi="Garamond"/>
          <w:color w:val="000000" w:themeColor="text1"/>
          <w:lang w:val="en-US"/>
        </w:rPr>
        <w:t xml:space="preserve">, bilateral covenants are useful in the monitoring of borrowers and allowing proactive involvement on behalf of lenders. </w:t>
      </w:r>
      <w:r w:rsidR="00593AF0">
        <w:rPr>
          <w:rFonts w:ascii="Garamond" w:hAnsi="Garamond"/>
          <w:color w:val="000000" w:themeColor="text1"/>
          <w:lang w:val="en-US"/>
        </w:rPr>
        <w:fldChar w:fldCharType="begin"/>
      </w:r>
      <w:r w:rsidR="00593AF0">
        <w:rPr>
          <w:rFonts w:ascii="Garamond" w:hAnsi="Garamond"/>
          <w:color w:val="000000" w:themeColor="text1"/>
          <w:lang w:val="en-US"/>
        </w:rPr>
        <w:instrText xml:space="preserve"> ADDIN EN.CITE &lt;EndNote&gt;&lt;Cite AuthorYear="1"&gt;&lt;Author&gt;Gunter&lt;/Author&gt;&lt;Year&gt;2021&lt;/Year&gt;&lt;RecNum&gt;58&lt;/RecNum&gt;&lt;DisplayText&gt;Gunter et al. (2021)&lt;/DisplayText&gt;&lt;record&gt;&lt;rec-number&gt;58&lt;/rec-number&gt;&lt;foreign-keys&gt;&lt;key app="EN" db-id="x2z5xfr9jx5dwcef50b5eedwwwr9x5pperdz" timestamp="1769380414"&gt;58&lt;/key&gt;&lt;/foreign-keys&gt;&lt;ref-type name="Web Page"&gt;12&lt;/ref-type&gt;&lt;contributors&gt;&lt;authors&gt;&lt;author&gt;Gunter, Evan &lt;/author&gt;&lt;author&gt;Latour, Abby  &lt;/author&gt;&lt;author&gt;Maguire, Joe &lt;/author&gt;&lt;author&gt;Drury Byrne, Patrick&lt;/author&gt;&lt;author&gt;Lukatsky,  Marina &lt;/author&gt;&lt;author&gt;Carroll, Matt  &lt;/author&gt;&lt;author&gt;Campbell, Elizabeth  &lt;/author&gt;&lt;author&gt;Caglayan, Sebnem &lt;/author&gt;&lt;author&gt;Muthukrishan, Ramki &lt;/author&gt;&lt;/authors&gt;&lt;/contributors&gt;&lt;titles&gt;&lt;title&gt;Private Debt: A Lesser-Known Corner Of Finance Finds The Spotlight&lt;/title&gt;&lt;/titles&gt;&lt;dates&gt;&lt;year&gt;2021&lt;/year&gt;&lt;/dates&gt;&lt;publisher&gt;S&amp;amp;P Global&lt;/publisher&gt;&lt;urls&gt;&lt;related-urls&gt;&lt;url&gt;https://www.spglobal.com/en/research-insights/special-reports/private-debt&lt;/url&gt;&lt;/related-urls&gt;&lt;/urls&gt;&lt;/record&gt;&lt;/Cite&gt;&lt;/EndNote&gt;</w:instrText>
      </w:r>
      <w:r w:rsidR="00593AF0">
        <w:rPr>
          <w:rFonts w:ascii="Garamond" w:hAnsi="Garamond"/>
          <w:color w:val="000000" w:themeColor="text1"/>
          <w:lang w:val="en-US"/>
        </w:rPr>
        <w:fldChar w:fldCharType="separate"/>
      </w:r>
      <w:r w:rsidR="00593AF0" w:rsidRPr="00F551EC">
        <w:rPr>
          <w:rFonts w:ascii="Garamond" w:hAnsi="Garamond"/>
          <w:noProof/>
          <w:color w:val="000000" w:themeColor="text1"/>
          <w:lang w:val="en-US"/>
        </w:rPr>
        <w:t>Gunter et al. (2021)</w:t>
      </w:r>
      <w:r w:rsidR="00593AF0">
        <w:rPr>
          <w:rFonts w:ascii="Garamond" w:hAnsi="Garamond"/>
          <w:color w:val="000000" w:themeColor="text1"/>
          <w:lang w:val="en-US"/>
        </w:rPr>
        <w:fldChar w:fldCharType="end"/>
      </w:r>
      <w:r w:rsidRPr="00633C2A">
        <w:rPr>
          <w:rFonts w:ascii="Garamond" w:hAnsi="Garamond"/>
          <w:color w:val="000000" w:themeColor="text1"/>
          <w:lang w:val="en-US"/>
        </w:rPr>
        <w:t>demonstrate that these bilateral covenants performed well in cases of financial distress during the COVID-19 pandemic, compared to syndicated financing, offering immediate relief from covenants and low restructuring costs.</w:t>
      </w:r>
    </w:p>
    <w:p w14:paraId="4622DDA0" w14:textId="6F1D043F" w:rsidR="00633C2A" w:rsidRPr="00633C2A" w:rsidRDefault="00633C2A" w:rsidP="00633C2A">
      <w:pPr>
        <w:spacing w:line="360" w:lineRule="auto"/>
        <w:ind w:firstLine="360"/>
        <w:jc w:val="both"/>
        <w:rPr>
          <w:rFonts w:ascii="Garamond" w:hAnsi="Garamond"/>
          <w:color w:val="000000" w:themeColor="text1"/>
          <w:lang w:val="en-US"/>
        </w:rPr>
      </w:pPr>
      <w:r w:rsidRPr="00633C2A">
        <w:rPr>
          <w:rFonts w:ascii="Garamond" w:hAnsi="Garamond"/>
          <w:color w:val="000000" w:themeColor="text1"/>
          <w:lang w:val="en-US"/>
        </w:rPr>
        <w:t xml:space="preserve">As a general guideline in </w:t>
      </w:r>
      <w:r>
        <w:rPr>
          <w:rFonts w:ascii="Garamond" w:hAnsi="Garamond"/>
          <w:color w:val="000000" w:themeColor="text1"/>
          <w:lang w:val="en-US"/>
        </w:rPr>
        <w:t>this d</w:t>
      </w:r>
      <w:r w:rsidRPr="00633C2A">
        <w:rPr>
          <w:rFonts w:ascii="Garamond" w:hAnsi="Garamond"/>
          <w:color w:val="000000" w:themeColor="text1"/>
          <w:lang w:val="en-US"/>
        </w:rPr>
        <w:t>imension, private credit may offer maximum utility where speed and certainty of execution are critical</w:t>
      </w:r>
      <w:r w:rsidR="00E122A3">
        <w:rPr>
          <w:rFonts w:ascii="Garamond" w:hAnsi="Garamond"/>
          <w:color w:val="000000" w:themeColor="text1"/>
          <w:lang w:val="en-US"/>
        </w:rPr>
        <w:t>.</w:t>
      </w:r>
      <w:r w:rsidRPr="00633C2A">
        <w:rPr>
          <w:rFonts w:ascii="Garamond" w:hAnsi="Garamond"/>
          <w:color w:val="000000" w:themeColor="text1"/>
          <w:lang w:val="en-US"/>
        </w:rPr>
        <w:t xml:space="preserve"> </w:t>
      </w:r>
      <w:r w:rsidR="00E122A3">
        <w:rPr>
          <w:rFonts w:ascii="Garamond" w:hAnsi="Garamond"/>
          <w:color w:val="000000" w:themeColor="text1"/>
          <w:lang w:val="en-US"/>
        </w:rPr>
        <w:t>T</w:t>
      </w:r>
      <w:r w:rsidRPr="00633C2A">
        <w:rPr>
          <w:rFonts w:ascii="Garamond" w:hAnsi="Garamond"/>
          <w:color w:val="000000" w:themeColor="text1"/>
          <w:lang w:val="en-US"/>
        </w:rPr>
        <w:t xml:space="preserve">here must be certain attributes in the structure of the financing and the manner in which it is paid back, such as Payment </w:t>
      </w:r>
      <w:proofErr w:type="gramStart"/>
      <w:r w:rsidRPr="00633C2A">
        <w:rPr>
          <w:rFonts w:ascii="Garamond" w:hAnsi="Garamond"/>
          <w:color w:val="000000" w:themeColor="text1"/>
          <w:lang w:val="en-US"/>
        </w:rPr>
        <w:t>In</w:t>
      </w:r>
      <w:proofErr w:type="gramEnd"/>
      <w:r w:rsidRPr="00633C2A">
        <w:rPr>
          <w:rFonts w:ascii="Garamond" w:hAnsi="Garamond"/>
          <w:color w:val="000000" w:themeColor="text1"/>
          <w:lang w:val="en-US"/>
        </w:rPr>
        <w:t xml:space="preserve"> Kind (PIK), delayed drawdown, single repayment or </w:t>
      </w:r>
      <w:proofErr w:type="spellStart"/>
      <w:r w:rsidRPr="00633C2A">
        <w:rPr>
          <w:rFonts w:ascii="Garamond" w:hAnsi="Garamond"/>
          <w:color w:val="000000" w:themeColor="text1"/>
          <w:lang w:val="en-US"/>
        </w:rPr>
        <w:t>unitranche</w:t>
      </w:r>
      <w:proofErr w:type="spellEnd"/>
      <w:r w:rsidRPr="00633C2A">
        <w:rPr>
          <w:rFonts w:ascii="Garamond" w:hAnsi="Garamond"/>
          <w:color w:val="000000" w:themeColor="text1"/>
          <w:lang w:val="en-US"/>
        </w:rPr>
        <w:t>, which generally cannot be met under bank credits or where the level of leverage is above that of the bank’s appetite, but with a justifiable cash flow generation capacity.</w:t>
      </w:r>
    </w:p>
    <w:p w14:paraId="054B9904" w14:textId="77777777" w:rsidR="00342A29" w:rsidRPr="00273B5D" w:rsidRDefault="00342A29" w:rsidP="00342A29">
      <w:pPr>
        <w:rPr>
          <w:lang w:val="en-US"/>
        </w:rPr>
      </w:pPr>
    </w:p>
    <w:p w14:paraId="6D2F5191" w14:textId="062C0FA9" w:rsidR="001B730D" w:rsidRPr="00342A29" w:rsidRDefault="001B730D" w:rsidP="00342A29">
      <w:pPr>
        <w:rPr>
          <w:rFonts w:ascii="Garamond" w:hAnsi="Garamond"/>
          <w:b/>
          <w:bCs/>
          <w:lang w:val="en-US"/>
        </w:rPr>
      </w:pPr>
      <w:r w:rsidRPr="00342A29">
        <w:rPr>
          <w:rFonts w:ascii="Garamond" w:hAnsi="Garamond"/>
          <w:b/>
          <w:bCs/>
          <w:lang w:val="en-US"/>
        </w:rPr>
        <w:t>Dimension IV – Value-Adjusted Cost Assessment</w:t>
      </w:r>
    </w:p>
    <w:p w14:paraId="64A2A1E7" w14:textId="77777777" w:rsidR="008B7ED3" w:rsidRPr="008B7ED3" w:rsidRDefault="008B7ED3" w:rsidP="008B7ED3">
      <w:pPr>
        <w:rPr>
          <w:lang w:val="en-US"/>
        </w:rPr>
      </w:pPr>
    </w:p>
    <w:p w14:paraId="11FD6E28" w14:textId="77777777" w:rsidR="00FA5E80" w:rsidRPr="00FA5E80" w:rsidRDefault="00FA5E80" w:rsidP="00FA5E80">
      <w:pPr>
        <w:spacing w:line="360" w:lineRule="auto"/>
        <w:ind w:firstLine="360"/>
        <w:jc w:val="both"/>
        <w:rPr>
          <w:rFonts w:ascii="Garamond" w:hAnsi="Garamond"/>
          <w:color w:val="000000" w:themeColor="text1"/>
          <w:lang w:val="en-US"/>
        </w:rPr>
      </w:pPr>
      <w:r w:rsidRPr="00FA5E80">
        <w:rPr>
          <w:rFonts w:ascii="Garamond" w:hAnsi="Garamond"/>
          <w:color w:val="000000" w:themeColor="text1"/>
          <w:lang w:val="en-US"/>
        </w:rPr>
        <w:t xml:space="preserve">Finally, the fourth dimension of the model represents the quantification of the qualitative analysis carried out in Dimensions I to III, with a view to </w:t>
      </w:r>
      <w:proofErr w:type="spellStart"/>
      <w:r w:rsidRPr="00FA5E80">
        <w:rPr>
          <w:rFonts w:ascii="Garamond" w:hAnsi="Garamond"/>
          <w:color w:val="000000" w:themeColor="text1"/>
          <w:lang w:val="en-US"/>
        </w:rPr>
        <w:t>analysing</w:t>
      </w:r>
      <w:proofErr w:type="spellEnd"/>
      <w:r w:rsidRPr="00FA5E80">
        <w:rPr>
          <w:rFonts w:ascii="Garamond" w:hAnsi="Garamond"/>
          <w:color w:val="000000" w:themeColor="text1"/>
          <w:lang w:val="en-US"/>
        </w:rPr>
        <w:t xml:space="preserve"> costs. We can consider the fourth dimension to be the most complex, due to its technical nature and the difficulty </w:t>
      </w:r>
      <w:r w:rsidRPr="00FA5E80">
        <w:rPr>
          <w:rFonts w:ascii="Garamond" w:hAnsi="Garamond"/>
          <w:color w:val="000000" w:themeColor="text1"/>
          <w:lang w:val="en-US"/>
        </w:rPr>
        <w:lastRenderedPageBreak/>
        <w:t xml:space="preserve">in determining the correct value for a given solution. It involves developing a financing model that </w:t>
      </w:r>
      <w:proofErr w:type="gramStart"/>
      <w:r w:rsidRPr="00FA5E80">
        <w:rPr>
          <w:rFonts w:ascii="Garamond" w:hAnsi="Garamond"/>
          <w:color w:val="000000" w:themeColor="text1"/>
          <w:lang w:val="en-US"/>
        </w:rPr>
        <w:t>takes into account</w:t>
      </w:r>
      <w:proofErr w:type="gramEnd"/>
      <w:r w:rsidRPr="00FA5E80">
        <w:rPr>
          <w:rFonts w:ascii="Garamond" w:hAnsi="Garamond"/>
          <w:color w:val="000000" w:themeColor="text1"/>
          <w:lang w:val="en-US"/>
        </w:rPr>
        <w:t xml:space="preserve"> more than just a comparison of interest rates.</w:t>
      </w:r>
    </w:p>
    <w:p w14:paraId="4277ADC7" w14:textId="4889FBFE" w:rsidR="00FA5E80" w:rsidRPr="00FA5E80" w:rsidRDefault="00FA5E80" w:rsidP="00FA5E80">
      <w:pPr>
        <w:spacing w:line="360" w:lineRule="auto"/>
        <w:ind w:firstLine="360"/>
        <w:jc w:val="both"/>
        <w:rPr>
          <w:rFonts w:ascii="Garamond" w:hAnsi="Garamond"/>
          <w:color w:val="000000" w:themeColor="text1"/>
          <w:lang w:val="en-US"/>
        </w:rPr>
      </w:pPr>
      <w:r w:rsidRPr="00FA5E80">
        <w:rPr>
          <w:rFonts w:ascii="Garamond" w:hAnsi="Garamond"/>
          <w:color w:val="000000" w:themeColor="text1"/>
          <w:lang w:val="en-US"/>
        </w:rPr>
        <w:t xml:space="preserve">Compared with these official benchmarks, the indicative total cost of private credit for comparable Portuguese </w:t>
      </w:r>
      <w:proofErr w:type="gramStart"/>
      <w:r w:rsidRPr="00FA5E80">
        <w:rPr>
          <w:rFonts w:ascii="Garamond" w:hAnsi="Garamond"/>
          <w:color w:val="000000" w:themeColor="text1"/>
          <w:lang w:val="en-US"/>
        </w:rPr>
        <w:t>borrowers</w:t>
      </w:r>
      <w:proofErr w:type="gramEnd"/>
      <w:r w:rsidRPr="00FA5E80">
        <w:rPr>
          <w:rFonts w:ascii="Garamond" w:hAnsi="Garamond"/>
          <w:color w:val="000000" w:themeColor="text1"/>
          <w:lang w:val="en-US"/>
        </w:rPr>
        <w:t xml:space="preserve"> ranges from 7.1% to 9.6% in the core mid-market and lower mid-market segments, which corresponds to a cost differential of between 365 and 600 basis points for mid-market borrowers. </w:t>
      </w:r>
      <w:r w:rsidR="003862A5" w:rsidRPr="00B44389">
        <w:rPr>
          <w:rFonts w:ascii="Garamond" w:hAnsi="Garamond"/>
          <w:color w:val="000000" w:themeColor="text1"/>
          <w:lang w:val="en-US"/>
        </w:rPr>
        <w:t xml:space="preserve">In the case of non-sponsored </w:t>
      </w:r>
      <w:r w:rsidRPr="00FA5E80">
        <w:rPr>
          <w:rFonts w:ascii="Garamond" w:hAnsi="Garamond"/>
          <w:color w:val="000000" w:themeColor="text1"/>
          <w:lang w:val="en-US"/>
        </w:rPr>
        <w:t>Portuguese SMEs, this spread ranges between 5</w:t>
      </w:r>
      <w:r w:rsidR="003B51A4">
        <w:rPr>
          <w:rFonts w:ascii="Garamond" w:hAnsi="Garamond"/>
          <w:color w:val="000000" w:themeColor="text1"/>
          <w:lang w:val="en-US"/>
        </w:rPr>
        <w:t>5</w:t>
      </w:r>
      <w:r w:rsidRPr="00FA5E80">
        <w:rPr>
          <w:rFonts w:ascii="Garamond" w:hAnsi="Garamond"/>
          <w:color w:val="000000" w:themeColor="text1"/>
          <w:lang w:val="en-US"/>
        </w:rPr>
        <w:t>0 and 7</w:t>
      </w:r>
      <w:r w:rsidR="003B51A4">
        <w:rPr>
          <w:rFonts w:ascii="Garamond" w:hAnsi="Garamond"/>
          <w:color w:val="000000" w:themeColor="text1"/>
          <w:lang w:val="en-US"/>
        </w:rPr>
        <w:t>0</w:t>
      </w:r>
      <w:r w:rsidRPr="00FA5E80">
        <w:rPr>
          <w:rFonts w:ascii="Garamond" w:hAnsi="Garamond"/>
          <w:color w:val="000000" w:themeColor="text1"/>
          <w:lang w:val="en-US"/>
        </w:rPr>
        <w:t>0 basis points, as shown in Table 3.</w:t>
      </w:r>
    </w:p>
    <w:p w14:paraId="04527C72" w14:textId="36A457BD" w:rsidR="00FA5E80" w:rsidRPr="00FA5E80" w:rsidRDefault="00FA5E80" w:rsidP="00FA5E80">
      <w:pPr>
        <w:spacing w:line="360" w:lineRule="auto"/>
        <w:ind w:firstLine="360"/>
        <w:jc w:val="both"/>
        <w:rPr>
          <w:rFonts w:ascii="Garamond" w:hAnsi="Garamond"/>
          <w:color w:val="000000" w:themeColor="text1"/>
          <w:lang w:val="en-US"/>
        </w:rPr>
      </w:pPr>
      <w:r w:rsidRPr="00FA5E80">
        <w:rPr>
          <w:rFonts w:ascii="Garamond" w:hAnsi="Garamond"/>
          <w:color w:val="000000" w:themeColor="text1"/>
          <w:lang w:val="en-US"/>
        </w:rPr>
        <w:t xml:space="preserve">The main analytical contribution of this aspect lies in the idea that this spread should be </w:t>
      </w:r>
      <w:proofErr w:type="spellStart"/>
      <w:r w:rsidRPr="00FA5E80">
        <w:rPr>
          <w:rFonts w:ascii="Garamond" w:hAnsi="Garamond"/>
          <w:color w:val="000000" w:themeColor="text1"/>
          <w:lang w:val="en-US"/>
        </w:rPr>
        <w:t>analysed</w:t>
      </w:r>
      <w:proofErr w:type="spellEnd"/>
      <w:r w:rsidRPr="00FA5E80">
        <w:rPr>
          <w:rFonts w:ascii="Garamond" w:hAnsi="Garamond"/>
          <w:color w:val="000000" w:themeColor="text1"/>
          <w:lang w:val="en-US"/>
        </w:rPr>
        <w:t xml:space="preserve"> from a perspective adjusted to the value </w:t>
      </w:r>
      <w:proofErr w:type="gramStart"/>
      <w:r w:rsidRPr="00FA5E80">
        <w:rPr>
          <w:rFonts w:ascii="Garamond" w:hAnsi="Garamond"/>
          <w:color w:val="000000" w:themeColor="text1"/>
          <w:lang w:val="en-US"/>
        </w:rPr>
        <w:t>actually generated</w:t>
      </w:r>
      <w:proofErr w:type="gramEnd"/>
      <w:r w:rsidRPr="00FA5E80">
        <w:rPr>
          <w:rFonts w:ascii="Garamond" w:hAnsi="Garamond"/>
          <w:color w:val="000000" w:themeColor="text1"/>
          <w:lang w:val="en-US"/>
        </w:rPr>
        <w:t xml:space="preserve">, rather than merely from a nominal standpoint. A comparison based exclusively on interest rates, which concludes that private credit carries </w:t>
      </w:r>
      <w:r w:rsidR="00443B1A" w:rsidRPr="00B44389">
        <w:rPr>
          <w:rFonts w:ascii="Garamond" w:hAnsi="Garamond"/>
          <w:color w:val="000000" w:themeColor="text1"/>
          <w:lang w:val="en-US"/>
        </w:rPr>
        <w:t xml:space="preserve">a cost roughly 400 to 500 basis points higher </w:t>
      </w:r>
      <w:r w:rsidRPr="00FA5E80">
        <w:rPr>
          <w:rFonts w:ascii="Garamond" w:hAnsi="Garamond"/>
          <w:color w:val="000000" w:themeColor="text1"/>
          <w:lang w:val="en-US"/>
        </w:rPr>
        <w:t>than bank debt, could lead to the perception that this solution would hardly be economically rational for firms with access to traditional financing. However, this interpretation may be simplistic for two reasons.</w:t>
      </w:r>
    </w:p>
    <w:p w14:paraId="6B7CCA06" w14:textId="11FD3549" w:rsidR="00FA5E80" w:rsidRPr="00FA5E80" w:rsidRDefault="00FA5E80" w:rsidP="00FA5E80">
      <w:pPr>
        <w:spacing w:line="360" w:lineRule="auto"/>
        <w:ind w:firstLine="360"/>
        <w:jc w:val="both"/>
        <w:rPr>
          <w:rFonts w:ascii="Garamond" w:hAnsi="Garamond"/>
          <w:color w:val="000000" w:themeColor="text1"/>
          <w:lang w:val="en-US"/>
        </w:rPr>
      </w:pPr>
      <w:r w:rsidRPr="00FA5E80">
        <w:rPr>
          <w:rFonts w:ascii="Garamond" w:hAnsi="Garamond"/>
          <w:color w:val="000000" w:themeColor="text1"/>
          <w:lang w:val="en-US"/>
        </w:rPr>
        <w:t xml:space="preserve">Firstly, as discussed in Dimension II, the premise that bank financing is available on competitive terms does not always hold true in the context of the </w:t>
      </w:r>
      <w:r w:rsidR="00E7718B" w:rsidRPr="00B44389">
        <w:rPr>
          <w:rFonts w:ascii="Garamond" w:hAnsi="Garamond"/>
          <w:color w:val="000000" w:themeColor="text1"/>
          <w:lang w:val="en-US"/>
        </w:rPr>
        <w:t>Portuguese mid-market.</w:t>
      </w:r>
      <w:r w:rsidRPr="00FA5E80">
        <w:rPr>
          <w:rFonts w:ascii="Garamond" w:hAnsi="Garamond"/>
          <w:color w:val="000000" w:themeColor="text1"/>
          <w:lang w:val="en-US"/>
        </w:rPr>
        <w:t xml:space="preserve"> In more leveraged transactions, associated with acquisitions or of greater structural complexity, the choice is rarely between private credit and bank credit</w:t>
      </w:r>
      <w:r w:rsidR="001F5FB0">
        <w:rPr>
          <w:rFonts w:ascii="Garamond" w:hAnsi="Garamond"/>
          <w:color w:val="000000" w:themeColor="text1"/>
          <w:lang w:val="en-US"/>
        </w:rPr>
        <w:t>,</w:t>
      </w:r>
      <w:r w:rsidRPr="00FA5E80">
        <w:rPr>
          <w:rFonts w:ascii="Garamond" w:hAnsi="Garamond"/>
          <w:color w:val="000000" w:themeColor="text1"/>
          <w:lang w:val="en-US"/>
        </w:rPr>
        <w:t xml:space="preserve"> in many cases, the real alternative is between resorting to private credit or not obtaining financing at all.</w:t>
      </w:r>
    </w:p>
    <w:p w14:paraId="2D5F3341" w14:textId="4915CA0E" w:rsidR="00FA5E80" w:rsidRPr="00FA5E80" w:rsidRDefault="00FA5E80" w:rsidP="00FA5E80">
      <w:pPr>
        <w:spacing w:line="360" w:lineRule="auto"/>
        <w:ind w:firstLine="360"/>
        <w:jc w:val="both"/>
        <w:rPr>
          <w:rFonts w:ascii="Garamond" w:hAnsi="Garamond"/>
          <w:color w:val="000000" w:themeColor="text1"/>
          <w:lang w:val="en-US"/>
        </w:rPr>
      </w:pPr>
      <w:r w:rsidRPr="00FA5E80">
        <w:rPr>
          <w:rFonts w:ascii="Garamond" w:hAnsi="Garamond"/>
          <w:color w:val="000000" w:themeColor="text1"/>
          <w:lang w:val="en-US"/>
        </w:rPr>
        <w:t>Secondly, even when bank financing is practically within reach, certain features associated with private credit</w:t>
      </w:r>
      <w:r w:rsidR="00B46575">
        <w:rPr>
          <w:rFonts w:ascii="Garamond" w:hAnsi="Garamond"/>
          <w:color w:val="000000" w:themeColor="text1"/>
          <w:lang w:val="en-US"/>
        </w:rPr>
        <w:t xml:space="preserve">, </w:t>
      </w:r>
      <w:r w:rsidRPr="00FA5E80">
        <w:rPr>
          <w:rFonts w:ascii="Garamond" w:hAnsi="Garamond"/>
          <w:color w:val="000000" w:themeColor="text1"/>
          <w:lang w:val="en-US"/>
        </w:rPr>
        <w:t>such as greater certainty of enforcement, bullet repayment structures, payment-in-kind (PIK) mechanisms, the possibility of deferred drawdown and the absence of syndication risk</w:t>
      </w:r>
      <w:r w:rsidR="00B46575">
        <w:rPr>
          <w:rFonts w:ascii="Garamond" w:hAnsi="Garamond"/>
          <w:color w:val="000000" w:themeColor="text1"/>
          <w:lang w:val="en-US"/>
        </w:rPr>
        <w:t xml:space="preserve">, </w:t>
      </w:r>
      <w:r w:rsidRPr="00FA5E80">
        <w:rPr>
          <w:rFonts w:ascii="Garamond" w:hAnsi="Garamond"/>
          <w:color w:val="000000" w:themeColor="text1"/>
          <w:lang w:val="en-US"/>
        </w:rPr>
        <w:t xml:space="preserve">can generate additional benefits, in contrast to mere bank financing. These elements add value to the </w:t>
      </w:r>
      <w:proofErr w:type="gramStart"/>
      <w:r w:rsidRPr="00FA5E80">
        <w:rPr>
          <w:rFonts w:ascii="Garamond" w:hAnsi="Garamond"/>
          <w:color w:val="000000" w:themeColor="text1"/>
          <w:lang w:val="en-US"/>
        </w:rPr>
        <w:t>transaction, but</w:t>
      </w:r>
      <w:proofErr w:type="gramEnd"/>
      <w:r w:rsidRPr="00FA5E80">
        <w:rPr>
          <w:rFonts w:ascii="Garamond" w:hAnsi="Garamond"/>
          <w:color w:val="000000" w:themeColor="text1"/>
          <w:lang w:val="en-US"/>
        </w:rPr>
        <w:t xml:space="preserve"> are unlikely to be captured by a comparison focused solely on the nominal interest rate spread.</w:t>
      </w:r>
    </w:p>
    <w:p w14:paraId="7F5203FF" w14:textId="77777777" w:rsidR="00AF69B6" w:rsidRDefault="00FA5E80" w:rsidP="00FA5E80">
      <w:pPr>
        <w:spacing w:line="360" w:lineRule="auto"/>
        <w:ind w:firstLine="360"/>
        <w:jc w:val="both"/>
        <w:rPr>
          <w:rFonts w:ascii="Garamond" w:hAnsi="Garamond"/>
          <w:color w:val="000000" w:themeColor="text1"/>
          <w:lang w:val="en-US"/>
        </w:rPr>
      </w:pPr>
      <w:r w:rsidRPr="00FA5E80">
        <w:rPr>
          <w:rFonts w:ascii="Garamond" w:hAnsi="Garamond"/>
          <w:color w:val="000000" w:themeColor="text1"/>
          <w:lang w:val="en-US"/>
        </w:rPr>
        <w:t xml:space="preserve">In any case where private credit could be considered as a viable alternative, the consultant will have to come up with a financing plan consisting of three separate scenarios, which must all be examined </w:t>
      </w:r>
      <w:proofErr w:type="gramStart"/>
      <w:r w:rsidRPr="00FA5E80">
        <w:rPr>
          <w:rFonts w:ascii="Garamond" w:hAnsi="Garamond"/>
          <w:color w:val="000000" w:themeColor="text1"/>
          <w:lang w:val="en-US"/>
        </w:rPr>
        <w:t>in order to</w:t>
      </w:r>
      <w:proofErr w:type="gramEnd"/>
      <w:r w:rsidRPr="00FA5E80">
        <w:rPr>
          <w:rFonts w:ascii="Garamond" w:hAnsi="Garamond"/>
          <w:color w:val="000000" w:themeColor="text1"/>
          <w:lang w:val="en-US"/>
        </w:rPr>
        <w:t xml:space="preserve"> see which one is best.</w:t>
      </w:r>
    </w:p>
    <w:p w14:paraId="383E0DD2" w14:textId="4E5BEB17" w:rsidR="00FA5E80" w:rsidRPr="00FA5E80" w:rsidRDefault="00FA5E80" w:rsidP="00FA5E80">
      <w:pPr>
        <w:spacing w:line="360" w:lineRule="auto"/>
        <w:ind w:firstLine="360"/>
        <w:jc w:val="both"/>
        <w:rPr>
          <w:rFonts w:ascii="Garamond" w:hAnsi="Garamond"/>
          <w:color w:val="000000" w:themeColor="text1"/>
          <w:lang w:val="en-US"/>
        </w:rPr>
      </w:pPr>
      <w:r w:rsidRPr="00FA5E80">
        <w:rPr>
          <w:rFonts w:ascii="Garamond" w:hAnsi="Garamond"/>
          <w:color w:val="000000" w:themeColor="text1"/>
          <w:lang w:val="en-US"/>
        </w:rPr>
        <w:t xml:space="preserve">Scenario A can be described as the renegotiation of an existing credit line from Portuguese banks using official Bank of Portugal interest rates as the benchmark. Next, Scenario B considers a solution based entirely on private credit, with pricing determined in accordance with the market interest rates shown in Table 2, which are always updated to reflect the interest rates in force during the corresponding period. Scenario C, in turn, </w:t>
      </w:r>
      <w:r w:rsidRPr="00FA5E80">
        <w:rPr>
          <w:rFonts w:ascii="Garamond" w:hAnsi="Garamond"/>
          <w:color w:val="000000" w:themeColor="text1"/>
          <w:lang w:val="en-US"/>
        </w:rPr>
        <w:lastRenderedPageBreak/>
        <w:t>assumes a hybrid structure, combining a senior bank tranche with a private credit component. This approach may prove more cost-efficient in cases where there is partial availability from banks, but where the quantitative requirements or the complexity of the transaction exceed what bank financing alone can support.</w:t>
      </w:r>
    </w:p>
    <w:p w14:paraId="3FA4F686" w14:textId="77777777" w:rsidR="00FA5E80" w:rsidRPr="00FA5E80" w:rsidRDefault="00FA5E80" w:rsidP="00FA5E80">
      <w:pPr>
        <w:spacing w:line="360" w:lineRule="auto"/>
        <w:ind w:firstLine="360"/>
        <w:jc w:val="both"/>
        <w:rPr>
          <w:rFonts w:ascii="Garamond" w:hAnsi="Garamond"/>
          <w:color w:val="000000" w:themeColor="text1"/>
          <w:lang w:val="en-US"/>
        </w:rPr>
      </w:pPr>
      <w:r w:rsidRPr="00FA5E80">
        <w:rPr>
          <w:rFonts w:ascii="Garamond" w:hAnsi="Garamond"/>
          <w:color w:val="000000" w:themeColor="text1"/>
          <w:lang w:val="en-US"/>
        </w:rPr>
        <w:t xml:space="preserve">Each of these scenarios should be tested </w:t>
      </w:r>
      <w:proofErr w:type="gramStart"/>
      <w:r w:rsidRPr="00FA5E80">
        <w:rPr>
          <w:rFonts w:ascii="Garamond" w:hAnsi="Garamond"/>
          <w:color w:val="000000" w:themeColor="text1"/>
          <w:lang w:val="en-US"/>
        </w:rPr>
        <w:t>in order to</w:t>
      </w:r>
      <w:proofErr w:type="gramEnd"/>
      <w:r w:rsidRPr="00FA5E80">
        <w:rPr>
          <w:rFonts w:ascii="Garamond" w:hAnsi="Garamond"/>
          <w:color w:val="000000" w:themeColor="text1"/>
          <w:lang w:val="en-US"/>
        </w:rPr>
        <w:t xml:space="preserve"> recommend the best solution for each client. To this end, the model should estimate the total annual cost of financing, the implied debt service coverage ratio and the interest coverage ratio, both in a base case scenario and in a plausible adverse scenario. The free cash flow available after meeting debt service obligations should be calculated. In the case of acquisitions or transactions involving financial leverage, the analysis should also include a quantification of the value created or destroyed for shareholders as a function of the additional cost of financing, thereby enabling an assessment of whether the premium associated with private credit is effectively offset by the economic value generated by the transaction.</w:t>
      </w:r>
    </w:p>
    <w:p w14:paraId="3692463A" w14:textId="03FA4E52" w:rsidR="00FA5E80" w:rsidRPr="00FA5E80" w:rsidRDefault="00FA5E80" w:rsidP="00FA5E80">
      <w:pPr>
        <w:spacing w:line="360" w:lineRule="auto"/>
        <w:ind w:firstLine="360"/>
        <w:jc w:val="both"/>
        <w:rPr>
          <w:rFonts w:ascii="Garamond" w:hAnsi="Garamond"/>
          <w:color w:val="000000" w:themeColor="text1"/>
          <w:lang w:val="en-US"/>
        </w:rPr>
      </w:pPr>
      <w:r w:rsidRPr="00FA5E80">
        <w:rPr>
          <w:rFonts w:ascii="Garamond" w:hAnsi="Garamond"/>
          <w:color w:val="000000" w:themeColor="text1"/>
          <w:lang w:val="en-US"/>
        </w:rPr>
        <w:t>The analysis of adverse scenarios should be guided by two minimum criteria. The first corresponds to a debt service coverage ratio</w:t>
      </w:r>
      <w:r w:rsidR="00241F8B">
        <w:rPr>
          <w:rFonts w:ascii="Garamond" w:hAnsi="Garamond"/>
          <w:color w:val="000000" w:themeColor="text1"/>
          <w:lang w:val="en-US"/>
        </w:rPr>
        <w:t xml:space="preserve"> (DSCR)</w:t>
      </w:r>
      <w:r w:rsidRPr="00FA5E80">
        <w:rPr>
          <w:rFonts w:ascii="Garamond" w:hAnsi="Garamond"/>
          <w:color w:val="000000" w:themeColor="text1"/>
          <w:lang w:val="en-US"/>
        </w:rPr>
        <w:t xml:space="preserve"> of 1.0 times or higher, and the second to an interest coverage ratio </w:t>
      </w:r>
      <w:r w:rsidR="00241F8B">
        <w:rPr>
          <w:rFonts w:ascii="Garamond" w:hAnsi="Garamond"/>
          <w:color w:val="000000" w:themeColor="text1"/>
          <w:lang w:val="en-US"/>
        </w:rPr>
        <w:t xml:space="preserve">(ICR) </w:t>
      </w:r>
      <w:r w:rsidRPr="00FA5E80">
        <w:rPr>
          <w:rFonts w:ascii="Garamond" w:hAnsi="Garamond"/>
          <w:color w:val="000000" w:themeColor="text1"/>
          <w:lang w:val="en-US"/>
        </w:rPr>
        <w:t xml:space="preserve">of at least 2.0 times in the pessimistic scenario. These parameters are in line with the levels typically observed in the financial covenants </w:t>
      </w:r>
      <w:r w:rsidR="0012766A" w:rsidRPr="00B44389">
        <w:rPr>
          <w:rFonts w:ascii="Garamond" w:hAnsi="Garamond"/>
          <w:color w:val="000000" w:themeColor="text1"/>
          <w:lang w:val="en-US"/>
        </w:rPr>
        <w:t>negotiated in direct lending transactions in the European mid-market</w:t>
      </w:r>
      <w:r w:rsidRPr="00FA5E80">
        <w:rPr>
          <w:rFonts w:ascii="Garamond" w:hAnsi="Garamond"/>
          <w:color w:val="000000" w:themeColor="text1"/>
          <w:lang w:val="en-US"/>
        </w:rPr>
        <w:t xml:space="preserve"> and serve as a prudent yet realistic test of the borrower’s ability to meet its financial obligations under less </w:t>
      </w:r>
      <w:proofErr w:type="spellStart"/>
      <w:r w:rsidRPr="00FA5E80">
        <w:rPr>
          <w:rFonts w:ascii="Garamond" w:hAnsi="Garamond"/>
          <w:color w:val="000000" w:themeColor="text1"/>
          <w:lang w:val="en-US"/>
        </w:rPr>
        <w:t>favourable</w:t>
      </w:r>
      <w:proofErr w:type="spellEnd"/>
      <w:r w:rsidRPr="00FA5E80">
        <w:rPr>
          <w:rFonts w:ascii="Garamond" w:hAnsi="Garamond"/>
          <w:color w:val="000000" w:themeColor="text1"/>
          <w:lang w:val="en-US"/>
        </w:rPr>
        <w:t xml:space="preserve"> conditions.</w:t>
      </w:r>
    </w:p>
    <w:p w14:paraId="19EF376C" w14:textId="64431B67" w:rsidR="00D54E70" w:rsidRDefault="00FA5E80" w:rsidP="00B3641E">
      <w:pPr>
        <w:spacing w:line="360" w:lineRule="auto"/>
        <w:ind w:firstLine="360"/>
        <w:jc w:val="both"/>
        <w:rPr>
          <w:rFonts w:ascii="Garamond" w:hAnsi="Garamond"/>
          <w:color w:val="000000" w:themeColor="text1"/>
          <w:lang w:val="en-US"/>
        </w:rPr>
      </w:pPr>
      <w:r w:rsidRPr="00FA5E80">
        <w:rPr>
          <w:rFonts w:ascii="Garamond" w:hAnsi="Garamond"/>
          <w:color w:val="000000" w:themeColor="text1"/>
          <w:lang w:val="en-US"/>
        </w:rPr>
        <w:t xml:space="preserve">To enable the consultant to make the most effective recommendation, the use of private credit should be recommended whenever the value-adjusted analysis demonstrates that the strategic benefits associated with the financing solution outweigh the incremental cost identified in Table 3. These benefits may be reflected in the impact on the NPV of the transaction, in the competitive advantage gained in a merger and acquisition process, or in the possibility of accessing financing that would otherwise not be available. </w:t>
      </w:r>
    </w:p>
    <w:p w14:paraId="14EE52CF" w14:textId="77777777" w:rsidR="00B3641E" w:rsidRDefault="00B3641E" w:rsidP="00B3641E">
      <w:pPr>
        <w:spacing w:line="360" w:lineRule="auto"/>
        <w:ind w:firstLine="360"/>
        <w:jc w:val="both"/>
        <w:rPr>
          <w:rFonts w:ascii="Garamond" w:hAnsi="Garamond"/>
          <w:color w:val="000000" w:themeColor="text1"/>
          <w:lang w:val="en-US"/>
        </w:rPr>
      </w:pPr>
    </w:p>
    <w:p w14:paraId="2BBE6457" w14:textId="77777777" w:rsidR="00B3641E" w:rsidRDefault="00B3641E" w:rsidP="00B3641E">
      <w:pPr>
        <w:spacing w:line="360" w:lineRule="auto"/>
        <w:ind w:firstLine="360"/>
        <w:jc w:val="both"/>
        <w:rPr>
          <w:rFonts w:ascii="Garamond" w:hAnsi="Garamond"/>
          <w:color w:val="000000" w:themeColor="text1"/>
          <w:lang w:val="en-US"/>
        </w:rPr>
      </w:pPr>
    </w:p>
    <w:p w14:paraId="7BAF2EB8" w14:textId="77777777" w:rsidR="00B3641E" w:rsidRDefault="00B3641E" w:rsidP="00B3641E">
      <w:pPr>
        <w:spacing w:line="360" w:lineRule="auto"/>
        <w:ind w:firstLine="360"/>
        <w:jc w:val="both"/>
        <w:rPr>
          <w:rFonts w:ascii="Garamond" w:hAnsi="Garamond"/>
          <w:color w:val="000000" w:themeColor="text1"/>
          <w:lang w:val="en-US"/>
        </w:rPr>
      </w:pPr>
    </w:p>
    <w:p w14:paraId="3CB45683" w14:textId="77777777" w:rsidR="00B3641E" w:rsidRDefault="00B3641E" w:rsidP="00B3641E">
      <w:pPr>
        <w:spacing w:line="360" w:lineRule="auto"/>
        <w:ind w:firstLine="360"/>
        <w:jc w:val="both"/>
        <w:rPr>
          <w:rFonts w:ascii="Garamond" w:hAnsi="Garamond"/>
          <w:color w:val="000000" w:themeColor="text1"/>
          <w:lang w:val="en-US"/>
        </w:rPr>
      </w:pPr>
    </w:p>
    <w:p w14:paraId="4E895064" w14:textId="77777777" w:rsidR="00B3641E" w:rsidRDefault="00B3641E" w:rsidP="00B3641E">
      <w:pPr>
        <w:spacing w:line="360" w:lineRule="auto"/>
        <w:ind w:firstLine="360"/>
        <w:jc w:val="both"/>
        <w:rPr>
          <w:rFonts w:ascii="Garamond" w:hAnsi="Garamond"/>
          <w:color w:val="000000" w:themeColor="text1"/>
          <w:lang w:val="en-US"/>
        </w:rPr>
      </w:pPr>
    </w:p>
    <w:p w14:paraId="441C79D3" w14:textId="77777777" w:rsidR="00B3641E" w:rsidRPr="00B3641E" w:rsidRDefault="00B3641E" w:rsidP="00B3641E">
      <w:pPr>
        <w:spacing w:line="360" w:lineRule="auto"/>
        <w:ind w:firstLine="360"/>
        <w:jc w:val="both"/>
        <w:rPr>
          <w:rFonts w:ascii="Garamond" w:hAnsi="Garamond"/>
          <w:color w:val="000000" w:themeColor="text1"/>
          <w:lang w:val="en-US"/>
        </w:rPr>
      </w:pPr>
    </w:p>
    <w:p w14:paraId="05423351" w14:textId="2A9B2891" w:rsidR="00A90428" w:rsidRPr="00136CA9" w:rsidRDefault="00BB0C11" w:rsidP="00136CA9">
      <w:pPr>
        <w:pStyle w:val="Ttulo2"/>
        <w:rPr>
          <w:rFonts w:ascii="Garamond" w:hAnsi="Garamond"/>
          <w:b/>
          <w:color w:val="000000" w:themeColor="text1"/>
          <w:sz w:val="28"/>
          <w:szCs w:val="28"/>
        </w:rPr>
      </w:pPr>
      <w:bookmarkStart w:id="53" w:name="_Toc233142910"/>
      <w:r>
        <w:rPr>
          <w:rFonts w:ascii="Garamond" w:hAnsi="Garamond"/>
          <w:b/>
          <w:color w:val="000000" w:themeColor="text1"/>
          <w:sz w:val="28"/>
          <w:szCs w:val="28"/>
        </w:rPr>
        <w:lastRenderedPageBreak/>
        <w:t>5</w:t>
      </w:r>
      <w:r w:rsidR="00273B5D" w:rsidRPr="00136CA9">
        <w:rPr>
          <w:rFonts w:ascii="Garamond" w:hAnsi="Garamond"/>
          <w:b/>
          <w:color w:val="000000" w:themeColor="text1"/>
          <w:sz w:val="28"/>
          <w:szCs w:val="28"/>
        </w:rPr>
        <w:t>.</w:t>
      </w:r>
      <w:r w:rsidR="00233EA7" w:rsidRPr="00136CA9">
        <w:rPr>
          <w:rFonts w:ascii="Garamond" w:hAnsi="Garamond"/>
          <w:b/>
          <w:color w:val="000000" w:themeColor="text1"/>
          <w:sz w:val="28"/>
          <w:szCs w:val="28"/>
        </w:rPr>
        <w:t>3.</w:t>
      </w:r>
      <w:r w:rsidR="00273B5D" w:rsidRPr="00136CA9">
        <w:rPr>
          <w:rFonts w:ascii="Garamond" w:hAnsi="Garamond"/>
          <w:b/>
          <w:color w:val="000000" w:themeColor="text1"/>
          <w:sz w:val="28"/>
          <w:szCs w:val="28"/>
        </w:rPr>
        <w:t xml:space="preserve"> </w:t>
      </w:r>
      <w:r w:rsidR="00B9483D" w:rsidRPr="00136CA9">
        <w:rPr>
          <w:rFonts w:ascii="Garamond" w:hAnsi="Garamond"/>
          <w:b/>
          <w:color w:val="000000" w:themeColor="text1"/>
          <w:sz w:val="28"/>
          <w:szCs w:val="28"/>
        </w:rPr>
        <w:t>The Private Credit Advisory Decision Matrix</w:t>
      </w:r>
      <w:bookmarkEnd w:id="53"/>
    </w:p>
    <w:p w14:paraId="517B9DE0" w14:textId="77777777" w:rsidR="00B9483D" w:rsidRPr="00B9483D" w:rsidRDefault="00B9483D" w:rsidP="00B9483D">
      <w:pPr>
        <w:rPr>
          <w:lang w:val="en-US" w:eastAsia="en-US"/>
        </w:rPr>
      </w:pPr>
    </w:p>
    <w:p w14:paraId="1897933E" w14:textId="1C458A3F" w:rsidR="00AF69B6" w:rsidRDefault="001B730D" w:rsidP="003C0259">
      <w:pPr>
        <w:spacing w:line="360" w:lineRule="auto"/>
        <w:ind w:firstLine="360"/>
        <w:jc w:val="both"/>
        <w:rPr>
          <w:rFonts w:ascii="Garamond" w:hAnsi="Garamond"/>
          <w:color w:val="000000" w:themeColor="text1"/>
          <w:lang w:val="en-US"/>
        </w:rPr>
      </w:pPr>
      <w:r w:rsidRPr="00273B5D">
        <w:rPr>
          <w:rFonts w:ascii="Garamond" w:hAnsi="Garamond"/>
          <w:color w:val="000000" w:themeColor="text1"/>
          <w:lang w:val="en-US"/>
        </w:rPr>
        <w:t xml:space="preserve">Table </w:t>
      </w:r>
      <w:r w:rsidR="00B46575">
        <w:rPr>
          <w:rFonts w:ascii="Garamond" w:hAnsi="Garamond"/>
          <w:color w:val="000000" w:themeColor="text1"/>
          <w:lang w:val="en-US"/>
        </w:rPr>
        <w:t>4</w:t>
      </w:r>
      <w:r w:rsidRPr="00273B5D">
        <w:rPr>
          <w:rFonts w:ascii="Garamond" w:hAnsi="Garamond"/>
          <w:color w:val="000000" w:themeColor="text1"/>
          <w:lang w:val="en-US"/>
        </w:rPr>
        <w:t xml:space="preserve"> </w:t>
      </w:r>
      <w:proofErr w:type="spellStart"/>
      <w:r w:rsidR="00A90428" w:rsidRPr="00273B5D">
        <w:rPr>
          <w:rFonts w:ascii="Garamond" w:hAnsi="Garamond"/>
          <w:color w:val="000000" w:themeColor="text1"/>
          <w:lang w:val="en-US"/>
        </w:rPr>
        <w:t>synthesi</w:t>
      </w:r>
      <w:r w:rsidR="00AF69B6">
        <w:rPr>
          <w:rFonts w:ascii="Garamond" w:hAnsi="Garamond"/>
          <w:color w:val="000000" w:themeColor="text1"/>
          <w:lang w:val="en-US"/>
        </w:rPr>
        <w:t>s</w:t>
      </w:r>
      <w:r w:rsidR="00A90428" w:rsidRPr="00273B5D">
        <w:rPr>
          <w:rFonts w:ascii="Garamond" w:hAnsi="Garamond"/>
          <w:color w:val="000000" w:themeColor="text1"/>
          <w:lang w:val="en-US"/>
        </w:rPr>
        <w:t>es</w:t>
      </w:r>
      <w:proofErr w:type="spellEnd"/>
      <w:r w:rsidRPr="00273B5D">
        <w:rPr>
          <w:rFonts w:ascii="Garamond" w:hAnsi="Garamond"/>
          <w:color w:val="000000" w:themeColor="text1"/>
          <w:lang w:val="en-US"/>
        </w:rPr>
        <w:t xml:space="preserve"> the four dimensions into a first-pass screening tool for advisors at Triple A – Capital &amp; Finance. Each dimension is anchored in the literature reviewed in Chapter 4, providing a reading pathway for cases requiring deeper theoretical justification.</w:t>
      </w:r>
    </w:p>
    <w:p w14:paraId="752D787D" w14:textId="77777777" w:rsidR="00AF69B6" w:rsidRPr="003C0259" w:rsidRDefault="00AF69B6" w:rsidP="003C0259">
      <w:pPr>
        <w:spacing w:line="360" w:lineRule="auto"/>
        <w:ind w:firstLine="360"/>
        <w:jc w:val="both"/>
        <w:rPr>
          <w:rFonts w:ascii="Garamond" w:hAnsi="Garamond"/>
          <w:color w:val="000000" w:themeColor="text1"/>
          <w:lang w:val="en-US"/>
        </w:rPr>
      </w:pPr>
    </w:p>
    <w:tbl>
      <w:tblPr>
        <w:tblStyle w:val="TabelacomGrelha"/>
        <w:tblW w:w="7081" w:type="dxa"/>
        <w:jc w:val="center"/>
        <w:tblLook w:val="04A0" w:firstRow="1" w:lastRow="0" w:firstColumn="1" w:lastColumn="0" w:noHBand="0" w:noVBand="1"/>
      </w:tblPr>
      <w:tblGrid>
        <w:gridCol w:w="2122"/>
        <w:gridCol w:w="1635"/>
        <w:gridCol w:w="1615"/>
        <w:gridCol w:w="1709"/>
      </w:tblGrid>
      <w:tr w:rsidR="00540C9D" w14:paraId="169F319E" w14:textId="77777777" w:rsidTr="00B46575">
        <w:trPr>
          <w:jc w:val="center"/>
        </w:trPr>
        <w:tc>
          <w:tcPr>
            <w:tcW w:w="2122" w:type="dxa"/>
            <w:shd w:val="clear" w:color="auto" w:fill="C9D4E8"/>
            <w:vAlign w:val="center"/>
          </w:tcPr>
          <w:p w14:paraId="29F3FF3D" w14:textId="77777777" w:rsidR="00540C9D" w:rsidRDefault="00540C9D" w:rsidP="00B46575">
            <w:pPr>
              <w:spacing w:before="40" w:after="40"/>
              <w:jc w:val="center"/>
            </w:pPr>
            <w:r>
              <w:rPr>
                <w:rFonts w:ascii="Garamond" w:hAnsi="Garamond"/>
                <w:b/>
                <w:sz w:val="19"/>
              </w:rPr>
              <w:t>Dimension</w:t>
            </w:r>
          </w:p>
        </w:tc>
        <w:tc>
          <w:tcPr>
            <w:tcW w:w="1635" w:type="dxa"/>
            <w:shd w:val="clear" w:color="auto" w:fill="C9D4E8"/>
          </w:tcPr>
          <w:p w14:paraId="1093A3A0" w14:textId="77777777" w:rsidR="00540C9D" w:rsidRDefault="00540C9D" w:rsidP="00693FF5">
            <w:pPr>
              <w:spacing w:before="40" w:after="40"/>
              <w:jc w:val="center"/>
            </w:pPr>
            <w:r>
              <w:rPr>
                <w:rFonts w:ascii="Garamond" w:hAnsi="Garamond"/>
                <w:b/>
                <w:sz w:val="19"/>
              </w:rPr>
              <w:t>Signals Favouring</w:t>
            </w:r>
            <w:r>
              <w:rPr>
                <w:rFonts w:ascii="Garamond" w:hAnsi="Garamond"/>
                <w:b/>
                <w:sz w:val="19"/>
              </w:rPr>
              <w:br/>
              <w:t>Private Credit</w:t>
            </w:r>
          </w:p>
        </w:tc>
        <w:tc>
          <w:tcPr>
            <w:tcW w:w="1615" w:type="dxa"/>
            <w:shd w:val="clear" w:color="auto" w:fill="C9D4E8"/>
            <w:vAlign w:val="center"/>
          </w:tcPr>
          <w:p w14:paraId="0AF8EA26" w14:textId="77777777" w:rsidR="00540C9D" w:rsidRDefault="00540C9D" w:rsidP="00B46575">
            <w:pPr>
              <w:spacing w:before="40" w:after="40"/>
              <w:jc w:val="center"/>
            </w:pPr>
            <w:r>
              <w:rPr>
                <w:rFonts w:ascii="Garamond" w:hAnsi="Garamond"/>
                <w:b/>
                <w:sz w:val="19"/>
              </w:rPr>
              <w:t>Signals Against</w:t>
            </w:r>
            <w:r>
              <w:rPr>
                <w:rFonts w:ascii="Garamond" w:hAnsi="Garamond"/>
                <w:b/>
                <w:sz w:val="19"/>
              </w:rPr>
              <w:br/>
              <w:t>Private Credit</w:t>
            </w:r>
          </w:p>
        </w:tc>
        <w:tc>
          <w:tcPr>
            <w:tcW w:w="1709" w:type="dxa"/>
            <w:shd w:val="clear" w:color="auto" w:fill="C9D4E8"/>
            <w:vAlign w:val="center"/>
          </w:tcPr>
          <w:p w14:paraId="254657B3" w14:textId="77777777" w:rsidR="00540C9D" w:rsidRDefault="00540C9D" w:rsidP="00B46575">
            <w:pPr>
              <w:spacing w:before="40" w:after="40"/>
              <w:jc w:val="center"/>
            </w:pPr>
            <w:r>
              <w:rPr>
                <w:rFonts w:ascii="Garamond" w:hAnsi="Garamond"/>
                <w:b/>
                <w:sz w:val="19"/>
              </w:rPr>
              <w:t>Advisory Implication</w:t>
            </w:r>
          </w:p>
        </w:tc>
      </w:tr>
      <w:tr w:rsidR="00540C9D" w:rsidRPr="00653A99" w14:paraId="3F087F0D" w14:textId="77777777" w:rsidTr="00B46575">
        <w:trPr>
          <w:jc w:val="center"/>
        </w:trPr>
        <w:tc>
          <w:tcPr>
            <w:tcW w:w="2122" w:type="dxa"/>
            <w:shd w:val="clear" w:color="auto" w:fill="EEF2F8"/>
            <w:vAlign w:val="center"/>
          </w:tcPr>
          <w:p w14:paraId="743F27BA" w14:textId="651F7212" w:rsidR="00540C9D" w:rsidRPr="00B46575" w:rsidRDefault="00540C9D" w:rsidP="00783878">
            <w:pPr>
              <w:spacing w:before="40" w:after="40"/>
              <w:jc w:val="center"/>
              <w:rPr>
                <w:lang w:val="en-US"/>
              </w:rPr>
            </w:pPr>
            <w:r w:rsidRPr="00B46575">
              <w:rPr>
                <w:rFonts w:ascii="Garamond" w:hAnsi="Garamond"/>
                <w:sz w:val="19"/>
                <w:lang w:val="en-US"/>
              </w:rPr>
              <w:t xml:space="preserve">I. Company </w:t>
            </w:r>
            <w:r w:rsidR="00B46575" w:rsidRPr="00B46575">
              <w:rPr>
                <w:rFonts w:ascii="Garamond" w:hAnsi="Garamond"/>
                <w:sz w:val="19"/>
                <w:lang w:val="en-US"/>
              </w:rPr>
              <w:t>and</w:t>
            </w:r>
            <w:r w:rsidRPr="00B46575">
              <w:rPr>
                <w:rFonts w:ascii="Garamond" w:hAnsi="Garamond"/>
                <w:sz w:val="19"/>
                <w:lang w:val="en-US"/>
              </w:rPr>
              <w:br/>
              <w:t>Strategic Profile</w:t>
            </w:r>
          </w:p>
        </w:tc>
        <w:tc>
          <w:tcPr>
            <w:tcW w:w="1635" w:type="dxa"/>
            <w:shd w:val="clear" w:color="auto" w:fill="EEF2F8"/>
            <w:vAlign w:val="center"/>
          </w:tcPr>
          <w:p w14:paraId="1DDE4F2A" w14:textId="748FB600" w:rsidR="00B46575" w:rsidRDefault="00540C9D" w:rsidP="00B46575">
            <w:pPr>
              <w:spacing w:before="40" w:after="40"/>
              <w:jc w:val="center"/>
              <w:rPr>
                <w:rFonts w:ascii="Garamond" w:hAnsi="Garamond"/>
                <w:sz w:val="19"/>
                <w:lang w:val="en-US"/>
              </w:rPr>
            </w:pPr>
            <w:r w:rsidRPr="001B730D">
              <w:rPr>
                <w:rFonts w:ascii="Garamond" w:hAnsi="Garamond"/>
                <w:sz w:val="19"/>
                <w:lang w:val="en-US"/>
              </w:rPr>
              <w:t>PE-backed</w:t>
            </w:r>
            <w:r w:rsidR="00B46575">
              <w:rPr>
                <w:rFonts w:ascii="Garamond" w:hAnsi="Garamond"/>
                <w:sz w:val="19"/>
                <w:lang w:val="en-US"/>
              </w:rPr>
              <w:t>,</w:t>
            </w:r>
          </w:p>
          <w:p w14:paraId="35E406A7" w14:textId="3A76896D" w:rsidR="00540C9D" w:rsidRPr="001B730D" w:rsidRDefault="00540C9D" w:rsidP="00B46575">
            <w:pPr>
              <w:spacing w:before="40" w:after="40"/>
              <w:jc w:val="center"/>
              <w:rPr>
                <w:lang w:val="en-US"/>
              </w:rPr>
            </w:pPr>
            <w:r w:rsidRPr="001B730D">
              <w:rPr>
                <w:rFonts w:ascii="Garamond" w:hAnsi="Garamond"/>
                <w:sz w:val="19"/>
                <w:lang w:val="en-US"/>
              </w:rPr>
              <w:t xml:space="preserve"> M&amp;A</w:t>
            </w:r>
            <w:r w:rsidR="00B46575">
              <w:rPr>
                <w:rFonts w:ascii="Garamond" w:hAnsi="Garamond"/>
                <w:sz w:val="19"/>
                <w:lang w:val="en-US"/>
              </w:rPr>
              <w:t>,</w:t>
            </w:r>
            <w:r w:rsidRPr="001B730D">
              <w:rPr>
                <w:rFonts w:ascii="Garamond" w:hAnsi="Garamond"/>
                <w:sz w:val="19"/>
                <w:lang w:val="en-US"/>
              </w:rPr>
              <w:t xml:space="preserve"> </w:t>
            </w:r>
            <w:r w:rsidR="00B46575">
              <w:rPr>
                <w:rFonts w:ascii="Garamond" w:hAnsi="Garamond"/>
                <w:sz w:val="19"/>
                <w:lang w:val="en-US"/>
              </w:rPr>
              <w:t>G</w:t>
            </w:r>
            <w:r w:rsidRPr="001B730D">
              <w:rPr>
                <w:rFonts w:ascii="Garamond" w:hAnsi="Garamond"/>
                <w:sz w:val="19"/>
                <w:lang w:val="en-US"/>
              </w:rPr>
              <w:t>rowth</w:t>
            </w:r>
            <w:r w:rsidR="00B46575">
              <w:rPr>
                <w:rFonts w:ascii="Garamond" w:hAnsi="Garamond"/>
                <w:sz w:val="19"/>
                <w:lang w:val="en-US"/>
              </w:rPr>
              <w:t>,</w:t>
            </w:r>
            <w:r w:rsidRPr="001B730D">
              <w:rPr>
                <w:rFonts w:ascii="Garamond" w:hAnsi="Garamond"/>
                <w:sz w:val="19"/>
                <w:lang w:val="en-US"/>
              </w:rPr>
              <w:t xml:space="preserve"> </w:t>
            </w:r>
            <w:r w:rsidR="00B46575">
              <w:rPr>
                <w:rFonts w:ascii="Garamond" w:hAnsi="Garamond"/>
                <w:sz w:val="19"/>
                <w:lang w:val="en-US"/>
              </w:rPr>
              <w:t>R</w:t>
            </w:r>
            <w:r w:rsidRPr="001B730D">
              <w:rPr>
                <w:rFonts w:ascii="Garamond" w:hAnsi="Garamond"/>
                <w:sz w:val="19"/>
                <w:lang w:val="en-US"/>
              </w:rPr>
              <w:t>estructuring trigger</w:t>
            </w:r>
            <w:r w:rsidR="00B46575">
              <w:rPr>
                <w:rFonts w:ascii="Garamond" w:hAnsi="Garamond"/>
                <w:sz w:val="19"/>
                <w:lang w:val="en-US"/>
              </w:rPr>
              <w:t>,</w:t>
            </w:r>
            <w:r w:rsidRPr="001B730D">
              <w:rPr>
                <w:rFonts w:ascii="Garamond" w:hAnsi="Garamond"/>
                <w:sz w:val="19"/>
                <w:lang w:val="en-US"/>
              </w:rPr>
              <w:t xml:space="preserve"> </w:t>
            </w:r>
            <w:proofErr w:type="spellStart"/>
            <w:r w:rsidR="00B46575">
              <w:rPr>
                <w:rFonts w:ascii="Garamond" w:hAnsi="Garamond"/>
                <w:sz w:val="19"/>
                <w:lang w:val="en-US"/>
              </w:rPr>
              <w:t>P</w:t>
            </w:r>
            <w:r w:rsidRPr="001B730D">
              <w:rPr>
                <w:rFonts w:ascii="Garamond" w:hAnsi="Garamond"/>
                <w:sz w:val="19"/>
                <w:lang w:val="en-US"/>
              </w:rPr>
              <w:t>rofessionalised</w:t>
            </w:r>
            <w:proofErr w:type="spellEnd"/>
            <w:r w:rsidRPr="001B730D">
              <w:rPr>
                <w:rFonts w:ascii="Garamond" w:hAnsi="Garamond"/>
                <w:sz w:val="19"/>
                <w:lang w:val="en-US"/>
              </w:rPr>
              <w:t xml:space="preserve"> CFO</w:t>
            </w:r>
          </w:p>
        </w:tc>
        <w:tc>
          <w:tcPr>
            <w:tcW w:w="1615" w:type="dxa"/>
            <w:shd w:val="clear" w:color="auto" w:fill="EEF2F8"/>
            <w:vAlign w:val="center"/>
          </w:tcPr>
          <w:p w14:paraId="07E006B8" w14:textId="38FD3DA2" w:rsidR="00540C9D" w:rsidRPr="001B730D" w:rsidRDefault="00540C9D" w:rsidP="00B46575">
            <w:pPr>
              <w:spacing w:before="40" w:after="40"/>
              <w:jc w:val="center"/>
              <w:rPr>
                <w:lang w:val="en-US"/>
              </w:rPr>
            </w:pPr>
            <w:r w:rsidRPr="001B730D">
              <w:rPr>
                <w:rFonts w:ascii="Garamond" w:hAnsi="Garamond"/>
                <w:sz w:val="19"/>
                <w:lang w:val="en-US"/>
              </w:rPr>
              <w:t>Family-owned</w:t>
            </w:r>
            <w:r w:rsidR="00B46575">
              <w:rPr>
                <w:rFonts w:ascii="Garamond" w:hAnsi="Garamond"/>
                <w:sz w:val="19"/>
                <w:lang w:val="en-US"/>
              </w:rPr>
              <w:t>,</w:t>
            </w:r>
            <w:r w:rsidRPr="001B730D">
              <w:rPr>
                <w:rFonts w:ascii="Garamond" w:hAnsi="Garamond"/>
                <w:sz w:val="19"/>
                <w:lang w:val="en-US"/>
              </w:rPr>
              <w:t xml:space="preserve"> conservative governance</w:t>
            </w:r>
            <w:r w:rsidR="00B46575">
              <w:rPr>
                <w:rFonts w:ascii="Garamond" w:hAnsi="Garamond"/>
                <w:sz w:val="19"/>
                <w:lang w:val="en-US"/>
              </w:rPr>
              <w:t>,</w:t>
            </w:r>
            <w:r w:rsidRPr="001B730D">
              <w:rPr>
                <w:rFonts w:ascii="Garamond" w:hAnsi="Garamond"/>
                <w:sz w:val="19"/>
                <w:lang w:val="en-US"/>
              </w:rPr>
              <w:t xml:space="preserve"> stable ops</w:t>
            </w:r>
            <w:r w:rsidR="00B46575">
              <w:rPr>
                <w:rFonts w:ascii="Garamond" w:hAnsi="Garamond"/>
                <w:sz w:val="19"/>
                <w:lang w:val="en-US"/>
              </w:rPr>
              <w:t>,</w:t>
            </w:r>
            <w:r w:rsidRPr="001B730D">
              <w:rPr>
                <w:rFonts w:ascii="Garamond" w:hAnsi="Garamond"/>
                <w:sz w:val="19"/>
                <w:lang w:val="en-US"/>
              </w:rPr>
              <w:t xml:space="preserve"> no strategic trigger</w:t>
            </w:r>
          </w:p>
        </w:tc>
        <w:tc>
          <w:tcPr>
            <w:tcW w:w="1709" w:type="dxa"/>
            <w:shd w:val="clear" w:color="auto" w:fill="EEF2F8"/>
            <w:vAlign w:val="center"/>
          </w:tcPr>
          <w:p w14:paraId="7FD8E650" w14:textId="77777777" w:rsidR="00540C9D" w:rsidRPr="001B730D" w:rsidRDefault="00540C9D" w:rsidP="00B46575">
            <w:pPr>
              <w:spacing w:before="40" w:after="40"/>
              <w:jc w:val="center"/>
              <w:rPr>
                <w:lang w:val="en-US"/>
              </w:rPr>
            </w:pPr>
            <w:r w:rsidRPr="001B730D">
              <w:rPr>
                <w:rFonts w:ascii="Garamond" w:hAnsi="Garamond"/>
                <w:sz w:val="19"/>
                <w:lang w:val="en-US"/>
              </w:rPr>
              <w:t>Assess governance readiness and reporting quality before evaluating cost</w:t>
            </w:r>
          </w:p>
        </w:tc>
      </w:tr>
      <w:tr w:rsidR="00540C9D" w:rsidRPr="00653A99" w14:paraId="70ED88B5" w14:textId="77777777" w:rsidTr="00B46575">
        <w:trPr>
          <w:jc w:val="center"/>
        </w:trPr>
        <w:tc>
          <w:tcPr>
            <w:tcW w:w="2122" w:type="dxa"/>
            <w:vAlign w:val="center"/>
          </w:tcPr>
          <w:p w14:paraId="43FEF675" w14:textId="0DA37F72" w:rsidR="00540C9D" w:rsidRPr="00D450D9" w:rsidRDefault="00540C9D" w:rsidP="00783878">
            <w:pPr>
              <w:spacing w:before="40" w:after="40"/>
              <w:jc w:val="center"/>
              <w:rPr>
                <w:lang w:val="en-US"/>
              </w:rPr>
            </w:pPr>
            <w:r w:rsidRPr="00D450D9">
              <w:rPr>
                <w:rFonts w:ascii="Garamond" w:hAnsi="Garamond"/>
                <w:sz w:val="19"/>
                <w:lang w:val="en-US"/>
              </w:rPr>
              <w:t>II. Financing</w:t>
            </w:r>
            <w:r w:rsidR="00B46575">
              <w:rPr>
                <w:rFonts w:ascii="Garamond" w:hAnsi="Garamond"/>
                <w:sz w:val="19"/>
                <w:lang w:val="en-US"/>
              </w:rPr>
              <w:t xml:space="preserve"> </w:t>
            </w:r>
            <w:r w:rsidRPr="00D450D9">
              <w:rPr>
                <w:rFonts w:ascii="Garamond" w:hAnsi="Garamond"/>
                <w:sz w:val="19"/>
                <w:lang w:val="en-US"/>
              </w:rPr>
              <w:t xml:space="preserve">Structure </w:t>
            </w:r>
            <w:r w:rsidR="001A6E8D" w:rsidRPr="00D450D9">
              <w:rPr>
                <w:rFonts w:ascii="Garamond" w:hAnsi="Garamond"/>
                <w:sz w:val="19"/>
                <w:lang w:val="en-US"/>
              </w:rPr>
              <w:t>and</w:t>
            </w:r>
            <w:r w:rsidRPr="00D450D9">
              <w:rPr>
                <w:rFonts w:ascii="Garamond" w:hAnsi="Garamond"/>
                <w:sz w:val="19"/>
                <w:lang w:val="en-US"/>
              </w:rPr>
              <w:t xml:space="preserve"> Banks</w:t>
            </w:r>
          </w:p>
        </w:tc>
        <w:tc>
          <w:tcPr>
            <w:tcW w:w="1635" w:type="dxa"/>
            <w:vAlign w:val="center"/>
          </w:tcPr>
          <w:p w14:paraId="2741AD17" w14:textId="3DAC7B04" w:rsidR="00540C9D" w:rsidRPr="001B730D" w:rsidRDefault="00540C9D" w:rsidP="00B46575">
            <w:pPr>
              <w:spacing w:before="40" w:after="40"/>
              <w:jc w:val="center"/>
              <w:rPr>
                <w:lang w:val="en-US"/>
              </w:rPr>
            </w:pPr>
            <w:r w:rsidRPr="001B730D">
              <w:rPr>
                <w:rFonts w:ascii="Garamond" w:hAnsi="Garamond"/>
                <w:sz w:val="19"/>
                <w:lang w:val="en-US"/>
              </w:rPr>
              <w:t>Bank constrained</w:t>
            </w:r>
            <w:r w:rsidR="00B46575">
              <w:rPr>
                <w:rFonts w:ascii="Garamond" w:hAnsi="Garamond"/>
                <w:sz w:val="19"/>
                <w:lang w:val="en-US"/>
              </w:rPr>
              <w:t>,</w:t>
            </w:r>
            <w:r w:rsidRPr="001B730D">
              <w:rPr>
                <w:rFonts w:ascii="Garamond" w:hAnsi="Garamond"/>
                <w:sz w:val="19"/>
                <w:lang w:val="en-US"/>
              </w:rPr>
              <w:t xml:space="preserve"> limited headroom</w:t>
            </w:r>
            <w:r w:rsidR="00B46575">
              <w:rPr>
                <w:rFonts w:ascii="Garamond" w:hAnsi="Garamond"/>
                <w:sz w:val="19"/>
                <w:lang w:val="en-US"/>
              </w:rPr>
              <w:t>,</w:t>
            </w:r>
            <w:r w:rsidRPr="001B730D">
              <w:rPr>
                <w:rFonts w:ascii="Garamond" w:hAnsi="Garamond"/>
                <w:sz w:val="19"/>
                <w:lang w:val="en-US"/>
              </w:rPr>
              <w:t xml:space="preserve"> concentrated lender</w:t>
            </w:r>
            <w:r w:rsidR="00B46575">
              <w:rPr>
                <w:rFonts w:ascii="Garamond" w:hAnsi="Garamond"/>
                <w:sz w:val="19"/>
                <w:lang w:val="en-US"/>
              </w:rPr>
              <w:t>,</w:t>
            </w:r>
            <w:r w:rsidRPr="001B730D">
              <w:rPr>
                <w:rFonts w:ascii="Garamond" w:hAnsi="Garamond"/>
                <w:sz w:val="19"/>
                <w:lang w:val="en-US"/>
              </w:rPr>
              <w:t xml:space="preserve"> maturity pressure</w:t>
            </w:r>
          </w:p>
        </w:tc>
        <w:tc>
          <w:tcPr>
            <w:tcW w:w="1615" w:type="dxa"/>
            <w:vAlign w:val="center"/>
          </w:tcPr>
          <w:p w14:paraId="1D9A02E1" w14:textId="240770AB" w:rsidR="00540C9D" w:rsidRPr="001B730D" w:rsidRDefault="00540C9D" w:rsidP="00B46575">
            <w:pPr>
              <w:spacing w:before="40" w:after="40"/>
              <w:jc w:val="center"/>
              <w:rPr>
                <w:lang w:val="en-US"/>
              </w:rPr>
            </w:pPr>
            <w:r w:rsidRPr="001B730D">
              <w:rPr>
                <w:rFonts w:ascii="Garamond" w:hAnsi="Garamond"/>
                <w:sz w:val="19"/>
                <w:lang w:val="en-US"/>
              </w:rPr>
              <w:t>Competitive multi-bank proposals</w:t>
            </w:r>
            <w:r w:rsidR="00B46575">
              <w:rPr>
                <w:rFonts w:ascii="Garamond" w:hAnsi="Garamond"/>
                <w:sz w:val="19"/>
                <w:lang w:val="en-US"/>
              </w:rPr>
              <w:t>,</w:t>
            </w:r>
            <w:r w:rsidRPr="001B730D">
              <w:rPr>
                <w:rFonts w:ascii="Garamond" w:hAnsi="Garamond"/>
                <w:sz w:val="19"/>
                <w:lang w:val="en-US"/>
              </w:rPr>
              <w:t xml:space="preserve"> ample headroom</w:t>
            </w:r>
            <w:r w:rsidR="00B46575">
              <w:rPr>
                <w:rFonts w:ascii="Garamond" w:hAnsi="Garamond"/>
                <w:sz w:val="19"/>
                <w:lang w:val="en-US"/>
              </w:rPr>
              <w:t xml:space="preserve">, </w:t>
            </w:r>
            <w:r w:rsidRPr="001B730D">
              <w:rPr>
                <w:rFonts w:ascii="Garamond" w:hAnsi="Garamond"/>
                <w:sz w:val="19"/>
                <w:lang w:val="en-US"/>
              </w:rPr>
              <w:t>no structural constraints</w:t>
            </w:r>
          </w:p>
        </w:tc>
        <w:tc>
          <w:tcPr>
            <w:tcW w:w="1709" w:type="dxa"/>
            <w:vAlign w:val="center"/>
          </w:tcPr>
          <w:p w14:paraId="51A63935" w14:textId="3B178725" w:rsidR="00540C9D" w:rsidRPr="001B730D" w:rsidRDefault="00540C9D" w:rsidP="00B46575">
            <w:pPr>
              <w:spacing w:before="40" w:after="40"/>
              <w:jc w:val="center"/>
              <w:rPr>
                <w:lang w:val="en-US"/>
              </w:rPr>
            </w:pPr>
            <w:r w:rsidRPr="001B730D">
              <w:rPr>
                <w:rFonts w:ascii="Garamond" w:hAnsi="Garamond"/>
                <w:sz w:val="19"/>
                <w:lang w:val="en-US"/>
              </w:rPr>
              <w:t>Map debt structure</w:t>
            </w:r>
            <w:r w:rsidR="001F5FB0">
              <w:rPr>
                <w:rFonts w:ascii="Garamond" w:hAnsi="Garamond"/>
                <w:sz w:val="19"/>
                <w:lang w:val="en-US"/>
              </w:rPr>
              <w:t>,</w:t>
            </w:r>
            <w:r w:rsidRPr="001B730D">
              <w:rPr>
                <w:rFonts w:ascii="Garamond" w:hAnsi="Garamond"/>
                <w:sz w:val="19"/>
                <w:lang w:val="en-US"/>
              </w:rPr>
              <w:t xml:space="preserve"> identify regulatory-driven credit gaps</w:t>
            </w:r>
            <w:r w:rsidR="00B46575">
              <w:rPr>
                <w:rFonts w:ascii="Garamond" w:hAnsi="Garamond"/>
                <w:sz w:val="19"/>
                <w:lang w:val="en-US"/>
              </w:rPr>
              <w:t>,</w:t>
            </w:r>
            <w:r w:rsidRPr="001B730D">
              <w:rPr>
                <w:rFonts w:ascii="Garamond" w:hAnsi="Garamond"/>
                <w:sz w:val="19"/>
                <w:lang w:val="en-US"/>
              </w:rPr>
              <w:t xml:space="preserve"> check covenants</w:t>
            </w:r>
          </w:p>
        </w:tc>
      </w:tr>
      <w:tr w:rsidR="00540C9D" w:rsidRPr="00653A99" w14:paraId="288333B9" w14:textId="77777777" w:rsidTr="00B46575">
        <w:trPr>
          <w:jc w:val="center"/>
        </w:trPr>
        <w:tc>
          <w:tcPr>
            <w:tcW w:w="2122" w:type="dxa"/>
            <w:shd w:val="clear" w:color="auto" w:fill="EEF2F8"/>
            <w:vAlign w:val="center"/>
          </w:tcPr>
          <w:p w14:paraId="63A27B84" w14:textId="6CDE4654" w:rsidR="00540C9D" w:rsidRPr="001A6E8D" w:rsidRDefault="00540C9D" w:rsidP="00783878">
            <w:pPr>
              <w:spacing w:before="40" w:after="40"/>
              <w:jc w:val="center"/>
              <w:rPr>
                <w:lang w:val="en-US"/>
              </w:rPr>
            </w:pPr>
            <w:r w:rsidRPr="001A6E8D">
              <w:rPr>
                <w:rFonts w:ascii="Garamond" w:hAnsi="Garamond"/>
                <w:sz w:val="19"/>
                <w:lang w:val="en-US"/>
              </w:rPr>
              <w:t>III. Speed,</w:t>
            </w:r>
            <w:r w:rsidRPr="001A6E8D">
              <w:rPr>
                <w:rFonts w:ascii="Garamond" w:hAnsi="Garamond"/>
                <w:sz w:val="19"/>
                <w:lang w:val="en-US"/>
              </w:rPr>
              <w:br/>
              <w:t xml:space="preserve">Flexibility </w:t>
            </w:r>
            <w:r w:rsidR="001A6E8D" w:rsidRPr="001A6E8D">
              <w:rPr>
                <w:rFonts w:ascii="Garamond" w:hAnsi="Garamond"/>
                <w:sz w:val="19"/>
                <w:lang w:val="en-US"/>
              </w:rPr>
              <w:t>and</w:t>
            </w:r>
            <w:r w:rsidRPr="001A6E8D">
              <w:rPr>
                <w:rFonts w:ascii="Garamond" w:hAnsi="Garamond"/>
                <w:sz w:val="19"/>
                <w:lang w:val="en-US"/>
              </w:rPr>
              <w:br/>
              <w:t>Covenants</w:t>
            </w:r>
          </w:p>
        </w:tc>
        <w:tc>
          <w:tcPr>
            <w:tcW w:w="1635" w:type="dxa"/>
            <w:shd w:val="clear" w:color="auto" w:fill="EEF2F8"/>
            <w:vAlign w:val="center"/>
          </w:tcPr>
          <w:p w14:paraId="6B696937" w14:textId="61F0A752" w:rsidR="00540C9D" w:rsidRPr="001B730D" w:rsidRDefault="00540C9D" w:rsidP="00B46575">
            <w:pPr>
              <w:spacing w:before="40" w:after="40"/>
              <w:jc w:val="center"/>
              <w:rPr>
                <w:lang w:val="en-US"/>
              </w:rPr>
            </w:pPr>
            <w:r w:rsidRPr="001B730D">
              <w:rPr>
                <w:rFonts w:ascii="Garamond" w:hAnsi="Garamond"/>
                <w:sz w:val="19"/>
                <w:lang w:val="en-US"/>
              </w:rPr>
              <w:t>Competitive M&amp;A</w:t>
            </w:r>
            <w:r w:rsidR="00B46575">
              <w:rPr>
                <w:rFonts w:ascii="Garamond" w:hAnsi="Garamond"/>
                <w:sz w:val="19"/>
                <w:lang w:val="en-US"/>
              </w:rPr>
              <w:t>,</w:t>
            </w:r>
            <w:r w:rsidRPr="001B730D">
              <w:rPr>
                <w:rFonts w:ascii="Garamond" w:hAnsi="Garamond"/>
                <w:sz w:val="19"/>
                <w:lang w:val="en-US"/>
              </w:rPr>
              <w:t xml:space="preserve"> PIK</w:t>
            </w:r>
            <w:r w:rsidR="00B46575">
              <w:rPr>
                <w:rFonts w:ascii="Garamond" w:hAnsi="Garamond"/>
                <w:sz w:val="19"/>
                <w:lang w:val="en-US"/>
              </w:rPr>
              <w:t>,</w:t>
            </w:r>
            <w:r w:rsidRPr="001B730D">
              <w:rPr>
                <w:rFonts w:ascii="Garamond" w:hAnsi="Garamond"/>
                <w:sz w:val="19"/>
                <w:lang w:val="en-US"/>
              </w:rPr>
              <w:t xml:space="preserve"> delayed draw</w:t>
            </w:r>
            <w:r w:rsidR="00B46575">
              <w:rPr>
                <w:rFonts w:ascii="Garamond" w:hAnsi="Garamond"/>
                <w:sz w:val="19"/>
                <w:lang w:val="en-US"/>
              </w:rPr>
              <w:t>,</w:t>
            </w:r>
            <w:r w:rsidRPr="001B730D">
              <w:rPr>
                <w:rFonts w:ascii="Garamond" w:hAnsi="Garamond"/>
                <w:sz w:val="19"/>
                <w:lang w:val="en-US"/>
              </w:rPr>
              <w:t xml:space="preserve"> bullet needed</w:t>
            </w:r>
            <w:r w:rsidR="00B46575">
              <w:rPr>
                <w:rFonts w:ascii="Garamond" w:hAnsi="Garamond"/>
                <w:sz w:val="19"/>
                <w:lang w:val="en-US"/>
              </w:rPr>
              <w:t>,</w:t>
            </w:r>
            <w:r w:rsidRPr="001B730D">
              <w:rPr>
                <w:rFonts w:ascii="Garamond" w:hAnsi="Garamond"/>
                <w:sz w:val="19"/>
                <w:lang w:val="en-US"/>
              </w:rPr>
              <w:t xml:space="preserve"> </w:t>
            </w:r>
            <w:proofErr w:type="spellStart"/>
            <w:r w:rsidRPr="001B730D">
              <w:rPr>
                <w:rFonts w:ascii="Garamond" w:hAnsi="Garamond"/>
                <w:sz w:val="19"/>
                <w:lang w:val="en-US"/>
              </w:rPr>
              <w:t>unitranche</w:t>
            </w:r>
            <w:proofErr w:type="spellEnd"/>
            <w:r w:rsidRPr="001B730D">
              <w:rPr>
                <w:rFonts w:ascii="Garamond" w:hAnsi="Garamond"/>
                <w:sz w:val="19"/>
                <w:lang w:val="en-US"/>
              </w:rPr>
              <w:t xml:space="preserve"> preferred</w:t>
            </w:r>
          </w:p>
        </w:tc>
        <w:tc>
          <w:tcPr>
            <w:tcW w:w="1615" w:type="dxa"/>
            <w:shd w:val="clear" w:color="auto" w:fill="EEF2F8"/>
            <w:vAlign w:val="center"/>
          </w:tcPr>
          <w:p w14:paraId="45F66342" w14:textId="79EFA147" w:rsidR="00540C9D" w:rsidRPr="001B730D" w:rsidRDefault="00540C9D" w:rsidP="00B46575">
            <w:pPr>
              <w:spacing w:before="40" w:after="40"/>
              <w:jc w:val="center"/>
              <w:rPr>
                <w:lang w:val="en-US"/>
              </w:rPr>
            </w:pPr>
            <w:r w:rsidRPr="001B730D">
              <w:rPr>
                <w:rFonts w:ascii="Garamond" w:hAnsi="Garamond"/>
                <w:sz w:val="19"/>
                <w:lang w:val="en-US"/>
              </w:rPr>
              <w:t>Simple refinancing</w:t>
            </w:r>
            <w:r w:rsidR="001F5FB0">
              <w:rPr>
                <w:rFonts w:ascii="Garamond" w:hAnsi="Garamond"/>
                <w:sz w:val="19"/>
                <w:lang w:val="en-US"/>
              </w:rPr>
              <w:t>,</w:t>
            </w:r>
            <w:r w:rsidRPr="001B730D">
              <w:rPr>
                <w:rFonts w:ascii="Garamond" w:hAnsi="Garamond"/>
                <w:sz w:val="19"/>
                <w:lang w:val="en-US"/>
              </w:rPr>
              <w:t xml:space="preserve"> no urgency</w:t>
            </w:r>
            <w:r w:rsidR="001F5FB0">
              <w:rPr>
                <w:rFonts w:ascii="Garamond" w:hAnsi="Garamond"/>
                <w:sz w:val="19"/>
                <w:lang w:val="en-US"/>
              </w:rPr>
              <w:t>,</w:t>
            </w:r>
            <w:r w:rsidRPr="001B730D">
              <w:rPr>
                <w:rFonts w:ascii="Garamond" w:hAnsi="Garamond"/>
                <w:sz w:val="19"/>
                <w:lang w:val="en-US"/>
              </w:rPr>
              <w:t xml:space="preserve"> standard </w:t>
            </w:r>
            <w:proofErr w:type="spellStart"/>
            <w:r w:rsidRPr="001B730D">
              <w:rPr>
                <w:rFonts w:ascii="Garamond" w:hAnsi="Garamond"/>
                <w:sz w:val="19"/>
                <w:lang w:val="en-US"/>
              </w:rPr>
              <w:t>amortising</w:t>
            </w:r>
            <w:proofErr w:type="spellEnd"/>
            <w:r w:rsidRPr="001B730D">
              <w:rPr>
                <w:rFonts w:ascii="Garamond" w:hAnsi="Garamond"/>
                <w:sz w:val="19"/>
                <w:lang w:val="en-US"/>
              </w:rPr>
              <w:t xml:space="preserve"> structure sufficient</w:t>
            </w:r>
          </w:p>
        </w:tc>
        <w:tc>
          <w:tcPr>
            <w:tcW w:w="1709" w:type="dxa"/>
            <w:shd w:val="clear" w:color="auto" w:fill="EEF2F8"/>
            <w:vAlign w:val="center"/>
          </w:tcPr>
          <w:p w14:paraId="04D989AC" w14:textId="7233E196" w:rsidR="00540C9D" w:rsidRPr="005C155B" w:rsidRDefault="00540C9D" w:rsidP="00B46575">
            <w:pPr>
              <w:spacing w:before="40" w:after="40"/>
              <w:jc w:val="center"/>
              <w:rPr>
                <w:lang w:val="en-US"/>
              </w:rPr>
            </w:pPr>
            <w:r w:rsidRPr="005C155B">
              <w:rPr>
                <w:rFonts w:ascii="Garamond" w:hAnsi="Garamond"/>
                <w:sz w:val="19"/>
                <w:lang w:val="en-US"/>
              </w:rPr>
              <w:t>Identify bespoke features required</w:t>
            </w:r>
            <w:r w:rsidR="00B46575">
              <w:rPr>
                <w:rFonts w:ascii="Garamond" w:hAnsi="Garamond"/>
                <w:sz w:val="19"/>
                <w:lang w:val="en-US"/>
              </w:rPr>
              <w:t>,</w:t>
            </w:r>
            <w:r w:rsidRPr="005C155B">
              <w:rPr>
                <w:rFonts w:ascii="Garamond" w:hAnsi="Garamond"/>
                <w:sz w:val="19"/>
                <w:lang w:val="en-US"/>
              </w:rPr>
              <w:t xml:space="preserve"> stress-test covenant headroom vs. projections</w:t>
            </w:r>
          </w:p>
        </w:tc>
      </w:tr>
      <w:tr w:rsidR="00540C9D" w:rsidRPr="006968EF" w14:paraId="63717719" w14:textId="77777777" w:rsidTr="00B46575">
        <w:trPr>
          <w:jc w:val="center"/>
        </w:trPr>
        <w:tc>
          <w:tcPr>
            <w:tcW w:w="2122" w:type="dxa"/>
            <w:vAlign w:val="center"/>
          </w:tcPr>
          <w:p w14:paraId="4C640870" w14:textId="77777777" w:rsidR="00540C9D" w:rsidRPr="005C155B" w:rsidRDefault="00540C9D" w:rsidP="00783878">
            <w:pPr>
              <w:spacing w:before="40" w:after="40"/>
              <w:jc w:val="center"/>
              <w:rPr>
                <w:lang w:val="en-US"/>
              </w:rPr>
            </w:pPr>
            <w:r w:rsidRPr="005C155B">
              <w:rPr>
                <w:rFonts w:ascii="Garamond" w:hAnsi="Garamond"/>
                <w:sz w:val="19"/>
                <w:lang w:val="en-US"/>
              </w:rPr>
              <w:t>IV. Value-Adjusted</w:t>
            </w:r>
            <w:r w:rsidRPr="005C155B">
              <w:rPr>
                <w:rFonts w:ascii="Garamond" w:hAnsi="Garamond"/>
                <w:sz w:val="19"/>
                <w:lang w:val="en-US"/>
              </w:rPr>
              <w:br/>
              <w:t>Cost Assessment</w:t>
            </w:r>
          </w:p>
        </w:tc>
        <w:tc>
          <w:tcPr>
            <w:tcW w:w="1635" w:type="dxa"/>
            <w:vAlign w:val="center"/>
          </w:tcPr>
          <w:p w14:paraId="34A48E6C" w14:textId="431A2102" w:rsidR="00540C9D" w:rsidRPr="005C155B" w:rsidRDefault="00540C9D" w:rsidP="00B46575">
            <w:pPr>
              <w:spacing w:before="40" w:after="40"/>
              <w:jc w:val="center"/>
              <w:rPr>
                <w:lang w:val="en-US"/>
              </w:rPr>
            </w:pPr>
            <w:r w:rsidRPr="005C155B">
              <w:rPr>
                <w:rFonts w:ascii="Garamond" w:hAnsi="Garamond"/>
                <w:sz w:val="19"/>
                <w:lang w:val="en-US"/>
              </w:rPr>
              <w:t xml:space="preserve">Transaction value justifies </w:t>
            </w:r>
            <w:r w:rsidR="00B61215">
              <w:rPr>
                <w:rFonts w:ascii="Garamond" w:hAnsi="Garamond"/>
                <w:sz w:val="19"/>
                <w:lang w:val="en-US"/>
              </w:rPr>
              <w:t>2</w:t>
            </w:r>
            <w:r w:rsidR="00BD25E5">
              <w:rPr>
                <w:rFonts w:ascii="Garamond" w:hAnsi="Garamond"/>
                <w:sz w:val="19"/>
                <w:lang w:val="en-US"/>
              </w:rPr>
              <w:t>1</w:t>
            </w:r>
            <w:r w:rsidR="00B61215">
              <w:rPr>
                <w:rFonts w:ascii="Garamond" w:hAnsi="Garamond"/>
                <w:sz w:val="19"/>
                <w:lang w:val="en-US"/>
              </w:rPr>
              <w:t>5</w:t>
            </w:r>
            <w:r w:rsidRPr="005C155B">
              <w:rPr>
                <w:rFonts w:ascii="Garamond" w:hAnsi="Garamond"/>
                <w:sz w:val="19"/>
                <w:lang w:val="en-US"/>
              </w:rPr>
              <w:t>–</w:t>
            </w:r>
            <w:r w:rsidR="00BD25E5">
              <w:rPr>
                <w:rFonts w:ascii="Garamond" w:hAnsi="Garamond"/>
                <w:sz w:val="19"/>
                <w:lang w:val="en-US"/>
              </w:rPr>
              <w:t>70</w:t>
            </w:r>
            <w:r w:rsidR="00B61215">
              <w:rPr>
                <w:rFonts w:ascii="Garamond" w:hAnsi="Garamond"/>
                <w:sz w:val="19"/>
                <w:lang w:val="en-US"/>
              </w:rPr>
              <w:t>0</w:t>
            </w:r>
            <w:r w:rsidRPr="005C155B">
              <w:rPr>
                <w:rFonts w:ascii="Garamond" w:hAnsi="Garamond"/>
                <w:sz w:val="19"/>
                <w:lang w:val="en-US"/>
              </w:rPr>
              <w:t xml:space="preserve"> bps premium</w:t>
            </w:r>
            <w:r w:rsidR="00B46575">
              <w:rPr>
                <w:rFonts w:ascii="Garamond" w:hAnsi="Garamond"/>
                <w:sz w:val="19"/>
                <w:lang w:val="en-US"/>
              </w:rPr>
              <w:t>,</w:t>
            </w:r>
            <w:r w:rsidRPr="005C155B">
              <w:rPr>
                <w:rFonts w:ascii="Garamond" w:hAnsi="Garamond"/>
                <w:sz w:val="19"/>
                <w:lang w:val="en-US"/>
              </w:rPr>
              <w:t xml:space="preserve"> enabling effect</w:t>
            </w:r>
            <w:r w:rsidR="00B46575">
              <w:rPr>
                <w:rFonts w:ascii="Garamond" w:hAnsi="Garamond"/>
                <w:sz w:val="19"/>
                <w:lang w:val="en-US"/>
              </w:rPr>
              <w:t>,</w:t>
            </w:r>
            <w:r w:rsidRPr="005C155B">
              <w:rPr>
                <w:rFonts w:ascii="Garamond" w:hAnsi="Garamond"/>
                <w:sz w:val="19"/>
                <w:lang w:val="en-US"/>
              </w:rPr>
              <w:t xml:space="preserve"> M&amp;A advantage</w:t>
            </w:r>
          </w:p>
        </w:tc>
        <w:tc>
          <w:tcPr>
            <w:tcW w:w="1615" w:type="dxa"/>
            <w:vAlign w:val="center"/>
          </w:tcPr>
          <w:p w14:paraId="27F8A7FE" w14:textId="597B9B03" w:rsidR="00540C9D" w:rsidRPr="005C155B" w:rsidRDefault="00540C9D" w:rsidP="00B46575">
            <w:pPr>
              <w:spacing w:before="40" w:after="40"/>
              <w:jc w:val="center"/>
              <w:rPr>
                <w:lang w:val="en-US"/>
              </w:rPr>
            </w:pPr>
            <w:r w:rsidRPr="005C155B">
              <w:rPr>
                <w:rFonts w:ascii="Garamond" w:hAnsi="Garamond"/>
                <w:sz w:val="19"/>
                <w:lang w:val="en-US"/>
              </w:rPr>
              <w:t>Cost-sensitive</w:t>
            </w:r>
            <w:r w:rsidR="00B46575">
              <w:rPr>
                <w:rFonts w:ascii="Garamond" w:hAnsi="Garamond"/>
                <w:sz w:val="19"/>
                <w:lang w:val="en-US"/>
              </w:rPr>
              <w:t>,</w:t>
            </w:r>
            <w:r w:rsidRPr="005C155B">
              <w:rPr>
                <w:rFonts w:ascii="Garamond" w:hAnsi="Garamond"/>
                <w:sz w:val="19"/>
                <w:lang w:val="en-US"/>
              </w:rPr>
              <w:t xml:space="preserve"> low urgency</w:t>
            </w:r>
            <w:r w:rsidR="00B46575">
              <w:rPr>
                <w:rFonts w:ascii="Garamond" w:hAnsi="Garamond"/>
                <w:sz w:val="19"/>
                <w:lang w:val="en-US"/>
              </w:rPr>
              <w:t>,</w:t>
            </w:r>
            <w:r w:rsidRPr="005C155B">
              <w:rPr>
                <w:rFonts w:ascii="Garamond" w:hAnsi="Garamond"/>
                <w:sz w:val="19"/>
                <w:lang w:val="en-US"/>
              </w:rPr>
              <w:t xml:space="preserve"> bank pricing at 3.4</w:t>
            </w:r>
            <w:r w:rsidR="00B46575">
              <w:rPr>
                <w:rFonts w:ascii="Garamond" w:hAnsi="Garamond"/>
                <w:sz w:val="19"/>
                <w:lang w:val="en-US"/>
              </w:rPr>
              <w:t>5</w:t>
            </w:r>
            <w:r w:rsidRPr="005C155B">
              <w:rPr>
                <w:rFonts w:ascii="Garamond" w:hAnsi="Garamond"/>
                <w:sz w:val="19"/>
                <w:lang w:val="en-US"/>
              </w:rPr>
              <w:t>–3.</w:t>
            </w:r>
            <w:r w:rsidR="00B46575">
              <w:rPr>
                <w:rFonts w:ascii="Garamond" w:hAnsi="Garamond"/>
                <w:sz w:val="19"/>
                <w:lang w:val="en-US"/>
              </w:rPr>
              <w:t>6</w:t>
            </w:r>
            <w:r w:rsidRPr="005C155B">
              <w:rPr>
                <w:rFonts w:ascii="Garamond" w:hAnsi="Garamond"/>
                <w:sz w:val="19"/>
                <w:lang w:val="en-US"/>
              </w:rPr>
              <w:t>0% is adequate</w:t>
            </w:r>
          </w:p>
        </w:tc>
        <w:tc>
          <w:tcPr>
            <w:tcW w:w="1709" w:type="dxa"/>
            <w:vAlign w:val="center"/>
          </w:tcPr>
          <w:p w14:paraId="1662B2C9" w14:textId="75F6A392" w:rsidR="00540C9D" w:rsidRPr="005C155B" w:rsidRDefault="00540C9D" w:rsidP="00B46575">
            <w:pPr>
              <w:spacing w:before="40" w:after="40"/>
              <w:jc w:val="center"/>
              <w:rPr>
                <w:lang w:val="en-US"/>
              </w:rPr>
            </w:pPr>
            <w:r w:rsidRPr="005C155B">
              <w:rPr>
                <w:rFonts w:ascii="Garamond" w:hAnsi="Garamond"/>
                <w:sz w:val="19"/>
                <w:lang w:val="en-US"/>
              </w:rPr>
              <w:t>Build 3-scenario model</w:t>
            </w:r>
          </w:p>
        </w:tc>
      </w:tr>
    </w:tbl>
    <w:p w14:paraId="13099C4D" w14:textId="1AAF9E7F" w:rsidR="00342A29" w:rsidRDefault="00B96295" w:rsidP="00342A29">
      <w:pPr>
        <w:pStyle w:val="Legenda"/>
        <w:jc w:val="center"/>
        <w:rPr>
          <w:rFonts w:ascii="Garamond" w:hAnsi="Garamond"/>
          <w:color w:val="000000" w:themeColor="text1"/>
          <w:lang w:val="en-US"/>
        </w:rPr>
      </w:pPr>
      <w:bookmarkStart w:id="54" w:name="_Toc232962128"/>
      <w:bookmarkStart w:id="55" w:name="_Toc233144737"/>
      <w:r w:rsidRPr="00E052E6">
        <w:rPr>
          <w:rFonts w:ascii="Garamond" w:hAnsi="Garamond"/>
          <w:color w:val="000000" w:themeColor="text1"/>
          <w:lang w:val="en-US"/>
        </w:rPr>
        <w:t xml:space="preserve">Table </w:t>
      </w:r>
      <w:r w:rsidRPr="00E052E6">
        <w:rPr>
          <w:rFonts w:ascii="Garamond" w:hAnsi="Garamond"/>
          <w:color w:val="000000" w:themeColor="text1"/>
        </w:rPr>
        <w:fldChar w:fldCharType="begin"/>
      </w:r>
      <w:r w:rsidRPr="00E052E6">
        <w:rPr>
          <w:rFonts w:ascii="Garamond" w:hAnsi="Garamond"/>
          <w:color w:val="000000" w:themeColor="text1"/>
          <w:lang w:val="en-US"/>
        </w:rPr>
        <w:instrText xml:space="preserve"> SEQ Table \* ARABIC </w:instrText>
      </w:r>
      <w:r w:rsidRPr="00E052E6">
        <w:rPr>
          <w:rFonts w:ascii="Garamond" w:hAnsi="Garamond"/>
          <w:color w:val="000000" w:themeColor="text1"/>
        </w:rPr>
        <w:fldChar w:fldCharType="separate"/>
      </w:r>
      <w:r w:rsidR="000C6C03">
        <w:rPr>
          <w:rFonts w:ascii="Garamond" w:hAnsi="Garamond"/>
          <w:noProof/>
          <w:color w:val="000000" w:themeColor="text1"/>
          <w:lang w:val="en-US"/>
        </w:rPr>
        <w:t>4</w:t>
      </w:r>
      <w:r w:rsidRPr="00E052E6">
        <w:rPr>
          <w:rFonts w:ascii="Garamond" w:hAnsi="Garamond"/>
          <w:color w:val="000000" w:themeColor="text1"/>
        </w:rPr>
        <w:fldChar w:fldCharType="end"/>
      </w:r>
      <w:r w:rsidRPr="00E052E6">
        <w:rPr>
          <w:rFonts w:ascii="Garamond" w:hAnsi="Garamond"/>
          <w:color w:val="000000" w:themeColor="text1"/>
          <w:lang w:val="en-US"/>
        </w:rPr>
        <w:t xml:space="preserve"> - Private Credit Advisory Decision Matrix: Dimensions, Signals</w:t>
      </w:r>
      <w:r w:rsidR="008C62D5" w:rsidRPr="00E052E6">
        <w:rPr>
          <w:rFonts w:ascii="Garamond" w:hAnsi="Garamond"/>
          <w:color w:val="000000" w:themeColor="text1"/>
          <w:lang w:val="en-US"/>
        </w:rPr>
        <w:t xml:space="preserve"> and Advisory Implication</w:t>
      </w:r>
      <w:r w:rsidR="003A5B9D">
        <w:rPr>
          <w:rFonts w:ascii="Garamond" w:hAnsi="Garamond"/>
          <w:color w:val="000000" w:themeColor="text1"/>
          <w:lang w:val="en-US"/>
        </w:rPr>
        <w:t>s</w:t>
      </w:r>
      <w:bookmarkEnd w:id="54"/>
      <w:bookmarkEnd w:id="55"/>
    </w:p>
    <w:p w14:paraId="3C95BC19" w14:textId="6CCCD61F" w:rsidR="00917818" w:rsidRPr="00136CA9" w:rsidRDefault="00BB0C11" w:rsidP="00136CA9">
      <w:pPr>
        <w:pStyle w:val="Ttulo2"/>
        <w:rPr>
          <w:rFonts w:ascii="Garamond" w:hAnsi="Garamond"/>
          <w:b/>
          <w:bCs/>
          <w:color w:val="000000" w:themeColor="text1"/>
          <w:sz w:val="28"/>
          <w:szCs w:val="28"/>
        </w:rPr>
      </w:pPr>
      <w:bookmarkStart w:id="56" w:name="_Toc233142911"/>
      <w:r>
        <w:rPr>
          <w:rFonts w:ascii="Garamond" w:hAnsi="Garamond"/>
          <w:b/>
          <w:bCs/>
          <w:color w:val="000000" w:themeColor="text1"/>
          <w:sz w:val="28"/>
          <w:szCs w:val="28"/>
        </w:rPr>
        <w:t>5</w:t>
      </w:r>
      <w:r w:rsidR="00CF6975" w:rsidRPr="00136CA9">
        <w:rPr>
          <w:rFonts w:ascii="Garamond" w:hAnsi="Garamond"/>
          <w:b/>
          <w:bCs/>
          <w:color w:val="000000" w:themeColor="text1"/>
          <w:sz w:val="28"/>
          <w:szCs w:val="28"/>
        </w:rPr>
        <w:t xml:space="preserve">.4. </w:t>
      </w:r>
      <w:r w:rsidR="00B01D66" w:rsidRPr="00136CA9">
        <w:rPr>
          <w:rFonts w:ascii="Garamond" w:hAnsi="Garamond"/>
          <w:b/>
          <w:bCs/>
          <w:color w:val="000000" w:themeColor="text1"/>
          <w:sz w:val="28"/>
          <w:szCs w:val="28"/>
        </w:rPr>
        <w:t>Recommendations to Triple A – Capital &amp; Finance</w:t>
      </w:r>
      <w:bookmarkEnd w:id="56"/>
    </w:p>
    <w:p w14:paraId="2B911BF9" w14:textId="77777777" w:rsidR="00917818" w:rsidRPr="00917818" w:rsidRDefault="00917818" w:rsidP="00917818">
      <w:pPr>
        <w:rPr>
          <w:lang w:val="en-US" w:eastAsia="en-US"/>
        </w:rPr>
      </w:pPr>
    </w:p>
    <w:p w14:paraId="4868C9CD" w14:textId="090AF8CB" w:rsidR="00917818" w:rsidRPr="00917818" w:rsidRDefault="00917818" w:rsidP="00917818">
      <w:pPr>
        <w:spacing w:line="360" w:lineRule="auto"/>
        <w:ind w:firstLine="360"/>
        <w:jc w:val="both"/>
        <w:rPr>
          <w:rFonts w:ascii="Garamond" w:hAnsi="Garamond"/>
          <w:color w:val="000000" w:themeColor="text1"/>
          <w:lang w:val="en-US"/>
        </w:rPr>
      </w:pPr>
      <w:r w:rsidRPr="00917818">
        <w:rPr>
          <w:rFonts w:ascii="Garamond" w:hAnsi="Garamond"/>
          <w:color w:val="000000" w:themeColor="text1"/>
          <w:lang w:val="en-US"/>
        </w:rPr>
        <w:t xml:space="preserve">Following on from the framework developed throughout this chapter, </w:t>
      </w:r>
      <w:r w:rsidR="005B6504">
        <w:rPr>
          <w:rFonts w:ascii="Garamond" w:hAnsi="Garamond"/>
          <w:color w:val="000000" w:themeColor="text1"/>
          <w:lang w:val="en-US"/>
        </w:rPr>
        <w:t>some</w:t>
      </w:r>
      <w:r w:rsidRPr="00917818">
        <w:rPr>
          <w:rFonts w:ascii="Garamond" w:hAnsi="Garamond"/>
          <w:color w:val="000000" w:themeColor="text1"/>
          <w:lang w:val="en-US"/>
        </w:rPr>
        <w:t xml:space="preserve"> recommendations can be made to Triple A with a view to implementing private credit as a structured solution within the advisory context.</w:t>
      </w:r>
    </w:p>
    <w:p w14:paraId="66B8C951" w14:textId="77777777" w:rsidR="00917818" w:rsidRPr="00917818" w:rsidRDefault="00917818" w:rsidP="00917818">
      <w:pPr>
        <w:spacing w:line="360" w:lineRule="auto"/>
        <w:ind w:firstLine="360"/>
        <w:jc w:val="both"/>
        <w:rPr>
          <w:rFonts w:ascii="Garamond" w:hAnsi="Garamond"/>
          <w:color w:val="000000" w:themeColor="text1"/>
          <w:lang w:val="en-US"/>
        </w:rPr>
      </w:pPr>
      <w:r w:rsidRPr="00917818">
        <w:rPr>
          <w:rFonts w:ascii="Garamond" w:hAnsi="Garamond"/>
          <w:color w:val="000000" w:themeColor="text1"/>
          <w:lang w:val="en-US"/>
        </w:rPr>
        <w:t>Firstly, the company should progressively incorporate the use of the four-dimensional framework into its client onboarding and mandate assessment processes, using it as an initial screening tool to enable the systematic identification of situations in which private credit could effectively become a viable alternative financing solution for the client. An approach based on these premises would replace the informal process, reliant on individual judgement, with a replicable and well-founded process.</w:t>
      </w:r>
    </w:p>
    <w:p w14:paraId="37A6092A" w14:textId="6FC66AA9" w:rsidR="00917818" w:rsidRPr="00917818" w:rsidRDefault="00917818" w:rsidP="00917818">
      <w:pPr>
        <w:spacing w:line="360" w:lineRule="auto"/>
        <w:ind w:firstLine="360"/>
        <w:jc w:val="both"/>
        <w:rPr>
          <w:rFonts w:ascii="Garamond" w:hAnsi="Garamond"/>
          <w:color w:val="000000" w:themeColor="text1"/>
          <w:lang w:val="en-US"/>
        </w:rPr>
      </w:pPr>
      <w:r w:rsidRPr="00917818">
        <w:rPr>
          <w:rFonts w:ascii="Garamond" w:hAnsi="Garamond"/>
          <w:color w:val="000000" w:themeColor="text1"/>
          <w:lang w:val="en-US"/>
        </w:rPr>
        <w:lastRenderedPageBreak/>
        <w:t>Secondly, the development of the Framework also involves the constant updating and periodic verification of the private equity and private credit database compiled during the placement, ensuring that the relevant pricing benchmarks and market players remain up to date. Given the rapid evolution of the European private credit market, this database represents a strategic asset whose intrinsic value depends directly on its up-to-date status. </w:t>
      </w:r>
      <w:r w:rsidRPr="00917818">
        <w:rPr>
          <w:rFonts w:ascii="Garamond" w:hAnsi="Garamond"/>
          <w:color w:val="000000" w:themeColor="text1"/>
          <w:lang w:val="en-US"/>
        </w:rPr>
        <w:br/>
        <w:t>Thirdly, it is proposed that the use of the Framework be viewed as a differentiating factor at a commercial level within the financial boutique sector. As an independent financial boutique, the close relationship with clients enables, to a certain extent, the provision of credible advice on private credit solutions</w:t>
      </w:r>
      <w:r w:rsidR="00CE4B3C">
        <w:rPr>
          <w:rFonts w:ascii="Garamond" w:hAnsi="Garamond"/>
          <w:color w:val="000000" w:themeColor="text1"/>
          <w:lang w:val="en-US"/>
        </w:rPr>
        <w:t>.</w:t>
      </w:r>
      <w:r w:rsidRPr="00917818">
        <w:rPr>
          <w:rFonts w:ascii="Garamond" w:hAnsi="Garamond"/>
          <w:color w:val="000000" w:themeColor="text1"/>
          <w:lang w:val="en-US"/>
        </w:rPr>
        <w:t xml:space="preserve"> </w:t>
      </w:r>
      <w:r w:rsidR="00CE4B3C">
        <w:rPr>
          <w:rFonts w:ascii="Garamond" w:hAnsi="Garamond"/>
          <w:color w:val="000000" w:themeColor="text1"/>
          <w:lang w:val="en-US"/>
        </w:rPr>
        <w:t>I</w:t>
      </w:r>
      <w:r w:rsidRPr="00917818">
        <w:rPr>
          <w:rFonts w:ascii="Garamond" w:hAnsi="Garamond"/>
          <w:color w:val="000000" w:themeColor="text1"/>
          <w:lang w:val="en-US"/>
        </w:rPr>
        <w:t>t is this close relationship with clients that can strengthen the firm’s position in the Portuguese market and enable it to expand its service offering beyond the traditional advisory services that currently form the core of the business.</w:t>
      </w:r>
    </w:p>
    <w:p w14:paraId="3F809EA9" w14:textId="77BA54F7" w:rsidR="00917818" w:rsidRPr="00917818" w:rsidRDefault="00917818" w:rsidP="00917818">
      <w:pPr>
        <w:spacing w:line="360" w:lineRule="auto"/>
        <w:ind w:firstLine="360"/>
        <w:jc w:val="both"/>
        <w:rPr>
          <w:rFonts w:ascii="Garamond" w:hAnsi="Garamond"/>
          <w:color w:val="000000" w:themeColor="text1"/>
          <w:lang w:val="en-US"/>
        </w:rPr>
      </w:pPr>
      <w:r w:rsidRPr="00917818">
        <w:rPr>
          <w:rFonts w:ascii="Garamond" w:hAnsi="Garamond"/>
          <w:color w:val="000000" w:themeColor="text1"/>
          <w:lang w:val="en-US"/>
        </w:rPr>
        <w:t>Finally, it is crucial to the company’s operations to continually establish direct commercial relationships with a select group of private credit providers, particularly in the Iberian market, as more than 80 per cent of the company’s recurring business takes place in that region. This direct contact would not only enable the company to assess private credit as an option, but also facilitate closer ties between the parties and structure transactions on behalf of its clients. The company’s active role would be expanded, enabling it to capture additional value throughout the entire advisory process. </w:t>
      </w:r>
    </w:p>
    <w:p w14:paraId="05910DB6" w14:textId="77777777" w:rsidR="00A87A66" w:rsidRPr="00917818" w:rsidRDefault="00A87A66" w:rsidP="00274C9F">
      <w:pPr>
        <w:spacing w:line="360" w:lineRule="auto"/>
        <w:jc w:val="both"/>
        <w:rPr>
          <w:rFonts w:ascii="Garamond" w:hAnsi="Garamond"/>
          <w:lang w:val="en-US" w:eastAsia="en-US"/>
        </w:rPr>
      </w:pPr>
    </w:p>
    <w:p w14:paraId="12DD759D" w14:textId="77777777" w:rsidR="00A87A66" w:rsidRPr="00917818" w:rsidRDefault="00A87A66" w:rsidP="00A87A66">
      <w:pPr>
        <w:jc w:val="both"/>
        <w:rPr>
          <w:rFonts w:ascii="Garamond" w:hAnsi="Garamond"/>
          <w:lang w:val="en-US" w:eastAsia="en-US"/>
        </w:rPr>
      </w:pPr>
    </w:p>
    <w:p w14:paraId="249F4189" w14:textId="68975E5C" w:rsidR="00CF6975" w:rsidRPr="00917818" w:rsidRDefault="00CF6975" w:rsidP="00CF6975">
      <w:pPr>
        <w:rPr>
          <w:lang w:val="en-US" w:eastAsia="en-US"/>
        </w:rPr>
      </w:pPr>
    </w:p>
    <w:p w14:paraId="4C42E8D8" w14:textId="77777777" w:rsidR="00987484" w:rsidRPr="00917818" w:rsidRDefault="00987484" w:rsidP="00CF6975">
      <w:pPr>
        <w:rPr>
          <w:lang w:val="en-US" w:eastAsia="en-US"/>
        </w:rPr>
      </w:pPr>
    </w:p>
    <w:p w14:paraId="0E640B59" w14:textId="77777777" w:rsidR="00987484" w:rsidRDefault="00987484" w:rsidP="00CF6975">
      <w:pPr>
        <w:rPr>
          <w:lang w:val="en-US" w:eastAsia="en-US"/>
        </w:rPr>
      </w:pPr>
    </w:p>
    <w:p w14:paraId="6B8E85C3" w14:textId="77777777" w:rsidR="00FC6FF7" w:rsidRDefault="00FC6FF7" w:rsidP="00CF6975">
      <w:pPr>
        <w:rPr>
          <w:lang w:val="en-US" w:eastAsia="en-US"/>
        </w:rPr>
      </w:pPr>
    </w:p>
    <w:p w14:paraId="23E8BE37" w14:textId="77777777" w:rsidR="00FC6FF7" w:rsidRDefault="00FC6FF7" w:rsidP="00CF6975">
      <w:pPr>
        <w:rPr>
          <w:lang w:val="en-US" w:eastAsia="en-US"/>
        </w:rPr>
      </w:pPr>
    </w:p>
    <w:p w14:paraId="02AC6D72" w14:textId="77777777" w:rsidR="00FC6FF7" w:rsidRDefault="00FC6FF7" w:rsidP="00CF6975">
      <w:pPr>
        <w:rPr>
          <w:lang w:val="en-US" w:eastAsia="en-US"/>
        </w:rPr>
      </w:pPr>
    </w:p>
    <w:p w14:paraId="06E209F7" w14:textId="77777777" w:rsidR="00FC6FF7" w:rsidRDefault="00FC6FF7" w:rsidP="00CF6975">
      <w:pPr>
        <w:rPr>
          <w:lang w:val="en-US" w:eastAsia="en-US"/>
        </w:rPr>
      </w:pPr>
    </w:p>
    <w:p w14:paraId="60C0803F" w14:textId="77777777" w:rsidR="00FC6FF7" w:rsidRDefault="00FC6FF7" w:rsidP="00CF6975">
      <w:pPr>
        <w:rPr>
          <w:lang w:val="en-US" w:eastAsia="en-US"/>
        </w:rPr>
      </w:pPr>
    </w:p>
    <w:p w14:paraId="20CE56C5" w14:textId="77777777" w:rsidR="00FC6FF7" w:rsidRDefault="00FC6FF7" w:rsidP="00CF6975">
      <w:pPr>
        <w:rPr>
          <w:lang w:val="en-US" w:eastAsia="en-US"/>
        </w:rPr>
      </w:pPr>
    </w:p>
    <w:p w14:paraId="79363485" w14:textId="77777777" w:rsidR="00FC6FF7" w:rsidRDefault="00FC6FF7" w:rsidP="00CF6975">
      <w:pPr>
        <w:rPr>
          <w:lang w:val="en-US" w:eastAsia="en-US"/>
        </w:rPr>
      </w:pPr>
    </w:p>
    <w:p w14:paraId="1EBFAB7B" w14:textId="77777777" w:rsidR="00FC6FF7" w:rsidRDefault="00FC6FF7" w:rsidP="00CF6975">
      <w:pPr>
        <w:rPr>
          <w:lang w:val="en-US" w:eastAsia="en-US"/>
        </w:rPr>
      </w:pPr>
    </w:p>
    <w:p w14:paraId="225C155A" w14:textId="77777777" w:rsidR="00FC6FF7" w:rsidRDefault="00FC6FF7" w:rsidP="00CF6975">
      <w:pPr>
        <w:rPr>
          <w:lang w:val="en-US" w:eastAsia="en-US"/>
        </w:rPr>
      </w:pPr>
    </w:p>
    <w:p w14:paraId="04EF364A" w14:textId="77777777" w:rsidR="00FC6FF7" w:rsidRDefault="00FC6FF7" w:rsidP="00CF6975">
      <w:pPr>
        <w:rPr>
          <w:lang w:val="en-US" w:eastAsia="en-US"/>
        </w:rPr>
      </w:pPr>
    </w:p>
    <w:p w14:paraId="03FE5D6E" w14:textId="77777777" w:rsidR="00FC6FF7" w:rsidRDefault="00FC6FF7" w:rsidP="00CF6975">
      <w:pPr>
        <w:rPr>
          <w:lang w:val="en-US" w:eastAsia="en-US"/>
        </w:rPr>
      </w:pPr>
    </w:p>
    <w:p w14:paraId="0F49BF7C" w14:textId="77777777" w:rsidR="00FC6FF7" w:rsidRDefault="00FC6FF7" w:rsidP="00CF6975">
      <w:pPr>
        <w:rPr>
          <w:lang w:val="en-US" w:eastAsia="en-US"/>
        </w:rPr>
      </w:pPr>
    </w:p>
    <w:p w14:paraId="3AA138DF" w14:textId="77777777" w:rsidR="00FC6FF7" w:rsidRDefault="00FC6FF7" w:rsidP="00CF6975">
      <w:pPr>
        <w:rPr>
          <w:lang w:val="en-US" w:eastAsia="en-US"/>
        </w:rPr>
      </w:pPr>
    </w:p>
    <w:p w14:paraId="04CBAD39" w14:textId="77777777" w:rsidR="00FC6FF7" w:rsidRPr="00917818" w:rsidRDefault="00FC6FF7" w:rsidP="00CF6975">
      <w:pPr>
        <w:rPr>
          <w:lang w:val="en-US" w:eastAsia="en-US"/>
        </w:rPr>
      </w:pPr>
    </w:p>
    <w:p w14:paraId="40529A4F" w14:textId="5BA76E4A" w:rsidR="00291316" w:rsidRPr="00771647" w:rsidRDefault="00BB0C11" w:rsidP="00771647">
      <w:pPr>
        <w:pStyle w:val="Ttulo1"/>
        <w:rPr>
          <w:rFonts w:ascii="Garamond" w:hAnsi="Garamond"/>
          <w:b/>
          <w:bCs/>
          <w:color w:val="000000" w:themeColor="text1"/>
          <w:sz w:val="28"/>
          <w:szCs w:val="28"/>
          <w:lang w:val="en-US"/>
        </w:rPr>
      </w:pPr>
      <w:bookmarkStart w:id="57" w:name="_Toc233142912"/>
      <w:r>
        <w:rPr>
          <w:rFonts w:ascii="Garamond" w:hAnsi="Garamond"/>
          <w:b/>
          <w:bCs/>
          <w:color w:val="000000" w:themeColor="text1"/>
          <w:sz w:val="28"/>
          <w:szCs w:val="28"/>
          <w:lang w:val="en-US"/>
        </w:rPr>
        <w:lastRenderedPageBreak/>
        <w:t>6</w:t>
      </w:r>
      <w:r w:rsidR="00771647">
        <w:rPr>
          <w:rFonts w:ascii="Garamond" w:hAnsi="Garamond"/>
          <w:b/>
          <w:bCs/>
          <w:color w:val="000000" w:themeColor="text1"/>
          <w:sz w:val="28"/>
          <w:szCs w:val="28"/>
          <w:lang w:val="en-US"/>
        </w:rPr>
        <w:t xml:space="preserve">. </w:t>
      </w:r>
      <w:r w:rsidR="00DB01A9" w:rsidRPr="00771647">
        <w:rPr>
          <w:rFonts w:ascii="Garamond" w:hAnsi="Garamond"/>
          <w:b/>
          <w:bCs/>
          <w:color w:val="000000" w:themeColor="text1"/>
          <w:sz w:val="28"/>
          <w:szCs w:val="28"/>
          <w:lang w:val="en-US"/>
        </w:rPr>
        <w:t>Conclusion</w:t>
      </w:r>
      <w:bookmarkEnd w:id="57"/>
    </w:p>
    <w:p w14:paraId="5C17AEF5" w14:textId="77777777" w:rsidR="00771647" w:rsidRPr="00771647" w:rsidRDefault="00771647" w:rsidP="00771647">
      <w:pPr>
        <w:rPr>
          <w:lang w:val="en-US"/>
        </w:rPr>
      </w:pPr>
    </w:p>
    <w:p w14:paraId="480A31D6" w14:textId="1E779AF1" w:rsidR="001920B7" w:rsidRPr="001920B7" w:rsidRDefault="001920B7" w:rsidP="001920B7">
      <w:pPr>
        <w:spacing w:line="360" w:lineRule="auto"/>
        <w:ind w:firstLine="360"/>
        <w:jc w:val="both"/>
        <w:rPr>
          <w:rFonts w:ascii="Garamond" w:hAnsi="Garamond"/>
          <w:color w:val="000000" w:themeColor="text1"/>
          <w:lang w:val="en-US"/>
        </w:rPr>
      </w:pPr>
      <w:r w:rsidRPr="001920B7">
        <w:rPr>
          <w:rFonts w:ascii="Garamond" w:hAnsi="Garamond"/>
          <w:color w:val="000000" w:themeColor="text1"/>
          <w:lang w:val="en-US"/>
        </w:rPr>
        <w:t xml:space="preserve">The </w:t>
      </w:r>
      <w:proofErr w:type="gramStart"/>
      <w:r w:rsidRPr="001920B7">
        <w:rPr>
          <w:rFonts w:ascii="Garamond" w:hAnsi="Garamond"/>
          <w:color w:val="000000" w:themeColor="text1"/>
          <w:lang w:val="en-US"/>
        </w:rPr>
        <w:t>ultimate aim</w:t>
      </w:r>
      <w:proofErr w:type="gramEnd"/>
      <w:r w:rsidRPr="001920B7">
        <w:rPr>
          <w:rFonts w:ascii="Garamond" w:hAnsi="Garamond"/>
          <w:color w:val="000000" w:themeColor="text1"/>
          <w:lang w:val="en-US"/>
        </w:rPr>
        <w:t xml:space="preserve"> of this report is to address a practical issue from an analytical perspective, drawing on the direct experience gained during the internship. To this end, the question posed</w:t>
      </w:r>
      <w:r w:rsidR="00B46575">
        <w:rPr>
          <w:rFonts w:ascii="Garamond" w:hAnsi="Garamond"/>
          <w:color w:val="000000" w:themeColor="text1"/>
          <w:lang w:val="en-US"/>
        </w:rPr>
        <w:t xml:space="preserve">, </w:t>
      </w:r>
      <w:proofErr w:type="gramStart"/>
      <w:r w:rsidRPr="001920B7">
        <w:rPr>
          <w:rFonts w:ascii="Garamond" w:hAnsi="Garamond"/>
          <w:color w:val="000000" w:themeColor="text1"/>
          <w:lang w:val="en-US"/>
        </w:rPr>
        <w:t>in an attempt to</w:t>
      </w:r>
      <w:proofErr w:type="gramEnd"/>
      <w:r w:rsidRPr="001920B7">
        <w:rPr>
          <w:rFonts w:ascii="Garamond" w:hAnsi="Garamond"/>
          <w:color w:val="000000" w:themeColor="text1"/>
          <w:lang w:val="en-US"/>
        </w:rPr>
        <w:t xml:space="preserve"> provide a concise and relevant answer: How can private credit be systematically assessed as a viable financing alternative for </w:t>
      </w:r>
      <w:r w:rsidR="00903D29">
        <w:rPr>
          <w:rFonts w:ascii="Garamond" w:hAnsi="Garamond"/>
          <w:color w:val="000000" w:themeColor="text1"/>
          <w:lang w:val="en-US"/>
        </w:rPr>
        <w:t xml:space="preserve">mid-market </w:t>
      </w:r>
      <w:r w:rsidRPr="001920B7">
        <w:rPr>
          <w:rFonts w:ascii="Garamond" w:hAnsi="Garamond"/>
          <w:color w:val="000000" w:themeColor="text1"/>
          <w:lang w:val="en-US"/>
        </w:rPr>
        <w:t xml:space="preserve">Portuguese companies within the context of corporate finance consultancy? </w:t>
      </w:r>
    </w:p>
    <w:p w14:paraId="4A26A8D9" w14:textId="77777777" w:rsidR="001920B7" w:rsidRPr="001920B7" w:rsidRDefault="001920B7" w:rsidP="001920B7">
      <w:pPr>
        <w:spacing w:line="360" w:lineRule="auto"/>
        <w:ind w:firstLine="360"/>
        <w:jc w:val="both"/>
        <w:rPr>
          <w:rFonts w:ascii="Garamond" w:hAnsi="Garamond"/>
          <w:color w:val="000000" w:themeColor="text1"/>
          <w:lang w:val="en-US"/>
        </w:rPr>
      </w:pPr>
      <w:r w:rsidRPr="001920B7">
        <w:rPr>
          <w:rFonts w:ascii="Garamond" w:hAnsi="Garamond"/>
          <w:color w:val="000000" w:themeColor="text1"/>
          <w:lang w:val="en-US"/>
        </w:rPr>
        <w:t xml:space="preserve">The proposal set out in the previous chapters is neither a theoretical model nor an attempt to create a mathematical algorithm, but rather a structured, multidimensional Advisory Framework, designed to be applied iteratively to both existing and potential clients. </w:t>
      </w:r>
    </w:p>
    <w:p w14:paraId="3F6A1537" w14:textId="767CA271" w:rsidR="00F361A0" w:rsidRPr="001920B7" w:rsidRDefault="001920B7" w:rsidP="00D94AD3">
      <w:pPr>
        <w:spacing w:line="360" w:lineRule="auto"/>
        <w:ind w:firstLine="360"/>
        <w:jc w:val="both"/>
        <w:rPr>
          <w:rFonts w:ascii="Garamond" w:hAnsi="Garamond"/>
          <w:color w:val="000000" w:themeColor="text1"/>
          <w:lang w:val="en-US"/>
        </w:rPr>
      </w:pPr>
      <w:r w:rsidRPr="001920B7">
        <w:rPr>
          <w:rFonts w:ascii="Garamond" w:hAnsi="Garamond"/>
          <w:color w:val="000000" w:themeColor="text1"/>
          <w:lang w:val="en-US"/>
        </w:rPr>
        <w:t>To this end, this final chapter brings together the report’s main conclusions, critically reflects on the framework’s contribution and limitations, and identifies the implications of this work for the broader landscape of corporate finance consultancy in Portugal.</w:t>
      </w:r>
    </w:p>
    <w:p w14:paraId="1B961D76" w14:textId="27901D13" w:rsidR="00771647" w:rsidRPr="00771647" w:rsidRDefault="00BB0C11" w:rsidP="00771647">
      <w:pPr>
        <w:pStyle w:val="Ttulo2"/>
        <w:rPr>
          <w:rFonts w:ascii="Garamond" w:hAnsi="Garamond"/>
          <w:b/>
          <w:color w:val="000000" w:themeColor="text1"/>
          <w:sz w:val="28"/>
          <w:lang w:val="en-US"/>
        </w:rPr>
      </w:pPr>
      <w:bookmarkStart w:id="58" w:name="_Toc233142913"/>
      <w:r>
        <w:rPr>
          <w:rFonts w:ascii="Garamond" w:hAnsi="Garamond"/>
          <w:b/>
          <w:color w:val="000000" w:themeColor="text1"/>
          <w:sz w:val="28"/>
          <w:lang w:val="en-US"/>
        </w:rPr>
        <w:t>6</w:t>
      </w:r>
      <w:r w:rsidR="00DB01A9" w:rsidRPr="00771647">
        <w:rPr>
          <w:rFonts w:ascii="Garamond" w:hAnsi="Garamond"/>
          <w:b/>
          <w:color w:val="000000" w:themeColor="text1"/>
          <w:sz w:val="28"/>
          <w:lang w:val="en-US"/>
        </w:rPr>
        <w:t>.1</w:t>
      </w:r>
      <w:r w:rsidR="00F11CF0">
        <w:rPr>
          <w:rFonts w:ascii="Garamond" w:hAnsi="Garamond"/>
          <w:b/>
          <w:color w:val="000000" w:themeColor="text1"/>
          <w:sz w:val="28"/>
          <w:lang w:val="en-US"/>
        </w:rPr>
        <w:t>.</w:t>
      </w:r>
      <w:r w:rsidR="00DB01A9" w:rsidRPr="00771647">
        <w:rPr>
          <w:rFonts w:ascii="Garamond" w:hAnsi="Garamond"/>
          <w:b/>
          <w:color w:val="000000" w:themeColor="text1"/>
          <w:sz w:val="28"/>
          <w:lang w:val="en-US"/>
        </w:rPr>
        <w:t xml:space="preserve"> </w:t>
      </w:r>
      <w:r w:rsidR="00884046">
        <w:rPr>
          <w:rFonts w:ascii="Garamond" w:hAnsi="Garamond"/>
          <w:b/>
          <w:color w:val="000000" w:themeColor="text1"/>
          <w:sz w:val="28"/>
          <w:lang w:val="en-US"/>
        </w:rPr>
        <w:t>Main</w:t>
      </w:r>
      <w:r w:rsidR="00DB01A9" w:rsidRPr="00771647">
        <w:rPr>
          <w:rFonts w:ascii="Garamond" w:hAnsi="Garamond"/>
          <w:b/>
          <w:color w:val="000000" w:themeColor="text1"/>
          <w:sz w:val="28"/>
          <w:lang w:val="en-US"/>
        </w:rPr>
        <w:t xml:space="preserve"> Findings</w:t>
      </w:r>
      <w:bookmarkEnd w:id="58"/>
    </w:p>
    <w:p w14:paraId="1A6151E9" w14:textId="77777777" w:rsidR="00771647" w:rsidRDefault="00771647" w:rsidP="00595FD0">
      <w:pPr>
        <w:rPr>
          <w:lang w:val="en-US"/>
        </w:rPr>
      </w:pPr>
    </w:p>
    <w:p w14:paraId="5E44990D" w14:textId="77777777" w:rsidR="006E2DE5" w:rsidRPr="006E2DE5" w:rsidRDefault="006E2DE5" w:rsidP="006E2DE5">
      <w:pPr>
        <w:spacing w:line="360" w:lineRule="auto"/>
        <w:ind w:firstLine="360"/>
        <w:jc w:val="both"/>
        <w:rPr>
          <w:rFonts w:ascii="Garamond" w:hAnsi="Garamond"/>
          <w:color w:val="000000" w:themeColor="text1"/>
          <w:lang w:val="en-US"/>
        </w:rPr>
      </w:pPr>
      <w:r w:rsidRPr="006E2DE5">
        <w:rPr>
          <w:rFonts w:ascii="Garamond" w:hAnsi="Garamond"/>
          <w:color w:val="000000" w:themeColor="text1"/>
          <w:lang w:val="en-US"/>
        </w:rPr>
        <w:t>An analysis of the literature review revealed that the increase in the use of private credit was not a short-term or cyclical trend, but rather a structural shift in the corporate credit market. This change has been driven by several factors, such as the regulatory restrictions imposed on banks in the wake of the recent economic crisis, the growth in the number of private equity investments, and the increasing demand from institutional investors for high returns and diversification.</w:t>
      </w:r>
    </w:p>
    <w:p w14:paraId="08B07A11" w14:textId="77777777" w:rsidR="006E2DE5" w:rsidRPr="006E2DE5" w:rsidRDefault="006E2DE5" w:rsidP="006E2DE5">
      <w:pPr>
        <w:spacing w:line="360" w:lineRule="auto"/>
        <w:ind w:firstLine="360"/>
        <w:jc w:val="both"/>
        <w:rPr>
          <w:rFonts w:ascii="Garamond" w:hAnsi="Garamond"/>
          <w:color w:val="000000" w:themeColor="text1"/>
          <w:lang w:val="en-US"/>
        </w:rPr>
      </w:pPr>
      <w:r w:rsidRPr="006E2DE5">
        <w:rPr>
          <w:rFonts w:ascii="Garamond" w:hAnsi="Garamond"/>
          <w:color w:val="000000" w:themeColor="text1"/>
          <w:lang w:val="en-US"/>
        </w:rPr>
        <w:t>On the other hand, from the borrower’s perspective, private credit offers a unique form of financing compared to alternative sources, due to its relative certainty of implementation, flexibility, and the close relationship between the lender and the borrower, as these characteristics are difficult to obtain through traditional financing methods. However, the advantages of private credit come at a high cost. The brief analysis presented in the previous chapter revealed that there is a disparity between the costs of private credit and traditional bank credit, according to data from the Bank of Portugal and the European Central Bank.</w:t>
      </w:r>
    </w:p>
    <w:p w14:paraId="754798B1" w14:textId="77777777" w:rsidR="006E2DE5" w:rsidRPr="006E2DE5" w:rsidRDefault="006E2DE5" w:rsidP="006E2DE5">
      <w:pPr>
        <w:spacing w:line="360" w:lineRule="auto"/>
        <w:ind w:firstLine="360"/>
        <w:jc w:val="both"/>
        <w:rPr>
          <w:rFonts w:ascii="Garamond" w:hAnsi="Garamond"/>
          <w:color w:val="000000" w:themeColor="text1"/>
          <w:lang w:val="en-US"/>
        </w:rPr>
      </w:pPr>
      <w:r w:rsidRPr="006E2DE5">
        <w:rPr>
          <w:rFonts w:ascii="Garamond" w:hAnsi="Garamond"/>
          <w:color w:val="000000" w:themeColor="text1"/>
          <w:lang w:val="en-US"/>
        </w:rPr>
        <w:t xml:space="preserve">The empirical section of the report, based on practical projects carried out during the internship, also highlighted the importance of these financial issues in the Portuguese economy. The creation of an Iberian database on venture capital and private credit made it clear that, although the sector has grown in recent years, the number of alternative financiers available in Portugal is relatively small compared to Spain and other northern European </w:t>
      </w:r>
      <w:r w:rsidRPr="006E2DE5">
        <w:rPr>
          <w:rFonts w:ascii="Garamond" w:hAnsi="Garamond"/>
          <w:color w:val="000000" w:themeColor="text1"/>
          <w:lang w:val="en-US"/>
        </w:rPr>
        <w:lastRenderedPageBreak/>
        <w:t>countries. Furthermore, the business planning and assessment work carried out during the internship reveals that companies in various sectors, many of them, are facing financial constraints that cannot be easily resolved through traditional banking methods.</w:t>
      </w:r>
    </w:p>
    <w:p w14:paraId="56B9B92F" w14:textId="1ABE8FAC" w:rsidR="006E2DE5" w:rsidRPr="006E2DE5" w:rsidRDefault="006E2DE5" w:rsidP="006E2DE5">
      <w:pPr>
        <w:spacing w:line="360" w:lineRule="auto"/>
        <w:ind w:firstLine="360"/>
        <w:jc w:val="both"/>
        <w:rPr>
          <w:rFonts w:ascii="Garamond" w:hAnsi="Garamond"/>
          <w:color w:val="000000" w:themeColor="text1"/>
          <w:lang w:val="en-US"/>
        </w:rPr>
      </w:pPr>
      <w:r w:rsidRPr="006E2DE5">
        <w:rPr>
          <w:rFonts w:ascii="Garamond" w:hAnsi="Garamond"/>
          <w:color w:val="000000" w:themeColor="text1"/>
          <w:lang w:val="en-US"/>
        </w:rPr>
        <w:t xml:space="preserve">In response to these observations, the Practical Guidance Framework, set out in Chapter 5, provides a simple and structured approach to assessing the suitability of private credit solutions. The framework is </w:t>
      </w:r>
      <w:proofErr w:type="spellStart"/>
      <w:r w:rsidRPr="006E2DE5">
        <w:rPr>
          <w:rFonts w:ascii="Garamond" w:hAnsi="Garamond"/>
          <w:color w:val="000000" w:themeColor="text1"/>
          <w:lang w:val="en-US"/>
        </w:rPr>
        <w:t>organised</w:t>
      </w:r>
      <w:proofErr w:type="spellEnd"/>
      <w:r w:rsidRPr="006E2DE5">
        <w:rPr>
          <w:rFonts w:ascii="Garamond" w:hAnsi="Garamond"/>
          <w:color w:val="000000" w:themeColor="text1"/>
          <w:lang w:val="en-US"/>
        </w:rPr>
        <w:t xml:space="preserve"> around four sequential dimensions: corporate and strategic profile, financing structure and banking relationship, structural requirements and considerations regarding restrictive covenants, and value-adjusted cost assessment. Together, these dimensions aim to guide the advis</w:t>
      </w:r>
      <w:r w:rsidR="008A5228">
        <w:rPr>
          <w:rFonts w:ascii="Garamond" w:hAnsi="Garamond"/>
          <w:color w:val="000000" w:themeColor="text1"/>
          <w:lang w:val="en-US"/>
        </w:rPr>
        <w:t>o</w:t>
      </w:r>
      <w:r w:rsidRPr="006E2DE5">
        <w:rPr>
          <w:rFonts w:ascii="Garamond" w:hAnsi="Garamond"/>
          <w:color w:val="000000" w:themeColor="text1"/>
          <w:lang w:val="en-US"/>
        </w:rPr>
        <w:t>r through a systematic assessment process, designed to support financing recommendations and improve consistency in decision-making.</w:t>
      </w:r>
    </w:p>
    <w:p w14:paraId="74097D70" w14:textId="1BAB3F4D" w:rsidR="00F361A0" w:rsidRPr="00D94AD3" w:rsidRDefault="006E2DE5" w:rsidP="00D94AD3">
      <w:pPr>
        <w:spacing w:line="360" w:lineRule="auto"/>
        <w:ind w:firstLine="360"/>
        <w:jc w:val="both"/>
        <w:rPr>
          <w:lang w:val="en-US"/>
        </w:rPr>
      </w:pPr>
      <w:r w:rsidRPr="006E2DE5">
        <w:rPr>
          <w:rFonts w:ascii="Garamond" w:hAnsi="Garamond"/>
          <w:color w:val="000000" w:themeColor="text1"/>
          <w:lang w:val="en-US"/>
        </w:rPr>
        <w:t xml:space="preserve">To facilitate an initial screening and potential matching, the decision matrix presented in Table </w:t>
      </w:r>
      <w:r w:rsidR="00B46575">
        <w:rPr>
          <w:rFonts w:ascii="Garamond" w:hAnsi="Garamond"/>
          <w:color w:val="000000" w:themeColor="text1"/>
          <w:lang w:val="en-US"/>
        </w:rPr>
        <w:t>4</w:t>
      </w:r>
      <w:r w:rsidRPr="006E2DE5">
        <w:rPr>
          <w:rFonts w:ascii="Garamond" w:hAnsi="Garamond"/>
          <w:color w:val="000000" w:themeColor="text1"/>
          <w:lang w:val="en-US"/>
        </w:rPr>
        <w:t xml:space="preserve"> consolidates the main dimensions into a single tool, designed to support the assessment process. The value of this framework lies in moving away from a direct comparison of the interest rates involved in the financing process, as for some companies in Portugal, it may be more appropriate to weigh up the choice between financing available through private credit and the absence of other financing options. In such cases, the higher interest rate compared to that offered by banks should be </w:t>
      </w:r>
      <w:proofErr w:type="spellStart"/>
      <w:r w:rsidRPr="006E2DE5">
        <w:rPr>
          <w:rFonts w:ascii="Garamond" w:hAnsi="Garamond"/>
          <w:color w:val="000000" w:themeColor="text1"/>
          <w:lang w:val="en-US"/>
        </w:rPr>
        <w:t>analysed</w:t>
      </w:r>
      <w:proofErr w:type="spellEnd"/>
      <w:r w:rsidRPr="006E2DE5">
        <w:rPr>
          <w:rFonts w:ascii="Garamond" w:hAnsi="Garamond"/>
          <w:color w:val="000000" w:themeColor="text1"/>
          <w:lang w:val="en-US"/>
        </w:rPr>
        <w:t xml:space="preserve"> strategic</w:t>
      </w:r>
      <w:r w:rsidR="00F361A0">
        <w:rPr>
          <w:rFonts w:ascii="Garamond" w:hAnsi="Garamond"/>
          <w:color w:val="000000" w:themeColor="text1"/>
          <w:lang w:val="en-US"/>
        </w:rPr>
        <w:t>ally.</w:t>
      </w:r>
    </w:p>
    <w:p w14:paraId="4FDC9A18" w14:textId="5C3AA0CF" w:rsidR="00DB01A9" w:rsidRPr="00653A99" w:rsidRDefault="00BB0C11" w:rsidP="00653A99">
      <w:pPr>
        <w:pStyle w:val="Ttulo2"/>
        <w:rPr>
          <w:rFonts w:ascii="Garamond" w:hAnsi="Garamond"/>
          <w:b/>
          <w:bCs/>
          <w:color w:val="000000" w:themeColor="text1"/>
          <w:sz w:val="28"/>
          <w:szCs w:val="28"/>
        </w:rPr>
      </w:pPr>
      <w:bookmarkStart w:id="59" w:name="_Toc233142914"/>
      <w:r>
        <w:rPr>
          <w:rFonts w:ascii="Garamond" w:hAnsi="Garamond"/>
          <w:b/>
          <w:bCs/>
          <w:color w:val="000000" w:themeColor="text1"/>
          <w:sz w:val="28"/>
          <w:szCs w:val="28"/>
        </w:rPr>
        <w:t>6</w:t>
      </w:r>
      <w:r w:rsidR="00DB01A9" w:rsidRPr="00653A99">
        <w:rPr>
          <w:rFonts w:ascii="Garamond" w:hAnsi="Garamond"/>
          <w:b/>
          <w:bCs/>
          <w:color w:val="000000" w:themeColor="text1"/>
          <w:sz w:val="28"/>
          <w:szCs w:val="28"/>
        </w:rPr>
        <w:t>.2</w:t>
      </w:r>
      <w:r w:rsidR="00F11CF0" w:rsidRPr="00653A99">
        <w:rPr>
          <w:rFonts w:ascii="Garamond" w:hAnsi="Garamond"/>
          <w:b/>
          <w:bCs/>
          <w:color w:val="000000" w:themeColor="text1"/>
          <w:sz w:val="28"/>
          <w:szCs w:val="28"/>
        </w:rPr>
        <w:t>.</w:t>
      </w:r>
      <w:r w:rsidR="00DB01A9" w:rsidRPr="00653A99">
        <w:rPr>
          <w:rFonts w:ascii="Garamond" w:hAnsi="Garamond"/>
          <w:b/>
          <w:bCs/>
          <w:color w:val="000000" w:themeColor="text1"/>
          <w:sz w:val="28"/>
          <w:szCs w:val="28"/>
        </w:rPr>
        <w:t xml:space="preserve"> Contribution and Limitations</w:t>
      </w:r>
      <w:bookmarkEnd w:id="59"/>
    </w:p>
    <w:p w14:paraId="3350A473" w14:textId="77777777" w:rsidR="00771647" w:rsidRPr="00653A99" w:rsidRDefault="00771647" w:rsidP="00D54E70">
      <w:pPr>
        <w:rPr>
          <w:rFonts w:ascii="Garamond" w:hAnsi="Garamond"/>
          <w:lang w:val="en-US"/>
        </w:rPr>
      </w:pPr>
    </w:p>
    <w:p w14:paraId="44F2A94F" w14:textId="77777777" w:rsidR="003B3570" w:rsidRPr="003B3570" w:rsidRDefault="003B3570" w:rsidP="003B3570">
      <w:pPr>
        <w:spacing w:line="360" w:lineRule="auto"/>
        <w:ind w:firstLine="360"/>
        <w:jc w:val="both"/>
        <w:rPr>
          <w:rFonts w:ascii="Garamond" w:hAnsi="Garamond"/>
          <w:color w:val="000000" w:themeColor="text1"/>
          <w:lang w:val="en-US"/>
        </w:rPr>
      </w:pPr>
      <w:r w:rsidRPr="003B3570">
        <w:rPr>
          <w:rFonts w:ascii="Garamond" w:hAnsi="Garamond"/>
          <w:color w:val="000000" w:themeColor="text1"/>
          <w:lang w:val="en-US"/>
        </w:rPr>
        <w:t>The framework contributes to Triple A – Capital &amp; Finance’s consulting practice in two distinct ways. Firstly, from an operational perspective, it provides consultants with a replicable tool based on concrete data, applicable to both current and future client mandates, without requiring additional investment. By grounding each dimension in academic literature and calibrating cost benchmarks based on official regulatory data, the framework provides the firm with a defensible and updatable analytical basis for a class of consultancy work that, until now, lacked a structured methodology in the Portuguese market.</w:t>
      </w:r>
    </w:p>
    <w:p w14:paraId="35E19A5A" w14:textId="38C68DAC" w:rsidR="00D94AD3" w:rsidRDefault="003B3570" w:rsidP="00D94AD3">
      <w:pPr>
        <w:spacing w:line="360" w:lineRule="auto"/>
        <w:ind w:firstLine="360"/>
        <w:jc w:val="both"/>
        <w:rPr>
          <w:rFonts w:ascii="Garamond" w:hAnsi="Garamond"/>
          <w:color w:val="000000" w:themeColor="text1"/>
          <w:lang w:val="en-US"/>
        </w:rPr>
      </w:pPr>
      <w:r w:rsidRPr="003B3570">
        <w:rPr>
          <w:rFonts w:ascii="Garamond" w:hAnsi="Garamond"/>
          <w:color w:val="000000" w:themeColor="text1"/>
          <w:lang w:val="en-US"/>
        </w:rPr>
        <w:t>More broadly, the framework fills a gap in the existing literature, as no previous work had suggested a structured consulting tool specifically designed for independent corporate finance boutiques operating in markets with high banking concentration and low private credit penetration, of which Portugal is a representative example.</w:t>
      </w:r>
    </w:p>
    <w:p w14:paraId="20477610" w14:textId="261BFDFF" w:rsidR="00D94AD3" w:rsidRDefault="00D94AD3" w:rsidP="00D31DBA">
      <w:pPr>
        <w:spacing w:line="360" w:lineRule="auto"/>
        <w:ind w:firstLine="360"/>
        <w:jc w:val="both"/>
        <w:rPr>
          <w:rFonts w:ascii="Garamond" w:hAnsi="Garamond"/>
          <w:color w:val="000000" w:themeColor="text1"/>
          <w:lang w:val="en-US"/>
        </w:rPr>
      </w:pPr>
      <w:r w:rsidRPr="00D94AD3">
        <w:rPr>
          <w:rFonts w:ascii="Garamond" w:hAnsi="Garamond"/>
          <w:color w:val="000000" w:themeColor="text1"/>
        </w:rPr>
        <w:t xml:space="preserve">Specifically, the value created for Triple A – Capital &amp; Finance is reflected in three key areas. Firstly, it is important to highlight the analytical robustness, thanks to the grounding of each dimension in the scientific literature and the calibration of cost benchmarks using </w:t>
      </w:r>
      <w:r w:rsidRPr="00D94AD3">
        <w:rPr>
          <w:rFonts w:ascii="Garamond" w:hAnsi="Garamond"/>
          <w:color w:val="000000" w:themeColor="text1"/>
        </w:rPr>
        <w:lastRenderedPageBreak/>
        <w:t>official data from the Bank of Portugal and the ECB. The company thus now has a well-founded basis for its advisory services, which, until now, had relied on the individual judgement of the adviser. Secondly, the focus is on the differentiation of the commercial offering. In a sector dominated by financial boutiques, where personalised attention to each client is a key feature, the ability to provide credible advice on private credit strengthens the company’s positioning and enables it to expand its offering beyond traditional services. Thirdly, the capture of additional value throughout the advisory process, insofar as the framework – combined with the Iberian database and direct relationships with lenders – enables the company to play a more active role in structuring transactions.</w:t>
      </w:r>
    </w:p>
    <w:p w14:paraId="591C8CB2" w14:textId="39B9B4E9" w:rsidR="00F361A0" w:rsidRPr="00D31DBA" w:rsidRDefault="003B3570" w:rsidP="00D94AD3">
      <w:pPr>
        <w:spacing w:line="360" w:lineRule="auto"/>
        <w:ind w:firstLine="360"/>
        <w:jc w:val="both"/>
        <w:rPr>
          <w:rFonts w:ascii="Garamond" w:hAnsi="Garamond"/>
          <w:color w:val="000000" w:themeColor="text1"/>
          <w:lang w:val="en-US"/>
        </w:rPr>
      </w:pPr>
      <w:r w:rsidRPr="003B3570">
        <w:rPr>
          <w:rFonts w:ascii="Garamond" w:hAnsi="Garamond"/>
          <w:color w:val="000000" w:themeColor="text1"/>
          <w:lang w:val="en-US"/>
        </w:rPr>
        <w:t xml:space="preserve">However, it is also necessary to acknowledge three limitations with the same </w:t>
      </w:r>
      <w:proofErr w:type="spellStart"/>
      <w:r w:rsidRPr="003B3570">
        <w:rPr>
          <w:rFonts w:ascii="Garamond" w:hAnsi="Garamond"/>
          <w:color w:val="000000" w:themeColor="text1"/>
          <w:lang w:val="en-US"/>
        </w:rPr>
        <w:t>rigour</w:t>
      </w:r>
      <w:proofErr w:type="spellEnd"/>
      <w:r w:rsidRPr="003B3570">
        <w:rPr>
          <w:rFonts w:ascii="Garamond" w:hAnsi="Garamond"/>
          <w:color w:val="000000" w:themeColor="text1"/>
          <w:lang w:val="en-US"/>
        </w:rPr>
        <w:t xml:space="preserve"> applied to the framework’s strengths. Firstly, Dimensions I to III are inherently qualitative and depend on the professional judgement of the consultant applying them. Whilst this reflects the nature of corporate finance consultancy, where context and relational capital are inseparable factors, it also means that the quality of the outcome is limited by the experience of the professional in question. Future development of the framework could address this issue by introducing quantitative scoring criteria for each sub-dimension. Secondly, the price benchmarks underlying Dimension IV are indicative and are subject to review as monetary policy, competition among lenders and market dynamics evolve. For this very reason, the framework should be reviewed periodically, with the database duly updated, to serve as the primary source of market information. Thirdly, and more structurally, the limited number of private credit providers willing to finance transactions involving unsponsored Portuguese SMEs restricts the practical application of the framework to the upper segment of the mid-market.</w:t>
      </w:r>
    </w:p>
    <w:p w14:paraId="0C5E6466" w14:textId="0EA79B2A" w:rsidR="00DB01A9" w:rsidRPr="00771647" w:rsidRDefault="00BB0C11" w:rsidP="00DB01A9">
      <w:pPr>
        <w:pStyle w:val="Ttulo2"/>
        <w:rPr>
          <w:rFonts w:ascii="Garamond" w:hAnsi="Garamond"/>
          <w:b/>
          <w:color w:val="000000" w:themeColor="text1"/>
          <w:sz w:val="28"/>
          <w:lang w:val="en-US"/>
        </w:rPr>
      </w:pPr>
      <w:bookmarkStart w:id="60" w:name="_Toc233142915"/>
      <w:r>
        <w:rPr>
          <w:rFonts w:ascii="Garamond" w:hAnsi="Garamond"/>
          <w:b/>
          <w:color w:val="000000" w:themeColor="text1"/>
          <w:sz w:val="28"/>
          <w:lang w:val="en-US"/>
        </w:rPr>
        <w:t>6</w:t>
      </w:r>
      <w:r w:rsidR="00DB01A9" w:rsidRPr="00771647">
        <w:rPr>
          <w:rFonts w:ascii="Garamond" w:hAnsi="Garamond"/>
          <w:b/>
          <w:color w:val="000000" w:themeColor="text1"/>
          <w:sz w:val="28"/>
          <w:lang w:val="en-US"/>
        </w:rPr>
        <w:t>.3</w:t>
      </w:r>
      <w:r w:rsidR="00F11CF0">
        <w:rPr>
          <w:rFonts w:ascii="Garamond" w:hAnsi="Garamond"/>
          <w:b/>
          <w:color w:val="000000" w:themeColor="text1"/>
          <w:sz w:val="28"/>
          <w:lang w:val="en-US"/>
        </w:rPr>
        <w:t>.</w:t>
      </w:r>
      <w:r w:rsidR="00DB01A9" w:rsidRPr="00771647">
        <w:rPr>
          <w:rFonts w:ascii="Garamond" w:hAnsi="Garamond"/>
          <w:b/>
          <w:color w:val="000000" w:themeColor="text1"/>
          <w:sz w:val="28"/>
          <w:lang w:val="en-US"/>
        </w:rPr>
        <w:t xml:space="preserve"> Implications and Avenues for Future Research</w:t>
      </w:r>
      <w:bookmarkEnd w:id="60"/>
    </w:p>
    <w:p w14:paraId="5E4F3E5F" w14:textId="77777777" w:rsidR="00771647" w:rsidRPr="00771647" w:rsidRDefault="00771647" w:rsidP="00D54E70">
      <w:pPr>
        <w:rPr>
          <w:lang w:val="en-US"/>
        </w:rPr>
      </w:pPr>
    </w:p>
    <w:p w14:paraId="55E98CB5" w14:textId="77777777" w:rsidR="003F202E" w:rsidRPr="003F202E" w:rsidRDefault="003F202E" w:rsidP="003F202E">
      <w:pPr>
        <w:spacing w:line="360" w:lineRule="auto"/>
        <w:ind w:firstLine="360"/>
        <w:jc w:val="both"/>
        <w:rPr>
          <w:rFonts w:ascii="Garamond" w:hAnsi="Garamond"/>
          <w:color w:val="000000" w:themeColor="text1"/>
          <w:lang w:val="en-US"/>
        </w:rPr>
      </w:pPr>
      <w:r w:rsidRPr="003F202E">
        <w:rPr>
          <w:rFonts w:ascii="Garamond" w:hAnsi="Garamond"/>
          <w:color w:val="000000" w:themeColor="text1"/>
          <w:lang w:val="en-US"/>
        </w:rPr>
        <w:t xml:space="preserve">Throughout the course of this project, we have identified </w:t>
      </w:r>
      <w:proofErr w:type="gramStart"/>
      <w:r w:rsidRPr="003F202E">
        <w:rPr>
          <w:rFonts w:ascii="Garamond" w:hAnsi="Garamond"/>
          <w:color w:val="000000" w:themeColor="text1"/>
          <w:lang w:val="en-US"/>
        </w:rPr>
        <w:t>a number of</w:t>
      </w:r>
      <w:proofErr w:type="gramEnd"/>
      <w:r w:rsidRPr="003F202E">
        <w:rPr>
          <w:rFonts w:ascii="Garamond" w:hAnsi="Garamond"/>
          <w:color w:val="000000" w:themeColor="text1"/>
          <w:lang w:val="en-US"/>
        </w:rPr>
        <w:t xml:space="preserve"> implications that extend beyond the scope of the company’s consultancy activities. The creation of the Advisory Framework represents a competitive advantage in the implementation of alternative financing solutions within the company, enabling it to differentiate its offering in a competitive market and provide clients with more informed guidance on the range of financing options available in the Portuguese market.</w:t>
      </w:r>
    </w:p>
    <w:p w14:paraId="7BC7EE77" w14:textId="77777777" w:rsidR="003F202E" w:rsidRPr="003F202E" w:rsidRDefault="003F202E" w:rsidP="003F202E">
      <w:pPr>
        <w:spacing w:line="360" w:lineRule="auto"/>
        <w:ind w:firstLine="360"/>
        <w:jc w:val="both"/>
        <w:rPr>
          <w:rFonts w:ascii="Garamond" w:hAnsi="Garamond"/>
          <w:color w:val="000000" w:themeColor="text1"/>
          <w:lang w:val="en-US"/>
        </w:rPr>
      </w:pPr>
      <w:r w:rsidRPr="003F202E">
        <w:rPr>
          <w:rFonts w:ascii="Garamond" w:hAnsi="Garamond"/>
          <w:color w:val="000000" w:themeColor="text1"/>
          <w:lang w:val="en-US"/>
        </w:rPr>
        <w:t xml:space="preserve">At the same time, this report </w:t>
      </w:r>
      <w:proofErr w:type="gramStart"/>
      <w:r w:rsidRPr="003F202E">
        <w:rPr>
          <w:rFonts w:ascii="Garamond" w:hAnsi="Garamond"/>
          <w:color w:val="000000" w:themeColor="text1"/>
          <w:lang w:val="en-US"/>
        </w:rPr>
        <w:t>opens up</w:t>
      </w:r>
      <w:proofErr w:type="gramEnd"/>
      <w:r w:rsidRPr="003F202E">
        <w:rPr>
          <w:rFonts w:ascii="Garamond" w:hAnsi="Garamond"/>
          <w:color w:val="000000" w:themeColor="text1"/>
          <w:lang w:val="en-US"/>
        </w:rPr>
        <w:t xml:space="preserve"> various possibilities for future lines of research, the most immediate being the empirical validation of the model itself. Its application to a </w:t>
      </w:r>
      <w:r w:rsidRPr="003F202E">
        <w:rPr>
          <w:rFonts w:ascii="Garamond" w:hAnsi="Garamond"/>
          <w:color w:val="000000" w:themeColor="text1"/>
          <w:lang w:val="en-US"/>
        </w:rPr>
        <w:lastRenderedPageBreak/>
        <w:t>structured sample of medium-sized Portuguese companies, accompanied by a comparative analysis of the results obtained between companies that have resorted to private credit and those that have remained dependent on the traditional model of bank financing, would enable the construction of a longitudinal evidence base necessary to refine both the qualitative indicators and the quantitative thresholds associated with each dimension of the model.</w:t>
      </w:r>
    </w:p>
    <w:p w14:paraId="40144EF4" w14:textId="77777777" w:rsidR="003F202E" w:rsidRPr="003F202E" w:rsidRDefault="003F202E" w:rsidP="003F202E">
      <w:pPr>
        <w:spacing w:line="360" w:lineRule="auto"/>
        <w:ind w:firstLine="360"/>
        <w:jc w:val="both"/>
        <w:rPr>
          <w:rFonts w:ascii="Garamond" w:hAnsi="Garamond"/>
          <w:color w:val="000000" w:themeColor="text1"/>
          <w:lang w:val="en-US"/>
        </w:rPr>
      </w:pPr>
      <w:r w:rsidRPr="003F202E">
        <w:rPr>
          <w:rFonts w:ascii="Garamond" w:hAnsi="Garamond"/>
          <w:color w:val="000000" w:themeColor="text1"/>
          <w:lang w:val="en-US"/>
        </w:rPr>
        <w:t xml:space="preserve">A second approach, focusing on the supply side of the Iberian private credit market through a systematic analysis of the strategies, target profiles and pricing </w:t>
      </w:r>
      <w:proofErr w:type="spellStart"/>
      <w:r w:rsidRPr="003F202E">
        <w:rPr>
          <w:rFonts w:ascii="Garamond" w:hAnsi="Garamond"/>
          <w:color w:val="000000" w:themeColor="text1"/>
          <w:lang w:val="en-US"/>
        </w:rPr>
        <w:t>behaviour</w:t>
      </w:r>
      <w:proofErr w:type="spellEnd"/>
      <w:r w:rsidRPr="003F202E">
        <w:rPr>
          <w:rFonts w:ascii="Garamond" w:hAnsi="Garamond"/>
          <w:color w:val="000000" w:themeColor="text1"/>
          <w:lang w:val="en-US"/>
        </w:rPr>
        <w:t xml:space="preserve"> of private credit providers operating in Portugal and Spain, would complement the demand-side focus of this framework and enable a more precise match between borrowers’ characteristics and lenders’ mandates. Finally, as the regulatory framework matures and national alternative credit platforms potentially emerge in Portugal, a reassessment of supply-side constraints would be timely and of practical value to the advisory community.</w:t>
      </w:r>
    </w:p>
    <w:p w14:paraId="031807E1" w14:textId="0FB3EA76" w:rsidR="00C144C2" w:rsidRDefault="003F202E" w:rsidP="00D61F67">
      <w:pPr>
        <w:spacing w:line="360" w:lineRule="auto"/>
        <w:ind w:firstLine="360"/>
        <w:jc w:val="both"/>
        <w:rPr>
          <w:rFonts w:ascii="Garamond" w:hAnsi="Garamond"/>
          <w:color w:val="000000" w:themeColor="text1"/>
          <w:lang w:val="en-US"/>
        </w:rPr>
      </w:pPr>
      <w:r w:rsidRPr="003F202E">
        <w:rPr>
          <w:rFonts w:ascii="Garamond" w:hAnsi="Garamond"/>
          <w:color w:val="000000" w:themeColor="text1"/>
          <w:lang w:val="en-US"/>
        </w:rPr>
        <w:t>In short, private credit represents a structural, rather than merely cyclical, evolution in business financing, and its relevance to Portuguese small and medium-sized enterprises is growing. To this end, the practical advisory framework developed in this report constitutes a contribution towards overcoming the informational and structural barriers that have, to date, limited its adoption in this market. It is not presented as a definitive solution, but rather as a starting point for a more rigorous and evidence-based approach to advice on alternative financing in Portugal, which can be refined and expanded as the market matures.</w:t>
      </w:r>
    </w:p>
    <w:p w14:paraId="48E9BF3D" w14:textId="4EA9860D" w:rsidR="00D61F67" w:rsidRPr="00D61F67" w:rsidRDefault="00D61F67" w:rsidP="00D61F67">
      <w:pPr>
        <w:spacing w:line="360" w:lineRule="auto"/>
        <w:ind w:firstLine="360"/>
        <w:jc w:val="both"/>
        <w:rPr>
          <w:rFonts w:ascii="Garamond" w:hAnsi="Garamond"/>
          <w:color w:val="000000" w:themeColor="text1"/>
          <w:lang w:val="en-US"/>
        </w:rPr>
      </w:pPr>
      <w:r w:rsidRPr="00D61F67">
        <w:rPr>
          <w:rFonts w:ascii="Garamond" w:hAnsi="Garamond"/>
          <w:color w:val="000000" w:themeColor="text1"/>
          <w:lang w:val="en-US"/>
        </w:rPr>
        <w:t>From both a personal and professional perspective, my placement at Triple A – Capital &amp; Finance marked the moment when the knowledge I had acquired during my academic studies was put to the test against the</w:t>
      </w:r>
      <w:r>
        <w:rPr>
          <w:rFonts w:ascii="Garamond" w:hAnsi="Garamond"/>
          <w:color w:val="000000" w:themeColor="text1"/>
          <w:lang w:val="en-US"/>
        </w:rPr>
        <w:t xml:space="preserve"> </w:t>
      </w:r>
      <w:proofErr w:type="gramStart"/>
      <w:r w:rsidRPr="00D61F67">
        <w:rPr>
          <w:rFonts w:ascii="Garamond" w:hAnsi="Garamond"/>
          <w:color w:val="000000" w:themeColor="text1"/>
          <w:lang w:val="en-US"/>
        </w:rPr>
        <w:t>often imperfect</w:t>
      </w:r>
      <w:proofErr w:type="gramEnd"/>
      <w:r>
        <w:rPr>
          <w:rFonts w:ascii="Garamond" w:hAnsi="Garamond"/>
          <w:color w:val="000000" w:themeColor="text1"/>
          <w:lang w:val="en-US"/>
        </w:rPr>
        <w:t xml:space="preserve"> </w:t>
      </w:r>
      <w:r w:rsidRPr="00D61F67">
        <w:rPr>
          <w:rFonts w:ascii="Garamond" w:hAnsi="Garamond"/>
          <w:color w:val="000000" w:themeColor="text1"/>
          <w:lang w:val="en-US"/>
        </w:rPr>
        <w:t>reality of financial consultancy. My involvement in various projects enabled me to translate theoretical methodologies into properly structured solutions, ready for presentation to the client.</w:t>
      </w:r>
    </w:p>
    <w:p w14:paraId="37E7BC4B" w14:textId="4A5A650C" w:rsidR="00D61F67" w:rsidRPr="003F202E" w:rsidRDefault="00D61F67" w:rsidP="00D61F67">
      <w:pPr>
        <w:spacing w:line="360" w:lineRule="auto"/>
        <w:ind w:firstLine="360"/>
        <w:jc w:val="both"/>
        <w:rPr>
          <w:rFonts w:ascii="Garamond" w:hAnsi="Garamond"/>
          <w:color w:val="000000" w:themeColor="text1"/>
          <w:lang w:val="en-US"/>
        </w:rPr>
      </w:pPr>
      <w:r w:rsidRPr="00D61F67">
        <w:rPr>
          <w:rFonts w:ascii="Garamond" w:hAnsi="Garamond"/>
          <w:color w:val="000000" w:themeColor="text1"/>
          <w:lang w:val="en-US"/>
        </w:rPr>
        <w:t xml:space="preserve">More than mere technical application, the key lesson lies in </w:t>
      </w:r>
      <w:proofErr w:type="spellStart"/>
      <w:r w:rsidRPr="00D61F67">
        <w:rPr>
          <w:rFonts w:ascii="Garamond" w:hAnsi="Garamond"/>
          <w:color w:val="000000" w:themeColor="text1"/>
          <w:lang w:val="en-US"/>
        </w:rPr>
        <w:t>recognising</w:t>
      </w:r>
      <w:proofErr w:type="spellEnd"/>
      <w:r w:rsidRPr="00D61F67">
        <w:rPr>
          <w:rFonts w:ascii="Garamond" w:hAnsi="Garamond"/>
          <w:color w:val="000000" w:themeColor="text1"/>
          <w:lang w:val="en-US"/>
        </w:rPr>
        <w:t xml:space="preserve"> that the quality of any model ultimately depends on the underlying judgement and the ability to formulate defensible assumptions in the absence of complete data. This experience provided direct insight into the limitations of bank financing and the opacity of the Portuguese private credit market, which led to the research question and shaped the framework proposed here, highlighting the mutually reinforcing relationship between the practical component of the placement and the analytical component of this report.</w:t>
      </w:r>
    </w:p>
    <w:p w14:paraId="2A706F69" w14:textId="24F66C0D" w:rsidR="00DB5F64" w:rsidRPr="00C83B53" w:rsidRDefault="00BB0C11" w:rsidP="00DB5F64">
      <w:pPr>
        <w:pStyle w:val="Ttulo1"/>
        <w:rPr>
          <w:rFonts w:ascii="Garamond" w:hAnsi="Garamond"/>
          <w:b/>
          <w:bCs/>
          <w:color w:val="000000" w:themeColor="text1"/>
          <w:sz w:val="28"/>
          <w:szCs w:val="28"/>
          <w:lang w:val="en-US"/>
        </w:rPr>
      </w:pPr>
      <w:bookmarkStart w:id="61" w:name="_Toc220403267"/>
      <w:bookmarkStart w:id="62" w:name="_Toc220500104"/>
      <w:bookmarkStart w:id="63" w:name="_Toc233142916"/>
      <w:r>
        <w:rPr>
          <w:rFonts w:ascii="Garamond" w:hAnsi="Garamond"/>
          <w:b/>
          <w:bCs/>
          <w:color w:val="000000" w:themeColor="text1"/>
          <w:sz w:val="28"/>
          <w:szCs w:val="28"/>
          <w:lang w:val="en-US"/>
        </w:rPr>
        <w:lastRenderedPageBreak/>
        <w:t>7</w:t>
      </w:r>
      <w:r w:rsidR="00DB5F64" w:rsidRPr="00C83B53">
        <w:rPr>
          <w:rFonts w:ascii="Garamond" w:hAnsi="Garamond"/>
          <w:b/>
          <w:bCs/>
          <w:color w:val="000000" w:themeColor="text1"/>
          <w:sz w:val="28"/>
          <w:szCs w:val="28"/>
          <w:lang w:val="en-US"/>
        </w:rPr>
        <w:t>. References</w:t>
      </w:r>
      <w:bookmarkEnd w:id="61"/>
      <w:bookmarkEnd w:id="62"/>
      <w:bookmarkEnd w:id="63"/>
    </w:p>
    <w:p w14:paraId="366ED4AE" w14:textId="77777777" w:rsidR="00DB5F64" w:rsidRPr="00C83B53" w:rsidRDefault="00DB5F64" w:rsidP="00DB5F64">
      <w:pPr>
        <w:rPr>
          <w:lang w:val="en-US"/>
        </w:rPr>
      </w:pPr>
    </w:p>
    <w:p w14:paraId="3A28900A" w14:textId="7E9D8D48" w:rsidR="00206AF2" w:rsidRPr="00206AF2" w:rsidRDefault="00DB5F64" w:rsidP="00206AF2">
      <w:pPr>
        <w:pStyle w:val="EndNoteBibliography"/>
        <w:spacing w:after="240"/>
        <w:ind w:left="720" w:hanging="720"/>
        <w:rPr>
          <w:noProof/>
        </w:rPr>
      </w:pPr>
      <w:r w:rsidRPr="00EC4CE0">
        <w:fldChar w:fldCharType="begin"/>
      </w:r>
      <w:r w:rsidR="004301A2">
        <w:instrText xml:space="preserve"> ADDIN EN.CITE &lt;EndNote&gt;&lt;Cite Hidden="1"&gt;&lt;Author&gt;Aggarwal&lt;/Author&gt;&lt;Year&gt;2024&lt;/Year&gt;&lt;RecNum&gt;8&lt;/RecNum&gt;&lt;record&gt;&lt;rec-number&gt;8&lt;/rec-number&gt;&lt;foreign-keys&gt;&lt;key app="EN" db-id="x2z5xfr9jx5dwcef50b5eedwwwr9x5pperdz" timestamp="1763496002"&gt;8&lt;/key&gt;&lt;/foreign-keys&gt;&lt;ref-type name="Unpublished Work"&gt;34&lt;/ref-type&gt;&lt;contributors&gt;&lt;authors&gt;&lt;author&gt;Aggarwal, Devyani&lt;/author&gt;&lt;/authors&gt;&lt;/contributors&gt;&lt;titles&gt;&lt;title&gt;The Promise and Peril of Private Credit&lt;/title&gt;&lt;/titles&gt;&lt;number&gt;SSRN 5118491&lt;/number&gt;&lt;dates&gt;&lt;year&gt;2024&lt;/year&gt;&lt;/dates&gt;&lt;urls&gt;&lt;related-urls&gt;&lt;url&gt; http://dx.doi.org/10.2139/ssrn.5118491&lt;/url&gt;&lt;/related-urls&gt;&lt;/urls&gt;&lt;/record&gt;&lt;/Cite&gt;&lt;/EndNote&gt;</w:instrText>
      </w:r>
      <w:r w:rsidRPr="00EC4CE0">
        <w:fldChar w:fldCharType="separate"/>
      </w:r>
      <w:r w:rsidRPr="00EC4CE0">
        <w:fldChar w:fldCharType="end"/>
      </w:r>
      <w:r w:rsidRPr="00EC4CE0">
        <w:fldChar w:fldCharType="begin"/>
      </w:r>
      <w:r w:rsidRPr="0067293C">
        <w:instrText xml:space="preserve"> ADDIN EN.REFLIST </w:instrText>
      </w:r>
      <w:r w:rsidRPr="00EC4CE0">
        <w:fldChar w:fldCharType="separate"/>
      </w:r>
      <w:r w:rsidR="00206AF2" w:rsidRPr="00206AF2">
        <w:rPr>
          <w:noProof/>
        </w:rPr>
        <w:t xml:space="preserve">Aggarwal, D. (2024). </w:t>
      </w:r>
      <w:r w:rsidR="00206AF2" w:rsidRPr="00206AF2">
        <w:rPr>
          <w:i/>
          <w:noProof/>
        </w:rPr>
        <w:t>The Promise and Peril of Private Credit</w:t>
      </w:r>
      <w:r w:rsidR="00206AF2" w:rsidRPr="00206AF2">
        <w:rPr>
          <w:noProof/>
        </w:rPr>
        <w:t xml:space="preserve"> (SSRN 5118491). </w:t>
      </w:r>
      <w:hyperlink r:id="rId12" w:history="1">
        <w:r w:rsidR="00206AF2" w:rsidRPr="00206AF2">
          <w:rPr>
            <w:rStyle w:val="Hiperligao"/>
            <w:noProof/>
          </w:rPr>
          <w:t>http://dx.doi.org/10.2139/ssrn.5118491</w:t>
        </w:r>
      </w:hyperlink>
    </w:p>
    <w:p w14:paraId="759577C1" w14:textId="1F29694F" w:rsidR="00206AF2" w:rsidRPr="00206AF2" w:rsidRDefault="00206AF2" w:rsidP="00206AF2">
      <w:pPr>
        <w:pStyle w:val="EndNoteBibliography"/>
        <w:spacing w:after="240"/>
        <w:ind w:left="720" w:hanging="720"/>
        <w:rPr>
          <w:noProof/>
        </w:rPr>
      </w:pPr>
      <w:r w:rsidRPr="00206AF2">
        <w:rPr>
          <w:noProof/>
        </w:rPr>
        <w:t xml:space="preserve">Ares Management. (2024). </w:t>
      </w:r>
      <w:r w:rsidRPr="00206AF2">
        <w:rPr>
          <w:i/>
          <w:noProof/>
        </w:rPr>
        <w:t>Quick Insights into the Direct Lending Market</w:t>
      </w:r>
      <w:r w:rsidRPr="00206AF2">
        <w:rPr>
          <w:noProof/>
        </w:rPr>
        <w:t xml:space="preserve">. </w:t>
      </w:r>
      <w:hyperlink r:id="rId13" w:history="1">
        <w:r w:rsidRPr="00206AF2">
          <w:rPr>
            <w:rStyle w:val="Hiperligao"/>
            <w:noProof/>
          </w:rPr>
          <w:t>https://www.ares.com/news-and-insights/quick-insights-direct-lending-market</w:t>
        </w:r>
      </w:hyperlink>
    </w:p>
    <w:p w14:paraId="27C1D277" w14:textId="2F24C5FC" w:rsidR="00206AF2" w:rsidRPr="00206AF2" w:rsidRDefault="00206AF2" w:rsidP="00206AF2">
      <w:pPr>
        <w:pStyle w:val="EndNoteBibliography"/>
        <w:spacing w:after="240"/>
        <w:ind w:left="720" w:hanging="720"/>
        <w:rPr>
          <w:noProof/>
        </w:rPr>
      </w:pPr>
      <w:r w:rsidRPr="00206AF2">
        <w:rPr>
          <w:noProof/>
        </w:rPr>
        <w:t xml:space="preserve">Baker McKenzie. (2025). </w:t>
      </w:r>
      <w:r w:rsidRPr="00206AF2">
        <w:rPr>
          <w:i/>
          <w:noProof/>
        </w:rPr>
        <w:t>Guide to Private Credit in Europe</w:t>
      </w:r>
      <w:r w:rsidRPr="00206AF2">
        <w:rPr>
          <w:noProof/>
        </w:rPr>
        <w:t xml:space="preserve">. </w:t>
      </w:r>
      <w:hyperlink r:id="rId14" w:history="1">
        <w:r w:rsidRPr="00206AF2">
          <w:rPr>
            <w:rStyle w:val="Hiperligao"/>
            <w:noProof/>
          </w:rPr>
          <w:t>https://www.bakermckenzie.com/en/insight/publications/guides/guide-to-private-credit-in-europe</w:t>
        </w:r>
      </w:hyperlink>
    </w:p>
    <w:p w14:paraId="3C5DF471" w14:textId="3AA50808" w:rsidR="00206AF2" w:rsidRPr="00206AF2" w:rsidRDefault="00206AF2" w:rsidP="00206AF2">
      <w:pPr>
        <w:pStyle w:val="EndNoteBibliography"/>
        <w:spacing w:after="240"/>
        <w:ind w:left="720" w:hanging="720"/>
        <w:rPr>
          <w:noProof/>
        </w:rPr>
      </w:pPr>
      <w:r w:rsidRPr="00206AF2">
        <w:rPr>
          <w:noProof/>
        </w:rPr>
        <w:t xml:space="preserve">Bank for International Settlements. (2017). </w:t>
      </w:r>
      <w:r w:rsidRPr="00206AF2">
        <w:rPr>
          <w:i/>
          <w:noProof/>
        </w:rPr>
        <w:t>Basel III: Finalising post-crisis reforms</w:t>
      </w:r>
      <w:r w:rsidRPr="00206AF2">
        <w:rPr>
          <w:noProof/>
        </w:rPr>
        <w:t xml:space="preserve">. Bank for International Settlements. </w:t>
      </w:r>
      <w:hyperlink r:id="rId15" w:history="1">
        <w:r w:rsidRPr="00206AF2">
          <w:rPr>
            <w:rStyle w:val="Hiperligao"/>
            <w:noProof/>
          </w:rPr>
          <w:t>https://www.bis.org/bcbs/publ/d424.htm</w:t>
        </w:r>
      </w:hyperlink>
    </w:p>
    <w:p w14:paraId="2D82908E" w14:textId="5DB76F77" w:rsidR="00206AF2" w:rsidRPr="00206AF2" w:rsidRDefault="00206AF2" w:rsidP="00206AF2">
      <w:pPr>
        <w:pStyle w:val="EndNoteBibliography"/>
        <w:spacing w:after="240"/>
        <w:ind w:left="720" w:hanging="720"/>
        <w:rPr>
          <w:noProof/>
        </w:rPr>
      </w:pPr>
      <w:r w:rsidRPr="00206AF2">
        <w:rPr>
          <w:noProof/>
        </w:rPr>
        <w:t xml:space="preserve">Bank for International Settlements. (2025). </w:t>
      </w:r>
      <w:r w:rsidRPr="00206AF2">
        <w:rPr>
          <w:i/>
          <w:noProof/>
        </w:rPr>
        <w:t>The Global Drivers of Private Credit</w:t>
      </w:r>
      <w:r w:rsidRPr="00206AF2">
        <w:rPr>
          <w:noProof/>
        </w:rPr>
        <w:t xml:space="preserve">. BIS. </w:t>
      </w:r>
      <w:hyperlink r:id="rId16" w:history="1">
        <w:r w:rsidRPr="00206AF2">
          <w:rPr>
            <w:rStyle w:val="Hiperligao"/>
            <w:noProof/>
          </w:rPr>
          <w:t>https://www.bis.org/publ/qtrpdf/r_qt2503.htm</w:t>
        </w:r>
      </w:hyperlink>
    </w:p>
    <w:p w14:paraId="17477635" w14:textId="6D37F2B1" w:rsidR="00206AF2" w:rsidRPr="00206AF2" w:rsidRDefault="00206AF2" w:rsidP="00206AF2">
      <w:pPr>
        <w:pStyle w:val="EndNoteBibliography"/>
        <w:spacing w:after="240"/>
        <w:ind w:left="720" w:hanging="720"/>
        <w:rPr>
          <w:noProof/>
        </w:rPr>
      </w:pPr>
      <w:r w:rsidRPr="00206AF2">
        <w:rPr>
          <w:noProof/>
        </w:rPr>
        <w:t xml:space="preserve">Blackstone. (2025). </w:t>
      </w:r>
      <w:r w:rsidRPr="00206AF2">
        <w:rPr>
          <w:i/>
          <w:noProof/>
        </w:rPr>
        <w:t>Essentials of Private Credit</w:t>
      </w:r>
      <w:r w:rsidRPr="00206AF2">
        <w:rPr>
          <w:noProof/>
        </w:rPr>
        <w:t xml:space="preserve">. </w:t>
      </w:r>
      <w:hyperlink r:id="rId17" w:history="1">
        <w:r w:rsidRPr="00206AF2">
          <w:rPr>
            <w:rStyle w:val="Hiperligao"/>
            <w:noProof/>
          </w:rPr>
          <w:t>https://www.blackstone.com/en-emea/pws/essentials-of-private-credit/</w:t>
        </w:r>
      </w:hyperlink>
    </w:p>
    <w:p w14:paraId="18564DC9" w14:textId="1E947D7E" w:rsidR="00206AF2" w:rsidRPr="00206AF2" w:rsidRDefault="00206AF2" w:rsidP="00206AF2">
      <w:pPr>
        <w:pStyle w:val="EndNoteBibliography"/>
        <w:spacing w:after="240"/>
        <w:ind w:left="720" w:hanging="720"/>
        <w:rPr>
          <w:noProof/>
        </w:rPr>
      </w:pPr>
      <w:r w:rsidRPr="00206AF2">
        <w:rPr>
          <w:noProof/>
        </w:rPr>
        <w:t xml:space="preserve">Block, J., Jang, Y. S., Kaplan, S. N., &amp; Schulze, A. (2024). A Survey of Private Debt Funds. </w:t>
      </w:r>
      <w:r w:rsidRPr="00206AF2">
        <w:rPr>
          <w:i/>
          <w:noProof/>
        </w:rPr>
        <w:t>The Review of Corporate Finance Studies</w:t>
      </w:r>
      <w:r w:rsidRPr="00206AF2">
        <w:rPr>
          <w:noProof/>
        </w:rPr>
        <w:t>,</w:t>
      </w:r>
      <w:r w:rsidRPr="00206AF2">
        <w:rPr>
          <w:i/>
          <w:noProof/>
        </w:rPr>
        <w:t xml:space="preserve"> 13</w:t>
      </w:r>
      <w:r w:rsidRPr="00206AF2">
        <w:rPr>
          <w:noProof/>
        </w:rPr>
        <w:t xml:space="preserve">(2), 335-383. </w:t>
      </w:r>
      <w:hyperlink r:id="rId18" w:history="1">
        <w:r w:rsidRPr="00206AF2">
          <w:rPr>
            <w:rStyle w:val="Hiperligao"/>
            <w:noProof/>
          </w:rPr>
          <w:t>https://doi.org/10.1093/rcfs/cfae001</w:t>
        </w:r>
      </w:hyperlink>
      <w:r w:rsidRPr="00206AF2">
        <w:rPr>
          <w:noProof/>
        </w:rPr>
        <w:t xml:space="preserve"> </w:t>
      </w:r>
    </w:p>
    <w:p w14:paraId="6F2F4F93" w14:textId="2758EF60" w:rsidR="00206AF2" w:rsidRPr="00206AF2" w:rsidRDefault="00206AF2" w:rsidP="00206AF2">
      <w:pPr>
        <w:pStyle w:val="EndNoteBibliography"/>
        <w:spacing w:after="240"/>
        <w:ind w:left="720" w:hanging="720"/>
        <w:rPr>
          <w:noProof/>
        </w:rPr>
      </w:pPr>
      <w:r w:rsidRPr="00206AF2">
        <w:rPr>
          <w:noProof/>
        </w:rPr>
        <w:t xml:space="preserve">Buchak, G., Matvos, G., Piskorski, T., &amp; Seru, A. (2018). Fintech, regulatory arbitrage, and the rise of shadow banks. </w:t>
      </w:r>
      <w:r w:rsidRPr="00206AF2">
        <w:rPr>
          <w:i/>
          <w:noProof/>
        </w:rPr>
        <w:t>Journal of Financial Economics</w:t>
      </w:r>
      <w:r w:rsidRPr="00206AF2">
        <w:rPr>
          <w:noProof/>
        </w:rPr>
        <w:t>,</w:t>
      </w:r>
      <w:r w:rsidRPr="00206AF2">
        <w:rPr>
          <w:i/>
          <w:noProof/>
        </w:rPr>
        <w:t xml:space="preserve"> 130</w:t>
      </w:r>
      <w:r w:rsidRPr="00206AF2">
        <w:rPr>
          <w:noProof/>
        </w:rPr>
        <w:t xml:space="preserve">(3), 453-483. </w:t>
      </w:r>
      <w:hyperlink r:id="rId19" w:history="1">
        <w:r w:rsidRPr="00206AF2">
          <w:rPr>
            <w:rStyle w:val="Hiperligao"/>
            <w:noProof/>
          </w:rPr>
          <w:t>https://doi.org/https://doi.</w:t>
        </w:r>
        <w:r w:rsidRPr="00206AF2">
          <w:rPr>
            <w:rStyle w:val="Hiperligao"/>
            <w:noProof/>
          </w:rPr>
          <w:t>o</w:t>
        </w:r>
        <w:r w:rsidRPr="00206AF2">
          <w:rPr>
            <w:rStyle w:val="Hiperligao"/>
            <w:noProof/>
          </w:rPr>
          <w:t>rg/10.1016/j.jfineco.2018.03.011</w:t>
        </w:r>
      </w:hyperlink>
      <w:r w:rsidRPr="00206AF2">
        <w:rPr>
          <w:noProof/>
        </w:rPr>
        <w:t xml:space="preserve"> </w:t>
      </w:r>
    </w:p>
    <w:p w14:paraId="6F719750" w14:textId="6D61E552" w:rsidR="00206AF2" w:rsidRPr="00206AF2" w:rsidRDefault="00206AF2" w:rsidP="00206AF2">
      <w:pPr>
        <w:pStyle w:val="EndNoteBibliography"/>
        <w:spacing w:after="240"/>
        <w:ind w:left="720" w:hanging="720"/>
        <w:rPr>
          <w:noProof/>
        </w:rPr>
      </w:pPr>
      <w:r w:rsidRPr="00206AF2">
        <w:rPr>
          <w:noProof/>
        </w:rPr>
        <w:t xml:space="preserve">Cai, F., &amp; Haque, S. (2024). </w:t>
      </w:r>
      <w:r w:rsidRPr="00206AF2">
        <w:rPr>
          <w:i/>
          <w:noProof/>
        </w:rPr>
        <w:t>Private Credit: Characteristics and Risks</w:t>
      </w:r>
      <w:r w:rsidRPr="00206AF2">
        <w:rPr>
          <w:noProof/>
        </w:rPr>
        <w:t xml:space="preserve">. Federal Reserve Board. </w:t>
      </w:r>
      <w:hyperlink r:id="rId20" w:history="1">
        <w:r w:rsidRPr="00206AF2">
          <w:rPr>
            <w:rStyle w:val="Hiperligao"/>
            <w:noProof/>
          </w:rPr>
          <w:t>https://www.federalreserve.gov/econres/notes/feds-notes/private-credit-characteristics-and-risks-20240223.html</w:t>
        </w:r>
      </w:hyperlink>
    </w:p>
    <w:p w14:paraId="3D69708D" w14:textId="40A4DB38" w:rsidR="00206AF2" w:rsidRPr="00206AF2" w:rsidRDefault="00206AF2" w:rsidP="00206AF2">
      <w:pPr>
        <w:pStyle w:val="EndNoteBibliography"/>
        <w:spacing w:after="240"/>
        <w:ind w:left="720" w:hanging="720"/>
        <w:rPr>
          <w:noProof/>
        </w:rPr>
      </w:pPr>
      <w:r w:rsidRPr="00206AF2">
        <w:rPr>
          <w:noProof/>
        </w:rPr>
        <w:t xml:space="preserve">CAIA Association. (2024). </w:t>
      </w:r>
      <w:r w:rsidRPr="00206AF2">
        <w:rPr>
          <w:i/>
          <w:noProof/>
        </w:rPr>
        <w:t>Private credit and distressed debt</w:t>
      </w:r>
      <w:r w:rsidRPr="00206AF2">
        <w:rPr>
          <w:noProof/>
        </w:rPr>
        <w:t xml:space="preserve">. </w:t>
      </w:r>
      <w:hyperlink r:id="rId21" w:history="1">
        <w:r w:rsidRPr="00206AF2">
          <w:rPr>
            <w:rStyle w:val="Hiperligao"/>
            <w:noProof/>
          </w:rPr>
          <w:t>https://caia.org/sites/default/files/2024-02/Private%20Credit%20and%20Distressed%20Debt_0.pdf</w:t>
        </w:r>
      </w:hyperlink>
    </w:p>
    <w:p w14:paraId="783E1AF4" w14:textId="49866E4A" w:rsidR="00206AF2" w:rsidRPr="00206AF2" w:rsidRDefault="00206AF2" w:rsidP="00206AF2">
      <w:pPr>
        <w:pStyle w:val="EndNoteBibliography"/>
        <w:spacing w:after="240"/>
        <w:ind w:left="720" w:hanging="720"/>
        <w:rPr>
          <w:noProof/>
        </w:rPr>
      </w:pPr>
      <w:r w:rsidRPr="00206AF2">
        <w:rPr>
          <w:noProof/>
        </w:rPr>
        <w:t xml:space="preserve">Ćehajić, A., &amp; Košak, M. (2022). Bank lending and small and medium-sized enterprises’ access to finance – Effects of macroprudential policies. </w:t>
      </w:r>
      <w:r w:rsidRPr="00206AF2">
        <w:rPr>
          <w:i/>
          <w:noProof/>
        </w:rPr>
        <w:t>Journal of International Money and Finance</w:t>
      </w:r>
      <w:r w:rsidRPr="00206AF2">
        <w:rPr>
          <w:noProof/>
        </w:rPr>
        <w:t>,</w:t>
      </w:r>
      <w:r w:rsidRPr="00206AF2">
        <w:rPr>
          <w:i/>
          <w:noProof/>
        </w:rPr>
        <w:t xml:space="preserve"> 124</w:t>
      </w:r>
      <w:r w:rsidRPr="00206AF2">
        <w:rPr>
          <w:noProof/>
        </w:rPr>
        <w:t xml:space="preserve">, 102612. </w:t>
      </w:r>
      <w:hyperlink r:id="rId22" w:history="1">
        <w:r w:rsidRPr="00206AF2">
          <w:rPr>
            <w:rStyle w:val="Hiperligao"/>
            <w:noProof/>
          </w:rPr>
          <w:t>https://doi.org/https://doi.org/10.1016/j.jimonfin.2022.102612</w:t>
        </w:r>
      </w:hyperlink>
      <w:r w:rsidRPr="00206AF2">
        <w:rPr>
          <w:noProof/>
        </w:rPr>
        <w:t xml:space="preserve"> </w:t>
      </w:r>
    </w:p>
    <w:p w14:paraId="7DEABC94" w14:textId="48FA87DF" w:rsidR="00206AF2" w:rsidRPr="00206AF2" w:rsidRDefault="00206AF2" w:rsidP="00206AF2">
      <w:pPr>
        <w:pStyle w:val="EndNoteBibliography"/>
        <w:spacing w:after="240"/>
        <w:ind w:left="720" w:hanging="720"/>
        <w:rPr>
          <w:noProof/>
        </w:rPr>
      </w:pPr>
      <w:r w:rsidRPr="00206AF2">
        <w:rPr>
          <w:noProof/>
        </w:rPr>
        <w:t xml:space="preserve">Chen, M., Lee, S. J., Neuhann, D., &amp; Saidi, F. (2023). Less Bank Regulation, More Non-Bank Lending. </w:t>
      </w:r>
      <w:r w:rsidRPr="00206AF2">
        <w:rPr>
          <w:i/>
          <w:noProof/>
        </w:rPr>
        <w:t>Federal Reserve</w:t>
      </w:r>
      <w:r w:rsidRPr="00206AF2">
        <w:rPr>
          <w:noProof/>
        </w:rPr>
        <w:t xml:space="preserve">, 1-38. </w:t>
      </w:r>
      <w:hyperlink r:id="rId23" w:history="1">
        <w:r w:rsidRPr="00206AF2">
          <w:rPr>
            <w:rStyle w:val="Hiperligao"/>
            <w:noProof/>
          </w:rPr>
          <w:t>https://doi.org/10.17016/feds.2023.026</w:t>
        </w:r>
      </w:hyperlink>
      <w:r w:rsidRPr="00206AF2">
        <w:rPr>
          <w:noProof/>
        </w:rPr>
        <w:t xml:space="preserve"> </w:t>
      </w:r>
    </w:p>
    <w:p w14:paraId="7C780EED" w14:textId="7A35BBB1" w:rsidR="00206AF2" w:rsidRPr="00206AF2" w:rsidRDefault="00206AF2" w:rsidP="00206AF2">
      <w:pPr>
        <w:pStyle w:val="EndNoteBibliography"/>
        <w:spacing w:after="240"/>
        <w:ind w:left="720" w:hanging="720"/>
        <w:rPr>
          <w:noProof/>
        </w:rPr>
      </w:pPr>
      <w:r w:rsidRPr="00206AF2">
        <w:rPr>
          <w:noProof/>
        </w:rPr>
        <w:t xml:space="preserve">Chernenko, S., Erel, I., &amp; Prilmeier, R. (2022). Why Do Firms Borrow Directly from Nonbanks? </w:t>
      </w:r>
      <w:r w:rsidRPr="00206AF2">
        <w:rPr>
          <w:i/>
          <w:noProof/>
        </w:rPr>
        <w:t>The Review of Financial Studies</w:t>
      </w:r>
      <w:r w:rsidRPr="00206AF2">
        <w:rPr>
          <w:noProof/>
        </w:rPr>
        <w:t>,</w:t>
      </w:r>
      <w:r w:rsidRPr="00206AF2">
        <w:rPr>
          <w:i/>
          <w:noProof/>
        </w:rPr>
        <w:t xml:space="preserve"> 35</w:t>
      </w:r>
      <w:r w:rsidRPr="00206AF2">
        <w:rPr>
          <w:noProof/>
        </w:rPr>
        <w:t xml:space="preserve">(11), 4902-4947. </w:t>
      </w:r>
      <w:hyperlink r:id="rId24" w:history="1">
        <w:r w:rsidRPr="00206AF2">
          <w:rPr>
            <w:rStyle w:val="Hiperligao"/>
            <w:noProof/>
          </w:rPr>
          <w:t>https://doi.org/10.1093/rfs/hhac016</w:t>
        </w:r>
      </w:hyperlink>
      <w:r w:rsidRPr="00206AF2">
        <w:rPr>
          <w:noProof/>
        </w:rPr>
        <w:t xml:space="preserve"> </w:t>
      </w:r>
    </w:p>
    <w:p w14:paraId="48D954E5" w14:textId="37C5EBFB" w:rsidR="00206AF2" w:rsidRPr="00206AF2" w:rsidRDefault="00206AF2" w:rsidP="00206AF2">
      <w:pPr>
        <w:pStyle w:val="EndNoteBibliography"/>
        <w:spacing w:after="240"/>
        <w:ind w:left="720" w:hanging="720"/>
        <w:rPr>
          <w:noProof/>
        </w:rPr>
      </w:pPr>
      <w:r w:rsidRPr="00206AF2">
        <w:rPr>
          <w:noProof/>
        </w:rPr>
        <w:t xml:space="preserve">Cusmano, L., &amp; Thompson, J. (2013). </w:t>
      </w:r>
      <w:r w:rsidRPr="00206AF2">
        <w:rPr>
          <w:i/>
          <w:noProof/>
        </w:rPr>
        <w:t>Alternative Financing Instruments for SMEs and Entrepreneurs: The Case of Mezzanine Finance</w:t>
      </w:r>
      <w:r w:rsidRPr="00206AF2">
        <w:rPr>
          <w:noProof/>
        </w:rPr>
        <w:t xml:space="preserve"> (OECD SME and Entrepreneurship Papers, Issue. OECD Publishing. </w:t>
      </w:r>
      <w:hyperlink r:id="rId25" w:history="1">
        <w:r w:rsidRPr="00206AF2">
          <w:rPr>
            <w:rStyle w:val="Hiperligao"/>
            <w:noProof/>
          </w:rPr>
          <w:t>https://doi.org/10.1787/3709429e-en</w:t>
        </w:r>
      </w:hyperlink>
    </w:p>
    <w:p w14:paraId="17F89C58" w14:textId="0AA1231E" w:rsidR="00206AF2" w:rsidRPr="00206AF2" w:rsidRDefault="00206AF2" w:rsidP="00206AF2">
      <w:pPr>
        <w:pStyle w:val="EndNoteBibliography"/>
        <w:spacing w:after="240"/>
        <w:ind w:left="720" w:hanging="720"/>
        <w:rPr>
          <w:noProof/>
        </w:rPr>
      </w:pPr>
      <w:r w:rsidRPr="00206AF2">
        <w:rPr>
          <w:noProof/>
        </w:rPr>
        <w:t xml:space="preserve">Czapla, J., Lowery, A., &amp; Turi, D. (2026). </w:t>
      </w:r>
      <w:r w:rsidRPr="00206AF2">
        <w:rPr>
          <w:i/>
          <w:noProof/>
        </w:rPr>
        <w:t>European Private Market Update: Q1 2026</w:t>
      </w:r>
      <w:r w:rsidRPr="00206AF2">
        <w:rPr>
          <w:noProof/>
        </w:rPr>
        <w:t xml:space="preserve">. Valuation Research Corporation. </w:t>
      </w:r>
      <w:hyperlink r:id="rId26" w:history="1">
        <w:r w:rsidRPr="00206AF2">
          <w:rPr>
            <w:rStyle w:val="Hiperligao"/>
            <w:noProof/>
          </w:rPr>
          <w:t>https://www.valuationresearch.com/insights/european-private-market-update-q1-2026/</w:t>
        </w:r>
      </w:hyperlink>
    </w:p>
    <w:p w14:paraId="208CA549" w14:textId="586D1B34" w:rsidR="00206AF2" w:rsidRPr="00206AF2" w:rsidRDefault="00206AF2" w:rsidP="00206AF2">
      <w:pPr>
        <w:pStyle w:val="EndNoteBibliography"/>
        <w:spacing w:after="240"/>
        <w:ind w:left="720" w:hanging="720"/>
        <w:rPr>
          <w:noProof/>
        </w:rPr>
      </w:pPr>
      <w:r w:rsidRPr="00206AF2">
        <w:rPr>
          <w:noProof/>
        </w:rPr>
        <w:t xml:space="preserve">Degerli, A., &amp; Monin, P. (2024). </w:t>
      </w:r>
      <w:r w:rsidRPr="00206AF2">
        <w:rPr>
          <w:i/>
          <w:noProof/>
        </w:rPr>
        <w:t>Private Credit Growth and Monetary Policy Transmission</w:t>
      </w:r>
      <w:r w:rsidRPr="00206AF2">
        <w:rPr>
          <w:noProof/>
        </w:rPr>
        <w:t xml:space="preserve">. Board of Governors of the Federal Reserve System. </w:t>
      </w:r>
      <w:hyperlink r:id="rId27" w:history="1">
        <w:r w:rsidRPr="00206AF2">
          <w:rPr>
            <w:rStyle w:val="Hiperligao"/>
            <w:noProof/>
          </w:rPr>
          <w:t>https://www.federalreserve.gov/econres/notes/feds-notes/private-credit-growth-and-monetary-policy-transmission-20240802.html</w:t>
        </w:r>
      </w:hyperlink>
    </w:p>
    <w:p w14:paraId="1187A481" w14:textId="03DB59BC" w:rsidR="00206AF2" w:rsidRPr="00206AF2" w:rsidRDefault="00206AF2" w:rsidP="00206AF2">
      <w:pPr>
        <w:pStyle w:val="EndNoteBibliography"/>
        <w:spacing w:after="240"/>
        <w:ind w:left="720" w:hanging="720"/>
        <w:rPr>
          <w:noProof/>
        </w:rPr>
      </w:pPr>
      <w:r w:rsidRPr="00206AF2">
        <w:rPr>
          <w:noProof/>
        </w:rPr>
        <w:t xml:space="preserve">E. Bosman, P., A. McNeill, T., &amp; S. Ishee, Z. (2025). </w:t>
      </w:r>
      <w:r w:rsidRPr="00206AF2">
        <w:rPr>
          <w:i/>
          <w:noProof/>
        </w:rPr>
        <w:t>Unitranche Debt Structures: Practical Insights for Borrowers and Lenders</w:t>
      </w:r>
      <w:r w:rsidRPr="00206AF2">
        <w:rPr>
          <w:noProof/>
        </w:rPr>
        <w:t xml:space="preserve">. Baker Donelson. </w:t>
      </w:r>
      <w:hyperlink r:id="rId28" w:history="1">
        <w:r w:rsidRPr="00206AF2">
          <w:rPr>
            <w:rStyle w:val="Hiperligao"/>
            <w:noProof/>
          </w:rPr>
          <w:t>https://www.bakerdonelson.com/unitranche-debt-structures-practical-insights-for-borrowers-and-lenders</w:t>
        </w:r>
      </w:hyperlink>
    </w:p>
    <w:p w14:paraId="1A6A470E" w14:textId="3B897E6B" w:rsidR="00206AF2" w:rsidRPr="00206AF2" w:rsidRDefault="00206AF2" w:rsidP="00206AF2">
      <w:pPr>
        <w:pStyle w:val="EndNoteBibliography"/>
        <w:spacing w:after="240"/>
        <w:ind w:left="720" w:hanging="720"/>
        <w:rPr>
          <w:noProof/>
        </w:rPr>
      </w:pPr>
      <w:r w:rsidRPr="00206AF2">
        <w:rPr>
          <w:noProof/>
        </w:rPr>
        <w:t xml:space="preserve">Ellias, J., &amp; de Fontenay, E. (2025). </w:t>
      </w:r>
      <w:r w:rsidRPr="00206AF2">
        <w:rPr>
          <w:i/>
          <w:noProof/>
        </w:rPr>
        <w:t>The Credit Markets Go Dark</w:t>
      </w:r>
      <w:r w:rsidRPr="00206AF2">
        <w:rPr>
          <w:noProof/>
        </w:rPr>
        <w:t xml:space="preserve"> (Working Paper No 4879742). SSRN. </w:t>
      </w:r>
      <w:hyperlink r:id="rId29" w:history="1">
        <w:r w:rsidRPr="00206AF2">
          <w:rPr>
            <w:rStyle w:val="Hiperligao"/>
            <w:noProof/>
          </w:rPr>
          <w:t>https://papers.ssrn.com/sol3/papers.cfm?abstract_id=4879742</w:t>
        </w:r>
      </w:hyperlink>
    </w:p>
    <w:p w14:paraId="50C96869" w14:textId="0B428C8F" w:rsidR="00206AF2" w:rsidRPr="00206AF2" w:rsidRDefault="00206AF2" w:rsidP="00206AF2">
      <w:pPr>
        <w:pStyle w:val="EndNoteBibliography"/>
        <w:spacing w:after="240"/>
        <w:ind w:left="720" w:hanging="720"/>
        <w:rPr>
          <w:noProof/>
        </w:rPr>
      </w:pPr>
      <w:r w:rsidRPr="00206AF2">
        <w:rPr>
          <w:noProof/>
        </w:rPr>
        <w:t xml:space="preserve">Erel, I., Flanagan, T., &amp; S. Weisbach, M. (2024). </w:t>
      </w:r>
      <w:r w:rsidRPr="00206AF2">
        <w:rPr>
          <w:i/>
          <w:noProof/>
        </w:rPr>
        <w:t>Risk-Adjusting the Returns to Private Debt Funds</w:t>
      </w:r>
      <w:r w:rsidRPr="00206AF2">
        <w:rPr>
          <w:noProof/>
        </w:rPr>
        <w:t xml:space="preserve"> (Working Paper No 4779852). </w:t>
      </w:r>
      <w:hyperlink r:id="rId30" w:history="1">
        <w:r w:rsidRPr="00206AF2">
          <w:rPr>
            <w:rStyle w:val="Hiperligao"/>
            <w:noProof/>
          </w:rPr>
          <w:t>https://papers.ssrn.com/abstract=4779852</w:t>
        </w:r>
      </w:hyperlink>
    </w:p>
    <w:p w14:paraId="339ED35F" w14:textId="5AB6EE65" w:rsidR="00206AF2" w:rsidRPr="00206AF2" w:rsidRDefault="00206AF2" w:rsidP="00206AF2">
      <w:pPr>
        <w:pStyle w:val="EndNoteBibliography"/>
        <w:spacing w:after="240"/>
        <w:ind w:left="720" w:hanging="720"/>
        <w:rPr>
          <w:noProof/>
        </w:rPr>
      </w:pPr>
      <w:r w:rsidRPr="00206AF2">
        <w:rPr>
          <w:noProof/>
        </w:rPr>
        <w:t xml:space="preserve">European Central Bank. (2007). </w:t>
      </w:r>
      <w:r w:rsidRPr="00206AF2">
        <w:rPr>
          <w:i/>
          <w:noProof/>
        </w:rPr>
        <w:t>Financial Stability Review</w:t>
      </w:r>
      <w:r w:rsidRPr="00206AF2">
        <w:rPr>
          <w:noProof/>
        </w:rPr>
        <w:t xml:space="preserve">. </w:t>
      </w:r>
      <w:hyperlink r:id="rId31" w:history="1">
        <w:r w:rsidRPr="00206AF2">
          <w:rPr>
            <w:rStyle w:val="Hiperligao"/>
            <w:noProof/>
          </w:rPr>
          <w:t>https://www.ecb.europa.eu/pub/pdf/fsr/financialstabilityreview200712en.pdf</w:t>
        </w:r>
      </w:hyperlink>
    </w:p>
    <w:p w14:paraId="2D545287" w14:textId="3D49F8EF" w:rsidR="00206AF2" w:rsidRPr="00206AF2" w:rsidRDefault="00206AF2" w:rsidP="00206AF2">
      <w:pPr>
        <w:pStyle w:val="EndNoteBibliography"/>
        <w:spacing w:after="240"/>
        <w:ind w:left="720" w:hanging="720"/>
        <w:rPr>
          <w:noProof/>
        </w:rPr>
      </w:pPr>
      <w:r w:rsidRPr="00206AF2">
        <w:rPr>
          <w:noProof/>
        </w:rPr>
        <w:t xml:space="preserve">European Central Bank. (2025). </w:t>
      </w:r>
      <w:r w:rsidRPr="00206AF2">
        <w:rPr>
          <w:i/>
          <w:noProof/>
        </w:rPr>
        <w:t>October 2025 euro area bank lending survey</w:t>
      </w:r>
      <w:r w:rsidRPr="00206AF2">
        <w:rPr>
          <w:noProof/>
        </w:rPr>
        <w:t xml:space="preserve">. </w:t>
      </w:r>
      <w:hyperlink r:id="rId32" w:history="1">
        <w:r w:rsidRPr="00206AF2">
          <w:rPr>
            <w:rStyle w:val="Hiperligao"/>
            <w:noProof/>
          </w:rPr>
          <w:t>https://www.ecb.europa.eu/press/pr/date/2025/html/ecb.pr251028~4288f66757.en.html</w:t>
        </w:r>
      </w:hyperlink>
    </w:p>
    <w:p w14:paraId="76BC6FAF" w14:textId="10B49995" w:rsidR="00206AF2" w:rsidRPr="00206AF2" w:rsidRDefault="00206AF2" w:rsidP="00206AF2">
      <w:pPr>
        <w:pStyle w:val="EndNoteBibliography"/>
        <w:spacing w:after="240"/>
        <w:ind w:left="720" w:hanging="720"/>
        <w:rPr>
          <w:noProof/>
        </w:rPr>
      </w:pPr>
      <w:r w:rsidRPr="00206AF2">
        <w:rPr>
          <w:noProof/>
        </w:rPr>
        <w:t xml:space="preserve">European Central Bank. (2026). </w:t>
      </w:r>
      <w:r w:rsidRPr="00206AF2">
        <w:rPr>
          <w:i/>
          <w:noProof/>
        </w:rPr>
        <w:t>Euro area bank interest rate statistics: December 2025</w:t>
      </w:r>
      <w:r w:rsidRPr="00206AF2">
        <w:rPr>
          <w:noProof/>
        </w:rPr>
        <w:t xml:space="preserve">. </w:t>
      </w:r>
      <w:hyperlink r:id="rId33" w:history="1">
        <w:r w:rsidRPr="00206AF2">
          <w:rPr>
            <w:rStyle w:val="Hiperligao"/>
            <w:noProof/>
          </w:rPr>
          <w:t>https://www.ecb.europa.eu/press/stats/mfi/html/ecb.mir2602~11392d94d2.pt.html</w:t>
        </w:r>
      </w:hyperlink>
    </w:p>
    <w:p w14:paraId="471DA1F0" w14:textId="19060C64" w:rsidR="00206AF2" w:rsidRPr="00206AF2" w:rsidRDefault="00206AF2" w:rsidP="00206AF2">
      <w:pPr>
        <w:pStyle w:val="EndNoteBibliography"/>
        <w:spacing w:after="240"/>
        <w:ind w:left="720" w:hanging="720"/>
        <w:rPr>
          <w:noProof/>
        </w:rPr>
      </w:pPr>
      <w:r w:rsidRPr="00206AF2">
        <w:rPr>
          <w:noProof/>
        </w:rPr>
        <w:t xml:space="preserve">Gabinete de Estratégia e Estudos. (2026). </w:t>
      </w:r>
      <w:r w:rsidRPr="00206AF2">
        <w:rPr>
          <w:i/>
          <w:noProof/>
        </w:rPr>
        <w:t>Taxa de Juro dos Novos Empréstimos - Banco de Portugal</w:t>
      </w:r>
      <w:r w:rsidRPr="00206AF2">
        <w:rPr>
          <w:noProof/>
        </w:rPr>
        <w:t xml:space="preserve">.  Retrieved from </w:t>
      </w:r>
      <w:hyperlink r:id="rId34" w:history="1">
        <w:r w:rsidRPr="00206AF2">
          <w:rPr>
            <w:rStyle w:val="Hiperligao"/>
            <w:noProof/>
          </w:rPr>
          <w:t>https://www.gee.gov.pt/pt/indicadores-diarios/ultimos-indicadores/35063-taxa-de-juro-dos-novos-emprestimos-banco-de-portugal-51</w:t>
        </w:r>
      </w:hyperlink>
    </w:p>
    <w:p w14:paraId="0942333F" w14:textId="141F4247" w:rsidR="00206AF2" w:rsidRPr="00206AF2" w:rsidRDefault="00206AF2" w:rsidP="00206AF2">
      <w:pPr>
        <w:pStyle w:val="EndNoteBibliography"/>
        <w:spacing w:after="240"/>
        <w:ind w:left="720" w:hanging="720"/>
        <w:rPr>
          <w:noProof/>
        </w:rPr>
      </w:pPr>
      <w:r w:rsidRPr="00206AF2">
        <w:rPr>
          <w:noProof/>
        </w:rPr>
        <w:t xml:space="preserve">Gropp, R., Mosk, T., Ongena, S., &amp; Wix, C. (2018). Banks Response to Higher Capital Requirements: Evidence from a Quasi-Natural Experiment. </w:t>
      </w:r>
      <w:r w:rsidRPr="00206AF2">
        <w:rPr>
          <w:i/>
          <w:noProof/>
        </w:rPr>
        <w:t>The Review of Financial Studies</w:t>
      </w:r>
      <w:r w:rsidRPr="00206AF2">
        <w:rPr>
          <w:noProof/>
        </w:rPr>
        <w:t>,</w:t>
      </w:r>
      <w:r w:rsidRPr="00206AF2">
        <w:rPr>
          <w:i/>
          <w:noProof/>
        </w:rPr>
        <w:t xml:space="preserve"> 32</w:t>
      </w:r>
      <w:r w:rsidRPr="00206AF2">
        <w:rPr>
          <w:noProof/>
        </w:rPr>
        <w:t xml:space="preserve">(1), 266-299. </w:t>
      </w:r>
      <w:hyperlink r:id="rId35" w:history="1">
        <w:r w:rsidRPr="00206AF2">
          <w:rPr>
            <w:rStyle w:val="Hiperligao"/>
            <w:noProof/>
          </w:rPr>
          <w:t>https://doi.org/10.1093/rfs/hhy052</w:t>
        </w:r>
      </w:hyperlink>
      <w:r w:rsidRPr="00206AF2">
        <w:rPr>
          <w:noProof/>
        </w:rPr>
        <w:t xml:space="preserve"> </w:t>
      </w:r>
    </w:p>
    <w:p w14:paraId="09C2843A" w14:textId="1C435064" w:rsidR="00206AF2" w:rsidRPr="00206AF2" w:rsidRDefault="00206AF2" w:rsidP="00206AF2">
      <w:pPr>
        <w:pStyle w:val="EndNoteBibliography"/>
        <w:spacing w:after="240"/>
        <w:ind w:left="720" w:hanging="720"/>
        <w:rPr>
          <w:noProof/>
        </w:rPr>
      </w:pPr>
      <w:r w:rsidRPr="00206AF2">
        <w:rPr>
          <w:noProof/>
        </w:rPr>
        <w:t xml:space="preserve">Gunter, E., Latour, A., Maguire, J., Drury Byrne, P., Lukatsky, M., Carroll, M., Campbell, E., Caglayan, S., &amp; Muthukrishan, R. (2021). </w:t>
      </w:r>
      <w:r w:rsidRPr="00206AF2">
        <w:rPr>
          <w:i/>
          <w:noProof/>
        </w:rPr>
        <w:t>Private Debt: A Lesser-Known Corner Of Finance Finds The Spotlight</w:t>
      </w:r>
      <w:r w:rsidRPr="00206AF2">
        <w:rPr>
          <w:noProof/>
        </w:rPr>
        <w:t xml:space="preserve">. S&amp;P Global. </w:t>
      </w:r>
      <w:hyperlink r:id="rId36" w:history="1">
        <w:r w:rsidRPr="00206AF2">
          <w:rPr>
            <w:rStyle w:val="Hiperligao"/>
            <w:noProof/>
          </w:rPr>
          <w:t>https://www.spglobal.com/en/research-insights/special-reports/private-debt</w:t>
        </w:r>
      </w:hyperlink>
    </w:p>
    <w:p w14:paraId="3B06F12A" w14:textId="4D1CE0C3" w:rsidR="00206AF2" w:rsidRPr="00206AF2" w:rsidRDefault="00206AF2" w:rsidP="00206AF2">
      <w:pPr>
        <w:pStyle w:val="EndNoteBibliography"/>
        <w:spacing w:after="240"/>
        <w:ind w:left="720" w:hanging="720"/>
        <w:rPr>
          <w:noProof/>
        </w:rPr>
      </w:pPr>
      <w:r w:rsidRPr="00206AF2">
        <w:rPr>
          <w:noProof/>
        </w:rPr>
        <w:t xml:space="preserve">Hogan, T., &amp; Burns, S. (2019). Has Dodd–Frank affected bank expenses? </w:t>
      </w:r>
      <w:r w:rsidRPr="00206AF2">
        <w:rPr>
          <w:i/>
          <w:noProof/>
        </w:rPr>
        <w:t>Journal of Regulatory Economics</w:t>
      </w:r>
      <w:r w:rsidRPr="00206AF2">
        <w:rPr>
          <w:noProof/>
        </w:rPr>
        <w:t>,</w:t>
      </w:r>
      <w:r w:rsidRPr="00206AF2">
        <w:rPr>
          <w:i/>
          <w:noProof/>
        </w:rPr>
        <w:t xml:space="preserve"> 55</w:t>
      </w:r>
      <w:r w:rsidRPr="00206AF2">
        <w:rPr>
          <w:noProof/>
        </w:rPr>
        <w:t xml:space="preserve">. </w:t>
      </w:r>
      <w:hyperlink r:id="rId37" w:history="1">
        <w:r w:rsidRPr="00206AF2">
          <w:rPr>
            <w:rStyle w:val="Hiperligao"/>
            <w:noProof/>
          </w:rPr>
          <w:t>https://doi.org/10.1007/s11149-019-09379-8</w:t>
        </w:r>
      </w:hyperlink>
      <w:r w:rsidRPr="00206AF2">
        <w:rPr>
          <w:noProof/>
        </w:rPr>
        <w:t xml:space="preserve"> </w:t>
      </w:r>
    </w:p>
    <w:p w14:paraId="10369702" w14:textId="1289D503" w:rsidR="00206AF2" w:rsidRPr="00206AF2" w:rsidRDefault="00206AF2" w:rsidP="00206AF2">
      <w:pPr>
        <w:pStyle w:val="EndNoteBibliography"/>
        <w:spacing w:after="240"/>
        <w:ind w:left="720" w:hanging="720"/>
        <w:rPr>
          <w:noProof/>
        </w:rPr>
      </w:pPr>
      <w:r w:rsidRPr="00206AF2">
        <w:rPr>
          <w:noProof/>
        </w:rPr>
        <w:t xml:space="preserve">International Monetary Fund. (2024). </w:t>
      </w:r>
      <w:r w:rsidRPr="00206AF2">
        <w:rPr>
          <w:i/>
          <w:noProof/>
        </w:rPr>
        <w:t>Global Financial Stability Report, April 2024: The Last Mile: Financial Vulnerabilities and Risks</w:t>
      </w:r>
      <w:r w:rsidRPr="00206AF2">
        <w:rPr>
          <w:noProof/>
        </w:rPr>
        <w:t xml:space="preserve">. International Monetary Fund. </w:t>
      </w:r>
      <w:hyperlink r:id="rId38" w:history="1">
        <w:r w:rsidRPr="00206AF2">
          <w:rPr>
            <w:rStyle w:val="Hiperligao"/>
            <w:noProof/>
          </w:rPr>
          <w:t>https://doi.org/10.5089/9798400257704.082</w:t>
        </w:r>
      </w:hyperlink>
      <w:r w:rsidRPr="00206AF2">
        <w:rPr>
          <w:noProof/>
        </w:rPr>
        <w:t xml:space="preserve"> </w:t>
      </w:r>
    </w:p>
    <w:p w14:paraId="432429CF" w14:textId="558CA4CB" w:rsidR="00206AF2" w:rsidRPr="00206AF2" w:rsidRDefault="00206AF2" w:rsidP="00206AF2">
      <w:pPr>
        <w:pStyle w:val="EndNoteBibliography"/>
        <w:spacing w:after="240"/>
        <w:ind w:left="720" w:hanging="720"/>
        <w:rPr>
          <w:noProof/>
        </w:rPr>
      </w:pPr>
      <w:r w:rsidRPr="00206AF2">
        <w:rPr>
          <w:noProof/>
        </w:rPr>
        <w:t xml:space="preserve">Jang, Y. (2023). Are Direct Lenders More Like Banks or Arm’s-Length Investors? Evidence from Loan Agreements and COVID-Related Distress. </w:t>
      </w:r>
      <w:r w:rsidRPr="00206AF2">
        <w:rPr>
          <w:i/>
          <w:noProof/>
        </w:rPr>
        <w:t>SSRN Electronic Journal</w:t>
      </w:r>
      <w:r w:rsidRPr="00206AF2">
        <w:rPr>
          <w:noProof/>
        </w:rPr>
        <w:t xml:space="preserve">. </w:t>
      </w:r>
      <w:hyperlink r:id="rId39" w:history="1">
        <w:r w:rsidRPr="00206AF2">
          <w:rPr>
            <w:rStyle w:val="Hiperligao"/>
            <w:noProof/>
          </w:rPr>
          <w:t>https://doi.org/10.2139/ssrn.4529656</w:t>
        </w:r>
      </w:hyperlink>
      <w:r w:rsidRPr="00206AF2">
        <w:rPr>
          <w:noProof/>
        </w:rPr>
        <w:t xml:space="preserve"> </w:t>
      </w:r>
    </w:p>
    <w:p w14:paraId="4CF1173A" w14:textId="354AE904" w:rsidR="00206AF2" w:rsidRPr="00206AF2" w:rsidRDefault="00206AF2" w:rsidP="00206AF2">
      <w:pPr>
        <w:pStyle w:val="EndNoteBibliography"/>
        <w:spacing w:after="240"/>
        <w:ind w:left="720" w:hanging="720"/>
        <w:rPr>
          <w:noProof/>
        </w:rPr>
      </w:pPr>
      <w:r w:rsidRPr="00206AF2">
        <w:rPr>
          <w:noProof/>
        </w:rPr>
        <w:t xml:space="preserve">Jochims, M. (2025). </w:t>
      </w:r>
      <w:r w:rsidRPr="00206AF2">
        <w:rPr>
          <w:i/>
          <w:noProof/>
        </w:rPr>
        <w:t>European Private Credit: Why Now?</w:t>
      </w:r>
      <w:r w:rsidRPr="00206AF2">
        <w:rPr>
          <w:noProof/>
        </w:rPr>
        <w:t xml:space="preserve"> Morgan Stanley </w:t>
      </w:r>
      <w:hyperlink r:id="rId40" w:history="1">
        <w:r w:rsidRPr="00206AF2">
          <w:rPr>
            <w:rStyle w:val="Hiperligao"/>
            <w:noProof/>
          </w:rPr>
          <w:t>https://www.morganstanley.com/im/en-us/individual-investor/insights/articles/european-private-credit-why-now.html</w:t>
        </w:r>
      </w:hyperlink>
    </w:p>
    <w:p w14:paraId="17779129" w14:textId="3767B5EA" w:rsidR="00206AF2" w:rsidRPr="00206AF2" w:rsidRDefault="00206AF2" w:rsidP="00206AF2">
      <w:pPr>
        <w:pStyle w:val="EndNoteBibliography"/>
        <w:spacing w:after="240"/>
        <w:ind w:left="720" w:hanging="720"/>
        <w:rPr>
          <w:noProof/>
        </w:rPr>
      </w:pPr>
      <w:r w:rsidRPr="00206AF2">
        <w:rPr>
          <w:noProof/>
        </w:rPr>
        <w:t xml:space="preserve">Käkelä, M. (2024). </w:t>
      </w:r>
      <w:r w:rsidRPr="00206AF2">
        <w:rPr>
          <w:i/>
          <w:noProof/>
        </w:rPr>
        <w:t>The emergence and growth of private credit as a financing option in corporate finance</w:t>
      </w:r>
      <w:r w:rsidRPr="00206AF2">
        <w:rPr>
          <w:noProof/>
        </w:rPr>
        <w:t xml:space="preserve"> University of Turku]. </w:t>
      </w:r>
      <w:hyperlink r:id="rId41" w:history="1">
        <w:r w:rsidRPr="00206AF2">
          <w:rPr>
            <w:rStyle w:val="Hiperligao"/>
            <w:noProof/>
          </w:rPr>
          <w:t>https://www.utupub.fi/bitstream/handle/10024/178899/Kakela_Mikke_opinnayte.pdf?sequence=1</w:t>
        </w:r>
      </w:hyperlink>
    </w:p>
    <w:p w14:paraId="2349CD23" w14:textId="41799451" w:rsidR="00206AF2" w:rsidRPr="00206AF2" w:rsidRDefault="00206AF2" w:rsidP="00206AF2">
      <w:pPr>
        <w:pStyle w:val="EndNoteBibliography"/>
        <w:spacing w:after="240"/>
        <w:ind w:left="720" w:hanging="720"/>
        <w:rPr>
          <w:noProof/>
        </w:rPr>
      </w:pPr>
      <w:r w:rsidRPr="00206AF2">
        <w:rPr>
          <w:noProof/>
        </w:rPr>
        <w:t xml:space="preserve">Lalafaryan, N. (2024). Private credit: a renaissance in corporate finance. </w:t>
      </w:r>
      <w:r w:rsidRPr="00206AF2">
        <w:rPr>
          <w:i/>
          <w:noProof/>
        </w:rPr>
        <w:t>Journal of Corporate Law Studies</w:t>
      </w:r>
      <w:r w:rsidRPr="00206AF2">
        <w:rPr>
          <w:noProof/>
        </w:rPr>
        <w:t>,</w:t>
      </w:r>
      <w:r w:rsidRPr="00206AF2">
        <w:rPr>
          <w:i/>
          <w:noProof/>
        </w:rPr>
        <w:t xml:space="preserve"> 24</w:t>
      </w:r>
      <w:r w:rsidRPr="00206AF2">
        <w:rPr>
          <w:noProof/>
        </w:rPr>
        <w:t xml:space="preserve">(1), 41-95. </w:t>
      </w:r>
      <w:hyperlink r:id="rId42" w:history="1">
        <w:r w:rsidRPr="00206AF2">
          <w:rPr>
            <w:rStyle w:val="Hiperligao"/>
            <w:noProof/>
          </w:rPr>
          <w:t>https://doi.org/10.1080/14735970.2024.2351230</w:t>
        </w:r>
      </w:hyperlink>
      <w:r w:rsidRPr="00206AF2">
        <w:rPr>
          <w:noProof/>
        </w:rPr>
        <w:t xml:space="preserve"> </w:t>
      </w:r>
    </w:p>
    <w:p w14:paraId="0E77FE10" w14:textId="1E255A14" w:rsidR="00206AF2" w:rsidRPr="00206AF2" w:rsidRDefault="00206AF2" w:rsidP="00206AF2">
      <w:pPr>
        <w:pStyle w:val="EndNoteBibliography"/>
        <w:spacing w:after="240"/>
        <w:ind w:left="720" w:hanging="720"/>
        <w:rPr>
          <w:noProof/>
        </w:rPr>
      </w:pPr>
      <w:r w:rsidRPr="00206AF2">
        <w:rPr>
          <w:noProof/>
        </w:rPr>
        <w:t xml:space="preserve">Morgan Stanley. (2025). </w:t>
      </w:r>
      <w:r w:rsidRPr="00206AF2">
        <w:rPr>
          <w:i/>
          <w:noProof/>
        </w:rPr>
        <w:t>Understanding Private Credit’s Rapid Growth</w:t>
      </w:r>
      <w:r w:rsidRPr="00206AF2">
        <w:rPr>
          <w:noProof/>
        </w:rPr>
        <w:t xml:space="preserve">. Morgan Stanley. </w:t>
      </w:r>
      <w:hyperlink r:id="rId43" w:history="1">
        <w:r w:rsidRPr="00206AF2">
          <w:rPr>
            <w:rStyle w:val="Hiperligao"/>
            <w:noProof/>
          </w:rPr>
          <w:t>https://www.morganstanley.com/ideas/private-credit-outlook-considerations</w:t>
        </w:r>
      </w:hyperlink>
    </w:p>
    <w:p w14:paraId="4FFDD870" w14:textId="74328BBB" w:rsidR="00206AF2" w:rsidRPr="00206AF2" w:rsidRDefault="00206AF2" w:rsidP="00206AF2">
      <w:pPr>
        <w:pStyle w:val="EndNoteBibliography"/>
        <w:spacing w:after="240"/>
        <w:ind w:left="720" w:hanging="720"/>
        <w:rPr>
          <w:noProof/>
        </w:rPr>
      </w:pPr>
      <w:r w:rsidRPr="00206AF2">
        <w:rPr>
          <w:noProof/>
        </w:rPr>
        <w:t xml:space="preserve">N. Sambur, K., &amp; Minorini, S. (2025). The Private Credit Surge: Implications for Sponsors, Borrowers and Traditional Lending Structures. </w:t>
      </w:r>
      <w:r w:rsidRPr="00206AF2">
        <w:rPr>
          <w:i/>
          <w:noProof/>
        </w:rPr>
        <w:t>ABF Journal</w:t>
      </w:r>
      <w:r w:rsidRPr="00206AF2">
        <w:rPr>
          <w:noProof/>
        </w:rPr>
        <w:t xml:space="preserve">. </w:t>
      </w:r>
      <w:hyperlink r:id="rId44" w:history="1">
        <w:r w:rsidRPr="00206AF2">
          <w:rPr>
            <w:rStyle w:val="Hiperligao"/>
            <w:noProof/>
          </w:rPr>
          <w:t>https://www.hklaw.com/en/insights/publications/2025/08/the-private-credit-surge-implications-for-sponsors</w:t>
        </w:r>
      </w:hyperlink>
      <w:r w:rsidRPr="00206AF2">
        <w:rPr>
          <w:noProof/>
        </w:rPr>
        <w:t xml:space="preserve"> </w:t>
      </w:r>
    </w:p>
    <w:p w14:paraId="1BC2B92E" w14:textId="4B48F7F7" w:rsidR="00206AF2" w:rsidRPr="00206AF2" w:rsidRDefault="00206AF2" w:rsidP="00206AF2">
      <w:pPr>
        <w:pStyle w:val="EndNoteBibliography"/>
        <w:spacing w:after="240"/>
        <w:ind w:left="720" w:hanging="720"/>
        <w:rPr>
          <w:noProof/>
        </w:rPr>
      </w:pPr>
      <w:r w:rsidRPr="00206AF2">
        <w:rPr>
          <w:noProof/>
        </w:rPr>
        <w:t xml:space="preserve">Northleaf Capital. (2025). </w:t>
      </w:r>
      <w:r w:rsidRPr="00206AF2">
        <w:rPr>
          <w:i/>
          <w:noProof/>
        </w:rPr>
        <w:t>Private Credit Market Update: Q2-2025</w:t>
      </w:r>
      <w:r w:rsidRPr="00206AF2">
        <w:rPr>
          <w:noProof/>
        </w:rPr>
        <w:t xml:space="preserve">. </w:t>
      </w:r>
      <w:hyperlink r:id="rId45" w:history="1">
        <w:r w:rsidRPr="00206AF2">
          <w:rPr>
            <w:rStyle w:val="Hiperligao"/>
            <w:noProof/>
          </w:rPr>
          <w:t>https://www.northleafcapital.com/news/private-credit-market-update-q2-2025</w:t>
        </w:r>
      </w:hyperlink>
    </w:p>
    <w:p w14:paraId="72C6D33D" w14:textId="654A3292" w:rsidR="00206AF2" w:rsidRPr="00206AF2" w:rsidRDefault="00206AF2" w:rsidP="00206AF2">
      <w:pPr>
        <w:pStyle w:val="EndNoteBibliography"/>
        <w:spacing w:after="240"/>
        <w:ind w:left="720" w:hanging="720"/>
        <w:rPr>
          <w:noProof/>
        </w:rPr>
      </w:pPr>
      <w:r w:rsidRPr="00206AF2">
        <w:rPr>
          <w:noProof/>
        </w:rPr>
        <w:t xml:space="preserve">Persaud, A. (2024). </w:t>
      </w:r>
      <w:r w:rsidRPr="00206AF2">
        <w:rPr>
          <w:i/>
          <w:noProof/>
        </w:rPr>
        <w:t>Beyond Traditional Financing: An Analysis of the Recent Rise of Private Credit in Capital Markets</w:t>
      </w:r>
      <w:r w:rsidRPr="00206AF2">
        <w:rPr>
          <w:noProof/>
        </w:rPr>
        <w:t xml:space="preserve">. </w:t>
      </w:r>
      <w:hyperlink r:id="rId46" w:history="1">
        <w:r w:rsidRPr="00206AF2">
          <w:rPr>
            <w:rStyle w:val="Hiperligao"/>
            <w:noProof/>
          </w:rPr>
          <w:t>https://doi.org/10.58445/rars.940</w:t>
        </w:r>
      </w:hyperlink>
      <w:r w:rsidRPr="00206AF2">
        <w:rPr>
          <w:noProof/>
        </w:rPr>
        <w:t xml:space="preserve"> </w:t>
      </w:r>
    </w:p>
    <w:p w14:paraId="5B3CDB5B" w14:textId="4FEDEF95" w:rsidR="00206AF2" w:rsidRPr="00206AF2" w:rsidRDefault="00206AF2" w:rsidP="00206AF2">
      <w:pPr>
        <w:pStyle w:val="EndNoteBibliography"/>
        <w:spacing w:after="240"/>
        <w:ind w:left="720" w:hanging="720"/>
        <w:rPr>
          <w:noProof/>
        </w:rPr>
      </w:pPr>
      <w:r w:rsidRPr="00206AF2">
        <w:rPr>
          <w:noProof/>
        </w:rPr>
        <w:t xml:space="preserve">Phillips, J. (2025a). </w:t>
      </w:r>
      <w:r w:rsidRPr="00206AF2">
        <w:rPr>
          <w:i/>
          <w:noProof/>
        </w:rPr>
        <w:t>Demystifying Private Credit: The Origins of Private Credit</w:t>
      </w:r>
      <w:r w:rsidRPr="00206AF2">
        <w:rPr>
          <w:noProof/>
        </w:rPr>
        <w:t xml:space="preserve">. Ares Management. </w:t>
      </w:r>
      <w:hyperlink r:id="rId47" w:history="1">
        <w:r w:rsidRPr="00206AF2">
          <w:rPr>
            <w:rStyle w:val="Hiperligao"/>
            <w:noProof/>
          </w:rPr>
          <w:t>https://www.aresmgmt.com/news-views/perspectives/origins-private-credit</w:t>
        </w:r>
      </w:hyperlink>
    </w:p>
    <w:p w14:paraId="5C4D92F1" w14:textId="13DE44B4" w:rsidR="00206AF2" w:rsidRPr="00206AF2" w:rsidRDefault="00206AF2" w:rsidP="00206AF2">
      <w:pPr>
        <w:pStyle w:val="EndNoteBibliography"/>
        <w:spacing w:after="240"/>
        <w:ind w:left="720" w:hanging="720"/>
        <w:rPr>
          <w:noProof/>
        </w:rPr>
      </w:pPr>
      <w:r w:rsidRPr="00206AF2">
        <w:rPr>
          <w:noProof/>
        </w:rPr>
        <w:t xml:space="preserve">Phillips, J. (2025b). </w:t>
      </w:r>
      <w:r w:rsidRPr="00206AF2">
        <w:rPr>
          <w:i/>
          <w:noProof/>
        </w:rPr>
        <w:t>Demystifying Private Credit: What is Direct Lending?</w:t>
      </w:r>
      <w:r w:rsidRPr="00206AF2">
        <w:rPr>
          <w:noProof/>
        </w:rPr>
        <w:t xml:space="preserve"> Ares Management. </w:t>
      </w:r>
      <w:hyperlink r:id="rId48" w:history="1">
        <w:r w:rsidRPr="00206AF2">
          <w:rPr>
            <w:rStyle w:val="Hiperligao"/>
            <w:noProof/>
          </w:rPr>
          <w:t>https://www.aresmgmt.com/news-views/perspectives/what-is-direct-lending</w:t>
        </w:r>
      </w:hyperlink>
    </w:p>
    <w:p w14:paraId="35FA2B80" w14:textId="1F4F1EDB" w:rsidR="00206AF2" w:rsidRPr="00206AF2" w:rsidRDefault="00206AF2" w:rsidP="00206AF2">
      <w:pPr>
        <w:pStyle w:val="EndNoteBibliography"/>
        <w:spacing w:after="240"/>
        <w:ind w:left="720" w:hanging="720"/>
        <w:rPr>
          <w:noProof/>
        </w:rPr>
      </w:pPr>
      <w:r w:rsidRPr="00206AF2">
        <w:rPr>
          <w:noProof/>
        </w:rPr>
        <w:t xml:space="preserve">Pietrzak, D. (2025). </w:t>
      </w:r>
      <w:r w:rsidRPr="00206AF2">
        <w:rPr>
          <w:i/>
          <w:noProof/>
        </w:rPr>
        <w:t>Private Credit 2025: Navigating Yield, Risk, and Real Value</w:t>
      </w:r>
      <w:r w:rsidRPr="00206AF2">
        <w:rPr>
          <w:noProof/>
        </w:rPr>
        <w:t xml:space="preserve">. KKR. </w:t>
      </w:r>
      <w:hyperlink r:id="rId49" w:history="1">
        <w:r w:rsidRPr="00206AF2">
          <w:rPr>
            <w:rStyle w:val="Hiperligao"/>
            <w:noProof/>
          </w:rPr>
          <w:t>https://www.kkr.com/insights/private-credit-outlook</w:t>
        </w:r>
      </w:hyperlink>
    </w:p>
    <w:p w14:paraId="2135D77C" w14:textId="486C15CE" w:rsidR="00206AF2" w:rsidRPr="00206AF2" w:rsidRDefault="00206AF2" w:rsidP="00206AF2">
      <w:pPr>
        <w:pStyle w:val="EndNoteBibliography"/>
        <w:spacing w:after="240"/>
        <w:ind w:left="720" w:hanging="720"/>
        <w:rPr>
          <w:noProof/>
        </w:rPr>
      </w:pPr>
      <w:r w:rsidRPr="00206AF2">
        <w:rPr>
          <w:noProof/>
        </w:rPr>
        <w:t xml:space="preserve">Shah, K. (2025). </w:t>
      </w:r>
      <w:r w:rsidRPr="00206AF2">
        <w:rPr>
          <w:i/>
          <w:noProof/>
        </w:rPr>
        <w:t>The convergence of European public and private credit markets</w:t>
      </w:r>
      <w:r w:rsidRPr="00206AF2">
        <w:rPr>
          <w:noProof/>
        </w:rPr>
        <w:t xml:space="preserve">. AIMA. </w:t>
      </w:r>
      <w:hyperlink r:id="rId50" w:history="1">
        <w:r w:rsidRPr="00206AF2">
          <w:rPr>
            <w:rStyle w:val="Hiperligao"/>
            <w:noProof/>
          </w:rPr>
          <w:t>https://www.aima.org/article/the-convergence-of-european-public-and-private-credit-markets.html</w:t>
        </w:r>
      </w:hyperlink>
    </w:p>
    <w:p w14:paraId="3D04FF9C" w14:textId="4D63DB3F" w:rsidR="00206AF2" w:rsidRPr="00206AF2" w:rsidRDefault="00206AF2" w:rsidP="00206AF2">
      <w:pPr>
        <w:pStyle w:val="EndNoteBibliography"/>
        <w:spacing w:after="240"/>
        <w:ind w:left="720" w:hanging="720"/>
        <w:rPr>
          <w:noProof/>
        </w:rPr>
      </w:pPr>
      <w:r w:rsidRPr="00206AF2">
        <w:rPr>
          <w:noProof/>
        </w:rPr>
        <w:t xml:space="preserve">Tetrevova, L., &amp; Svedik, J. (2018). Mezzanine financing instruments in comparison to the classic financing sources. </w:t>
      </w:r>
      <w:r w:rsidRPr="00206AF2">
        <w:rPr>
          <w:i/>
          <w:noProof/>
        </w:rPr>
        <w:t>Business, Management and Education</w:t>
      </w:r>
      <w:r w:rsidRPr="00206AF2">
        <w:rPr>
          <w:noProof/>
        </w:rPr>
        <w:t>,</w:t>
      </w:r>
      <w:r w:rsidRPr="00206AF2">
        <w:rPr>
          <w:i/>
          <w:noProof/>
        </w:rPr>
        <w:t xml:space="preserve"> 16</w:t>
      </w:r>
      <w:r w:rsidRPr="00206AF2">
        <w:rPr>
          <w:noProof/>
        </w:rPr>
        <w:t xml:space="preserve">, 133-146. </w:t>
      </w:r>
      <w:hyperlink r:id="rId51" w:history="1">
        <w:r w:rsidRPr="00206AF2">
          <w:rPr>
            <w:rStyle w:val="Hiperligao"/>
            <w:noProof/>
          </w:rPr>
          <w:t>https://doi.org/10.3846/bme.2018.2205</w:t>
        </w:r>
      </w:hyperlink>
      <w:r w:rsidRPr="00206AF2">
        <w:rPr>
          <w:noProof/>
        </w:rPr>
        <w:t xml:space="preserve"> </w:t>
      </w:r>
    </w:p>
    <w:p w14:paraId="31EC7E13" w14:textId="23752F8C" w:rsidR="00206AF2" w:rsidRPr="00206AF2" w:rsidRDefault="00206AF2" w:rsidP="00206AF2">
      <w:pPr>
        <w:pStyle w:val="EndNoteBibliography"/>
        <w:spacing w:after="240"/>
        <w:ind w:left="720" w:hanging="720"/>
        <w:rPr>
          <w:noProof/>
        </w:rPr>
      </w:pPr>
      <w:r w:rsidRPr="00206AF2">
        <w:rPr>
          <w:noProof/>
        </w:rPr>
        <w:t xml:space="preserve">TTR Data. (2022). </w:t>
      </w:r>
      <w:r w:rsidRPr="00206AF2">
        <w:rPr>
          <w:i/>
          <w:noProof/>
        </w:rPr>
        <w:t>Relatório anual sobre o mercado transacional português – 2021</w:t>
      </w:r>
      <w:r w:rsidRPr="00206AF2">
        <w:rPr>
          <w:noProof/>
        </w:rPr>
        <w:t xml:space="preserve">. </w:t>
      </w:r>
      <w:hyperlink r:id="rId52" w:history="1">
        <w:r w:rsidRPr="00206AF2">
          <w:rPr>
            <w:rStyle w:val="Hiperligao"/>
            <w:noProof/>
          </w:rPr>
          <w:t>https://blog.ttrdata.com/relatorio-anual-sobre-o-mercado-transacional-portugues-2021/</w:t>
        </w:r>
      </w:hyperlink>
    </w:p>
    <w:p w14:paraId="546B147B" w14:textId="58BD0B60" w:rsidR="00206AF2" w:rsidRPr="00206AF2" w:rsidRDefault="00206AF2" w:rsidP="00206AF2">
      <w:pPr>
        <w:pStyle w:val="EndNoteBibliography"/>
        <w:spacing w:after="240"/>
        <w:ind w:left="720" w:hanging="720"/>
        <w:rPr>
          <w:noProof/>
        </w:rPr>
      </w:pPr>
      <w:r w:rsidRPr="00206AF2">
        <w:rPr>
          <w:noProof/>
        </w:rPr>
        <w:t xml:space="preserve">TTR Data. (2023). </w:t>
      </w:r>
      <w:r w:rsidRPr="00206AF2">
        <w:rPr>
          <w:i/>
          <w:noProof/>
        </w:rPr>
        <w:t>Relatório anual sobre o mercado transacional português – 2022</w:t>
      </w:r>
      <w:r w:rsidRPr="00206AF2">
        <w:rPr>
          <w:noProof/>
        </w:rPr>
        <w:t xml:space="preserve">. </w:t>
      </w:r>
      <w:hyperlink r:id="rId53" w:history="1">
        <w:r w:rsidRPr="00206AF2">
          <w:rPr>
            <w:rStyle w:val="Hiperligao"/>
            <w:noProof/>
          </w:rPr>
          <w:t>https://blog.ttrdata.com/relatorio-anual-sobre-o-mercado-transacional-portugues-2022/</w:t>
        </w:r>
      </w:hyperlink>
    </w:p>
    <w:p w14:paraId="5CED97E0" w14:textId="031DF193" w:rsidR="00206AF2" w:rsidRPr="00206AF2" w:rsidRDefault="00206AF2" w:rsidP="00206AF2">
      <w:pPr>
        <w:pStyle w:val="EndNoteBibliography"/>
        <w:spacing w:after="240"/>
        <w:ind w:left="720" w:hanging="720"/>
        <w:rPr>
          <w:noProof/>
        </w:rPr>
      </w:pPr>
      <w:r w:rsidRPr="00206AF2">
        <w:rPr>
          <w:noProof/>
        </w:rPr>
        <w:t xml:space="preserve">TTR Data. (2024). </w:t>
      </w:r>
      <w:r w:rsidRPr="00206AF2">
        <w:rPr>
          <w:i/>
          <w:noProof/>
        </w:rPr>
        <w:t>Relatório anual sobre o mercado transacional português – 2023</w:t>
      </w:r>
      <w:r w:rsidRPr="00206AF2">
        <w:rPr>
          <w:noProof/>
        </w:rPr>
        <w:t xml:space="preserve">. </w:t>
      </w:r>
      <w:hyperlink r:id="rId54" w:history="1">
        <w:r w:rsidRPr="00206AF2">
          <w:rPr>
            <w:rStyle w:val="Hiperligao"/>
            <w:noProof/>
          </w:rPr>
          <w:t>https://blog.ttrdata.com/relatorio-anual-sobre-o-mercado-transacional-portugues-2023/</w:t>
        </w:r>
      </w:hyperlink>
    </w:p>
    <w:p w14:paraId="398216FC" w14:textId="6959E828" w:rsidR="00206AF2" w:rsidRPr="00206AF2" w:rsidRDefault="00206AF2" w:rsidP="00206AF2">
      <w:pPr>
        <w:pStyle w:val="EndNoteBibliography"/>
        <w:spacing w:after="240"/>
        <w:ind w:left="720" w:hanging="720"/>
        <w:rPr>
          <w:noProof/>
        </w:rPr>
      </w:pPr>
      <w:r w:rsidRPr="00206AF2">
        <w:rPr>
          <w:noProof/>
        </w:rPr>
        <w:t xml:space="preserve">TTR Data. (2025). Relatório anual sobre o mercado transacional português – 2024. </w:t>
      </w:r>
      <w:hyperlink r:id="rId55" w:history="1">
        <w:r w:rsidRPr="00206AF2">
          <w:rPr>
            <w:rStyle w:val="Hiperligao"/>
            <w:noProof/>
          </w:rPr>
          <w:t>https://blog.ttrdata.com/relatorio-anual-sobre-o-mercado-transacional-portugues-2024/</w:t>
        </w:r>
      </w:hyperlink>
      <w:r w:rsidRPr="00206AF2">
        <w:rPr>
          <w:noProof/>
        </w:rPr>
        <w:t xml:space="preserve"> </w:t>
      </w:r>
    </w:p>
    <w:p w14:paraId="180FC52C" w14:textId="15DABB54" w:rsidR="00206AF2" w:rsidRPr="00206AF2" w:rsidRDefault="00206AF2" w:rsidP="00206AF2">
      <w:pPr>
        <w:pStyle w:val="EndNoteBibliography"/>
        <w:spacing w:after="240"/>
        <w:ind w:left="720" w:hanging="720"/>
        <w:rPr>
          <w:noProof/>
        </w:rPr>
      </w:pPr>
      <w:r w:rsidRPr="00206AF2">
        <w:rPr>
          <w:noProof/>
        </w:rPr>
        <w:t xml:space="preserve">TTR Data. (2026). </w:t>
      </w:r>
      <w:r w:rsidRPr="00206AF2">
        <w:rPr>
          <w:i/>
          <w:noProof/>
        </w:rPr>
        <w:t>Relatório anual sobre o mercado transacional português – 2025</w:t>
      </w:r>
      <w:r w:rsidRPr="00206AF2">
        <w:rPr>
          <w:noProof/>
        </w:rPr>
        <w:t xml:space="preserve">. </w:t>
      </w:r>
      <w:hyperlink r:id="rId56" w:history="1">
        <w:r w:rsidRPr="00206AF2">
          <w:rPr>
            <w:rStyle w:val="Hiperligao"/>
            <w:noProof/>
          </w:rPr>
          <w:t>https://blog.ttrdata.com/relatorio-mensal-sobre-o-mercado-transacional-portugues-4q2025/</w:t>
        </w:r>
      </w:hyperlink>
    </w:p>
    <w:p w14:paraId="5429349D" w14:textId="6D1B39A7" w:rsidR="00206AF2" w:rsidRPr="00206AF2" w:rsidRDefault="00206AF2" w:rsidP="00206AF2">
      <w:pPr>
        <w:pStyle w:val="EndNoteBibliography"/>
        <w:spacing w:after="240"/>
        <w:ind w:left="720" w:hanging="720"/>
        <w:rPr>
          <w:noProof/>
        </w:rPr>
      </w:pPr>
      <w:r w:rsidRPr="00206AF2">
        <w:rPr>
          <w:noProof/>
        </w:rPr>
        <w:t xml:space="preserve">Vasilescu, L. (2010). Financing Gap for SMES and the Mezzanine Capital. </w:t>
      </w:r>
      <w:r w:rsidRPr="00206AF2">
        <w:rPr>
          <w:i/>
          <w:noProof/>
        </w:rPr>
        <w:t>Economic Research-Ekonomska Istraživanja</w:t>
      </w:r>
      <w:r w:rsidRPr="00206AF2">
        <w:rPr>
          <w:noProof/>
        </w:rPr>
        <w:t>,</w:t>
      </w:r>
      <w:r w:rsidRPr="00206AF2">
        <w:rPr>
          <w:i/>
          <w:noProof/>
        </w:rPr>
        <w:t xml:space="preserve"> 23</w:t>
      </w:r>
      <w:r w:rsidRPr="00206AF2">
        <w:rPr>
          <w:noProof/>
        </w:rPr>
        <w:t xml:space="preserve">, 57-67. </w:t>
      </w:r>
      <w:hyperlink r:id="rId57" w:history="1">
        <w:r w:rsidRPr="00206AF2">
          <w:rPr>
            <w:rStyle w:val="Hiperligao"/>
            <w:noProof/>
          </w:rPr>
          <w:t>https://doi.org/10.1080/1331677X.2010.11517423</w:t>
        </w:r>
      </w:hyperlink>
      <w:r w:rsidRPr="00206AF2">
        <w:rPr>
          <w:noProof/>
        </w:rPr>
        <w:t xml:space="preserve"> </w:t>
      </w:r>
    </w:p>
    <w:p w14:paraId="43B2684C" w14:textId="7CC7E571" w:rsidR="00206AF2" w:rsidRPr="00206AF2" w:rsidRDefault="00206AF2" w:rsidP="00206AF2">
      <w:pPr>
        <w:pStyle w:val="EndNoteBibliography"/>
        <w:ind w:left="720" w:hanging="720"/>
        <w:rPr>
          <w:noProof/>
        </w:rPr>
      </w:pPr>
      <w:r w:rsidRPr="00206AF2">
        <w:rPr>
          <w:noProof/>
        </w:rPr>
        <w:t xml:space="preserve">Zou, J. (2026). </w:t>
      </w:r>
      <w:r w:rsidRPr="00206AF2">
        <w:rPr>
          <w:i/>
          <w:noProof/>
        </w:rPr>
        <w:t>Private Credit Markets Theory, Evidence, and Emerging Frontiers</w:t>
      </w:r>
      <w:r w:rsidRPr="00206AF2">
        <w:rPr>
          <w:noProof/>
        </w:rPr>
        <w:t xml:space="preserve">. </w:t>
      </w:r>
      <w:hyperlink r:id="rId58" w:history="1">
        <w:r w:rsidRPr="00206AF2">
          <w:rPr>
            <w:rStyle w:val="Hiperligao"/>
            <w:noProof/>
          </w:rPr>
          <w:t>https://doi.org/10.48550/arXiv.2603.14491</w:t>
        </w:r>
      </w:hyperlink>
      <w:r w:rsidRPr="00206AF2">
        <w:rPr>
          <w:noProof/>
        </w:rPr>
        <w:t xml:space="preserve"> </w:t>
      </w:r>
    </w:p>
    <w:p w14:paraId="48AC78AC" w14:textId="2A0CAF6B" w:rsidR="00DB5F64" w:rsidRPr="00DB5F64" w:rsidRDefault="00DB5F64" w:rsidP="00DB5F64">
      <w:pPr>
        <w:rPr>
          <w:lang w:val="en-US"/>
        </w:rPr>
      </w:pPr>
      <w:r w:rsidRPr="00EC4CE0">
        <w:rPr>
          <w:rFonts w:ascii="Garamond" w:hAnsi="Garamond"/>
          <w:sz w:val="20"/>
          <w:szCs w:val="20"/>
          <w:lang w:val="en-US"/>
        </w:rPr>
        <w:fldChar w:fldCharType="end"/>
      </w:r>
    </w:p>
    <w:p w14:paraId="10AE72DC" w14:textId="77777777" w:rsidR="00EA72C6" w:rsidRDefault="00EA72C6" w:rsidP="00CC5E8A">
      <w:pPr>
        <w:spacing w:line="360" w:lineRule="auto"/>
        <w:ind w:firstLine="708"/>
        <w:jc w:val="both"/>
        <w:rPr>
          <w:rFonts w:ascii="Garamond" w:hAnsi="Garamond"/>
          <w:lang w:val="en-US"/>
        </w:rPr>
      </w:pPr>
    </w:p>
    <w:p w14:paraId="05F3605B" w14:textId="77777777" w:rsidR="00771647" w:rsidRDefault="00771647" w:rsidP="00CC5E8A">
      <w:pPr>
        <w:spacing w:line="360" w:lineRule="auto"/>
        <w:ind w:firstLine="708"/>
        <w:jc w:val="both"/>
        <w:rPr>
          <w:rFonts w:ascii="Garamond" w:hAnsi="Garamond"/>
          <w:lang w:val="en-US"/>
        </w:rPr>
      </w:pPr>
    </w:p>
    <w:p w14:paraId="001F55E5" w14:textId="77777777" w:rsidR="00D54E70" w:rsidRDefault="00D54E70" w:rsidP="00CC5E8A">
      <w:pPr>
        <w:spacing w:line="360" w:lineRule="auto"/>
        <w:ind w:firstLine="708"/>
        <w:jc w:val="both"/>
        <w:rPr>
          <w:rFonts w:ascii="Garamond" w:hAnsi="Garamond"/>
          <w:lang w:val="en-US"/>
        </w:rPr>
      </w:pPr>
    </w:p>
    <w:p w14:paraId="6E8878BB" w14:textId="77777777" w:rsidR="00D54E70" w:rsidRDefault="00D54E70" w:rsidP="00CC5E8A">
      <w:pPr>
        <w:spacing w:line="360" w:lineRule="auto"/>
        <w:ind w:firstLine="708"/>
        <w:jc w:val="both"/>
        <w:rPr>
          <w:rFonts w:ascii="Garamond" w:hAnsi="Garamond"/>
          <w:lang w:val="en-US"/>
        </w:rPr>
      </w:pPr>
    </w:p>
    <w:p w14:paraId="77E7536C" w14:textId="77777777" w:rsidR="00D54E70" w:rsidRDefault="00D54E70" w:rsidP="00CC5E8A">
      <w:pPr>
        <w:spacing w:line="360" w:lineRule="auto"/>
        <w:ind w:firstLine="708"/>
        <w:jc w:val="both"/>
        <w:rPr>
          <w:rFonts w:ascii="Garamond" w:hAnsi="Garamond"/>
          <w:lang w:val="en-US"/>
        </w:rPr>
      </w:pPr>
    </w:p>
    <w:p w14:paraId="44088454" w14:textId="77777777" w:rsidR="00D54E70" w:rsidRDefault="00D54E70" w:rsidP="00CC5E8A">
      <w:pPr>
        <w:spacing w:line="360" w:lineRule="auto"/>
        <w:ind w:firstLine="708"/>
        <w:jc w:val="both"/>
        <w:rPr>
          <w:rFonts w:ascii="Garamond" w:hAnsi="Garamond"/>
          <w:lang w:val="en-US"/>
        </w:rPr>
      </w:pPr>
    </w:p>
    <w:p w14:paraId="0E5AD5C2" w14:textId="77777777" w:rsidR="00D54E70" w:rsidRDefault="00D54E70" w:rsidP="00CC5E8A">
      <w:pPr>
        <w:spacing w:line="360" w:lineRule="auto"/>
        <w:ind w:firstLine="708"/>
        <w:jc w:val="both"/>
        <w:rPr>
          <w:rFonts w:ascii="Garamond" w:hAnsi="Garamond"/>
          <w:lang w:val="en-US"/>
        </w:rPr>
      </w:pPr>
    </w:p>
    <w:p w14:paraId="126C3832" w14:textId="77777777" w:rsidR="00D54E70" w:rsidRDefault="00D54E70" w:rsidP="00CC5E8A">
      <w:pPr>
        <w:spacing w:line="360" w:lineRule="auto"/>
        <w:ind w:firstLine="708"/>
        <w:jc w:val="both"/>
        <w:rPr>
          <w:rFonts w:ascii="Garamond" w:hAnsi="Garamond"/>
          <w:lang w:val="en-US"/>
        </w:rPr>
      </w:pPr>
    </w:p>
    <w:p w14:paraId="1751400D" w14:textId="77777777" w:rsidR="00D54E70" w:rsidRDefault="00D54E70" w:rsidP="00CC5E8A">
      <w:pPr>
        <w:spacing w:line="360" w:lineRule="auto"/>
        <w:ind w:firstLine="708"/>
        <w:jc w:val="both"/>
        <w:rPr>
          <w:rFonts w:ascii="Garamond" w:hAnsi="Garamond"/>
          <w:lang w:val="en-US"/>
        </w:rPr>
      </w:pPr>
    </w:p>
    <w:p w14:paraId="3F19ADEC" w14:textId="77777777" w:rsidR="00D54E70" w:rsidRDefault="00D54E70" w:rsidP="00DB5F64">
      <w:pPr>
        <w:spacing w:line="360" w:lineRule="auto"/>
        <w:jc w:val="both"/>
        <w:rPr>
          <w:rFonts w:ascii="Garamond" w:hAnsi="Garamond"/>
          <w:lang w:val="en-US"/>
        </w:rPr>
      </w:pPr>
    </w:p>
    <w:p w14:paraId="3602342C" w14:textId="085E7D9D" w:rsidR="00133DD9" w:rsidRDefault="00125A37" w:rsidP="004E5596">
      <w:pPr>
        <w:rPr>
          <w:rFonts w:ascii="Garamond" w:hAnsi="Garamond"/>
          <w:sz w:val="20"/>
          <w:szCs w:val="20"/>
          <w:lang w:val="en-US"/>
        </w:rPr>
      </w:pPr>
      <w:r w:rsidRPr="00EC4CE0">
        <w:rPr>
          <w:rFonts w:ascii="Garamond" w:hAnsi="Garamond"/>
          <w:sz w:val="20"/>
          <w:szCs w:val="20"/>
          <w:lang w:val="en-US"/>
        </w:rPr>
        <w:fldChar w:fldCharType="begin">
          <w:fldData xml:space="preserve">PEVuZE5vdGU+PENpdGUgSGlkZGVuPSIxIj48QXV0aG9yPlNoYWg8L0F1dGhvcj48WWVhcj4yMDI1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</w:fldData>
        </w:fldChar>
      </w:r>
      <w:r w:rsidR="00514C62">
        <w:rPr>
          <w:rFonts w:ascii="Garamond" w:hAnsi="Garamond"/>
          <w:sz w:val="20"/>
          <w:szCs w:val="20"/>
          <w:lang w:val="en-US"/>
        </w:rPr>
        <w:instrText xml:space="preserve"> ADDIN EN.CITE </w:instrText>
      </w:r>
      <w:r w:rsidR="00514C62">
        <w:rPr>
          <w:rFonts w:ascii="Garamond" w:hAnsi="Garamond"/>
          <w:sz w:val="20"/>
          <w:szCs w:val="20"/>
          <w:lang w:val="en-US"/>
        </w:rPr>
        <w:fldChar w:fldCharType="begin">
          <w:fldData xml:space="preserve">PEVuZE5vdGU+PENpdGUgSGlkZGVuPSIxIj48QXV0aG9yPlNoYWg8L0F1dGhvcj48WWVhcj4yMDI1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</w:fldData>
        </w:fldChar>
      </w:r>
      <w:r w:rsidR="00514C62">
        <w:rPr>
          <w:rFonts w:ascii="Garamond" w:hAnsi="Garamond"/>
          <w:sz w:val="20"/>
          <w:szCs w:val="20"/>
          <w:lang w:val="en-US"/>
        </w:rPr>
        <w:instrText xml:space="preserve"> ADDIN EN.CITE.DATA </w:instrText>
      </w:r>
      <w:r w:rsidR="00514C62">
        <w:rPr>
          <w:rFonts w:ascii="Garamond" w:hAnsi="Garamond"/>
          <w:sz w:val="20"/>
          <w:szCs w:val="20"/>
          <w:lang w:val="en-US"/>
        </w:rPr>
      </w:r>
      <w:r w:rsidR="00514C62">
        <w:rPr>
          <w:rFonts w:ascii="Garamond" w:hAnsi="Garamond"/>
          <w:sz w:val="20"/>
          <w:szCs w:val="20"/>
          <w:lang w:val="en-US"/>
        </w:rPr>
        <w:fldChar w:fldCharType="end"/>
      </w:r>
      <w:r w:rsidRPr="00EC4CE0">
        <w:rPr>
          <w:rFonts w:ascii="Garamond" w:hAnsi="Garamond"/>
          <w:sz w:val="20"/>
          <w:szCs w:val="20"/>
          <w:lang w:val="en-US"/>
        </w:rPr>
        <w:fldChar w:fldCharType="separate"/>
      </w:r>
      <w:r w:rsidRPr="00EC4CE0">
        <w:rPr>
          <w:rFonts w:ascii="Garamond" w:hAnsi="Garamond"/>
          <w:sz w:val="20"/>
          <w:szCs w:val="20"/>
          <w:lang w:val="en-US"/>
        </w:rPr>
        <w:fldChar w:fldCharType="end"/>
      </w:r>
    </w:p>
    <w:sectPr w:rsidR="00133DD9" w:rsidSect="003E7F0A">
      <w:footerReference w:type="even" r:id="rId59"/>
      <w:pgSz w:w="11906" w:h="16838"/>
      <w:pgMar w:top="1701" w:right="1418" w:bottom="1701" w:left="1985"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6EA3F" w14:textId="77777777" w:rsidR="004B7AFE" w:rsidRDefault="004B7AFE" w:rsidP="007773B0">
      <w:r>
        <w:separator/>
      </w:r>
    </w:p>
  </w:endnote>
  <w:endnote w:type="continuationSeparator" w:id="0">
    <w:p w14:paraId="67F96A36" w14:textId="77777777" w:rsidR="004B7AFE" w:rsidRDefault="004B7AFE" w:rsidP="007773B0">
      <w:r>
        <w:continuationSeparator/>
      </w:r>
    </w:p>
  </w:endnote>
  <w:endnote w:type="continuationNotice" w:id="1">
    <w:p w14:paraId="69E0DDD0" w14:textId="77777777" w:rsidR="004B7AFE" w:rsidRDefault="004B7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2093228773"/>
      <w:docPartObj>
        <w:docPartGallery w:val="Page Numbers (Bottom of Page)"/>
        <w:docPartUnique/>
      </w:docPartObj>
    </w:sdtPr>
    <w:sdtEndPr>
      <w:rPr>
        <w:rStyle w:val="Nmerodepgina"/>
      </w:rPr>
    </w:sdtEndPr>
    <w:sdtContent>
      <w:p w14:paraId="33F3F12A" w14:textId="7881EA02" w:rsidR="00AF4C5A" w:rsidRDefault="00AF4C5A" w:rsidP="00083EEE">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46575">
          <w:rPr>
            <w:rStyle w:val="Nmerodepgina"/>
            <w:noProof/>
          </w:rPr>
          <w:t>iii</w:t>
        </w:r>
        <w:r>
          <w:rPr>
            <w:rStyle w:val="Nmerodepgina"/>
          </w:rPr>
          <w:fldChar w:fldCharType="end"/>
        </w:r>
      </w:p>
    </w:sdtContent>
  </w:sdt>
  <w:p w14:paraId="2240C780" w14:textId="77777777" w:rsidR="00AF4C5A" w:rsidRDefault="00AF4C5A" w:rsidP="00083EE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7546038"/>
      <w:docPartObj>
        <w:docPartGallery w:val="Page Numbers (Bottom of Page)"/>
        <w:docPartUnique/>
      </w:docPartObj>
    </w:sdtPr>
    <w:sdtEndPr/>
    <w:sdtContent>
      <w:p w14:paraId="787E578C" w14:textId="48C3DBD7" w:rsidR="0002313D" w:rsidRDefault="0002313D">
        <w:pPr>
          <w:pStyle w:val="Rodap"/>
          <w:jc w:val="right"/>
        </w:pPr>
        <w:r>
          <w:fldChar w:fldCharType="begin"/>
        </w:r>
        <w:r>
          <w:instrText>PAGE   \* MERGEFORMAT</w:instrText>
        </w:r>
        <w:r>
          <w:fldChar w:fldCharType="separate"/>
        </w:r>
        <w:r>
          <w:t>2</w:t>
        </w:r>
        <w:r>
          <w:fldChar w:fldCharType="end"/>
        </w:r>
      </w:p>
    </w:sdtContent>
  </w:sdt>
  <w:p w14:paraId="31B0614D" w14:textId="77777777" w:rsidR="003871CE" w:rsidRDefault="003871CE" w:rsidP="0023198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E857C" w14:textId="7B1484B8" w:rsidR="003871CE" w:rsidRDefault="003871CE" w:rsidP="002A0C68">
    <w:pPr>
      <w:pStyle w:val="Rodap"/>
      <w:tabs>
        <w:tab w:val="clear" w:pos="4252"/>
        <w:tab w:val="clear" w:pos="8504"/>
        <w:tab w:val="left" w:pos="531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74557624"/>
      <w:docPartObj>
        <w:docPartGallery w:val="Page Numbers (Bottom of Page)"/>
        <w:docPartUnique/>
      </w:docPartObj>
    </w:sdtPr>
    <w:sdtEndPr>
      <w:rPr>
        <w:rStyle w:val="Nmerodepgina"/>
      </w:rPr>
    </w:sdtEndPr>
    <w:sdtContent>
      <w:p w14:paraId="59EE05E7" w14:textId="12BEC4CB" w:rsidR="00E872BA" w:rsidRDefault="00E872BA" w:rsidP="002A0C68">
        <w:pPr>
          <w:pStyle w:val="Rodap"/>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B4E8C">
          <w:rPr>
            <w:rStyle w:val="Nmerodepgina"/>
            <w:noProof/>
          </w:rPr>
          <w:t>14</w:t>
        </w:r>
        <w:r>
          <w:rPr>
            <w:rStyle w:val="Nmerodepgina"/>
          </w:rPr>
          <w:fldChar w:fldCharType="end"/>
        </w:r>
      </w:p>
    </w:sdtContent>
  </w:sdt>
  <w:p w14:paraId="7D20446D" w14:textId="77777777" w:rsidR="00E872BA" w:rsidRDefault="00E872BA" w:rsidP="00E872B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5A61E" w14:textId="77777777" w:rsidR="004B7AFE" w:rsidRDefault="004B7AFE" w:rsidP="007773B0">
      <w:r>
        <w:separator/>
      </w:r>
    </w:p>
  </w:footnote>
  <w:footnote w:type="continuationSeparator" w:id="0">
    <w:p w14:paraId="5907511C" w14:textId="77777777" w:rsidR="004B7AFE" w:rsidRDefault="004B7AFE" w:rsidP="007773B0">
      <w:r>
        <w:continuationSeparator/>
      </w:r>
    </w:p>
  </w:footnote>
  <w:footnote w:type="continuationNotice" w:id="1">
    <w:p w14:paraId="37C29509" w14:textId="77777777" w:rsidR="004B7AFE" w:rsidRDefault="004B7A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84288"/>
    <w:multiLevelType w:val="multilevel"/>
    <w:tmpl w:val="2D94049A"/>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 w15:restartNumberingAfterBreak="0">
    <w:nsid w:val="24784CDA"/>
    <w:multiLevelType w:val="multilevel"/>
    <w:tmpl w:val="FBE2BF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A3C754B"/>
    <w:multiLevelType w:val="multilevel"/>
    <w:tmpl w:val="0C78BBE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5E4354B"/>
    <w:multiLevelType w:val="multilevel"/>
    <w:tmpl w:val="423A3F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9A244D0"/>
    <w:multiLevelType w:val="multilevel"/>
    <w:tmpl w:val="3EDAA636"/>
    <w:lvl w:ilvl="0">
      <w:start w:val="5"/>
      <w:numFmt w:val="decimal"/>
      <w:lvlText w:val="%1"/>
      <w:lvlJc w:val="left"/>
      <w:pPr>
        <w:ind w:left="360" w:hanging="360"/>
      </w:pPr>
      <w:rPr>
        <w:rFonts w:ascii="Garamond" w:hAnsi="Garamond" w:hint="default"/>
        <w:b/>
        <w:sz w:val="28"/>
      </w:rPr>
    </w:lvl>
    <w:lvl w:ilvl="1">
      <w:start w:val="1"/>
      <w:numFmt w:val="decimal"/>
      <w:lvlText w:val="%1.%2"/>
      <w:lvlJc w:val="left"/>
      <w:pPr>
        <w:ind w:left="1080" w:hanging="720"/>
      </w:pPr>
      <w:rPr>
        <w:rFonts w:ascii="Garamond" w:hAnsi="Garamond" w:hint="default"/>
        <w:b/>
        <w:sz w:val="28"/>
      </w:rPr>
    </w:lvl>
    <w:lvl w:ilvl="2">
      <w:start w:val="1"/>
      <w:numFmt w:val="decimal"/>
      <w:lvlText w:val="%1.%2.%3"/>
      <w:lvlJc w:val="left"/>
      <w:pPr>
        <w:ind w:left="1440" w:hanging="720"/>
      </w:pPr>
      <w:rPr>
        <w:rFonts w:ascii="Garamond" w:hAnsi="Garamond" w:hint="default"/>
        <w:b/>
        <w:sz w:val="28"/>
      </w:rPr>
    </w:lvl>
    <w:lvl w:ilvl="3">
      <w:start w:val="1"/>
      <w:numFmt w:val="decimal"/>
      <w:lvlText w:val="%1.%2.%3.%4"/>
      <w:lvlJc w:val="left"/>
      <w:pPr>
        <w:ind w:left="2160" w:hanging="1080"/>
      </w:pPr>
      <w:rPr>
        <w:rFonts w:ascii="Garamond" w:hAnsi="Garamond" w:hint="default"/>
        <w:b/>
        <w:sz w:val="28"/>
      </w:rPr>
    </w:lvl>
    <w:lvl w:ilvl="4">
      <w:start w:val="1"/>
      <w:numFmt w:val="decimal"/>
      <w:lvlText w:val="%1.%2.%3.%4.%5"/>
      <w:lvlJc w:val="left"/>
      <w:pPr>
        <w:ind w:left="2880" w:hanging="1440"/>
      </w:pPr>
      <w:rPr>
        <w:rFonts w:ascii="Garamond" w:hAnsi="Garamond" w:hint="default"/>
        <w:b/>
        <w:sz w:val="28"/>
      </w:rPr>
    </w:lvl>
    <w:lvl w:ilvl="5">
      <w:start w:val="1"/>
      <w:numFmt w:val="decimal"/>
      <w:lvlText w:val="%1.%2.%3.%4.%5.%6"/>
      <w:lvlJc w:val="left"/>
      <w:pPr>
        <w:ind w:left="3240" w:hanging="1440"/>
      </w:pPr>
      <w:rPr>
        <w:rFonts w:ascii="Garamond" w:hAnsi="Garamond" w:hint="default"/>
        <w:b/>
        <w:sz w:val="28"/>
      </w:rPr>
    </w:lvl>
    <w:lvl w:ilvl="6">
      <w:start w:val="1"/>
      <w:numFmt w:val="decimal"/>
      <w:lvlText w:val="%1.%2.%3.%4.%5.%6.%7"/>
      <w:lvlJc w:val="left"/>
      <w:pPr>
        <w:ind w:left="3960" w:hanging="1800"/>
      </w:pPr>
      <w:rPr>
        <w:rFonts w:ascii="Garamond" w:hAnsi="Garamond" w:hint="default"/>
        <w:b/>
        <w:sz w:val="28"/>
      </w:rPr>
    </w:lvl>
    <w:lvl w:ilvl="7">
      <w:start w:val="1"/>
      <w:numFmt w:val="decimal"/>
      <w:lvlText w:val="%1.%2.%3.%4.%5.%6.%7.%8"/>
      <w:lvlJc w:val="left"/>
      <w:pPr>
        <w:ind w:left="4680" w:hanging="2160"/>
      </w:pPr>
      <w:rPr>
        <w:rFonts w:ascii="Garamond" w:hAnsi="Garamond" w:hint="default"/>
        <w:b/>
        <w:sz w:val="28"/>
      </w:rPr>
    </w:lvl>
    <w:lvl w:ilvl="8">
      <w:start w:val="1"/>
      <w:numFmt w:val="decimal"/>
      <w:lvlText w:val="%1.%2.%3.%4.%5.%6.%7.%8.%9"/>
      <w:lvlJc w:val="left"/>
      <w:pPr>
        <w:ind w:left="5040" w:hanging="2160"/>
      </w:pPr>
      <w:rPr>
        <w:rFonts w:ascii="Garamond" w:hAnsi="Garamond" w:hint="default"/>
        <w:b/>
        <w:sz w:val="28"/>
      </w:rPr>
    </w:lvl>
  </w:abstractNum>
  <w:abstractNum w:abstractNumId="5" w15:restartNumberingAfterBreak="0">
    <w:nsid w:val="418553AB"/>
    <w:multiLevelType w:val="multilevel"/>
    <w:tmpl w:val="307A365A"/>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44BB01DA"/>
    <w:multiLevelType w:val="hybridMultilevel"/>
    <w:tmpl w:val="B82CFE5A"/>
    <w:lvl w:ilvl="0" w:tplc="0816000F">
      <w:start w:val="5"/>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48FC3589"/>
    <w:multiLevelType w:val="multilevel"/>
    <w:tmpl w:val="A90A61AC"/>
    <w:lvl w:ilvl="0">
      <w:start w:val="4"/>
      <w:numFmt w:val="decimal"/>
      <w:lvlText w:val="%1."/>
      <w:lvlJc w:val="left"/>
      <w:pPr>
        <w:ind w:left="720" w:hanging="360"/>
      </w:pPr>
      <w:rPr>
        <w:rFonts w:hint="default"/>
      </w:rPr>
    </w:lvl>
    <w:lvl w:ilvl="1">
      <w:start w:val="3"/>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8" w15:restartNumberingAfterBreak="0">
    <w:nsid w:val="4A7708FE"/>
    <w:multiLevelType w:val="hybridMultilevel"/>
    <w:tmpl w:val="4AA03996"/>
    <w:lvl w:ilvl="0" w:tplc="0816000F">
      <w:start w:val="1"/>
      <w:numFmt w:val="decimal"/>
      <w:lvlText w:val="%1."/>
      <w:lvlJc w:val="left"/>
      <w:pPr>
        <w:ind w:left="1428" w:hanging="360"/>
      </w:pPr>
    </w:lvl>
    <w:lvl w:ilvl="1" w:tplc="08160019" w:tentative="1">
      <w:start w:val="1"/>
      <w:numFmt w:val="lowerLetter"/>
      <w:lvlText w:val="%2."/>
      <w:lvlJc w:val="left"/>
      <w:pPr>
        <w:ind w:left="2148" w:hanging="360"/>
      </w:pPr>
    </w:lvl>
    <w:lvl w:ilvl="2" w:tplc="0816001B" w:tentative="1">
      <w:start w:val="1"/>
      <w:numFmt w:val="lowerRoman"/>
      <w:lvlText w:val="%3."/>
      <w:lvlJc w:val="right"/>
      <w:pPr>
        <w:ind w:left="2868" w:hanging="180"/>
      </w:pPr>
    </w:lvl>
    <w:lvl w:ilvl="3" w:tplc="0816000F" w:tentative="1">
      <w:start w:val="1"/>
      <w:numFmt w:val="decimal"/>
      <w:lvlText w:val="%4."/>
      <w:lvlJc w:val="left"/>
      <w:pPr>
        <w:ind w:left="3588" w:hanging="360"/>
      </w:pPr>
    </w:lvl>
    <w:lvl w:ilvl="4" w:tplc="08160019" w:tentative="1">
      <w:start w:val="1"/>
      <w:numFmt w:val="lowerLetter"/>
      <w:lvlText w:val="%5."/>
      <w:lvlJc w:val="left"/>
      <w:pPr>
        <w:ind w:left="4308" w:hanging="360"/>
      </w:pPr>
    </w:lvl>
    <w:lvl w:ilvl="5" w:tplc="0816001B" w:tentative="1">
      <w:start w:val="1"/>
      <w:numFmt w:val="lowerRoman"/>
      <w:lvlText w:val="%6."/>
      <w:lvlJc w:val="right"/>
      <w:pPr>
        <w:ind w:left="5028" w:hanging="180"/>
      </w:pPr>
    </w:lvl>
    <w:lvl w:ilvl="6" w:tplc="0816000F" w:tentative="1">
      <w:start w:val="1"/>
      <w:numFmt w:val="decimal"/>
      <w:lvlText w:val="%7."/>
      <w:lvlJc w:val="left"/>
      <w:pPr>
        <w:ind w:left="5748" w:hanging="360"/>
      </w:pPr>
    </w:lvl>
    <w:lvl w:ilvl="7" w:tplc="08160019" w:tentative="1">
      <w:start w:val="1"/>
      <w:numFmt w:val="lowerLetter"/>
      <w:lvlText w:val="%8."/>
      <w:lvlJc w:val="left"/>
      <w:pPr>
        <w:ind w:left="6468" w:hanging="360"/>
      </w:pPr>
    </w:lvl>
    <w:lvl w:ilvl="8" w:tplc="0816001B" w:tentative="1">
      <w:start w:val="1"/>
      <w:numFmt w:val="lowerRoman"/>
      <w:lvlText w:val="%9."/>
      <w:lvlJc w:val="right"/>
      <w:pPr>
        <w:ind w:left="7188" w:hanging="180"/>
      </w:pPr>
    </w:lvl>
  </w:abstractNum>
  <w:abstractNum w:abstractNumId="9" w15:restartNumberingAfterBreak="0">
    <w:nsid w:val="4A9A28C2"/>
    <w:multiLevelType w:val="multilevel"/>
    <w:tmpl w:val="D6E6F15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2787E7B"/>
    <w:multiLevelType w:val="hybridMultilevel"/>
    <w:tmpl w:val="35AEDD4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54323A03"/>
    <w:multiLevelType w:val="multilevel"/>
    <w:tmpl w:val="9522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E744C7"/>
    <w:multiLevelType w:val="multilevel"/>
    <w:tmpl w:val="DCD2E836"/>
    <w:lvl w:ilvl="0">
      <w:start w:val="1"/>
      <w:numFmt w:val="decimal"/>
      <w:lvlText w:val="%1."/>
      <w:lvlJc w:val="left"/>
      <w:pPr>
        <w:ind w:left="720" w:hanging="360"/>
      </w:pPr>
      <w:rPr>
        <w:rFonts w:ascii="Garamond" w:hAnsi="Garamond" w:hint="default"/>
        <w:b/>
        <w:bCs/>
        <w:color w:val="000000" w:themeColor="text1"/>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56431061"/>
    <w:multiLevelType w:val="multilevel"/>
    <w:tmpl w:val="0E620354"/>
    <w:lvl w:ilvl="0">
      <w:start w:val="6"/>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58341801"/>
    <w:multiLevelType w:val="hybridMultilevel"/>
    <w:tmpl w:val="80943E32"/>
    <w:lvl w:ilvl="0" w:tplc="B652E3D2">
      <w:start w:val="5"/>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5AF821C7"/>
    <w:multiLevelType w:val="hybridMultilevel"/>
    <w:tmpl w:val="F614E0B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64317301"/>
    <w:multiLevelType w:val="multilevel"/>
    <w:tmpl w:val="2884CFD4"/>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color w:val="000000" w:themeColor="text1"/>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67520391"/>
    <w:multiLevelType w:val="multilevel"/>
    <w:tmpl w:val="88B052EE"/>
    <w:lvl w:ilvl="0">
      <w:start w:val="4"/>
      <w:numFmt w:val="decimal"/>
      <w:lvlText w:val="%1."/>
      <w:lvlJc w:val="left"/>
      <w:pPr>
        <w:ind w:left="720" w:hanging="360"/>
      </w:pPr>
      <w:rPr>
        <w:rFonts w:ascii="Garamond" w:hAnsi="Garamond" w:hint="default"/>
        <w:b/>
        <w:bCs/>
        <w:color w:val="000000" w:themeColor="text1"/>
      </w:rPr>
    </w:lvl>
    <w:lvl w:ilvl="1">
      <w:start w:val="3"/>
      <w:numFmt w:val="decimal"/>
      <w:isLgl/>
      <w:lvlText w:val="%1.%2"/>
      <w:lvlJc w:val="left"/>
      <w:pPr>
        <w:ind w:left="1134" w:hanging="600"/>
      </w:pPr>
      <w:rPr>
        <w:rFonts w:ascii="Garamond" w:hAnsi="Garamond" w:hint="default"/>
        <w:b/>
        <w:bCs/>
        <w:color w:val="000000" w:themeColor="text1"/>
        <w:sz w:val="28"/>
        <w:szCs w:val="28"/>
      </w:rPr>
    </w:lvl>
    <w:lvl w:ilvl="2">
      <w:start w:val="1"/>
      <w:numFmt w:val="decimal"/>
      <w:isLgl/>
      <w:lvlText w:val="%1.%2.%3"/>
      <w:lvlJc w:val="left"/>
      <w:pPr>
        <w:ind w:left="1428" w:hanging="720"/>
      </w:pPr>
      <w:rPr>
        <w:rFonts w:ascii="Garamond" w:hAnsi="Garamond" w:hint="default"/>
        <w:b/>
        <w:bCs/>
        <w:sz w:val="28"/>
        <w:szCs w:val="28"/>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18" w15:restartNumberingAfterBreak="0">
    <w:nsid w:val="6B206745"/>
    <w:multiLevelType w:val="multilevel"/>
    <w:tmpl w:val="3EDAA636"/>
    <w:lvl w:ilvl="0">
      <w:start w:val="5"/>
      <w:numFmt w:val="decimal"/>
      <w:lvlText w:val="%1"/>
      <w:lvlJc w:val="left"/>
      <w:pPr>
        <w:ind w:left="360" w:hanging="360"/>
      </w:pPr>
      <w:rPr>
        <w:rFonts w:ascii="Garamond" w:hAnsi="Garamond" w:hint="default"/>
        <w:b/>
        <w:sz w:val="28"/>
      </w:rPr>
    </w:lvl>
    <w:lvl w:ilvl="1">
      <w:start w:val="1"/>
      <w:numFmt w:val="decimal"/>
      <w:lvlText w:val="%1.%2"/>
      <w:lvlJc w:val="left"/>
      <w:pPr>
        <w:ind w:left="1080" w:hanging="720"/>
      </w:pPr>
      <w:rPr>
        <w:rFonts w:ascii="Garamond" w:hAnsi="Garamond" w:hint="default"/>
        <w:b/>
        <w:sz w:val="28"/>
      </w:rPr>
    </w:lvl>
    <w:lvl w:ilvl="2">
      <w:start w:val="1"/>
      <w:numFmt w:val="decimal"/>
      <w:lvlText w:val="%1.%2.%3"/>
      <w:lvlJc w:val="left"/>
      <w:pPr>
        <w:ind w:left="1440" w:hanging="720"/>
      </w:pPr>
      <w:rPr>
        <w:rFonts w:ascii="Garamond" w:hAnsi="Garamond" w:hint="default"/>
        <w:b/>
        <w:sz w:val="28"/>
      </w:rPr>
    </w:lvl>
    <w:lvl w:ilvl="3">
      <w:start w:val="1"/>
      <w:numFmt w:val="decimal"/>
      <w:lvlText w:val="%1.%2.%3.%4"/>
      <w:lvlJc w:val="left"/>
      <w:pPr>
        <w:ind w:left="2160" w:hanging="1080"/>
      </w:pPr>
      <w:rPr>
        <w:rFonts w:ascii="Garamond" w:hAnsi="Garamond" w:hint="default"/>
        <w:b/>
        <w:sz w:val="28"/>
      </w:rPr>
    </w:lvl>
    <w:lvl w:ilvl="4">
      <w:start w:val="1"/>
      <w:numFmt w:val="decimal"/>
      <w:lvlText w:val="%1.%2.%3.%4.%5"/>
      <w:lvlJc w:val="left"/>
      <w:pPr>
        <w:ind w:left="2880" w:hanging="1440"/>
      </w:pPr>
      <w:rPr>
        <w:rFonts w:ascii="Garamond" w:hAnsi="Garamond" w:hint="default"/>
        <w:b/>
        <w:sz w:val="28"/>
      </w:rPr>
    </w:lvl>
    <w:lvl w:ilvl="5">
      <w:start w:val="1"/>
      <w:numFmt w:val="decimal"/>
      <w:lvlText w:val="%1.%2.%3.%4.%5.%6"/>
      <w:lvlJc w:val="left"/>
      <w:pPr>
        <w:ind w:left="3240" w:hanging="1440"/>
      </w:pPr>
      <w:rPr>
        <w:rFonts w:ascii="Garamond" w:hAnsi="Garamond" w:hint="default"/>
        <w:b/>
        <w:sz w:val="28"/>
      </w:rPr>
    </w:lvl>
    <w:lvl w:ilvl="6">
      <w:start w:val="1"/>
      <w:numFmt w:val="decimal"/>
      <w:lvlText w:val="%1.%2.%3.%4.%5.%6.%7"/>
      <w:lvlJc w:val="left"/>
      <w:pPr>
        <w:ind w:left="3960" w:hanging="1800"/>
      </w:pPr>
      <w:rPr>
        <w:rFonts w:ascii="Garamond" w:hAnsi="Garamond" w:hint="default"/>
        <w:b/>
        <w:sz w:val="28"/>
      </w:rPr>
    </w:lvl>
    <w:lvl w:ilvl="7">
      <w:start w:val="1"/>
      <w:numFmt w:val="decimal"/>
      <w:lvlText w:val="%1.%2.%3.%4.%5.%6.%7.%8"/>
      <w:lvlJc w:val="left"/>
      <w:pPr>
        <w:ind w:left="4680" w:hanging="2160"/>
      </w:pPr>
      <w:rPr>
        <w:rFonts w:ascii="Garamond" w:hAnsi="Garamond" w:hint="default"/>
        <w:b/>
        <w:sz w:val="28"/>
      </w:rPr>
    </w:lvl>
    <w:lvl w:ilvl="8">
      <w:start w:val="1"/>
      <w:numFmt w:val="decimal"/>
      <w:lvlText w:val="%1.%2.%3.%4.%5.%6.%7.%8.%9"/>
      <w:lvlJc w:val="left"/>
      <w:pPr>
        <w:ind w:left="5040" w:hanging="2160"/>
      </w:pPr>
      <w:rPr>
        <w:rFonts w:ascii="Garamond" w:hAnsi="Garamond" w:hint="default"/>
        <w:b/>
        <w:sz w:val="28"/>
      </w:rPr>
    </w:lvl>
  </w:abstractNum>
  <w:abstractNum w:abstractNumId="19" w15:restartNumberingAfterBreak="0">
    <w:nsid w:val="71F931EB"/>
    <w:multiLevelType w:val="hybridMultilevel"/>
    <w:tmpl w:val="3D1CDD62"/>
    <w:lvl w:ilvl="0" w:tplc="08160001">
      <w:start w:val="1"/>
      <w:numFmt w:val="bullet"/>
      <w:lvlText w:val=""/>
      <w:lvlJc w:val="left"/>
      <w:pPr>
        <w:ind w:left="720" w:hanging="360"/>
      </w:pPr>
      <w:rPr>
        <w:rFonts w:ascii="Symbol" w:hAnsi="Symbol" w:hint="default"/>
      </w:rPr>
    </w:lvl>
    <w:lvl w:ilvl="1" w:tplc="08585914">
      <w:start w:val="5"/>
      <w:numFmt w:val="bullet"/>
      <w:lvlText w:val="•"/>
      <w:lvlJc w:val="left"/>
      <w:pPr>
        <w:ind w:left="1440" w:hanging="360"/>
      </w:pPr>
      <w:rPr>
        <w:rFonts w:ascii="Garamond" w:eastAsiaTheme="majorEastAsia" w:hAnsi="Garamond" w:cs="Times New Roman"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7388716F"/>
    <w:multiLevelType w:val="multilevel"/>
    <w:tmpl w:val="F31E5DD6"/>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7276B58"/>
    <w:multiLevelType w:val="multilevel"/>
    <w:tmpl w:val="B1D251FA"/>
    <w:lvl w:ilvl="0">
      <w:start w:val="2"/>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410931869">
    <w:abstractNumId w:val="3"/>
  </w:num>
  <w:num w:numId="2" w16cid:durableId="30572316">
    <w:abstractNumId w:val="15"/>
  </w:num>
  <w:num w:numId="3" w16cid:durableId="1128161135">
    <w:abstractNumId w:val="11"/>
  </w:num>
  <w:num w:numId="4" w16cid:durableId="957757601">
    <w:abstractNumId w:val="1"/>
  </w:num>
  <w:num w:numId="5" w16cid:durableId="1504662707">
    <w:abstractNumId w:val="5"/>
  </w:num>
  <w:num w:numId="6" w16cid:durableId="1797023108">
    <w:abstractNumId w:val="9"/>
  </w:num>
  <w:num w:numId="7" w16cid:durableId="111940913">
    <w:abstractNumId w:val="2"/>
  </w:num>
  <w:num w:numId="8" w16cid:durableId="952632976">
    <w:abstractNumId w:val="21"/>
  </w:num>
  <w:num w:numId="9" w16cid:durableId="881865530">
    <w:abstractNumId w:val="17"/>
  </w:num>
  <w:num w:numId="10" w16cid:durableId="491408016">
    <w:abstractNumId w:val="6"/>
  </w:num>
  <w:num w:numId="11" w16cid:durableId="685597634">
    <w:abstractNumId w:val="8"/>
  </w:num>
  <w:num w:numId="12" w16cid:durableId="1604268494">
    <w:abstractNumId w:val="16"/>
  </w:num>
  <w:num w:numId="13" w16cid:durableId="1562405822">
    <w:abstractNumId w:val="18"/>
  </w:num>
  <w:num w:numId="14" w16cid:durableId="1672484559">
    <w:abstractNumId w:val="4"/>
  </w:num>
  <w:num w:numId="15" w16cid:durableId="515460286">
    <w:abstractNumId w:val="7"/>
  </w:num>
  <w:num w:numId="16" w16cid:durableId="1218082214">
    <w:abstractNumId w:val="14"/>
  </w:num>
  <w:num w:numId="17" w16cid:durableId="906308364">
    <w:abstractNumId w:val="0"/>
  </w:num>
  <w:num w:numId="18" w16cid:durableId="216472593">
    <w:abstractNumId w:val="12"/>
  </w:num>
  <w:num w:numId="19" w16cid:durableId="1185245105">
    <w:abstractNumId w:val="10"/>
  </w:num>
  <w:num w:numId="20" w16cid:durableId="2142263523">
    <w:abstractNumId w:val="20"/>
  </w:num>
  <w:num w:numId="21" w16cid:durableId="1672757935">
    <w:abstractNumId w:val="19"/>
  </w:num>
  <w:num w:numId="22" w16cid:durableId="19737065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Garamond&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2z5xfr9jx5dwcef50b5eedwwwr9x5pperdz&quot;&gt;My EndNote Library&lt;record-ids&gt;&lt;item&gt;8&lt;/item&gt;&lt;item&gt;11&lt;/item&gt;&lt;item&gt;12&lt;/item&gt;&lt;item&gt;29&lt;/item&gt;&lt;item&gt;30&lt;/item&gt;&lt;item&gt;32&lt;/item&gt;&lt;item&gt;41&lt;/item&gt;&lt;item&gt;42&lt;/item&gt;&lt;item&gt;43&lt;/item&gt;&lt;item&gt;44&lt;/item&gt;&lt;item&gt;46&lt;/item&gt;&lt;item&gt;48&lt;/item&gt;&lt;item&gt;51&lt;/item&gt;&lt;item&gt;52&lt;/item&gt;&lt;item&gt;54&lt;/item&gt;&lt;item&gt;55&lt;/item&gt;&lt;item&gt;56&lt;/item&gt;&lt;item&gt;57&lt;/item&gt;&lt;item&gt;58&lt;/item&gt;&lt;item&gt;59&lt;/item&gt;&lt;item&gt;60&lt;/item&gt;&lt;item&gt;61&lt;/item&gt;&lt;item&gt;62&lt;/item&gt;&lt;item&gt;63&lt;/item&gt;&lt;item&gt;65&lt;/item&gt;&lt;item&gt;66&lt;/item&gt;&lt;item&gt;67&lt;/item&gt;&lt;item&gt;68&lt;/item&gt;&lt;item&gt;69&lt;/item&gt;&lt;item&gt;72&lt;/item&gt;&lt;item&gt;73&lt;/item&gt;&lt;item&gt;74&lt;/item&gt;&lt;item&gt;77&lt;/item&gt;&lt;item&gt;78&lt;/item&gt;&lt;item&gt;79&lt;/item&gt;&lt;item&gt;80&lt;/item&gt;&lt;item&gt;82&lt;/item&gt;&lt;item&gt;83&lt;/item&gt;&lt;item&gt;84&lt;/item&gt;&lt;item&gt;85&lt;/item&gt;&lt;item&gt;86&lt;/item&gt;&lt;item&gt;87&lt;/item&gt;&lt;item&gt;88&lt;/item&gt;&lt;item&gt;89&lt;/item&gt;&lt;item&gt;91&lt;/item&gt;&lt;item&gt;92&lt;/item&gt;&lt;item&gt;93&lt;/item&gt;&lt;/record-ids&gt;&lt;/item&gt;&lt;/Libraries&gt;"/>
    <w:docVar w:name="EN.UseJSCitationFormat" w:val="True"/>
  </w:docVars>
  <w:rsids>
    <w:rsidRoot w:val="00206348"/>
    <w:rsid w:val="000014BB"/>
    <w:rsid w:val="00003300"/>
    <w:rsid w:val="000052CD"/>
    <w:rsid w:val="00005754"/>
    <w:rsid w:val="00006490"/>
    <w:rsid w:val="0000776F"/>
    <w:rsid w:val="00007918"/>
    <w:rsid w:val="000104F1"/>
    <w:rsid w:val="000114EE"/>
    <w:rsid w:val="000115C3"/>
    <w:rsid w:val="00020665"/>
    <w:rsid w:val="0002313D"/>
    <w:rsid w:val="000235CC"/>
    <w:rsid w:val="000237F0"/>
    <w:rsid w:val="00024D29"/>
    <w:rsid w:val="00027874"/>
    <w:rsid w:val="000308F3"/>
    <w:rsid w:val="00031304"/>
    <w:rsid w:val="00031CC3"/>
    <w:rsid w:val="0003268C"/>
    <w:rsid w:val="00032714"/>
    <w:rsid w:val="00032DE4"/>
    <w:rsid w:val="000336CA"/>
    <w:rsid w:val="00033A57"/>
    <w:rsid w:val="000345AD"/>
    <w:rsid w:val="00035A05"/>
    <w:rsid w:val="00036F56"/>
    <w:rsid w:val="00037A86"/>
    <w:rsid w:val="00040860"/>
    <w:rsid w:val="000420E2"/>
    <w:rsid w:val="00043877"/>
    <w:rsid w:val="00045004"/>
    <w:rsid w:val="0004534A"/>
    <w:rsid w:val="00045E61"/>
    <w:rsid w:val="00050D90"/>
    <w:rsid w:val="00051985"/>
    <w:rsid w:val="00053406"/>
    <w:rsid w:val="00055167"/>
    <w:rsid w:val="00055AAC"/>
    <w:rsid w:val="0005625F"/>
    <w:rsid w:val="000570C8"/>
    <w:rsid w:val="000579F9"/>
    <w:rsid w:val="000618A5"/>
    <w:rsid w:val="00063952"/>
    <w:rsid w:val="00064A1A"/>
    <w:rsid w:val="00064DD1"/>
    <w:rsid w:val="00065118"/>
    <w:rsid w:val="00066393"/>
    <w:rsid w:val="00067DCC"/>
    <w:rsid w:val="000700F5"/>
    <w:rsid w:val="000717AB"/>
    <w:rsid w:val="000726E6"/>
    <w:rsid w:val="00073A8F"/>
    <w:rsid w:val="0007543D"/>
    <w:rsid w:val="00075ADD"/>
    <w:rsid w:val="00075DA3"/>
    <w:rsid w:val="000764A3"/>
    <w:rsid w:val="00076B0E"/>
    <w:rsid w:val="00077CA8"/>
    <w:rsid w:val="00077E56"/>
    <w:rsid w:val="0008021B"/>
    <w:rsid w:val="00080C26"/>
    <w:rsid w:val="00080C2C"/>
    <w:rsid w:val="00081CCF"/>
    <w:rsid w:val="00082AB0"/>
    <w:rsid w:val="00083A08"/>
    <w:rsid w:val="00083EEE"/>
    <w:rsid w:val="00084F65"/>
    <w:rsid w:val="000858DD"/>
    <w:rsid w:val="00085E90"/>
    <w:rsid w:val="000870F8"/>
    <w:rsid w:val="000870FA"/>
    <w:rsid w:val="000901C0"/>
    <w:rsid w:val="00091D51"/>
    <w:rsid w:val="00093799"/>
    <w:rsid w:val="000941E4"/>
    <w:rsid w:val="000952FF"/>
    <w:rsid w:val="000A133C"/>
    <w:rsid w:val="000A2111"/>
    <w:rsid w:val="000A2FDA"/>
    <w:rsid w:val="000A3A95"/>
    <w:rsid w:val="000A3CEA"/>
    <w:rsid w:val="000A6D3C"/>
    <w:rsid w:val="000B0939"/>
    <w:rsid w:val="000B212C"/>
    <w:rsid w:val="000B2F5E"/>
    <w:rsid w:val="000B63FD"/>
    <w:rsid w:val="000B69BE"/>
    <w:rsid w:val="000C15E9"/>
    <w:rsid w:val="000C22DF"/>
    <w:rsid w:val="000C2393"/>
    <w:rsid w:val="000C23D0"/>
    <w:rsid w:val="000C334C"/>
    <w:rsid w:val="000C4682"/>
    <w:rsid w:val="000C5AD9"/>
    <w:rsid w:val="000C6C03"/>
    <w:rsid w:val="000C7393"/>
    <w:rsid w:val="000C7B13"/>
    <w:rsid w:val="000D032B"/>
    <w:rsid w:val="000D03BF"/>
    <w:rsid w:val="000D070B"/>
    <w:rsid w:val="000D122E"/>
    <w:rsid w:val="000D13A7"/>
    <w:rsid w:val="000D158C"/>
    <w:rsid w:val="000D4745"/>
    <w:rsid w:val="000D4B2F"/>
    <w:rsid w:val="000D5506"/>
    <w:rsid w:val="000D70BD"/>
    <w:rsid w:val="000D76DE"/>
    <w:rsid w:val="000E16BB"/>
    <w:rsid w:val="000E2A71"/>
    <w:rsid w:val="000E31FD"/>
    <w:rsid w:val="000E445A"/>
    <w:rsid w:val="000E4467"/>
    <w:rsid w:val="000E4E5D"/>
    <w:rsid w:val="000E5B77"/>
    <w:rsid w:val="000E693A"/>
    <w:rsid w:val="000F0045"/>
    <w:rsid w:val="000F0632"/>
    <w:rsid w:val="000F296A"/>
    <w:rsid w:val="000F2B89"/>
    <w:rsid w:val="000F3B61"/>
    <w:rsid w:val="000F41BF"/>
    <w:rsid w:val="00101643"/>
    <w:rsid w:val="00102C70"/>
    <w:rsid w:val="0010363D"/>
    <w:rsid w:val="00103C31"/>
    <w:rsid w:val="0010412D"/>
    <w:rsid w:val="00104538"/>
    <w:rsid w:val="00104B58"/>
    <w:rsid w:val="001060AB"/>
    <w:rsid w:val="00106327"/>
    <w:rsid w:val="00106523"/>
    <w:rsid w:val="00107A48"/>
    <w:rsid w:val="0011448C"/>
    <w:rsid w:val="00114C40"/>
    <w:rsid w:val="00115D12"/>
    <w:rsid w:val="00120345"/>
    <w:rsid w:val="001209FB"/>
    <w:rsid w:val="00120D9D"/>
    <w:rsid w:val="0012275C"/>
    <w:rsid w:val="001227A9"/>
    <w:rsid w:val="00125A37"/>
    <w:rsid w:val="00126462"/>
    <w:rsid w:val="001268AE"/>
    <w:rsid w:val="00126ABA"/>
    <w:rsid w:val="001275F1"/>
    <w:rsid w:val="0012766A"/>
    <w:rsid w:val="0012770E"/>
    <w:rsid w:val="00131D44"/>
    <w:rsid w:val="001330B7"/>
    <w:rsid w:val="001336C4"/>
    <w:rsid w:val="00133D08"/>
    <w:rsid w:val="00133DD9"/>
    <w:rsid w:val="00135314"/>
    <w:rsid w:val="00136654"/>
    <w:rsid w:val="00136CA9"/>
    <w:rsid w:val="00140F17"/>
    <w:rsid w:val="0014132A"/>
    <w:rsid w:val="0014246E"/>
    <w:rsid w:val="0014283E"/>
    <w:rsid w:val="00142C27"/>
    <w:rsid w:val="00142F7D"/>
    <w:rsid w:val="00144D92"/>
    <w:rsid w:val="00145C2F"/>
    <w:rsid w:val="00145E46"/>
    <w:rsid w:val="0014795B"/>
    <w:rsid w:val="00147FA9"/>
    <w:rsid w:val="00150349"/>
    <w:rsid w:val="00154736"/>
    <w:rsid w:val="00154825"/>
    <w:rsid w:val="00154D53"/>
    <w:rsid w:val="00154FCC"/>
    <w:rsid w:val="00155069"/>
    <w:rsid w:val="0015517D"/>
    <w:rsid w:val="00157C33"/>
    <w:rsid w:val="00160832"/>
    <w:rsid w:val="00161E23"/>
    <w:rsid w:val="00162B0D"/>
    <w:rsid w:val="00163716"/>
    <w:rsid w:val="00163979"/>
    <w:rsid w:val="00165D65"/>
    <w:rsid w:val="001672B7"/>
    <w:rsid w:val="00170A20"/>
    <w:rsid w:val="00171DE2"/>
    <w:rsid w:val="001724BF"/>
    <w:rsid w:val="0017262C"/>
    <w:rsid w:val="001745EA"/>
    <w:rsid w:val="001779B1"/>
    <w:rsid w:val="00177C17"/>
    <w:rsid w:val="00177CDC"/>
    <w:rsid w:val="0018281E"/>
    <w:rsid w:val="001873DC"/>
    <w:rsid w:val="001879D1"/>
    <w:rsid w:val="001903A3"/>
    <w:rsid w:val="001920B7"/>
    <w:rsid w:val="001965FA"/>
    <w:rsid w:val="00196CBB"/>
    <w:rsid w:val="001A029F"/>
    <w:rsid w:val="001A2480"/>
    <w:rsid w:val="001A3C30"/>
    <w:rsid w:val="001A490E"/>
    <w:rsid w:val="001A4C39"/>
    <w:rsid w:val="001A6301"/>
    <w:rsid w:val="001A6E8D"/>
    <w:rsid w:val="001B00D4"/>
    <w:rsid w:val="001B1041"/>
    <w:rsid w:val="001B208A"/>
    <w:rsid w:val="001B2224"/>
    <w:rsid w:val="001B2903"/>
    <w:rsid w:val="001B339E"/>
    <w:rsid w:val="001B41C9"/>
    <w:rsid w:val="001B58A4"/>
    <w:rsid w:val="001B730D"/>
    <w:rsid w:val="001B74A4"/>
    <w:rsid w:val="001B777D"/>
    <w:rsid w:val="001C00ED"/>
    <w:rsid w:val="001C0806"/>
    <w:rsid w:val="001C0C1D"/>
    <w:rsid w:val="001C1691"/>
    <w:rsid w:val="001C4AA6"/>
    <w:rsid w:val="001C4F75"/>
    <w:rsid w:val="001C59C1"/>
    <w:rsid w:val="001C7019"/>
    <w:rsid w:val="001C7282"/>
    <w:rsid w:val="001D2D6C"/>
    <w:rsid w:val="001D3B43"/>
    <w:rsid w:val="001D5D2E"/>
    <w:rsid w:val="001D60F4"/>
    <w:rsid w:val="001D6B01"/>
    <w:rsid w:val="001D7391"/>
    <w:rsid w:val="001E1535"/>
    <w:rsid w:val="001E1934"/>
    <w:rsid w:val="001E4437"/>
    <w:rsid w:val="001E618B"/>
    <w:rsid w:val="001E6E68"/>
    <w:rsid w:val="001E7AEE"/>
    <w:rsid w:val="001F226F"/>
    <w:rsid w:val="001F4EBE"/>
    <w:rsid w:val="001F4FF2"/>
    <w:rsid w:val="001F5FB0"/>
    <w:rsid w:val="001F6248"/>
    <w:rsid w:val="001F6292"/>
    <w:rsid w:val="001F79C1"/>
    <w:rsid w:val="00201DD8"/>
    <w:rsid w:val="0020251E"/>
    <w:rsid w:val="00204F62"/>
    <w:rsid w:val="00205173"/>
    <w:rsid w:val="00206348"/>
    <w:rsid w:val="00206AF2"/>
    <w:rsid w:val="00207C4B"/>
    <w:rsid w:val="00215EC6"/>
    <w:rsid w:val="00216875"/>
    <w:rsid w:val="00217978"/>
    <w:rsid w:val="00217F33"/>
    <w:rsid w:val="00221F91"/>
    <w:rsid w:val="00222A3B"/>
    <w:rsid w:val="002233FB"/>
    <w:rsid w:val="00223714"/>
    <w:rsid w:val="00225DC9"/>
    <w:rsid w:val="00226361"/>
    <w:rsid w:val="00230AB9"/>
    <w:rsid w:val="00230FA3"/>
    <w:rsid w:val="00230FFE"/>
    <w:rsid w:val="002313B9"/>
    <w:rsid w:val="0023198B"/>
    <w:rsid w:val="0023227E"/>
    <w:rsid w:val="00232424"/>
    <w:rsid w:val="00232556"/>
    <w:rsid w:val="002327FA"/>
    <w:rsid w:val="00233EA7"/>
    <w:rsid w:val="0023645A"/>
    <w:rsid w:val="002400F1"/>
    <w:rsid w:val="00240253"/>
    <w:rsid w:val="002419AD"/>
    <w:rsid w:val="00241F8B"/>
    <w:rsid w:val="00243C0E"/>
    <w:rsid w:val="00243DCF"/>
    <w:rsid w:val="002464C0"/>
    <w:rsid w:val="002467A8"/>
    <w:rsid w:val="00251540"/>
    <w:rsid w:val="00254774"/>
    <w:rsid w:val="00257701"/>
    <w:rsid w:val="00260CA2"/>
    <w:rsid w:val="0026209E"/>
    <w:rsid w:val="00264173"/>
    <w:rsid w:val="00264411"/>
    <w:rsid w:val="002706FE"/>
    <w:rsid w:val="00270FF2"/>
    <w:rsid w:val="002727B7"/>
    <w:rsid w:val="00273B5D"/>
    <w:rsid w:val="00274C9F"/>
    <w:rsid w:val="00274F31"/>
    <w:rsid w:val="002767A0"/>
    <w:rsid w:val="00277677"/>
    <w:rsid w:val="0028218A"/>
    <w:rsid w:val="002849CB"/>
    <w:rsid w:val="002854DB"/>
    <w:rsid w:val="0028578E"/>
    <w:rsid w:val="00291316"/>
    <w:rsid w:val="002918CA"/>
    <w:rsid w:val="00291B91"/>
    <w:rsid w:val="00292165"/>
    <w:rsid w:val="00293F74"/>
    <w:rsid w:val="00296ED7"/>
    <w:rsid w:val="002A0137"/>
    <w:rsid w:val="002A0629"/>
    <w:rsid w:val="002A0874"/>
    <w:rsid w:val="002A0C68"/>
    <w:rsid w:val="002A107E"/>
    <w:rsid w:val="002A27BD"/>
    <w:rsid w:val="002A3994"/>
    <w:rsid w:val="002A3F71"/>
    <w:rsid w:val="002A4466"/>
    <w:rsid w:val="002A4AF5"/>
    <w:rsid w:val="002A7E87"/>
    <w:rsid w:val="002A7F7C"/>
    <w:rsid w:val="002B2421"/>
    <w:rsid w:val="002B2FC0"/>
    <w:rsid w:val="002B52D0"/>
    <w:rsid w:val="002C014D"/>
    <w:rsid w:val="002C028D"/>
    <w:rsid w:val="002C0B9A"/>
    <w:rsid w:val="002C2EB4"/>
    <w:rsid w:val="002C3C8B"/>
    <w:rsid w:val="002C5D15"/>
    <w:rsid w:val="002C7EEB"/>
    <w:rsid w:val="002D0240"/>
    <w:rsid w:val="002D14CE"/>
    <w:rsid w:val="002D2C13"/>
    <w:rsid w:val="002D3D6B"/>
    <w:rsid w:val="002D438A"/>
    <w:rsid w:val="002D4DF6"/>
    <w:rsid w:val="002D5965"/>
    <w:rsid w:val="002D5C24"/>
    <w:rsid w:val="002D63A0"/>
    <w:rsid w:val="002D7420"/>
    <w:rsid w:val="002D7E20"/>
    <w:rsid w:val="002E0C45"/>
    <w:rsid w:val="002E11BA"/>
    <w:rsid w:val="002E2ACC"/>
    <w:rsid w:val="002E6781"/>
    <w:rsid w:val="002F0B5D"/>
    <w:rsid w:val="002F12FC"/>
    <w:rsid w:val="002F4BFC"/>
    <w:rsid w:val="002F51C3"/>
    <w:rsid w:val="002F6280"/>
    <w:rsid w:val="002F6B2E"/>
    <w:rsid w:val="002F76EA"/>
    <w:rsid w:val="002F7A4B"/>
    <w:rsid w:val="003018A0"/>
    <w:rsid w:val="00301BDA"/>
    <w:rsid w:val="00302707"/>
    <w:rsid w:val="00302E0C"/>
    <w:rsid w:val="003034A8"/>
    <w:rsid w:val="003036E1"/>
    <w:rsid w:val="00303885"/>
    <w:rsid w:val="00303E5C"/>
    <w:rsid w:val="00304A36"/>
    <w:rsid w:val="00305E0B"/>
    <w:rsid w:val="00306184"/>
    <w:rsid w:val="00306360"/>
    <w:rsid w:val="0030716D"/>
    <w:rsid w:val="00307268"/>
    <w:rsid w:val="00313F08"/>
    <w:rsid w:val="00316ED4"/>
    <w:rsid w:val="00317668"/>
    <w:rsid w:val="00320459"/>
    <w:rsid w:val="003211D4"/>
    <w:rsid w:val="00323472"/>
    <w:rsid w:val="00323EBC"/>
    <w:rsid w:val="00324C0A"/>
    <w:rsid w:val="00325880"/>
    <w:rsid w:val="00325DEB"/>
    <w:rsid w:val="00325F2E"/>
    <w:rsid w:val="003269D7"/>
    <w:rsid w:val="00331836"/>
    <w:rsid w:val="00332236"/>
    <w:rsid w:val="003331A2"/>
    <w:rsid w:val="00334436"/>
    <w:rsid w:val="0033669D"/>
    <w:rsid w:val="00340687"/>
    <w:rsid w:val="00342573"/>
    <w:rsid w:val="00342A29"/>
    <w:rsid w:val="003432F6"/>
    <w:rsid w:val="00343683"/>
    <w:rsid w:val="0034625E"/>
    <w:rsid w:val="003478ED"/>
    <w:rsid w:val="003507C0"/>
    <w:rsid w:val="00352FAD"/>
    <w:rsid w:val="00353977"/>
    <w:rsid w:val="00355D70"/>
    <w:rsid w:val="00356327"/>
    <w:rsid w:val="00356C9D"/>
    <w:rsid w:val="0035748E"/>
    <w:rsid w:val="00357E26"/>
    <w:rsid w:val="00362BC1"/>
    <w:rsid w:val="00364294"/>
    <w:rsid w:val="00366B7E"/>
    <w:rsid w:val="00366C76"/>
    <w:rsid w:val="00366F1F"/>
    <w:rsid w:val="00370D7A"/>
    <w:rsid w:val="00372112"/>
    <w:rsid w:val="00373943"/>
    <w:rsid w:val="00374BDA"/>
    <w:rsid w:val="00375A76"/>
    <w:rsid w:val="00375B61"/>
    <w:rsid w:val="003764AE"/>
    <w:rsid w:val="00376ACA"/>
    <w:rsid w:val="003778CB"/>
    <w:rsid w:val="0038250B"/>
    <w:rsid w:val="003833A3"/>
    <w:rsid w:val="00383B67"/>
    <w:rsid w:val="0038484B"/>
    <w:rsid w:val="00384D8A"/>
    <w:rsid w:val="00385410"/>
    <w:rsid w:val="003862A5"/>
    <w:rsid w:val="00386532"/>
    <w:rsid w:val="003868C1"/>
    <w:rsid w:val="003871CE"/>
    <w:rsid w:val="00391B99"/>
    <w:rsid w:val="00392080"/>
    <w:rsid w:val="00392316"/>
    <w:rsid w:val="003924EB"/>
    <w:rsid w:val="003924ED"/>
    <w:rsid w:val="003966E1"/>
    <w:rsid w:val="00396ECC"/>
    <w:rsid w:val="0039752D"/>
    <w:rsid w:val="00397905"/>
    <w:rsid w:val="003A12A7"/>
    <w:rsid w:val="003A24D7"/>
    <w:rsid w:val="003A2F90"/>
    <w:rsid w:val="003A39FD"/>
    <w:rsid w:val="003A4A80"/>
    <w:rsid w:val="003A4E04"/>
    <w:rsid w:val="003A5B9D"/>
    <w:rsid w:val="003A77C9"/>
    <w:rsid w:val="003B1625"/>
    <w:rsid w:val="003B2473"/>
    <w:rsid w:val="003B3570"/>
    <w:rsid w:val="003B476F"/>
    <w:rsid w:val="003B51A4"/>
    <w:rsid w:val="003B5A34"/>
    <w:rsid w:val="003B6749"/>
    <w:rsid w:val="003B6AC3"/>
    <w:rsid w:val="003C0259"/>
    <w:rsid w:val="003C057D"/>
    <w:rsid w:val="003C196C"/>
    <w:rsid w:val="003C378E"/>
    <w:rsid w:val="003C5158"/>
    <w:rsid w:val="003C6766"/>
    <w:rsid w:val="003D087B"/>
    <w:rsid w:val="003D1337"/>
    <w:rsid w:val="003D20CF"/>
    <w:rsid w:val="003D2547"/>
    <w:rsid w:val="003D2886"/>
    <w:rsid w:val="003D4905"/>
    <w:rsid w:val="003E27A3"/>
    <w:rsid w:val="003E53D2"/>
    <w:rsid w:val="003E5680"/>
    <w:rsid w:val="003E5814"/>
    <w:rsid w:val="003E5DF4"/>
    <w:rsid w:val="003E71B8"/>
    <w:rsid w:val="003E7F0A"/>
    <w:rsid w:val="003F202E"/>
    <w:rsid w:val="003F20ED"/>
    <w:rsid w:val="003F532D"/>
    <w:rsid w:val="003F57A7"/>
    <w:rsid w:val="00403DE4"/>
    <w:rsid w:val="00404BDF"/>
    <w:rsid w:val="00405AF1"/>
    <w:rsid w:val="004071CC"/>
    <w:rsid w:val="0040729A"/>
    <w:rsid w:val="0041014C"/>
    <w:rsid w:val="004118BC"/>
    <w:rsid w:val="0041312D"/>
    <w:rsid w:val="004132E7"/>
    <w:rsid w:val="004160E5"/>
    <w:rsid w:val="00416503"/>
    <w:rsid w:val="00416E1B"/>
    <w:rsid w:val="00421338"/>
    <w:rsid w:val="00421DF1"/>
    <w:rsid w:val="00427560"/>
    <w:rsid w:val="0042774F"/>
    <w:rsid w:val="00427CC8"/>
    <w:rsid w:val="00427D03"/>
    <w:rsid w:val="004301A2"/>
    <w:rsid w:val="00430A82"/>
    <w:rsid w:val="004319A8"/>
    <w:rsid w:val="0043285D"/>
    <w:rsid w:val="00432C55"/>
    <w:rsid w:val="00434061"/>
    <w:rsid w:val="004359C0"/>
    <w:rsid w:val="00436778"/>
    <w:rsid w:val="004430A7"/>
    <w:rsid w:val="00443B1A"/>
    <w:rsid w:val="0044752D"/>
    <w:rsid w:val="00450EB9"/>
    <w:rsid w:val="00452706"/>
    <w:rsid w:val="00453058"/>
    <w:rsid w:val="004534E4"/>
    <w:rsid w:val="00454547"/>
    <w:rsid w:val="00454FE9"/>
    <w:rsid w:val="00455B06"/>
    <w:rsid w:val="004627B4"/>
    <w:rsid w:val="004631F1"/>
    <w:rsid w:val="0046347C"/>
    <w:rsid w:val="00464A0C"/>
    <w:rsid w:val="004654D8"/>
    <w:rsid w:val="00467889"/>
    <w:rsid w:val="00470789"/>
    <w:rsid w:val="004708FD"/>
    <w:rsid w:val="00471AED"/>
    <w:rsid w:val="00472671"/>
    <w:rsid w:val="00475543"/>
    <w:rsid w:val="00481B25"/>
    <w:rsid w:val="00483F40"/>
    <w:rsid w:val="00486B84"/>
    <w:rsid w:val="0048774C"/>
    <w:rsid w:val="00487BD3"/>
    <w:rsid w:val="00487CB9"/>
    <w:rsid w:val="00487F46"/>
    <w:rsid w:val="004902D3"/>
    <w:rsid w:val="0049121D"/>
    <w:rsid w:val="00491935"/>
    <w:rsid w:val="004921B1"/>
    <w:rsid w:val="00493DC5"/>
    <w:rsid w:val="00496917"/>
    <w:rsid w:val="00497AF7"/>
    <w:rsid w:val="004A083A"/>
    <w:rsid w:val="004A5445"/>
    <w:rsid w:val="004B3848"/>
    <w:rsid w:val="004B3AC9"/>
    <w:rsid w:val="004B43DE"/>
    <w:rsid w:val="004B58DD"/>
    <w:rsid w:val="004B7AFE"/>
    <w:rsid w:val="004B7D59"/>
    <w:rsid w:val="004C039C"/>
    <w:rsid w:val="004C2681"/>
    <w:rsid w:val="004C43C3"/>
    <w:rsid w:val="004D1EEC"/>
    <w:rsid w:val="004D2D20"/>
    <w:rsid w:val="004D372A"/>
    <w:rsid w:val="004D407C"/>
    <w:rsid w:val="004D50FD"/>
    <w:rsid w:val="004D59A0"/>
    <w:rsid w:val="004D60CB"/>
    <w:rsid w:val="004D641E"/>
    <w:rsid w:val="004E23A4"/>
    <w:rsid w:val="004E28B3"/>
    <w:rsid w:val="004E36E1"/>
    <w:rsid w:val="004E5596"/>
    <w:rsid w:val="004F0313"/>
    <w:rsid w:val="004F0F51"/>
    <w:rsid w:val="004F3537"/>
    <w:rsid w:val="004F3B25"/>
    <w:rsid w:val="004F3D77"/>
    <w:rsid w:val="004F420B"/>
    <w:rsid w:val="004F6A1F"/>
    <w:rsid w:val="0050248C"/>
    <w:rsid w:val="00505DF8"/>
    <w:rsid w:val="00507960"/>
    <w:rsid w:val="00507EA1"/>
    <w:rsid w:val="00507F25"/>
    <w:rsid w:val="00510002"/>
    <w:rsid w:val="0051030E"/>
    <w:rsid w:val="00511023"/>
    <w:rsid w:val="0051216A"/>
    <w:rsid w:val="00512533"/>
    <w:rsid w:val="00512F7F"/>
    <w:rsid w:val="00514C62"/>
    <w:rsid w:val="00515522"/>
    <w:rsid w:val="00515C6F"/>
    <w:rsid w:val="005166ED"/>
    <w:rsid w:val="0052022E"/>
    <w:rsid w:val="00520340"/>
    <w:rsid w:val="0052079A"/>
    <w:rsid w:val="00520EBA"/>
    <w:rsid w:val="0052185F"/>
    <w:rsid w:val="005236B6"/>
    <w:rsid w:val="005246C6"/>
    <w:rsid w:val="0052487B"/>
    <w:rsid w:val="00527460"/>
    <w:rsid w:val="0053137A"/>
    <w:rsid w:val="00531A36"/>
    <w:rsid w:val="005347A3"/>
    <w:rsid w:val="00535DE1"/>
    <w:rsid w:val="0053668F"/>
    <w:rsid w:val="00536BC9"/>
    <w:rsid w:val="00540C9D"/>
    <w:rsid w:val="00541079"/>
    <w:rsid w:val="00541A15"/>
    <w:rsid w:val="0054263F"/>
    <w:rsid w:val="00542A1E"/>
    <w:rsid w:val="0054334A"/>
    <w:rsid w:val="0054566A"/>
    <w:rsid w:val="0054583C"/>
    <w:rsid w:val="00547840"/>
    <w:rsid w:val="005512B1"/>
    <w:rsid w:val="00552AD9"/>
    <w:rsid w:val="005610E2"/>
    <w:rsid w:val="00561756"/>
    <w:rsid w:val="00564E6E"/>
    <w:rsid w:val="00565266"/>
    <w:rsid w:val="00567317"/>
    <w:rsid w:val="00567836"/>
    <w:rsid w:val="00570FAB"/>
    <w:rsid w:val="00571156"/>
    <w:rsid w:val="00572D0B"/>
    <w:rsid w:val="00573B8D"/>
    <w:rsid w:val="005741B3"/>
    <w:rsid w:val="005754B5"/>
    <w:rsid w:val="0057554E"/>
    <w:rsid w:val="00575588"/>
    <w:rsid w:val="005770AC"/>
    <w:rsid w:val="00577315"/>
    <w:rsid w:val="00580C0E"/>
    <w:rsid w:val="00581E98"/>
    <w:rsid w:val="005827B6"/>
    <w:rsid w:val="005845CF"/>
    <w:rsid w:val="005863C1"/>
    <w:rsid w:val="00586625"/>
    <w:rsid w:val="00586C50"/>
    <w:rsid w:val="005916D6"/>
    <w:rsid w:val="00591F69"/>
    <w:rsid w:val="0059253E"/>
    <w:rsid w:val="00593AF0"/>
    <w:rsid w:val="00595FD0"/>
    <w:rsid w:val="005965CF"/>
    <w:rsid w:val="005A04BA"/>
    <w:rsid w:val="005A0CE1"/>
    <w:rsid w:val="005A1DE4"/>
    <w:rsid w:val="005A27BD"/>
    <w:rsid w:val="005B1549"/>
    <w:rsid w:val="005B21A5"/>
    <w:rsid w:val="005B6504"/>
    <w:rsid w:val="005B6D10"/>
    <w:rsid w:val="005C07DE"/>
    <w:rsid w:val="005C155B"/>
    <w:rsid w:val="005C3EED"/>
    <w:rsid w:val="005C5376"/>
    <w:rsid w:val="005C569F"/>
    <w:rsid w:val="005C7FA3"/>
    <w:rsid w:val="005D17DF"/>
    <w:rsid w:val="005D249C"/>
    <w:rsid w:val="005D253B"/>
    <w:rsid w:val="005D40AD"/>
    <w:rsid w:val="005D4DC4"/>
    <w:rsid w:val="005E07C2"/>
    <w:rsid w:val="005E2B2D"/>
    <w:rsid w:val="005E62E8"/>
    <w:rsid w:val="005E70D1"/>
    <w:rsid w:val="005E7423"/>
    <w:rsid w:val="005F08BC"/>
    <w:rsid w:val="005F1B58"/>
    <w:rsid w:val="005F36BF"/>
    <w:rsid w:val="005F4829"/>
    <w:rsid w:val="005F73CA"/>
    <w:rsid w:val="00601A4C"/>
    <w:rsid w:val="0060336B"/>
    <w:rsid w:val="00604F51"/>
    <w:rsid w:val="00606746"/>
    <w:rsid w:val="00606973"/>
    <w:rsid w:val="0061277B"/>
    <w:rsid w:val="0061400E"/>
    <w:rsid w:val="00614355"/>
    <w:rsid w:val="00614960"/>
    <w:rsid w:val="006151C0"/>
    <w:rsid w:val="006176E2"/>
    <w:rsid w:val="006226B3"/>
    <w:rsid w:val="00622C9D"/>
    <w:rsid w:val="00625DB5"/>
    <w:rsid w:val="006261A6"/>
    <w:rsid w:val="00627FBA"/>
    <w:rsid w:val="00630BB9"/>
    <w:rsid w:val="0063299C"/>
    <w:rsid w:val="00633A76"/>
    <w:rsid w:val="00633C2A"/>
    <w:rsid w:val="00634C9E"/>
    <w:rsid w:val="0063532A"/>
    <w:rsid w:val="00636578"/>
    <w:rsid w:val="00636B9D"/>
    <w:rsid w:val="006403C5"/>
    <w:rsid w:val="006405CD"/>
    <w:rsid w:val="00641BA4"/>
    <w:rsid w:val="006429D8"/>
    <w:rsid w:val="00643A6E"/>
    <w:rsid w:val="00644058"/>
    <w:rsid w:val="00644440"/>
    <w:rsid w:val="00645637"/>
    <w:rsid w:val="00645A50"/>
    <w:rsid w:val="0064751B"/>
    <w:rsid w:val="00647D24"/>
    <w:rsid w:val="00650017"/>
    <w:rsid w:val="00651C1A"/>
    <w:rsid w:val="00652402"/>
    <w:rsid w:val="00653A99"/>
    <w:rsid w:val="00655679"/>
    <w:rsid w:val="006573D4"/>
    <w:rsid w:val="006603F5"/>
    <w:rsid w:val="006616CC"/>
    <w:rsid w:val="00662DA9"/>
    <w:rsid w:val="006633AD"/>
    <w:rsid w:val="0066352F"/>
    <w:rsid w:val="0066375B"/>
    <w:rsid w:val="00663A42"/>
    <w:rsid w:val="00664964"/>
    <w:rsid w:val="00666D9C"/>
    <w:rsid w:val="00667C17"/>
    <w:rsid w:val="006712FC"/>
    <w:rsid w:val="0067293C"/>
    <w:rsid w:val="00672AA6"/>
    <w:rsid w:val="00673361"/>
    <w:rsid w:val="0067527D"/>
    <w:rsid w:val="00675D5C"/>
    <w:rsid w:val="006765E7"/>
    <w:rsid w:val="00676B5B"/>
    <w:rsid w:val="00681135"/>
    <w:rsid w:val="00681714"/>
    <w:rsid w:val="00682998"/>
    <w:rsid w:val="00682D42"/>
    <w:rsid w:val="00682FA1"/>
    <w:rsid w:val="00686206"/>
    <w:rsid w:val="006867B3"/>
    <w:rsid w:val="0068698C"/>
    <w:rsid w:val="00686DEA"/>
    <w:rsid w:val="00691176"/>
    <w:rsid w:val="0069123E"/>
    <w:rsid w:val="00691592"/>
    <w:rsid w:val="00693543"/>
    <w:rsid w:val="006938BB"/>
    <w:rsid w:val="00693FF5"/>
    <w:rsid w:val="00694FB0"/>
    <w:rsid w:val="00696271"/>
    <w:rsid w:val="006968EF"/>
    <w:rsid w:val="0069757A"/>
    <w:rsid w:val="006A1097"/>
    <w:rsid w:val="006A1EAC"/>
    <w:rsid w:val="006A2531"/>
    <w:rsid w:val="006A278D"/>
    <w:rsid w:val="006A27F7"/>
    <w:rsid w:val="006A2B8C"/>
    <w:rsid w:val="006A5567"/>
    <w:rsid w:val="006A5B8C"/>
    <w:rsid w:val="006A5BC7"/>
    <w:rsid w:val="006A6849"/>
    <w:rsid w:val="006A6D37"/>
    <w:rsid w:val="006A746D"/>
    <w:rsid w:val="006B05FD"/>
    <w:rsid w:val="006B09B9"/>
    <w:rsid w:val="006B10F9"/>
    <w:rsid w:val="006B1C62"/>
    <w:rsid w:val="006B475A"/>
    <w:rsid w:val="006B509D"/>
    <w:rsid w:val="006B68F7"/>
    <w:rsid w:val="006C0C4E"/>
    <w:rsid w:val="006C1464"/>
    <w:rsid w:val="006C16BF"/>
    <w:rsid w:val="006C2CEC"/>
    <w:rsid w:val="006C3678"/>
    <w:rsid w:val="006C4ADA"/>
    <w:rsid w:val="006C563F"/>
    <w:rsid w:val="006C6067"/>
    <w:rsid w:val="006D0960"/>
    <w:rsid w:val="006D121B"/>
    <w:rsid w:val="006D1E80"/>
    <w:rsid w:val="006D5C41"/>
    <w:rsid w:val="006D64DB"/>
    <w:rsid w:val="006D75FD"/>
    <w:rsid w:val="006E2DE5"/>
    <w:rsid w:val="006E4D97"/>
    <w:rsid w:val="006E5CF5"/>
    <w:rsid w:val="006F021B"/>
    <w:rsid w:val="006F03C4"/>
    <w:rsid w:val="006F5146"/>
    <w:rsid w:val="006F51B7"/>
    <w:rsid w:val="006F538A"/>
    <w:rsid w:val="006F5A13"/>
    <w:rsid w:val="006F6592"/>
    <w:rsid w:val="006F7929"/>
    <w:rsid w:val="00706D19"/>
    <w:rsid w:val="00707871"/>
    <w:rsid w:val="00707F2D"/>
    <w:rsid w:val="00710F73"/>
    <w:rsid w:val="00711FE3"/>
    <w:rsid w:val="0071211E"/>
    <w:rsid w:val="00713136"/>
    <w:rsid w:val="00716BB8"/>
    <w:rsid w:val="00717789"/>
    <w:rsid w:val="00717ABE"/>
    <w:rsid w:val="00720BCA"/>
    <w:rsid w:val="00720CAC"/>
    <w:rsid w:val="00720D3F"/>
    <w:rsid w:val="0072719D"/>
    <w:rsid w:val="00727C40"/>
    <w:rsid w:val="007305C2"/>
    <w:rsid w:val="0073061A"/>
    <w:rsid w:val="00731A21"/>
    <w:rsid w:val="0073269C"/>
    <w:rsid w:val="0073292D"/>
    <w:rsid w:val="00732B28"/>
    <w:rsid w:val="00734425"/>
    <w:rsid w:val="007354F0"/>
    <w:rsid w:val="007356F5"/>
    <w:rsid w:val="007361B0"/>
    <w:rsid w:val="0073678C"/>
    <w:rsid w:val="007379C5"/>
    <w:rsid w:val="00741EEE"/>
    <w:rsid w:val="007430FC"/>
    <w:rsid w:val="0074594F"/>
    <w:rsid w:val="00746CB5"/>
    <w:rsid w:val="0075088F"/>
    <w:rsid w:val="00751B37"/>
    <w:rsid w:val="00751DB7"/>
    <w:rsid w:val="00752F9A"/>
    <w:rsid w:val="00753774"/>
    <w:rsid w:val="00753DA2"/>
    <w:rsid w:val="00761216"/>
    <w:rsid w:val="00762BCB"/>
    <w:rsid w:val="00763D45"/>
    <w:rsid w:val="00765064"/>
    <w:rsid w:val="007667C9"/>
    <w:rsid w:val="00766EB7"/>
    <w:rsid w:val="00767B04"/>
    <w:rsid w:val="00771647"/>
    <w:rsid w:val="00772A5F"/>
    <w:rsid w:val="00774D0F"/>
    <w:rsid w:val="00775973"/>
    <w:rsid w:val="00775DAD"/>
    <w:rsid w:val="00776CB7"/>
    <w:rsid w:val="00777125"/>
    <w:rsid w:val="007773B0"/>
    <w:rsid w:val="00777C6B"/>
    <w:rsid w:val="0078132C"/>
    <w:rsid w:val="0078135C"/>
    <w:rsid w:val="007817BE"/>
    <w:rsid w:val="007823DA"/>
    <w:rsid w:val="00783878"/>
    <w:rsid w:val="00785074"/>
    <w:rsid w:val="00792B67"/>
    <w:rsid w:val="007930BA"/>
    <w:rsid w:val="00794184"/>
    <w:rsid w:val="00794572"/>
    <w:rsid w:val="00796D0F"/>
    <w:rsid w:val="007A1D23"/>
    <w:rsid w:val="007A3281"/>
    <w:rsid w:val="007A5CFE"/>
    <w:rsid w:val="007A5E0F"/>
    <w:rsid w:val="007A6976"/>
    <w:rsid w:val="007B068A"/>
    <w:rsid w:val="007B0AF2"/>
    <w:rsid w:val="007B11CF"/>
    <w:rsid w:val="007B183A"/>
    <w:rsid w:val="007B258A"/>
    <w:rsid w:val="007B2CD7"/>
    <w:rsid w:val="007B3169"/>
    <w:rsid w:val="007B4ACA"/>
    <w:rsid w:val="007B544C"/>
    <w:rsid w:val="007B5704"/>
    <w:rsid w:val="007B718A"/>
    <w:rsid w:val="007B7A11"/>
    <w:rsid w:val="007C00CC"/>
    <w:rsid w:val="007C2C51"/>
    <w:rsid w:val="007C6574"/>
    <w:rsid w:val="007D0A32"/>
    <w:rsid w:val="007D3632"/>
    <w:rsid w:val="007D3661"/>
    <w:rsid w:val="007D3821"/>
    <w:rsid w:val="007D4F25"/>
    <w:rsid w:val="007D5CBE"/>
    <w:rsid w:val="007D686F"/>
    <w:rsid w:val="007D789F"/>
    <w:rsid w:val="007D7E98"/>
    <w:rsid w:val="007E129E"/>
    <w:rsid w:val="007E1E6F"/>
    <w:rsid w:val="007E44D1"/>
    <w:rsid w:val="007E55F3"/>
    <w:rsid w:val="007E6116"/>
    <w:rsid w:val="007E7136"/>
    <w:rsid w:val="007E7303"/>
    <w:rsid w:val="007E7ACB"/>
    <w:rsid w:val="007F31FB"/>
    <w:rsid w:val="007F329D"/>
    <w:rsid w:val="007F549D"/>
    <w:rsid w:val="007F6BE7"/>
    <w:rsid w:val="007F6D2F"/>
    <w:rsid w:val="007F7B5A"/>
    <w:rsid w:val="00800198"/>
    <w:rsid w:val="00800F94"/>
    <w:rsid w:val="008014EF"/>
    <w:rsid w:val="008025A4"/>
    <w:rsid w:val="008137D2"/>
    <w:rsid w:val="00817DA3"/>
    <w:rsid w:val="00822F47"/>
    <w:rsid w:val="0082313F"/>
    <w:rsid w:val="008251C8"/>
    <w:rsid w:val="008259BC"/>
    <w:rsid w:val="00826A81"/>
    <w:rsid w:val="0082733B"/>
    <w:rsid w:val="00830C8F"/>
    <w:rsid w:val="00831C91"/>
    <w:rsid w:val="00832329"/>
    <w:rsid w:val="008353D6"/>
    <w:rsid w:val="00837348"/>
    <w:rsid w:val="0083749F"/>
    <w:rsid w:val="008375DA"/>
    <w:rsid w:val="0083794E"/>
    <w:rsid w:val="00837A3F"/>
    <w:rsid w:val="00837E83"/>
    <w:rsid w:val="008406BD"/>
    <w:rsid w:val="00840BE1"/>
    <w:rsid w:val="0084135C"/>
    <w:rsid w:val="0084347E"/>
    <w:rsid w:val="00845100"/>
    <w:rsid w:val="008453FC"/>
    <w:rsid w:val="008456E0"/>
    <w:rsid w:val="00845DB1"/>
    <w:rsid w:val="00845DEC"/>
    <w:rsid w:val="00850212"/>
    <w:rsid w:val="008509AC"/>
    <w:rsid w:val="00851150"/>
    <w:rsid w:val="008512D3"/>
    <w:rsid w:val="00853E52"/>
    <w:rsid w:val="008555B8"/>
    <w:rsid w:val="008561DA"/>
    <w:rsid w:val="008579BC"/>
    <w:rsid w:val="00860429"/>
    <w:rsid w:val="00860B4B"/>
    <w:rsid w:val="00861625"/>
    <w:rsid w:val="008617DD"/>
    <w:rsid w:val="00861F50"/>
    <w:rsid w:val="00863EB4"/>
    <w:rsid w:val="00864EB9"/>
    <w:rsid w:val="008658AB"/>
    <w:rsid w:val="008659E4"/>
    <w:rsid w:val="008660DB"/>
    <w:rsid w:val="00867E24"/>
    <w:rsid w:val="00873FA8"/>
    <w:rsid w:val="00875AB3"/>
    <w:rsid w:val="00875C24"/>
    <w:rsid w:val="00875ED2"/>
    <w:rsid w:val="0088017D"/>
    <w:rsid w:val="00882B21"/>
    <w:rsid w:val="00882E84"/>
    <w:rsid w:val="008837D7"/>
    <w:rsid w:val="00883987"/>
    <w:rsid w:val="00884046"/>
    <w:rsid w:val="00884D83"/>
    <w:rsid w:val="0088711C"/>
    <w:rsid w:val="0089175C"/>
    <w:rsid w:val="00891E3D"/>
    <w:rsid w:val="00892D20"/>
    <w:rsid w:val="008946EF"/>
    <w:rsid w:val="00894DB2"/>
    <w:rsid w:val="00896431"/>
    <w:rsid w:val="00896D23"/>
    <w:rsid w:val="008A07D3"/>
    <w:rsid w:val="008A13A2"/>
    <w:rsid w:val="008A1C1B"/>
    <w:rsid w:val="008A2BC3"/>
    <w:rsid w:val="008A3F41"/>
    <w:rsid w:val="008A5228"/>
    <w:rsid w:val="008B10E4"/>
    <w:rsid w:val="008B2D1D"/>
    <w:rsid w:val="008B3615"/>
    <w:rsid w:val="008B43D3"/>
    <w:rsid w:val="008B5435"/>
    <w:rsid w:val="008B585C"/>
    <w:rsid w:val="008B5977"/>
    <w:rsid w:val="008B7ED3"/>
    <w:rsid w:val="008C13F3"/>
    <w:rsid w:val="008C19D0"/>
    <w:rsid w:val="008C2142"/>
    <w:rsid w:val="008C403E"/>
    <w:rsid w:val="008C5087"/>
    <w:rsid w:val="008C5755"/>
    <w:rsid w:val="008C5FDC"/>
    <w:rsid w:val="008C62D5"/>
    <w:rsid w:val="008C786C"/>
    <w:rsid w:val="008D03BC"/>
    <w:rsid w:val="008D1B3F"/>
    <w:rsid w:val="008D42BE"/>
    <w:rsid w:val="008D6643"/>
    <w:rsid w:val="008D7956"/>
    <w:rsid w:val="008D7BF2"/>
    <w:rsid w:val="008E0666"/>
    <w:rsid w:val="008E0C23"/>
    <w:rsid w:val="008E5C9E"/>
    <w:rsid w:val="008E69B4"/>
    <w:rsid w:val="008F3DE5"/>
    <w:rsid w:val="008F3F06"/>
    <w:rsid w:val="008F40FE"/>
    <w:rsid w:val="008F44BD"/>
    <w:rsid w:val="008F5D1A"/>
    <w:rsid w:val="00900E48"/>
    <w:rsid w:val="00902240"/>
    <w:rsid w:val="009028BB"/>
    <w:rsid w:val="009028F2"/>
    <w:rsid w:val="00902BAB"/>
    <w:rsid w:val="00903D29"/>
    <w:rsid w:val="0090543A"/>
    <w:rsid w:val="00905467"/>
    <w:rsid w:val="0090619E"/>
    <w:rsid w:val="00906FDB"/>
    <w:rsid w:val="0090788C"/>
    <w:rsid w:val="00907EAD"/>
    <w:rsid w:val="009104B0"/>
    <w:rsid w:val="0091118D"/>
    <w:rsid w:val="0091189C"/>
    <w:rsid w:val="0091295C"/>
    <w:rsid w:val="00913464"/>
    <w:rsid w:val="00913FA4"/>
    <w:rsid w:val="00914521"/>
    <w:rsid w:val="00914712"/>
    <w:rsid w:val="009157BD"/>
    <w:rsid w:val="00915FE7"/>
    <w:rsid w:val="00917818"/>
    <w:rsid w:val="009202CB"/>
    <w:rsid w:val="00920386"/>
    <w:rsid w:val="00922254"/>
    <w:rsid w:val="009227CF"/>
    <w:rsid w:val="009319CC"/>
    <w:rsid w:val="0093328B"/>
    <w:rsid w:val="00933CAE"/>
    <w:rsid w:val="00940E3A"/>
    <w:rsid w:val="00941D28"/>
    <w:rsid w:val="00942820"/>
    <w:rsid w:val="00943C68"/>
    <w:rsid w:val="00944030"/>
    <w:rsid w:val="00944BC0"/>
    <w:rsid w:val="00944CAA"/>
    <w:rsid w:val="00950881"/>
    <w:rsid w:val="009525C3"/>
    <w:rsid w:val="009535FE"/>
    <w:rsid w:val="00953C49"/>
    <w:rsid w:val="0095735F"/>
    <w:rsid w:val="00957527"/>
    <w:rsid w:val="0096080C"/>
    <w:rsid w:val="00961D43"/>
    <w:rsid w:val="009626D4"/>
    <w:rsid w:val="0096548A"/>
    <w:rsid w:val="00966F9C"/>
    <w:rsid w:val="00967BC9"/>
    <w:rsid w:val="009712DE"/>
    <w:rsid w:val="0097352C"/>
    <w:rsid w:val="00973552"/>
    <w:rsid w:val="00974EB6"/>
    <w:rsid w:val="00974EF9"/>
    <w:rsid w:val="00975B50"/>
    <w:rsid w:val="00975F46"/>
    <w:rsid w:val="00976E92"/>
    <w:rsid w:val="00977C98"/>
    <w:rsid w:val="0098012C"/>
    <w:rsid w:val="00981941"/>
    <w:rsid w:val="0098598E"/>
    <w:rsid w:val="00987484"/>
    <w:rsid w:val="00990082"/>
    <w:rsid w:val="009924BA"/>
    <w:rsid w:val="0099373A"/>
    <w:rsid w:val="00993C1B"/>
    <w:rsid w:val="009A0E9D"/>
    <w:rsid w:val="009A1698"/>
    <w:rsid w:val="009A2254"/>
    <w:rsid w:val="009A23DF"/>
    <w:rsid w:val="009A3DCC"/>
    <w:rsid w:val="009A74C4"/>
    <w:rsid w:val="009A7A70"/>
    <w:rsid w:val="009B0977"/>
    <w:rsid w:val="009B2031"/>
    <w:rsid w:val="009B208F"/>
    <w:rsid w:val="009B6C39"/>
    <w:rsid w:val="009B7688"/>
    <w:rsid w:val="009B78C3"/>
    <w:rsid w:val="009B7E77"/>
    <w:rsid w:val="009C05FC"/>
    <w:rsid w:val="009C08AE"/>
    <w:rsid w:val="009C1C7C"/>
    <w:rsid w:val="009C6D63"/>
    <w:rsid w:val="009C7965"/>
    <w:rsid w:val="009D2C9F"/>
    <w:rsid w:val="009D451F"/>
    <w:rsid w:val="009D5100"/>
    <w:rsid w:val="009E020F"/>
    <w:rsid w:val="009E2AF0"/>
    <w:rsid w:val="009E453D"/>
    <w:rsid w:val="009E4AF5"/>
    <w:rsid w:val="009E4D9F"/>
    <w:rsid w:val="009E5B7C"/>
    <w:rsid w:val="009E7627"/>
    <w:rsid w:val="009F11D5"/>
    <w:rsid w:val="009F2458"/>
    <w:rsid w:val="009F284B"/>
    <w:rsid w:val="009F2E67"/>
    <w:rsid w:val="009F33E6"/>
    <w:rsid w:val="009F6907"/>
    <w:rsid w:val="009F7467"/>
    <w:rsid w:val="00A02B8B"/>
    <w:rsid w:val="00A03862"/>
    <w:rsid w:val="00A03BCD"/>
    <w:rsid w:val="00A04085"/>
    <w:rsid w:val="00A05088"/>
    <w:rsid w:val="00A06B25"/>
    <w:rsid w:val="00A0785A"/>
    <w:rsid w:val="00A07D18"/>
    <w:rsid w:val="00A10606"/>
    <w:rsid w:val="00A1068C"/>
    <w:rsid w:val="00A11ADE"/>
    <w:rsid w:val="00A12E9E"/>
    <w:rsid w:val="00A14D5E"/>
    <w:rsid w:val="00A17D88"/>
    <w:rsid w:val="00A17FE5"/>
    <w:rsid w:val="00A2035C"/>
    <w:rsid w:val="00A209AB"/>
    <w:rsid w:val="00A218C8"/>
    <w:rsid w:val="00A21BF9"/>
    <w:rsid w:val="00A22A13"/>
    <w:rsid w:val="00A23C8F"/>
    <w:rsid w:val="00A244FD"/>
    <w:rsid w:val="00A25453"/>
    <w:rsid w:val="00A256DC"/>
    <w:rsid w:val="00A2606A"/>
    <w:rsid w:val="00A260B8"/>
    <w:rsid w:val="00A27824"/>
    <w:rsid w:val="00A316F6"/>
    <w:rsid w:val="00A317DF"/>
    <w:rsid w:val="00A32323"/>
    <w:rsid w:val="00A32DE3"/>
    <w:rsid w:val="00A3376B"/>
    <w:rsid w:val="00A33C7D"/>
    <w:rsid w:val="00A34156"/>
    <w:rsid w:val="00A34DE3"/>
    <w:rsid w:val="00A34FD5"/>
    <w:rsid w:val="00A357E9"/>
    <w:rsid w:val="00A3630C"/>
    <w:rsid w:val="00A36FD4"/>
    <w:rsid w:val="00A40CA7"/>
    <w:rsid w:val="00A42CAD"/>
    <w:rsid w:val="00A4309A"/>
    <w:rsid w:val="00A4392E"/>
    <w:rsid w:val="00A45264"/>
    <w:rsid w:val="00A46B71"/>
    <w:rsid w:val="00A46D08"/>
    <w:rsid w:val="00A47D39"/>
    <w:rsid w:val="00A52E44"/>
    <w:rsid w:val="00A5420D"/>
    <w:rsid w:val="00A56ED5"/>
    <w:rsid w:val="00A57E03"/>
    <w:rsid w:val="00A6192E"/>
    <w:rsid w:val="00A63B7E"/>
    <w:rsid w:val="00A6505A"/>
    <w:rsid w:val="00A65994"/>
    <w:rsid w:val="00A66DAB"/>
    <w:rsid w:val="00A673AB"/>
    <w:rsid w:val="00A70199"/>
    <w:rsid w:val="00A72B2B"/>
    <w:rsid w:val="00A77D7C"/>
    <w:rsid w:val="00A80CF2"/>
    <w:rsid w:val="00A83570"/>
    <w:rsid w:val="00A83DB8"/>
    <w:rsid w:val="00A84D8E"/>
    <w:rsid w:val="00A8577A"/>
    <w:rsid w:val="00A865E2"/>
    <w:rsid w:val="00A876FB"/>
    <w:rsid w:val="00A87A66"/>
    <w:rsid w:val="00A90428"/>
    <w:rsid w:val="00A90B46"/>
    <w:rsid w:val="00A926AE"/>
    <w:rsid w:val="00A95C5A"/>
    <w:rsid w:val="00A96434"/>
    <w:rsid w:val="00A974FF"/>
    <w:rsid w:val="00AA02D5"/>
    <w:rsid w:val="00AA2BD3"/>
    <w:rsid w:val="00AA3CFA"/>
    <w:rsid w:val="00AA48D4"/>
    <w:rsid w:val="00AA5486"/>
    <w:rsid w:val="00AA6594"/>
    <w:rsid w:val="00AA67F1"/>
    <w:rsid w:val="00AB22D0"/>
    <w:rsid w:val="00AB287A"/>
    <w:rsid w:val="00AB2F51"/>
    <w:rsid w:val="00AB3637"/>
    <w:rsid w:val="00AB3AEA"/>
    <w:rsid w:val="00AB3BEC"/>
    <w:rsid w:val="00AB3D2D"/>
    <w:rsid w:val="00AB4DE4"/>
    <w:rsid w:val="00AB678F"/>
    <w:rsid w:val="00AB6C66"/>
    <w:rsid w:val="00AB7916"/>
    <w:rsid w:val="00AC03A1"/>
    <w:rsid w:val="00AC1A8F"/>
    <w:rsid w:val="00AC20FD"/>
    <w:rsid w:val="00AC2C17"/>
    <w:rsid w:val="00AC50E2"/>
    <w:rsid w:val="00AC6119"/>
    <w:rsid w:val="00AC66B4"/>
    <w:rsid w:val="00AC6A3D"/>
    <w:rsid w:val="00AC7362"/>
    <w:rsid w:val="00AC76F4"/>
    <w:rsid w:val="00AC7C97"/>
    <w:rsid w:val="00AC7E50"/>
    <w:rsid w:val="00AD0BFF"/>
    <w:rsid w:val="00AD256B"/>
    <w:rsid w:val="00AD3582"/>
    <w:rsid w:val="00AD5130"/>
    <w:rsid w:val="00AD579C"/>
    <w:rsid w:val="00AD635A"/>
    <w:rsid w:val="00AD6783"/>
    <w:rsid w:val="00AE08E6"/>
    <w:rsid w:val="00AE25C5"/>
    <w:rsid w:val="00AE2678"/>
    <w:rsid w:val="00AE2DBB"/>
    <w:rsid w:val="00AE43C8"/>
    <w:rsid w:val="00AE4911"/>
    <w:rsid w:val="00AE5A0E"/>
    <w:rsid w:val="00AE6F61"/>
    <w:rsid w:val="00AE7741"/>
    <w:rsid w:val="00AE7953"/>
    <w:rsid w:val="00AF123F"/>
    <w:rsid w:val="00AF3084"/>
    <w:rsid w:val="00AF4C5A"/>
    <w:rsid w:val="00AF65B4"/>
    <w:rsid w:val="00AF6985"/>
    <w:rsid w:val="00AF69B6"/>
    <w:rsid w:val="00B00F54"/>
    <w:rsid w:val="00B01159"/>
    <w:rsid w:val="00B01A36"/>
    <w:rsid w:val="00B01C19"/>
    <w:rsid w:val="00B01D66"/>
    <w:rsid w:val="00B02E19"/>
    <w:rsid w:val="00B03203"/>
    <w:rsid w:val="00B1297E"/>
    <w:rsid w:val="00B157D3"/>
    <w:rsid w:val="00B16A30"/>
    <w:rsid w:val="00B16EBE"/>
    <w:rsid w:val="00B17727"/>
    <w:rsid w:val="00B1797F"/>
    <w:rsid w:val="00B20998"/>
    <w:rsid w:val="00B21A8F"/>
    <w:rsid w:val="00B22E93"/>
    <w:rsid w:val="00B26BE7"/>
    <w:rsid w:val="00B27D18"/>
    <w:rsid w:val="00B30F05"/>
    <w:rsid w:val="00B32299"/>
    <w:rsid w:val="00B324BC"/>
    <w:rsid w:val="00B3406F"/>
    <w:rsid w:val="00B357D5"/>
    <w:rsid w:val="00B3641E"/>
    <w:rsid w:val="00B37D6C"/>
    <w:rsid w:val="00B40925"/>
    <w:rsid w:val="00B41F96"/>
    <w:rsid w:val="00B42253"/>
    <w:rsid w:val="00B4390F"/>
    <w:rsid w:val="00B44389"/>
    <w:rsid w:val="00B44D4C"/>
    <w:rsid w:val="00B463B1"/>
    <w:rsid w:val="00B46575"/>
    <w:rsid w:val="00B505BB"/>
    <w:rsid w:val="00B5139E"/>
    <w:rsid w:val="00B516E7"/>
    <w:rsid w:val="00B526CF"/>
    <w:rsid w:val="00B52967"/>
    <w:rsid w:val="00B544A9"/>
    <w:rsid w:val="00B56040"/>
    <w:rsid w:val="00B57812"/>
    <w:rsid w:val="00B61215"/>
    <w:rsid w:val="00B61DA1"/>
    <w:rsid w:val="00B629E6"/>
    <w:rsid w:val="00B63072"/>
    <w:rsid w:val="00B65BD9"/>
    <w:rsid w:val="00B665B6"/>
    <w:rsid w:val="00B66BB9"/>
    <w:rsid w:val="00B6785E"/>
    <w:rsid w:val="00B67A0F"/>
    <w:rsid w:val="00B67D0D"/>
    <w:rsid w:val="00B70126"/>
    <w:rsid w:val="00B70450"/>
    <w:rsid w:val="00B71D1E"/>
    <w:rsid w:val="00B810A1"/>
    <w:rsid w:val="00B81906"/>
    <w:rsid w:val="00B84528"/>
    <w:rsid w:val="00B85721"/>
    <w:rsid w:val="00B85D9E"/>
    <w:rsid w:val="00B86091"/>
    <w:rsid w:val="00B87407"/>
    <w:rsid w:val="00B87A5D"/>
    <w:rsid w:val="00B90D2B"/>
    <w:rsid w:val="00B90E9C"/>
    <w:rsid w:val="00B91045"/>
    <w:rsid w:val="00B9254C"/>
    <w:rsid w:val="00B94319"/>
    <w:rsid w:val="00B9483D"/>
    <w:rsid w:val="00B94A2C"/>
    <w:rsid w:val="00B95900"/>
    <w:rsid w:val="00B959D7"/>
    <w:rsid w:val="00B95C39"/>
    <w:rsid w:val="00B96295"/>
    <w:rsid w:val="00B97C90"/>
    <w:rsid w:val="00B97DA5"/>
    <w:rsid w:val="00BA00DA"/>
    <w:rsid w:val="00BA1A41"/>
    <w:rsid w:val="00BA3128"/>
    <w:rsid w:val="00BA48D6"/>
    <w:rsid w:val="00BA4B62"/>
    <w:rsid w:val="00BA4C7E"/>
    <w:rsid w:val="00BA594C"/>
    <w:rsid w:val="00BA5997"/>
    <w:rsid w:val="00BA6745"/>
    <w:rsid w:val="00BB0704"/>
    <w:rsid w:val="00BB0C11"/>
    <w:rsid w:val="00BB12EB"/>
    <w:rsid w:val="00BB239E"/>
    <w:rsid w:val="00BB276E"/>
    <w:rsid w:val="00BB306F"/>
    <w:rsid w:val="00BB35A0"/>
    <w:rsid w:val="00BB4365"/>
    <w:rsid w:val="00BB4E8C"/>
    <w:rsid w:val="00BB6303"/>
    <w:rsid w:val="00BB6C5F"/>
    <w:rsid w:val="00BC0BBB"/>
    <w:rsid w:val="00BC21E5"/>
    <w:rsid w:val="00BC22BB"/>
    <w:rsid w:val="00BC26D0"/>
    <w:rsid w:val="00BC29F3"/>
    <w:rsid w:val="00BC3308"/>
    <w:rsid w:val="00BC49DA"/>
    <w:rsid w:val="00BC7637"/>
    <w:rsid w:val="00BD0034"/>
    <w:rsid w:val="00BD07E1"/>
    <w:rsid w:val="00BD25E5"/>
    <w:rsid w:val="00BD29AD"/>
    <w:rsid w:val="00BD2B81"/>
    <w:rsid w:val="00BD345C"/>
    <w:rsid w:val="00BD5E54"/>
    <w:rsid w:val="00BD6702"/>
    <w:rsid w:val="00BD6DB5"/>
    <w:rsid w:val="00BD7386"/>
    <w:rsid w:val="00BD76E3"/>
    <w:rsid w:val="00BD7B87"/>
    <w:rsid w:val="00BD7FD2"/>
    <w:rsid w:val="00BE1DB6"/>
    <w:rsid w:val="00BE37E4"/>
    <w:rsid w:val="00BE47E9"/>
    <w:rsid w:val="00BE5DDD"/>
    <w:rsid w:val="00BE6B4E"/>
    <w:rsid w:val="00BE7113"/>
    <w:rsid w:val="00BF00C0"/>
    <w:rsid w:val="00BF124E"/>
    <w:rsid w:val="00BF5B7F"/>
    <w:rsid w:val="00BF6FBF"/>
    <w:rsid w:val="00C044A6"/>
    <w:rsid w:val="00C06075"/>
    <w:rsid w:val="00C0640E"/>
    <w:rsid w:val="00C064DE"/>
    <w:rsid w:val="00C070D6"/>
    <w:rsid w:val="00C07D0B"/>
    <w:rsid w:val="00C10129"/>
    <w:rsid w:val="00C10488"/>
    <w:rsid w:val="00C124D0"/>
    <w:rsid w:val="00C128A0"/>
    <w:rsid w:val="00C13AEE"/>
    <w:rsid w:val="00C144C2"/>
    <w:rsid w:val="00C14630"/>
    <w:rsid w:val="00C14DC4"/>
    <w:rsid w:val="00C16187"/>
    <w:rsid w:val="00C173CE"/>
    <w:rsid w:val="00C20B08"/>
    <w:rsid w:val="00C20E21"/>
    <w:rsid w:val="00C2375A"/>
    <w:rsid w:val="00C271D2"/>
    <w:rsid w:val="00C3013F"/>
    <w:rsid w:val="00C30DD7"/>
    <w:rsid w:val="00C320A3"/>
    <w:rsid w:val="00C322E3"/>
    <w:rsid w:val="00C328DD"/>
    <w:rsid w:val="00C33687"/>
    <w:rsid w:val="00C3429F"/>
    <w:rsid w:val="00C3643D"/>
    <w:rsid w:val="00C375CF"/>
    <w:rsid w:val="00C37DB0"/>
    <w:rsid w:val="00C417F0"/>
    <w:rsid w:val="00C43231"/>
    <w:rsid w:val="00C43A37"/>
    <w:rsid w:val="00C44CD2"/>
    <w:rsid w:val="00C44E19"/>
    <w:rsid w:val="00C51FF8"/>
    <w:rsid w:val="00C5200B"/>
    <w:rsid w:val="00C520BB"/>
    <w:rsid w:val="00C524D2"/>
    <w:rsid w:val="00C52708"/>
    <w:rsid w:val="00C56988"/>
    <w:rsid w:val="00C57016"/>
    <w:rsid w:val="00C60568"/>
    <w:rsid w:val="00C60823"/>
    <w:rsid w:val="00C64D99"/>
    <w:rsid w:val="00C65CBD"/>
    <w:rsid w:val="00C66492"/>
    <w:rsid w:val="00C66B7A"/>
    <w:rsid w:val="00C67AA7"/>
    <w:rsid w:val="00C727B5"/>
    <w:rsid w:val="00C73729"/>
    <w:rsid w:val="00C83B53"/>
    <w:rsid w:val="00C855B0"/>
    <w:rsid w:val="00C858B4"/>
    <w:rsid w:val="00C86CFB"/>
    <w:rsid w:val="00C87A59"/>
    <w:rsid w:val="00C87FB8"/>
    <w:rsid w:val="00C9359E"/>
    <w:rsid w:val="00C9628A"/>
    <w:rsid w:val="00C974AA"/>
    <w:rsid w:val="00C97690"/>
    <w:rsid w:val="00CA1DA6"/>
    <w:rsid w:val="00CA3253"/>
    <w:rsid w:val="00CA4D18"/>
    <w:rsid w:val="00CA5F25"/>
    <w:rsid w:val="00CA6192"/>
    <w:rsid w:val="00CA6E0C"/>
    <w:rsid w:val="00CA7102"/>
    <w:rsid w:val="00CA7969"/>
    <w:rsid w:val="00CB127D"/>
    <w:rsid w:val="00CB1566"/>
    <w:rsid w:val="00CB1969"/>
    <w:rsid w:val="00CB213F"/>
    <w:rsid w:val="00CB25A7"/>
    <w:rsid w:val="00CB467D"/>
    <w:rsid w:val="00CB6101"/>
    <w:rsid w:val="00CB68D8"/>
    <w:rsid w:val="00CB6BE1"/>
    <w:rsid w:val="00CB7255"/>
    <w:rsid w:val="00CC0DB2"/>
    <w:rsid w:val="00CC0EDC"/>
    <w:rsid w:val="00CC1384"/>
    <w:rsid w:val="00CC2314"/>
    <w:rsid w:val="00CC5E8A"/>
    <w:rsid w:val="00CC6318"/>
    <w:rsid w:val="00CC703E"/>
    <w:rsid w:val="00CC7207"/>
    <w:rsid w:val="00CD18FB"/>
    <w:rsid w:val="00CD3B41"/>
    <w:rsid w:val="00CD3FF8"/>
    <w:rsid w:val="00CD4375"/>
    <w:rsid w:val="00CD4532"/>
    <w:rsid w:val="00CD60B4"/>
    <w:rsid w:val="00CD6D91"/>
    <w:rsid w:val="00CE2326"/>
    <w:rsid w:val="00CE256B"/>
    <w:rsid w:val="00CE2A61"/>
    <w:rsid w:val="00CE4B3C"/>
    <w:rsid w:val="00CE5090"/>
    <w:rsid w:val="00CE6313"/>
    <w:rsid w:val="00CF0326"/>
    <w:rsid w:val="00CF1D0F"/>
    <w:rsid w:val="00CF2DF3"/>
    <w:rsid w:val="00CF4A17"/>
    <w:rsid w:val="00CF55A8"/>
    <w:rsid w:val="00CF6975"/>
    <w:rsid w:val="00CF6E2F"/>
    <w:rsid w:val="00CF7A7C"/>
    <w:rsid w:val="00D01448"/>
    <w:rsid w:val="00D0218B"/>
    <w:rsid w:val="00D03CC6"/>
    <w:rsid w:val="00D03DB9"/>
    <w:rsid w:val="00D0424C"/>
    <w:rsid w:val="00D050D6"/>
    <w:rsid w:val="00D05612"/>
    <w:rsid w:val="00D076F0"/>
    <w:rsid w:val="00D139A7"/>
    <w:rsid w:val="00D1517C"/>
    <w:rsid w:val="00D16170"/>
    <w:rsid w:val="00D17B81"/>
    <w:rsid w:val="00D21A6F"/>
    <w:rsid w:val="00D222C3"/>
    <w:rsid w:val="00D24DED"/>
    <w:rsid w:val="00D30445"/>
    <w:rsid w:val="00D31DBA"/>
    <w:rsid w:val="00D329B2"/>
    <w:rsid w:val="00D33A3A"/>
    <w:rsid w:val="00D34D6B"/>
    <w:rsid w:val="00D35226"/>
    <w:rsid w:val="00D35D08"/>
    <w:rsid w:val="00D4007C"/>
    <w:rsid w:val="00D42C0E"/>
    <w:rsid w:val="00D43429"/>
    <w:rsid w:val="00D44C37"/>
    <w:rsid w:val="00D44C50"/>
    <w:rsid w:val="00D450D9"/>
    <w:rsid w:val="00D50950"/>
    <w:rsid w:val="00D51B4E"/>
    <w:rsid w:val="00D5309C"/>
    <w:rsid w:val="00D5330D"/>
    <w:rsid w:val="00D5341D"/>
    <w:rsid w:val="00D54E70"/>
    <w:rsid w:val="00D55551"/>
    <w:rsid w:val="00D56440"/>
    <w:rsid w:val="00D57887"/>
    <w:rsid w:val="00D578EA"/>
    <w:rsid w:val="00D60156"/>
    <w:rsid w:val="00D6060C"/>
    <w:rsid w:val="00D61F67"/>
    <w:rsid w:val="00D634FF"/>
    <w:rsid w:val="00D65394"/>
    <w:rsid w:val="00D65512"/>
    <w:rsid w:val="00D66169"/>
    <w:rsid w:val="00D6651C"/>
    <w:rsid w:val="00D673EC"/>
    <w:rsid w:val="00D67FE4"/>
    <w:rsid w:val="00D702AB"/>
    <w:rsid w:val="00D70FC1"/>
    <w:rsid w:val="00D72FCD"/>
    <w:rsid w:val="00D74B43"/>
    <w:rsid w:val="00D74E32"/>
    <w:rsid w:val="00D75AED"/>
    <w:rsid w:val="00D75B07"/>
    <w:rsid w:val="00D76EA7"/>
    <w:rsid w:val="00D77519"/>
    <w:rsid w:val="00D776FE"/>
    <w:rsid w:val="00D8064C"/>
    <w:rsid w:val="00D81361"/>
    <w:rsid w:val="00D8206B"/>
    <w:rsid w:val="00D82217"/>
    <w:rsid w:val="00D836B7"/>
    <w:rsid w:val="00D8511D"/>
    <w:rsid w:val="00D86C33"/>
    <w:rsid w:val="00D90132"/>
    <w:rsid w:val="00D90ABF"/>
    <w:rsid w:val="00D92CAA"/>
    <w:rsid w:val="00D94AD3"/>
    <w:rsid w:val="00D94EF1"/>
    <w:rsid w:val="00D96665"/>
    <w:rsid w:val="00DA0E7F"/>
    <w:rsid w:val="00DA173F"/>
    <w:rsid w:val="00DA2E94"/>
    <w:rsid w:val="00DA6E88"/>
    <w:rsid w:val="00DA70E2"/>
    <w:rsid w:val="00DB01A9"/>
    <w:rsid w:val="00DB3AE4"/>
    <w:rsid w:val="00DB4534"/>
    <w:rsid w:val="00DB4DC9"/>
    <w:rsid w:val="00DB5360"/>
    <w:rsid w:val="00DB537C"/>
    <w:rsid w:val="00DB5E5C"/>
    <w:rsid w:val="00DB5F64"/>
    <w:rsid w:val="00DB7B95"/>
    <w:rsid w:val="00DC097C"/>
    <w:rsid w:val="00DC0C65"/>
    <w:rsid w:val="00DC54DC"/>
    <w:rsid w:val="00DC6216"/>
    <w:rsid w:val="00DC6E9C"/>
    <w:rsid w:val="00DD4DBC"/>
    <w:rsid w:val="00DD6223"/>
    <w:rsid w:val="00DD68E3"/>
    <w:rsid w:val="00DE0268"/>
    <w:rsid w:val="00DE1A38"/>
    <w:rsid w:val="00DE38CF"/>
    <w:rsid w:val="00DE4827"/>
    <w:rsid w:val="00DE526F"/>
    <w:rsid w:val="00DE6B72"/>
    <w:rsid w:val="00DE715C"/>
    <w:rsid w:val="00DE77D4"/>
    <w:rsid w:val="00DF45E7"/>
    <w:rsid w:val="00DF4CB6"/>
    <w:rsid w:val="00DF4CED"/>
    <w:rsid w:val="00DF57E9"/>
    <w:rsid w:val="00DF78B9"/>
    <w:rsid w:val="00DF7FF2"/>
    <w:rsid w:val="00E051D9"/>
    <w:rsid w:val="00E052E6"/>
    <w:rsid w:val="00E0541C"/>
    <w:rsid w:val="00E05776"/>
    <w:rsid w:val="00E07F86"/>
    <w:rsid w:val="00E10C95"/>
    <w:rsid w:val="00E122A3"/>
    <w:rsid w:val="00E12E45"/>
    <w:rsid w:val="00E137ED"/>
    <w:rsid w:val="00E13D88"/>
    <w:rsid w:val="00E15742"/>
    <w:rsid w:val="00E172B9"/>
    <w:rsid w:val="00E1790F"/>
    <w:rsid w:val="00E17C77"/>
    <w:rsid w:val="00E202ED"/>
    <w:rsid w:val="00E21080"/>
    <w:rsid w:val="00E21198"/>
    <w:rsid w:val="00E23D74"/>
    <w:rsid w:val="00E24F59"/>
    <w:rsid w:val="00E26800"/>
    <w:rsid w:val="00E3122C"/>
    <w:rsid w:val="00E32DEA"/>
    <w:rsid w:val="00E339C7"/>
    <w:rsid w:val="00E3454B"/>
    <w:rsid w:val="00E35A19"/>
    <w:rsid w:val="00E37525"/>
    <w:rsid w:val="00E37626"/>
    <w:rsid w:val="00E37772"/>
    <w:rsid w:val="00E40DB4"/>
    <w:rsid w:val="00E41C3E"/>
    <w:rsid w:val="00E41DFF"/>
    <w:rsid w:val="00E41FD1"/>
    <w:rsid w:val="00E4385C"/>
    <w:rsid w:val="00E45402"/>
    <w:rsid w:val="00E461B9"/>
    <w:rsid w:val="00E4749E"/>
    <w:rsid w:val="00E505E5"/>
    <w:rsid w:val="00E50E8A"/>
    <w:rsid w:val="00E54795"/>
    <w:rsid w:val="00E54DD3"/>
    <w:rsid w:val="00E570E1"/>
    <w:rsid w:val="00E6068B"/>
    <w:rsid w:val="00E61AD1"/>
    <w:rsid w:val="00E6233E"/>
    <w:rsid w:val="00E63DC1"/>
    <w:rsid w:val="00E66EEA"/>
    <w:rsid w:val="00E73044"/>
    <w:rsid w:val="00E747ED"/>
    <w:rsid w:val="00E760E5"/>
    <w:rsid w:val="00E762D8"/>
    <w:rsid w:val="00E763E4"/>
    <w:rsid w:val="00E7671C"/>
    <w:rsid w:val="00E7718B"/>
    <w:rsid w:val="00E77463"/>
    <w:rsid w:val="00E80228"/>
    <w:rsid w:val="00E80F3D"/>
    <w:rsid w:val="00E829CE"/>
    <w:rsid w:val="00E831A9"/>
    <w:rsid w:val="00E84ECD"/>
    <w:rsid w:val="00E85196"/>
    <w:rsid w:val="00E85A0E"/>
    <w:rsid w:val="00E872BA"/>
    <w:rsid w:val="00E92235"/>
    <w:rsid w:val="00E93B40"/>
    <w:rsid w:val="00E95A96"/>
    <w:rsid w:val="00E95BEE"/>
    <w:rsid w:val="00E95DDD"/>
    <w:rsid w:val="00E96CB8"/>
    <w:rsid w:val="00EA032C"/>
    <w:rsid w:val="00EA06D0"/>
    <w:rsid w:val="00EA0D10"/>
    <w:rsid w:val="00EA332E"/>
    <w:rsid w:val="00EA5086"/>
    <w:rsid w:val="00EA5C9F"/>
    <w:rsid w:val="00EA72C6"/>
    <w:rsid w:val="00EA7853"/>
    <w:rsid w:val="00EA7F9C"/>
    <w:rsid w:val="00EB0872"/>
    <w:rsid w:val="00EB1145"/>
    <w:rsid w:val="00EB2D4D"/>
    <w:rsid w:val="00EB56DA"/>
    <w:rsid w:val="00EB577B"/>
    <w:rsid w:val="00EB66F8"/>
    <w:rsid w:val="00EC009D"/>
    <w:rsid w:val="00EC0701"/>
    <w:rsid w:val="00EC0E9E"/>
    <w:rsid w:val="00EC0F52"/>
    <w:rsid w:val="00EC3B38"/>
    <w:rsid w:val="00EC3FFB"/>
    <w:rsid w:val="00EC4CE0"/>
    <w:rsid w:val="00EC67FA"/>
    <w:rsid w:val="00EC7F5B"/>
    <w:rsid w:val="00ED0562"/>
    <w:rsid w:val="00ED1F62"/>
    <w:rsid w:val="00ED3113"/>
    <w:rsid w:val="00ED3B5E"/>
    <w:rsid w:val="00ED5966"/>
    <w:rsid w:val="00ED7F21"/>
    <w:rsid w:val="00EE0A74"/>
    <w:rsid w:val="00EE1453"/>
    <w:rsid w:val="00EE1A83"/>
    <w:rsid w:val="00EE2E7E"/>
    <w:rsid w:val="00EE3E00"/>
    <w:rsid w:val="00EE4554"/>
    <w:rsid w:val="00EE5F3F"/>
    <w:rsid w:val="00EE7452"/>
    <w:rsid w:val="00EE78B7"/>
    <w:rsid w:val="00EF05A8"/>
    <w:rsid w:val="00EF13AA"/>
    <w:rsid w:val="00EF1411"/>
    <w:rsid w:val="00EF2300"/>
    <w:rsid w:val="00EF3261"/>
    <w:rsid w:val="00EF41EF"/>
    <w:rsid w:val="00EF46C4"/>
    <w:rsid w:val="00EF4D08"/>
    <w:rsid w:val="00EF5609"/>
    <w:rsid w:val="00EF7975"/>
    <w:rsid w:val="00EF7BDF"/>
    <w:rsid w:val="00EF7FEF"/>
    <w:rsid w:val="00F0343C"/>
    <w:rsid w:val="00F06D64"/>
    <w:rsid w:val="00F07040"/>
    <w:rsid w:val="00F07537"/>
    <w:rsid w:val="00F1084F"/>
    <w:rsid w:val="00F112E0"/>
    <w:rsid w:val="00F11CF0"/>
    <w:rsid w:val="00F12258"/>
    <w:rsid w:val="00F15B43"/>
    <w:rsid w:val="00F221F6"/>
    <w:rsid w:val="00F23A3E"/>
    <w:rsid w:val="00F2606C"/>
    <w:rsid w:val="00F2769E"/>
    <w:rsid w:val="00F306F8"/>
    <w:rsid w:val="00F30D29"/>
    <w:rsid w:val="00F32D7F"/>
    <w:rsid w:val="00F32EFF"/>
    <w:rsid w:val="00F3479D"/>
    <w:rsid w:val="00F35BF1"/>
    <w:rsid w:val="00F361A0"/>
    <w:rsid w:val="00F36311"/>
    <w:rsid w:val="00F3638C"/>
    <w:rsid w:val="00F37076"/>
    <w:rsid w:val="00F3794B"/>
    <w:rsid w:val="00F448CE"/>
    <w:rsid w:val="00F46CB7"/>
    <w:rsid w:val="00F46DF4"/>
    <w:rsid w:val="00F46F9C"/>
    <w:rsid w:val="00F47894"/>
    <w:rsid w:val="00F502C1"/>
    <w:rsid w:val="00F505A0"/>
    <w:rsid w:val="00F506B2"/>
    <w:rsid w:val="00F51C12"/>
    <w:rsid w:val="00F536C5"/>
    <w:rsid w:val="00F55137"/>
    <w:rsid w:val="00F551EC"/>
    <w:rsid w:val="00F56073"/>
    <w:rsid w:val="00F622C6"/>
    <w:rsid w:val="00F62A19"/>
    <w:rsid w:val="00F642A7"/>
    <w:rsid w:val="00F65903"/>
    <w:rsid w:val="00F65FCB"/>
    <w:rsid w:val="00F666A0"/>
    <w:rsid w:val="00F67601"/>
    <w:rsid w:val="00F677E9"/>
    <w:rsid w:val="00F67C8B"/>
    <w:rsid w:val="00F710F6"/>
    <w:rsid w:val="00F71CCD"/>
    <w:rsid w:val="00F74828"/>
    <w:rsid w:val="00F74DB5"/>
    <w:rsid w:val="00F7533C"/>
    <w:rsid w:val="00F760A0"/>
    <w:rsid w:val="00F76946"/>
    <w:rsid w:val="00F8146B"/>
    <w:rsid w:val="00F833B0"/>
    <w:rsid w:val="00F83B15"/>
    <w:rsid w:val="00F83CC5"/>
    <w:rsid w:val="00F84DF1"/>
    <w:rsid w:val="00F909A0"/>
    <w:rsid w:val="00F90DB6"/>
    <w:rsid w:val="00F91674"/>
    <w:rsid w:val="00F91A6A"/>
    <w:rsid w:val="00F9353E"/>
    <w:rsid w:val="00F9382C"/>
    <w:rsid w:val="00F93FF3"/>
    <w:rsid w:val="00F96655"/>
    <w:rsid w:val="00F97974"/>
    <w:rsid w:val="00FA11FA"/>
    <w:rsid w:val="00FA1266"/>
    <w:rsid w:val="00FA190F"/>
    <w:rsid w:val="00FA211B"/>
    <w:rsid w:val="00FA2AF2"/>
    <w:rsid w:val="00FA5DBE"/>
    <w:rsid w:val="00FA5E80"/>
    <w:rsid w:val="00FA6562"/>
    <w:rsid w:val="00FB0C6D"/>
    <w:rsid w:val="00FB2541"/>
    <w:rsid w:val="00FB2F37"/>
    <w:rsid w:val="00FB3834"/>
    <w:rsid w:val="00FB392C"/>
    <w:rsid w:val="00FB45E2"/>
    <w:rsid w:val="00FC0691"/>
    <w:rsid w:val="00FC0A27"/>
    <w:rsid w:val="00FC26DA"/>
    <w:rsid w:val="00FC3DAD"/>
    <w:rsid w:val="00FC3DFD"/>
    <w:rsid w:val="00FC6FF7"/>
    <w:rsid w:val="00FC7F58"/>
    <w:rsid w:val="00FD1712"/>
    <w:rsid w:val="00FD204C"/>
    <w:rsid w:val="00FD2BA6"/>
    <w:rsid w:val="00FD2F92"/>
    <w:rsid w:val="00FD3EF7"/>
    <w:rsid w:val="00FD4762"/>
    <w:rsid w:val="00FD5438"/>
    <w:rsid w:val="00FE1304"/>
    <w:rsid w:val="00FE24E2"/>
    <w:rsid w:val="00FE45EB"/>
    <w:rsid w:val="00FE4D79"/>
    <w:rsid w:val="00FE5027"/>
    <w:rsid w:val="00FE589F"/>
    <w:rsid w:val="00FF0479"/>
    <w:rsid w:val="00FF0B9A"/>
    <w:rsid w:val="00FF128C"/>
    <w:rsid w:val="00FF1BD1"/>
    <w:rsid w:val="00FF1C33"/>
    <w:rsid w:val="00FF2734"/>
    <w:rsid w:val="00FF2916"/>
    <w:rsid w:val="00FF53C1"/>
    <w:rsid w:val="00FF6192"/>
    <w:rsid w:val="00FF73F5"/>
    <w:rsid w:val="038BD0B5"/>
    <w:rsid w:val="03D1D501"/>
    <w:rsid w:val="05DBFBF3"/>
    <w:rsid w:val="06E49B18"/>
    <w:rsid w:val="079F7ED2"/>
    <w:rsid w:val="08358751"/>
    <w:rsid w:val="0C7F0B39"/>
    <w:rsid w:val="10FB5474"/>
    <w:rsid w:val="15DADAE5"/>
    <w:rsid w:val="193C3A3F"/>
    <w:rsid w:val="1C2495F3"/>
    <w:rsid w:val="1F75DDDB"/>
    <w:rsid w:val="1F7E3728"/>
    <w:rsid w:val="24DD4E4C"/>
    <w:rsid w:val="256CC234"/>
    <w:rsid w:val="259FFDA6"/>
    <w:rsid w:val="2673C091"/>
    <w:rsid w:val="28EBBE5C"/>
    <w:rsid w:val="305C8A1B"/>
    <w:rsid w:val="3234243D"/>
    <w:rsid w:val="38600902"/>
    <w:rsid w:val="3B33ABE7"/>
    <w:rsid w:val="3E967F0D"/>
    <w:rsid w:val="41360E09"/>
    <w:rsid w:val="413E8124"/>
    <w:rsid w:val="443BA641"/>
    <w:rsid w:val="46CC846A"/>
    <w:rsid w:val="4CD4BD3D"/>
    <w:rsid w:val="5CD5E652"/>
    <w:rsid w:val="5EEF4521"/>
    <w:rsid w:val="5FB9A2C7"/>
    <w:rsid w:val="6193707A"/>
    <w:rsid w:val="62AD53EC"/>
    <w:rsid w:val="6D112608"/>
    <w:rsid w:val="709605AA"/>
    <w:rsid w:val="72F1BB8F"/>
    <w:rsid w:val="739D03D9"/>
    <w:rsid w:val="745E7BA4"/>
    <w:rsid w:val="792FCC81"/>
    <w:rsid w:val="7C7C2B45"/>
    <w:rsid w:val="7DB57EE1"/>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7BA0D4"/>
  <w14:discardImageEditingData/>
  <w15:chartTrackingRefBased/>
  <w15:docId w15:val="{D002FCC0-447E-2244-8019-AA2794F1D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B8D"/>
    <w:rPr>
      <w:rFonts w:ascii="Times New Roman" w:eastAsia="Times New Roman" w:hAnsi="Times New Roman" w:cs="Times New Roman"/>
      <w:kern w:val="0"/>
      <w:lang w:val="en-GB" w:eastAsia="pt-PT"/>
      <w14:ligatures w14:val="none"/>
    </w:rPr>
  </w:style>
  <w:style w:type="paragraph" w:styleId="Ttulo1">
    <w:name w:val="heading 1"/>
    <w:basedOn w:val="Normal"/>
    <w:next w:val="Normal"/>
    <w:link w:val="Ttulo1Carter"/>
    <w:uiPriority w:val="9"/>
    <w:qFormat/>
    <w:rsid w:val="00342573"/>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ter"/>
    <w:uiPriority w:val="9"/>
    <w:unhideWhenUsed/>
    <w:qFormat/>
    <w:rsid w:val="00342573"/>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ter"/>
    <w:uiPriority w:val="9"/>
    <w:unhideWhenUsed/>
    <w:qFormat/>
    <w:rsid w:val="00342573"/>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ter"/>
    <w:uiPriority w:val="9"/>
    <w:semiHidden/>
    <w:unhideWhenUsed/>
    <w:qFormat/>
    <w:rsid w:val="00342573"/>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ter"/>
    <w:uiPriority w:val="9"/>
    <w:semiHidden/>
    <w:unhideWhenUsed/>
    <w:qFormat/>
    <w:rsid w:val="00342573"/>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ter"/>
    <w:uiPriority w:val="9"/>
    <w:semiHidden/>
    <w:unhideWhenUsed/>
    <w:qFormat/>
    <w:rsid w:val="00342573"/>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ter"/>
    <w:uiPriority w:val="9"/>
    <w:semiHidden/>
    <w:unhideWhenUsed/>
    <w:qFormat/>
    <w:rsid w:val="00342573"/>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ter"/>
    <w:uiPriority w:val="9"/>
    <w:semiHidden/>
    <w:unhideWhenUsed/>
    <w:qFormat/>
    <w:rsid w:val="00342573"/>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ter"/>
    <w:uiPriority w:val="9"/>
    <w:semiHidden/>
    <w:unhideWhenUsed/>
    <w:qFormat/>
    <w:rsid w:val="00342573"/>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342573"/>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rsid w:val="00342573"/>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rsid w:val="00342573"/>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342573"/>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342573"/>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342573"/>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342573"/>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342573"/>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342573"/>
    <w:rPr>
      <w:rFonts w:eastAsiaTheme="majorEastAsia" w:cstheme="majorBidi"/>
      <w:color w:val="272727" w:themeColor="text1" w:themeTint="D8"/>
    </w:rPr>
  </w:style>
  <w:style w:type="paragraph" w:styleId="Ttulo">
    <w:name w:val="Title"/>
    <w:basedOn w:val="Normal"/>
    <w:next w:val="Normal"/>
    <w:link w:val="TtuloCarter"/>
    <w:uiPriority w:val="10"/>
    <w:qFormat/>
    <w:rsid w:val="0034257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ter">
    <w:name w:val="Título Caráter"/>
    <w:basedOn w:val="Tipodeletrapredefinidodopargrafo"/>
    <w:link w:val="Ttulo"/>
    <w:uiPriority w:val="10"/>
    <w:rsid w:val="0034257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342573"/>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ter">
    <w:name w:val="Subtítulo Caráter"/>
    <w:basedOn w:val="Tipodeletrapredefinidodopargrafo"/>
    <w:link w:val="Subttulo"/>
    <w:uiPriority w:val="11"/>
    <w:rsid w:val="00342573"/>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342573"/>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arter">
    <w:name w:val="Citação Caráter"/>
    <w:basedOn w:val="Tipodeletrapredefinidodopargrafo"/>
    <w:link w:val="Citao"/>
    <w:uiPriority w:val="29"/>
    <w:rsid w:val="00342573"/>
    <w:rPr>
      <w:i/>
      <w:iCs/>
      <w:color w:val="404040" w:themeColor="text1" w:themeTint="BF"/>
    </w:rPr>
  </w:style>
  <w:style w:type="paragraph" w:styleId="PargrafodaLista">
    <w:name w:val="List Paragraph"/>
    <w:basedOn w:val="Normal"/>
    <w:uiPriority w:val="34"/>
    <w:qFormat/>
    <w:rsid w:val="00342573"/>
    <w:pPr>
      <w:ind w:left="720"/>
      <w:contextualSpacing/>
    </w:pPr>
    <w:rPr>
      <w:rFonts w:asciiTheme="minorHAnsi" w:eastAsiaTheme="minorHAnsi" w:hAnsiTheme="minorHAnsi" w:cstheme="minorBidi"/>
      <w:kern w:val="2"/>
      <w:lang w:eastAsia="en-US"/>
      <w14:ligatures w14:val="standardContextual"/>
    </w:rPr>
  </w:style>
  <w:style w:type="character" w:styleId="nfaseIntensa">
    <w:name w:val="Intense Emphasis"/>
    <w:basedOn w:val="Tipodeletrapredefinidodopargrafo"/>
    <w:uiPriority w:val="21"/>
    <w:qFormat/>
    <w:rsid w:val="00342573"/>
    <w:rPr>
      <w:i/>
      <w:iCs/>
      <w:color w:val="0F4761" w:themeColor="accent1" w:themeShade="BF"/>
    </w:rPr>
  </w:style>
  <w:style w:type="paragraph" w:styleId="CitaoIntensa">
    <w:name w:val="Intense Quote"/>
    <w:basedOn w:val="Normal"/>
    <w:next w:val="Normal"/>
    <w:link w:val="CitaoIntensaCarter"/>
    <w:uiPriority w:val="30"/>
    <w:qFormat/>
    <w:rsid w:val="0034257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oIntensaCarter">
    <w:name w:val="Citação Intensa Caráter"/>
    <w:basedOn w:val="Tipodeletrapredefinidodopargrafo"/>
    <w:link w:val="CitaoIntensa"/>
    <w:uiPriority w:val="30"/>
    <w:rsid w:val="00342573"/>
    <w:rPr>
      <w:i/>
      <w:iCs/>
      <w:color w:val="0F4761" w:themeColor="accent1" w:themeShade="BF"/>
    </w:rPr>
  </w:style>
  <w:style w:type="character" w:styleId="RefernciaIntensa">
    <w:name w:val="Intense Reference"/>
    <w:basedOn w:val="Tipodeletrapredefinidodopargrafo"/>
    <w:uiPriority w:val="32"/>
    <w:qFormat/>
    <w:rsid w:val="00342573"/>
    <w:rPr>
      <w:b/>
      <w:bCs/>
      <w:smallCaps/>
      <w:color w:val="0F4761" w:themeColor="accent1" w:themeShade="BF"/>
      <w:spacing w:val="5"/>
    </w:rPr>
  </w:style>
  <w:style w:type="paragraph" w:styleId="NormalWeb">
    <w:name w:val="Normal (Web)"/>
    <w:basedOn w:val="Normal"/>
    <w:uiPriority w:val="99"/>
    <w:semiHidden/>
    <w:unhideWhenUsed/>
    <w:rsid w:val="00206348"/>
    <w:rPr>
      <w:rFonts w:eastAsiaTheme="minorHAnsi"/>
      <w:kern w:val="2"/>
      <w:lang w:eastAsia="en-US"/>
      <w14:ligatures w14:val="standardContextual"/>
    </w:rPr>
  </w:style>
  <w:style w:type="character" w:styleId="Hiperligao">
    <w:name w:val="Hyperlink"/>
    <w:basedOn w:val="Tipodeletrapredefinidodopargrafo"/>
    <w:uiPriority w:val="99"/>
    <w:unhideWhenUsed/>
    <w:rsid w:val="00A52E44"/>
    <w:rPr>
      <w:color w:val="467886" w:themeColor="hyperlink"/>
      <w:u w:val="single"/>
    </w:rPr>
  </w:style>
  <w:style w:type="character" w:styleId="MenoNoResolvida">
    <w:name w:val="Unresolved Mention"/>
    <w:basedOn w:val="Tipodeletrapredefinidodopargrafo"/>
    <w:uiPriority w:val="99"/>
    <w:semiHidden/>
    <w:unhideWhenUsed/>
    <w:rsid w:val="00A52E44"/>
    <w:rPr>
      <w:color w:val="605E5C"/>
      <w:shd w:val="clear" w:color="auto" w:fill="E1DFDD"/>
    </w:rPr>
  </w:style>
  <w:style w:type="paragraph" w:customStyle="1" w:styleId="Bibliografia1">
    <w:name w:val="Bibliografia1"/>
    <w:basedOn w:val="Normal"/>
    <w:link w:val="BibliographyCarter"/>
    <w:rsid w:val="009028BB"/>
    <w:pPr>
      <w:spacing w:line="480" w:lineRule="auto"/>
      <w:ind w:left="720" w:hanging="720"/>
      <w:jc w:val="both"/>
    </w:pPr>
    <w:rPr>
      <w:rFonts w:ascii="Garamond" w:eastAsiaTheme="minorHAnsi" w:hAnsi="Garamond" w:cstheme="minorBidi"/>
      <w:kern w:val="2"/>
      <w:lang w:val="en-US" w:eastAsia="en-US"/>
      <w14:ligatures w14:val="standardContextual"/>
    </w:rPr>
  </w:style>
  <w:style w:type="character" w:customStyle="1" w:styleId="BibliographyCarter">
    <w:name w:val="Bibliography Caráter"/>
    <w:basedOn w:val="Tipodeletrapredefinidodopargrafo"/>
    <w:link w:val="Bibliografia1"/>
    <w:rsid w:val="009028BB"/>
    <w:rPr>
      <w:rFonts w:ascii="Garamond" w:hAnsi="Garamond"/>
      <w:lang w:val="en-US"/>
    </w:rPr>
  </w:style>
  <w:style w:type="character" w:styleId="Hiperligaovisitada">
    <w:name w:val="FollowedHyperlink"/>
    <w:basedOn w:val="Tipodeletrapredefinidodopargrafo"/>
    <w:uiPriority w:val="99"/>
    <w:semiHidden/>
    <w:unhideWhenUsed/>
    <w:rsid w:val="00AE6F61"/>
    <w:rPr>
      <w:color w:val="96607D" w:themeColor="followedHyperlink"/>
      <w:u w:val="single"/>
    </w:rPr>
  </w:style>
  <w:style w:type="paragraph" w:styleId="Cabealho">
    <w:name w:val="header"/>
    <w:basedOn w:val="Normal"/>
    <w:link w:val="CabealhoCarter"/>
    <w:uiPriority w:val="99"/>
    <w:unhideWhenUsed/>
    <w:rsid w:val="007773B0"/>
    <w:pPr>
      <w:tabs>
        <w:tab w:val="center" w:pos="4252"/>
        <w:tab w:val="right" w:pos="8504"/>
      </w:tabs>
    </w:pPr>
    <w:rPr>
      <w:rFonts w:asciiTheme="minorHAnsi" w:eastAsiaTheme="minorHAnsi" w:hAnsiTheme="minorHAnsi" w:cstheme="minorBidi"/>
      <w:kern w:val="2"/>
      <w:lang w:eastAsia="en-US"/>
      <w14:ligatures w14:val="standardContextual"/>
    </w:rPr>
  </w:style>
  <w:style w:type="character" w:customStyle="1" w:styleId="CabealhoCarter">
    <w:name w:val="Cabeçalho Caráter"/>
    <w:basedOn w:val="Tipodeletrapredefinidodopargrafo"/>
    <w:link w:val="Cabealho"/>
    <w:uiPriority w:val="99"/>
    <w:rsid w:val="007773B0"/>
  </w:style>
  <w:style w:type="paragraph" w:styleId="Rodap">
    <w:name w:val="footer"/>
    <w:basedOn w:val="Normal"/>
    <w:link w:val="RodapCarter"/>
    <w:uiPriority w:val="99"/>
    <w:unhideWhenUsed/>
    <w:rsid w:val="007773B0"/>
    <w:pPr>
      <w:tabs>
        <w:tab w:val="center" w:pos="4252"/>
        <w:tab w:val="right" w:pos="8504"/>
      </w:tabs>
    </w:pPr>
    <w:rPr>
      <w:rFonts w:asciiTheme="minorHAnsi" w:eastAsiaTheme="minorHAnsi" w:hAnsiTheme="minorHAnsi" w:cstheme="minorBidi"/>
      <w:kern w:val="2"/>
      <w:lang w:eastAsia="en-US"/>
      <w14:ligatures w14:val="standardContextual"/>
    </w:rPr>
  </w:style>
  <w:style w:type="character" w:customStyle="1" w:styleId="RodapCarter">
    <w:name w:val="Rodapé Caráter"/>
    <w:basedOn w:val="Tipodeletrapredefinidodopargrafo"/>
    <w:link w:val="Rodap"/>
    <w:uiPriority w:val="99"/>
    <w:rsid w:val="007773B0"/>
  </w:style>
  <w:style w:type="paragraph" w:styleId="Cabealhodondice">
    <w:name w:val="TOC Heading"/>
    <w:basedOn w:val="Normal"/>
    <w:next w:val="Normal"/>
    <w:uiPriority w:val="39"/>
    <w:unhideWhenUsed/>
    <w:qFormat/>
    <w:rsid w:val="00B57812"/>
    <w:pPr>
      <w:keepNext/>
      <w:keepLines/>
      <w:spacing w:before="480" w:line="276" w:lineRule="auto"/>
    </w:pPr>
    <w:rPr>
      <w:rFonts w:asciiTheme="majorHAnsi" w:eastAsiaTheme="majorEastAsia" w:hAnsiTheme="majorHAnsi" w:cstheme="majorBidi"/>
      <w:b/>
      <w:bCs/>
      <w:color w:val="0F4761" w:themeColor="accent1" w:themeShade="BF"/>
      <w:sz w:val="28"/>
      <w:szCs w:val="28"/>
    </w:rPr>
  </w:style>
  <w:style w:type="paragraph" w:styleId="ndice1">
    <w:name w:val="toc 1"/>
    <w:basedOn w:val="Normal"/>
    <w:next w:val="Normal"/>
    <w:autoRedefine/>
    <w:uiPriority w:val="39"/>
    <w:unhideWhenUsed/>
    <w:rsid w:val="00B46575"/>
    <w:pPr>
      <w:spacing w:before="120"/>
    </w:pPr>
    <w:rPr>
      <w:rFonts w:ascii="Garamond" w:eastAsiaTheme="minorHAnsi" w:hAnsi="Garamond" w:cstheme="minorBidi"/>
      <w:b/>
      <w:bCs/>
      <w:i/>
      <w:iCs/>
      <w:kern w:val="2"/>
      <w:lang w:eastAsia="en-US"/>
      <w14:ligatures w14:val="standardContextual"/>
    </w:rPr>
  </w:style>
  <w:style w:type="paragraph" w:styleId="ndice2">
    <w:name w:val="toc 2"/>
    <w:basedOn w:val="Normal"/>
    <w:next w:val="Normal"/>
    <w:autoRedefine/>
    <w:uiPriority w:val="39"/>
    <w:unhideWhenUsed/>
    <w:rsid w:val="00B57812"/>
    <w:pPr>
      <w:spacing w:before="120"/>
      <w:ind w:left="240"/>
    </w:pPr>
    <w:rPr>
      <w:rFonts w:asciiTheme="minorHAnsi" w:eastAsiaTheme="minorHAnsi" w:hAnsiTheme="minorHAnsi" w:cstheme="minorBidi"/>
      <w:b/>
      <w:bCs/>
      <w:kern w:val="2"/>
      <w:sz w:val="22"/>
      <w:szCs w:val="22"/>
      <w:lang w:eastAsia="en-US"/>
      <w14:ligatures w14:val="standardContextual"/>
    </w:rPr>
  </w:style>
  <w:style w:type="paragraph" w:styleId="ndice3">
    <w:name w:val="toc 3"/>
    <w:basedOn w:val="Normal"/>
    <w:next w:val="Normal"/>
    <w:autoRedefine/>
    <w:uiPriority w:val="39"/>
    <w:unhideWhenUsed/>
    <w:rsid w:val="00B57812"/>
    <w:pPr>
      <w:ind w:left="480"/>
    </w:pPr>
    <w:rPr>
      <w:rFonts w:asciiTheme="minorHAnsi" w:eastAsiaTheme="minorHAnsi" w:hAnsiTheme="minorHAnsi" w:cstheme="minorBidi"/>
      <w:kern w:val="2"/>
      <w:sz w:val="20"/>
      <w:szCs w:val="20"/>
      <w:lang w:eastAsia="en-US"/>
      <w14:ligatures w14:val="standardContextual"/>
    </w:rPr>
  </w:style>
  <w:style w:type="paragraph" w:styleId="ndice4">
    <w:name w:val="toc 4"/>
    <w:basedOn w:val="Normal"/>
    <w:next w:val="Normal"/>
    <w:autoRedefine/>
    <w:uiPriority w:val="39"/>
    <w:semiHidden/>
    <w:unhideWhenUsed/>
    <w:rsid w:val="00B57812"/>
    <w:pPr>
      <w:ind w:left="720"/>
    </w:pPr>
    <w:rPr>
      <w:rFonts w:asciiTheme="minorHAnsi" w:eastAsiaTheme="minorHAnsi" w:hAnsiTheme="minorHAnsi" w:cstheme="minorBidi"/>
      <w:kern w:val="2"/>
      <w:sz w:val="20"/>
      <w:szCs w:val="20"/>
      <w:lang w:eastAsia="en-US"/>
      <w14:ligatures w14:val="standardContextual"/>
    </w:rPr>
  </w:style>
  <w:style w:type="paragraph" w:styleId="ndice5">
    <w:name w:val="toc 5"/>
    <w:basedOn w:val="Normal"/>
    <w:next w:val="Normal"/>
    <w:autoRedefine/>
    <w:uiPriority w:val="39"/>
    <w:semiHidden/>
    <w:unhideWhenUsed/>
    <w:rsid w:val="00B57812"/>
    <w:pPr>
      <w:ind w:left="960"/>
    </w:pPr>
    <w:rPr>
      <w:rFonts w:asciiTheme="minorHAnsi" w:eastAsiaTheme="minorHAnsi" w:hAnsiTheme="minorHAnsi" w:cstheme="minorBidi"/>
      <w:kern w:val="2"/>
      <w:sz w:val="20"/>
      <w:szCs w:val="20"/>
      <w:lang w:eastAsia="en-US"/>
      <w14:ligatures w14:val="standardContextual"/>
    </w:rPr>
  </w:style>
  <w:style w:type="paragraph" w:styleId="ndice6">
    <w:name w:val="toc 6"/>
    <w:basedOn w:val="Normal"/>
    <w:next w:val="Normal"/>
    <w:autoRedefine/>
    <w:uiPriority w:val="39"/>
    <w:semiHidden/>
    <w:unhideWhenUsed/>
    <w:rsid w:val="00B57812"/>
    <w:pPr>
      <w:ind w:left="1200"/>
    </w:pPr>
    <w:rPr>
      <w:rFonts w:asciiTheme="minorHAnsi" w:eastAsiaTheme="minorHAnsi" w:hAnsiTheme="minorHAnsi" w:cstheme="minorBidi"/>
      <w:kern w:val="2"/>
      <w:sz w:val="20"/>
      <w:szCs w:val="20"/>
      <w:lang w:eastAsia="en-US"/>
      <w14:ligatures w14:val="standardContextual"/>
    </w:rPr>
  </w:style>
  <w:style w:type="paragraph" w:styleId="ndice7">
    <w:name w:val="toc 7"/>
    <w:basedOn w:val="Normal"/>
    <w:next w:val="Normal"/>
    <w:autoRedefine/>
    <w:uiPriority w:val="39"/>
    <w:semiHidden/>
    <w:unhideWhenUsed/>
    <w:rsid w:val="00B57812"/>
    <w:pPr>
      <w:ind w:left="1440"/>
    </w:pPr>
    <w:rPr>
      <w:rFonts w:asciiTheme="minorHAnsi" w:eastAsiaTheme="minorHAnsi" w:hAnsiTheme="minorHAnsi" w:cstheme="minorBidi"/>
      <w:kern w:val="2"/>
      <w:sz w:val="20"/>
      <w:szCs w:val="20"/>
      <w:lang w:eastAsia="en-US"/>
      <w14:ligatures w14:val="standardContextual"/>
    </w:rPr>
  </w:style>
  <w:style w:type="paragraph" w:styleId="ndice8">
    <w:name w:val="toc 8"/>
    <w:basedOn w:val="Normal"/>
    <w:next w:val="Normal"/>
    <w:autoRedefine/>
    <w:uiPriority w:val="39"/>
    <w:semiHidden/>
    <w:unhideWhenUsed/>
    <w:rsid w:val="00B57812"/>
    <w:pPr>
      <w:ind w:left="1680"/>
    </w:pPr>
    <w:rPr>
      <w:rFonts w:asciiTheme="minorHAnsi" w:eastAsiaTheme="minorHAnsi" w:hAnsiTheme="minorHAnsi" w:cstheme="minorBidi"/>
      <w:kern w:val="2"/>
      <w:sz w:val="20"/>
      <w:szCs w:val="20"/>
      <w:lang w:eastAsia="en-US"/>
      <w14:ligatures w14:val="standardContextual"/>
    </w:rPr>
  </w:style>
  <w:style w:type="paragraph" w:styleId="ndice9">
    <w:name w:val="toc 9"/>
    <w:basedOn w:val="Normal"/>
    <w:next w:val="Normal"/>
    <w:autoRedefine/>
    <w:uiPriority w:val="39"/>
    <w:semiHidden/>
    <w:unhideWhenUsed/>
    <w:rsid w:val="00B57812"/>
    <w:pPr>
      <w:ind w:left="1920"/>
    </w:pPr>
    <w:rPr>
      <w:rFonts w:asciiTheme="minorHAnsi" w:eastAsiaTheme="minorHAnsi" w:hAnsiTheme="minorHAnsi" w:cstheme="minorBidi"/>
      <w:kern w:val="2"/>
      <w:sz w:val="20"/>
      <w:szCs w:val="20"/>
      <w:lang w:eastAsia="en-US"/>
      <w14:ligatures w14:val="standardContextual"/>
    </w:rPr>
  </w:style>
  <w:style w:type="character" w:styleId="Nmerodepgina">
    <w:name w:val="page number"/>
    <w:basedOn w:val="Tipodeletrapredefinidodopargrafo"/>
    <w:uiPriority w:val="99"/>
    <w:semiHidden/>
    <w:unhideWhenUsed/>
    <w:rsid w:val="00E872BA"/>
  </w:style>
  <w:style w:type="paragraph" w:customStyle="1" w:styleId="EndNoteBibliographyTitle">
    <w:name w:val="EndNote Bibliography Title"/>
    <w:basedOn w:val="Normal"/>
    <w:link w:val="EndNoteBibliographyTitleCarter"/>
    <w:rsid w:val="00A04085"/>
    <w:pPr>
      <w:jc w:val="center"/>
    </w:pPr>
    <w:rPr>
      <w:rFonts w:ascii="Garamond" w:eastAsiaTheme="minorHAnsi" w:hAnsi="Garamond" w:cstheme="minorBidi"/>
      <w:kern w:val="2"/>
      <w:lang w:val="en-US" w:eastAsia="en-US"/>
      <w14:ligatures w14:val="standardContextual"/>
    </w:rPr>
  </w:style>
  <w:style w:type="character" w:customStyle="1" w:styleId="EndNoteBibliographyTitleCarter">
    <w:name w:val="EndNote Bibliography Title Caráter"/>
    <w:basedOn w:val="Tipodeletrapredefinidodopargrafo"/>
    <w:link w:val="EndNoteBibliographyTitle"/>
    <w:rsid w:val="00A04085"/>
    <w:rPr>
      <w:rFonts w:ascii="Garamond" w:hAnsi="Garamond"/>
      <w:lang w:val="en-US"/>
    </w:rPr>
  </w:style>
  <w:style w:type="paragraph" w:customStyle="1" w:styleId="EndNoteBibliography">
    <w:name w:val="EndNote Bibliography"/>
    <w:basedOn w:val="Normal"/>
    <w:link w:val="EndNoteBibliographyCarter"/>
    <w:rsid w:val="00A04085"/>
    <w:pPr>
      <w:jc w:val="both"/>
    </w:pPr>
    <w:rPr>
      <w:rFonts w:ascii="Garamond" w:eastAsiaTheme="minorHAnsi" w:hAnsi="Garamond" w:cstheme="minorBidi"/>
      <w:kern w:val="2"/>
      <w:lang w:val="en-US" w:eastAsia="en-US"/>
      <w14:ligatures w14:val="standardContextual"/>
    </w:rPr>
  </w:style>
  <w:style w:type="character" w:customStyle="1" w:styleId="EndNoteBibliographyCarter">
    <w:name w:val="EndNote Bibliography Caráter"/>
    <w:basedOn w:val="Tipodeletrapredefinidodopargrafo"/>
    <w:link w:val="EndNoteBibliography"/>
    <w:rsid w:val="00A04085"/>
    <w:rPr>
      <w:rFonts w:ascii="Garamond" w:hAnsi="Garamond"/>
      <w:lang w:val="en-US"/>
    </w:rPr>
  </w:style>
  <w:style w:type="paragraph" w:styleId="Reviso">
    <w:name w:val="Revision"/>
    <w:hidden/>
    <w:uiPriority w:val="99"/>
    <w:semiHidden/>
    <w:rsid w:val="004C039C"/>
  </w:style>
  <w:style w:type="paragraph" w:styleId="SemEspaamento">
    <w:name w:val="No Spacing"/>
    <w:link w:val="SemEspaamentoCarter"/>
    <w:uiPriority w:val="1"/>
    <w:qFormat/>
    <w:rsid w:val="00C524D2"/>
    <w:rPr>
      <w:rFonts w:eastAsiaTheme="minorEastAsia"/>
      <w:kern w:val="0"/>
      <w:sz w:val="22"/>
      <w:szCs w:val="22"/>
      <w:lang w:val="en-US" w:eastAsia="zh-CN"/>
      <w14:ligatures w14:val="none"/>
    </w:rPr>
  </w:style>
  <w:style w:type="character" w:customStyle="1" w:styleId="SemEspaamentoCarter">
    <w:name w:val="Sem Espaçamento Caráter"/>
    <w:basedOn w:val="Tipodeletrapredefinidodopargrafo"/>
    <w:link w:val="SemEspaamento"/>
    <w:uiPriority w:val="1"/>
    <w:rsid w:val="00C524D2"/>
    <w:rPr>
      <w:rFonts w:eastAsiaTheme="minorEastAsia"/>
      <w:kern w:val="0"/>
      <w:sz w:val="22"/>
      <w:szCs w:val="22"/>
      <w:lang w:val="en-US" w:eastAsia="zh-CN"/>
      <w14:ligatures w14:val="none"/>
    </w:rPr>
  </w:style>
  <w:style w:type="paragraph" w:customStyle="1" w:styleId="Ttulododocumento">
    <w:name w:val="Título do documento"/>
    <w:basedOn w:val="Normal"/>
    <w:qFormat/>
    <w:rsid w:val="00EB1145"/>
    <w:pPr>
      <w:widowControl w:val="0"/>
      <w:pBdr>
        <w:top w:val="nil"/>
        <w:left w:val="nil"/>
        <w:bottom w:val="nil"/>
        <w:right w:val="nil"/>
        <w:between w:val="nil"/>
      </w:pBdr>
    </w:pPr>
    <w:rPr>
      <w:rFonts w:ascii="Calibri" w:eastAsia="Calibri" w:hAnsi="Calibri" w:cs="Calibri"/>
      <w:b/>
      <w:noProof/>
      <w:color w:val="000000" w:themeColor="text1"/>
      <w:kern w:val="1"/>
      <w:sz w:val="44"/>
      <w:szCs w:val="48"/>
      <w:lang w:eastAsia="zh-CN"/>
    </w:rPr>
  </w:style>
  <w:style w:type="paragraph" w:customStyle="1" w:styleId="TextoDataeNomedoAutor">
    <w:name w:val="Texto. Data e Nome do Autor"/>
    <w:qFormat/>
    <w:rsid w:val="009319CC"/>
    <w:pPr>
      <w:widowControl w:val="0"/>
      <w:pBdr>
        <w:top w:val="nil"/>
        <w:left w:val="nil"/>
        <w:bottom w:val="nil"/>
        <w:right w:val="nil"/>
        <w:between w:val="nil"/>
      </w:pBdr>
    </w:pPr>
    <w:rPr>
      <w:rFonts w:ascii="Calibri Light" w:eastAsia="Calibri" w:hAnsi="Calibri Light" w:cs="Calibri"/>
      <w:noProof/>
      <w:color w:val="000000" w:themeColor="text1"/>
      <w:kern w:val="1"/>
      <w:sz w:val="28"/>
      <w:szCs w:val="28"/>
      <w:lang w:val="en-GB" w:eastAsia="zh-CN"/>
      <w14:ligatures w14:val="none"/>
    </w:rPr>
  </w:style>
  <w:style w:type="table" w:styleId="TabelacomGrelha">
    <w:name w:val="Table Grid"/>
    <w:basedOn w:val="Tabelanormal"/>
    <w:uiPriority w:val="39"/>
    <w:rsid w:val="00435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EA5086"/>
    <w:pPr>
      <w:spacing w:line="360" w:lineRule="auto"/>
      <w:ind w:firstLine="709"/>
      <w:jc w:val="both"/>
    </w:pPr>
    <w:rPr>
      <w:rFonts w:ascii="Garamond" w:eastAsia="PMingLiU" w:hAnsi="Garamond"/>
      <w:lang w:eastAsia="en-GB"/>
    </w:rPr>
  </w:style>
  <w:style w:type="paragraph" w:customStyle="1" w:styleId="NomeAluno">
    <w:name w:val="Nome Aluno"/>
    <w:basedOn w:val="Normal"/>
    <w:rsid w:val="00EA5086"/>
    <w:pPr>
      <w:widowControl w:val="0"/>
      <w:spacing w:before="160"/>
    </w:pPr>
    <w:rPr>
      <w:rFonts w:ascii="Garamond" w:eastAsia="Garamond" w:hAnsi="Garamond" w:cs="Garamond"/>
      <w:b/>
      <w:kern w:val="2"/>
    </w:rPr>
  </w:style>
  <w:style w:type="paragraph" w:customStyle="1" w:styleId="Sub-Titulo1">
    <w:name w:val="Sub-Titulo 1"/>
    <w:basedOn w:val="Normal"/>
    <w:rsid w:val="00EA5086"/>
    <w:pPr>
      <w:spacing w:before="160"/>
    </w:pPr>
    <w:rPr>
      <w:rFonts w:ascii="Garamond" w:eastAsia="Garamond" w:hAnsi="Garamond" w:cs="Garamond"/>
    </w:rPr>
  </w:style>
  <w:style w:type="paragraph" w:customStyle="1" w:styleId="Sub-Titulo2">
    <w:name w:val="Sub-Titulo 2"/>
    <w:basedOn w:val="Sub-Titulo1"/>
    <w:rsid w:val="00EA5086"/>
    <w:pPr>
      <w:spacing w:before="80"/>
    </w:pPr>
  </w:style>
  <w:style w:type="paragraph" w:customStyle="1" w:styleId="Ttulo10">
    <w:name w:val="Título1"/>
    <w:basedOn w:val="Cabealhodondice"/>
    <w:link w:val="TITLEChar"/>
    <w:qFormat/>
    <w:rsid w:val="00EA5086"/>
    <w:pPr>
      <w:spacing w:before="240" w:line="360" w:lineRule="auto"/>
      <w:ind w:firstLine="720"/>
      <w:jc w:val="both"/>
    </w:pPr>
    <w:rPr>
      <w:rFonts w:ascii="Garamond" w:hAnsi="Garamond" w:cs="Times New Roman"/>
      <w:color w:val="auto"/>
      <w:sz w:val="32"/>
      <w:szCs w:val="32"/>
      <w:lang w:eastAsia="en-GB"/>
    </w:rPr>
  </w:style>
  <w:style w:type="character" w:customStyle="1" w:styleId="TITLEChar">
    <w:name w:val="TITLE Char"/>
    <w:basedOn w:val="Tipodeletrapredefinidodopargrafo"/>
    <w:link w:val="Ttulo10"/>
    <w:rsid w:val="00EA5086"/>
    <w:rPr>
      <w:rFonts w:ascii="Garamond" w:eastAsiaTheme="majorEastAsia" w:hAnsi="Garamond" w:cs="Times New Roman"/>
      <w:b/>
      <w:bCs/>
      <w:kern w:val="0"/>
      <w:sz w:val="32"/>
      <w:szCs w:val="32"/>
      <w:lang w:val="en-GB" w:eastAsia="en-GB"/>
      <w14:ligatures w14:val="none"/>
    </w:rPr>
  </w:style>
  <w:style w:type="paragraph" w:customStyle="1" w:styleId="Titulo">
    <w:name w:val="Titulo"/>
    <w:basedOn w:val="Normal"/>
    <w:rsid w:val="00B86091"/>
    <w:pPr>
      <w:widowControl w:val="0"/>
      <w:spacing w:before="160"/>
    </w:pPr>
    <w:rPr>
      <w:rFonts w:ascii="Garamond" w:eastAsia="Garamond" w:hAnsi="Garamond" w:cs="Garamond"/>
      <w:kern w:val="1"/>
      <w:sz w:val="28"/>
      <w:szCs w:val="28"/>
    </w:rPr>
  </w:style>
  <w:style w:type="paragraph" w:customStyle="1" w:styleId="Orientadores">
    <w:name w:val="Orientadores"/>
    <w:basedOn w:val="Sub-Titulo2"/>
    <w:rsid w:val="00B86091"/>
    <w:pPr>
      <w:spacing w:before="0" w:line="288" w:lineRule="auto"/>
    </w:pPr>
    <w:rPr>
      <w:b/>
      <w:lang w:val="pt-PT"/>
    </w:rPr>
  </w:style>
  <w:style w:type="paragraph" w:customStyle="1" w:styleId="Notas">
    <w:name w:val="Notas"/>
    <w:basedOn w:val="Normal"/>
    <w:rsid w:val="00B86091"/>
    <w:rPr>
      <w:rFonts w:ascii="Garamond" w:eastAsia="Calibri" w:hAnsi="Garamond" w:cs="Garamond"/>
      <w:sz w:val="16"/>
      <w:szCs w:val="16"/>
    </w:rPr>
  </w:style>
  <w:style w:type="paragraph" w:styleId="Legenda">
    <w:name w:val="caption"/>
    <w:basedOn w:val="Normal"/>
    <w:next w:val="Normal"/>
    <w:uiPriority w:val="35"/>
    <w:unhideWhenUsed/>
    <w:qFormat/>
    <w:rsid w:val="00B96295"/>
    <w:pPr>
      <w:spacing w:after="200"/>
    </w:pPr>
    <w:rPr>
      <w:rFonts w:asciiTheme="minorHAnsi" w:eastAsiaTheme="minorHAnsi" w:hAnsiTheme="minorHAnsi" w:cstheme="minorBidi"/>
      <w:i/>
      <w:iCs/>
      <w:color w:val="0E2841" w:themeColor="text2"/>
      <w:kern w:val="2"/>
      <w:sz w:val="18"/>
      <w:szCs w:val="18"/>
      <w:lang w:eastAsia="en-US"/>
      <w14:ligatures w14:val="standardContextual"/>
    </w:rPr>
  </w:style>
  <w:style w:type="paragraph" w:styleId="ndicedeilustraes">
    <w:name w:val="table of figures"/>
    <w:basedOn w:val="Normal"/>
    <w:next w:val="Normal"/>
    <w:uiPriority w:val="99"/>
    <w:unhideWhenUsed/>
    <w:rsid w:val="0052185F"/>
    <w:rPr>
      <w:rFonts w:ascii="Garamond" w:eastAsiaTheme="minorHAnsi" w:hAnsi="Garamond"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2237">
      <w:bodyDiv w:val="1"/>
      <w:marLeft w:val="0"/>
      <w:marRight w:val="0"/>
      <w:marTop w:val="0"/>
      <w:marBottom w:val="0"/>
      <w:divBdr>
        <w:top w:val="none" w:sz="0" w:space="0" w:color="auto"/>
        <w:left w:val="none" w:sz="0" w:space="0" w:color="auto"/>
        <w:bottom w:val="none" w:sz="0" w:space="0" w:color="auto"/>
        <w:right w:val="none" w:sz="0" w:space="0" w:color="auto"/>
      </w:divBdr>
      <w:divsChild>
        <w:div w:id="1257254221">
          <w:marLeft w:val="0"/>
          <w:marRight w:val="0"/>
          <w:marTop w:val="120"/>
          <w:marBottom w:val="120"/>
          <w:divBdr>
            <w:top w:val="none" w:sz="0" w:space="0" w:color="auto"/>
            <w:left w:val="none" w:sz="0" w:space="0" w:color="auto"/>
            <w:bottom w:val="none" w:sz="0" w:space="0" w:color="auto"/>
            <w:right w:val="none" w:sz="0" w:space="0" w:color="auto"/>
          </w:divBdr>
        </w:div>
      </w:divsChild>
    </w:div>
    <w:div w:id="34239637">
      <w:bodyDiv w:val="1"/>
      <w:marLeft w:val="0"/>
      <w:marRight w:val="0"/>
      <w:marTop w:val="0"/>
      <w:marBottom w:val="0"/>
      <w:divBdr>
        <w:top w:val="none" w:sz="0" w:space="0" w:color="auto"/>
        <w:left w:val="none" w:sz="0" w:space="0" w:color="auto"/>
        <w:bottom w:val="none" w:sz="0" w:space="0" w:color="auto"/>
        <w:right w:val="none" w:sz="0" w:space="0" w:color="auto"/>
      </w:divBdr>
    </w:div>
    <w:div w:id="40371773">
      <w:bodyDiv w:val="1"/>
      <w:marLeft w:val="0"/>
      <w:marRight w:val="0"/>
      <w:marTop w:val="0"/>
      <w:marBottom w:val="0"/>
      <w:divBdr>
        <w:top w:val="none" w:sz="0" w:space="0" w:color="auto"/>
        <w:left w:val="none" w:sz="0" w:space="0" w:color="auto"/>
        <w:bottom w:val="none" w:sz="0" w:space="0" w:color="auto"/>
        <w:right w:val="none" w:sz="0" w:space="0" w:color="auto"/>
      </w:divBdr>
    </w:div>
    <w:div w:id="43602384">
      <w:bodyDiv w:val="1"/>
      <w:marLeft w:val="0"/>
      <w:marRight w:val="0"/>
      <w:marTop w:val="0"/>
      <w:marBottom w:val="0"/>
      <w:divBdr>
        <w:top w:val="none" w:sz="0" w:space="0" w:color="auto"/>
        <w:left w:val="none" w:sz="0" w:space="0" w:color="auto"/>
        <w:bottom w:val="none" w:sz="0" w:space="0" w:color="auto"/>
        <w:right w:val="none" w:sz="0" w:space="0" w:color="auto"/>
      </w:divBdr>
    </w:div>
    <w:div w:id="47002429">
      <w:bodyDiv w:val="1"/>
      <w:marLeft w:val="0"/>
      <w:marRight w:val="0"/>
      <w:marTop w:val="0"/>
      <w:marBottom w:val="0"/>
      <w:divBdr>
        <w:top w:val="none" w:sz="0" w:space="0" w:color="auto"/>
        <w:left w:val="none" w:sz="0" w:space="0" w:color="auto"/>
        <w:bottom w:val="none" w:sz="0" w:space="0" w:color="auto"/>
        <w:right w:val="none" w:sz="0" w:space="0" w:color="auto"/>
      </w:divBdr>
    </w:div>
    <w:div w:id="59987306">
      <w:bodyDiv w:val="1"/>
      <w:marLeft w:val="0"/>
      <w:marRight w:val="0"/>
      <w:marTop w:val="0"/>
      <w:marBottom w:val="0"/>
      <w:divBdr>
        <w:top w:val="none" w:sz="0" w:space="0" w:color="auto"/>
        <w:left w:val="none" w:sz="0" w:space="0" w:color="auto"/>
        <w:bottom w:val="none" w:sz="0" w:space="0" w:color="auto"/>
        <w:right w:val="none" w:sz="0" w:space="0" w:color="auto"/>
      </w:divBdr>
    </w:div>
    <w:div w:id="62065643">
      <w:bodyDiv w:val="1"/>
      <w:marLeft w:val="0"/>
      <w:marRight w:val="0"/>
      <w:marTop w:val="0"/>
      <w:marBottom w:val="0"/>
      <w:divBdr>
        <w:top w:val="none" w:sz="0" w:space="0" w:color="auto"/>
        <w:left w:val="none" w:sz="0" w:space="0" w:color="auto"/>
        <w:bottom w:val="none" w:sz="0" w:space="0" w:color="auto"/>
        <w:right w:val="none" w:sz="0" w:space="0" w:color="auto"/>
      </w:divBdr>
    </w:div>
    <w:div w:id="71397429">
      <w:bodyDiv w:val="1"/>
      <w:marLeft w:val="0"/>
      <w:marRight w:val="0"/>
      <w:marTop w:val="0"/>
      <w:marBottom w:val="0"/>
      <w:divBdr>
        <w:top w:val="none" w:sz="0" w:space="0" w:color="auto"/>
        <w:left w:val="none" w:sz="0" w:space="0" w:color="auto"/>
        <w:bottom w:val="none" w:sz="0" w:space="0" w:color="auto"/>
        <w:right w:val="none" w:sz="0" w:space="0" w:color="auto"/>
      </w:divBdr>
    </w:div>
    <w:div w:id="88280850">
      <w:bodyDiv w:val="1"/>
      <w:marLeft w:val="0"/>
      <w:marRight w:val="0"/>
      <w:marTop w:val="0"/>
      <w:marBottom w:val="0"/>
      <w:divBdr>
        <w:top w:val="none" w:sz="0" w:space="0" w:color="auto"/>
        <w:left w:val="none" w:sz="0" w:space="0" w:color="auto"/>
        <w:bottom w:val="none" w:sz="0" w:space="0" w:color="auto"/>
        <w:right w:val="none" w:sz="0" w:space="0" w:color="auto"/>
      </w:divBdr>
      <w:divsChild>
        <w:div w:id="2031292981">
          <w:marLeft w:val="0"/>
          <w:marRight w:val="0"/>
          <w:marTop w:val="120"/>
          <w:marBottom w:val="120"/>
          <w:divBdr>
            <w:top w:val="none" w:sz="0" w:space="0" w:color="auto"/>
            <w:left w:val="none" w:sz="0" w:space="0" w:color="auto"/>
            <w:bottom w:val="none" w:sz="0" w:space="0" w:color="auto"/>
            <w:right w:val="none" w:sz="0" w:space="0" w:color="auto"/>
          </w:divBdr>
        </w:div>
      </w:divsChild>
    </w:div>
    <w:div w:id="99646447">
      <w:bodyDiv w:val="1"/>
      <w:marLeft w:val="0"/>
      <w:marRight w:val="0"/>
      <w:marTop w:val="0"/>
      <w:marBottom w:val="0"/>
      <w:divBdr>
        <w:top w:val="none" w:sz="0" w:space="0" w:color="auto"/>
        <w:left w:val="none" w:sz="0" w:space="0" w:color="auto"/>
        <w:bottom w:val="none" w:sz="0" w:space="0" w:color="auto"/>
        <w:right w:val="none" w:sz="0" w:space="0" w:color="auto"/>
      </w:divBdr>
    </w:div>
    <w:div w:id="109055686">
      <w:bodyDiv w:val="1"/>
      <w:marLeft w:val="0"/>
      <w:marRight w:val="0"/>
      <w:marTop w:val="0"/>
      <w:marBottom w:val="0"/>
      <w:divBdr>
        <w:top w:val="none" w:sz="0" w:space="0" w:color="auto"/>
        <w:left w:val="none" w:sz="0" w:space="0" w:color="auto"/>
        <w:bottom w:val="none" w:sz="0" w:space="0" w:color="auto"/>
        <w:right w:val="none" w:sz="0" w:space="0" w:color="auto"/>
      </w:divBdr>
    </w:div>
    <w:div w:id="112946623">
      <w:bodyDiv w:val="1"/>
      <w:marLeft w:val="0"/>
      <w:marRight w:val="0"/>
      <w:marTop w:val="0"/>
      <w:marBottom w:val="0"/>
      <w:divBdr>
        <w:top w:val="none" w:sz="0" w:space="0" w:color="auto"/>
        <w:left w:val="none" w:sz="0" w:space="0" w:color="auto"/>
        <w:bottom w:val="none" w:sz="0" w:space="0" w:color="auto"/>
        <w:right w:val="none" w:sz="0" w:space="0" w:color="auto"/>
      </w:divBdr>
    </w:div>
    <w:div w:id="115874746">
      <w:bodyDiv w:val="1"/>
      <w:marLeft w:val="0"/>
      <w:marRight w:val="0"/>
      <w:marTop w:val="0"/>
      <w:marBottom w:val="0"/>
      <w:divBdr>
        <w:top w:val="none" w:sz="0" w:space="0" w:color="auto"/>
        <w:left w:val="none" w:sz="0" w:space="0" w:color="auto"/>
        <w:bottom w:val="none" w:sz="0" w:space="0" w:color="auto"/>
        <w:right w:val="none" w:sz="0" w:space="0" w:color="auto"/>
      </w:divBdr>
    </w:div>
    <w:div w:id="117769137">
      <w:bodyDiv w:val="1"/>
      <w:marLeft w:val="0"/>
      <w:marRight w:val="0"/>
      <w:marTop w:val="0"/>
      <w:marBottom w:val="0"/>
      <w:divBdr>
        <w:top w:val="none" w:sz="0" w:space="0" w:color="auto"/>
        <w:left w:val="none" w:sz="0" w:space="0" w:color="auto"/>
        <w:bottom w:val="none" w:sz="0" w:space="0" w:color="auto"/>
        <w:right w:val="none" w:sz="0" w:space="0" w:color="auto"/>
      </w:divBdr>
      <w:divsChild>
        <w:div w:id="720637399">
          <w:marLeft w:val="0"/>
          <w:marRight w:val="0"/>
          <w:marTop w:val="120"/>
          <w:marBottom w:val="120"/>
          <w:divBdr>
            <w:top w:val="none" w:sz="0" w:space="0" w:color="auto"/>
            <w:left w:val="none" w:sz="0" w:space="0" w:color="auto"/>
            <w:bottom w:val="none" w:sz="0" w:space="0" w:color="auto"/>
            <w:right w:val="none" w:sz="0" w:space="0" w:color="auto"/>
          </w:divBdr>
        </w:div>
        <w:div w:id="1623656566">
          <w:marLeft w:val="0"/>
          <w:marRight w:val="0"/>
          <w:marTop w:val="120"/>
          <w:marBottom w:val="120"/>
          <w:divBdr>
            <w:top w:val="none" w:sz="0" w:space="0" w:color="auto"/>
            <w:left w:val="none" w:sz="0" w:space="0" w:color="auto"/>
            <w:bottom w:val="none" w:sz="0" w:space="0" w:color="auto"/>
            <w:right w:val="none" w:sz="0" w:space="0" w:color="auto"/>
          </w:divBdr>
        </w:div>
        <w:div w:id="2041317219">
          <w:marLeft w:val="0"/>
          <w:marRight w:val="0"/>
          <w:marTop w:val="120"/>
          <w:marBottom w:val="120"/>
          <w:divBdr>
            <w:top w:val="none" w:sz="0" w:space="0" w:color="auto"/>
            <w:left w:val="none" w:sz="0" w:space="0" w:color="auto"/>
            <w:bottom w:val="none" w:sz="0" w:space="0" w:color="auto"/>
            <w:right w:val="none" w:sz="0" w:space="0" w:color="auto"/>
          </w:divBdr>
        </w:div>
      </w:divsChild>
    </w:div>
    <w:div w:id="121732147">
      <w:bodyDiv w:val="1"/>
      <w:marLeft w:val="0"/>
      <w:marRight w:val="0"/>
      <w:marTop w:val="0"/>
      <w:marBottom w:val="0"/>
      <w:divBdr>
        <w:top w:val="none" w:sz="0" w:space="0" w:color="auto"/>
        <w:left w:val="none" w:sz="0" w:space="0" w:color="auto"/>
        <w:bottom w:val="none" w:sz="0" w:space="0" w:color="auto"/>
        <w:right w:val="none" w:sz="0" w:space="0" w:color="auto"/>
      </w:divBdr>
    </w:div>
    <w:div w:id="134176700">
      <w:bodyDiv w:val="1"/>
      <w:marLeft w:val="0"/>
      <w:marRight w:val="0"/>
      <w:marTop w:val="0"/>
      <w:marBottom w:val="0"/>
      <w:divBdr>
        <w:top w:val="none" w:sz="0" w:space="0" w:color="auto"/>
        <w:left w:val="none" w:sz="0" w:space="0" w:color="auto"/>
        <w:bottom w:val="none" w:sz="0" w:space="0" w:color="auto"/>
        <w:right w:val="none" w:sz="0" w:space="0" w:color="auto"/>
      </w:divBdr>
    </w:div>
    <w:div w:id="145248177">
      <w:bodyDiv w:val="1"/>
      <w:marLeft w:val="0"/>
      <w:marRight w:val="0"/>
      <w:marTop w:val="0"/>
      <w:marBottom w:val="0"/>
      <w:divBdr>
        <w:top w:val="none" w:sz="0" w:space="0" w:color="auto"/>
        <w:left w:val="none" w:sz="0" w:space="0" w:color="auto"/>
        <w:bottom w:val="none" w:sz="0" w:space="0" w:color="auto"/>
        <w:right w:val="none" w:sz="0" w:space="0" w:color="auto"/>
      </w:divBdr>
    </w:div>
    <w:div w:id="146938791">
      <w:bodyDiv w:val="1"/>
      <w:marLeft w:val="0"/>
      <w:marRight w:val="0"/>
      <w:marTop w:val="0"/>
      <w:marBottom w:val="0"/>
      <w:divBdr>
        <w:top w:val="none" w:sz="0" w:space="0" w:color="auto"/>
        <w:left w:val="none" w:sz="0" w:space="0" w:color="auto"/>
        <w:bottom w:val="none" w:sz="0" w:space="0" w:color="auto"/>
        <w:right w:val="none" w:sz="0" w:space="0" w:color="auto"/>
      </w:divBdr>
    </w:div>
    <w:div w:id="152837040">
      <w:bodyDiv w:val="1"/>
      <w:marLeft w:val="0"/>
      <w:marRight w:val="0"/>
      <w:marTop w:val="0"/>
      <w:marBottom w:val="0"/>
      <w:divBdr>
        <w:top w:val="none" w:sz="0" w:space="0" w:color="auto"/>
        <w:left w:val="none" w:sz="0" w:space="0" w:color="auto"/>
        <w:bottom w:val="none" w:sz="0" w:space="0" w:color="auto"/>
        <w:right w:val="none" w:sz="0" w:space="0" w:color="auto"/>
      </w:divBdr>
    </w:div>
    <w:div w:id="152911546">
      <w:bodyDiv w:val="1"/>
      <w:marLeft w:val="0"/>
      <w:marRight w:val="0"/>
      <w:marTop w:val="0"/>
      <w:marBottom w:val="0"/>
      <w:divBdr>
        <w:top w:val="none" w:sz="0" w:space="0" w:color="auto"/>
        <w:left w:val="none" w:sz="0" w:space="0" w:color="auto"/>
        <w:bottom w:val="none" w:sz="0" w:space="0" w:color="auto"/>
        <w:right w:val="none" w:sz="0" w:space="0" w:color="auto"/>
      </w:divBdr>
    </w:div>
    <w:div w:id="157886006">
      <w:bodyDiv w:val="1"/>
      <w:marLeft w:val="0"/>
      <w:marRight w:val="0"/>
      <w:marTop w:val="0"/>
      <w:marBottom w:val="0"/>
      <w:divBdr>
        <w:top w:val="none" w:sz="0" w:space="0" w:color="auto"/>
        <w:left w:val="none" w:sz="0" w:space="0" w:color="auto"/>
        <w:bottom w:val="none" w:sz="0" w:space="0" w:color="auto"/>
        <w:right w:val="none" w:sz="0" w:space="0" w:color="auto"/>
      </w:divBdr>
    </w:div>
    <w:div w:id="166797699">
      <w:bodyDiv w:val="1"/>
      <w:marLeft w:val="0"/>
      <w:marRight w:val="0"/>
      <w:marTop w:val="0"/>
      <w:marBottom w:val="0"/>
      <w:divBdr>
        <w:top w:val="none" w:sz="0" w:space="0" w:color="auto"/>
        <w:left w:val="none" w:sz="0" w:space="0" w:color="auto"/>
        <w:bottom w:val="none" w:sz="0" w:space="0" w:color="auto"/>
        <w:right w:val="none" w:sz="0" w:space="0" w:color="auto"/>
      </w:divBdr>
    </w:div>
    <w:div w:id="177163044">
      <w:bodyDiv w:val="1"/>
      <w:marLeft w:val="0"/>
      <w:marRight w:val="0"/>
      <w:marTop w:val="0"/>
      <w:marBottom w:val="0"/>
      <w:divBdr>
        <w:top w:val="none" w:sz="0" w:space="0" w:color="auto"/>
        <w:left w:val="none" w:sz="0" w:space="0" w:color="auto"/>
        <w:bottom w:val="none" w:sz="0" w:space="0" w:color="auto"/>
        <w:right w:val="none" w:sz="0" w:space="0" w:color="auto"/>
      </w:divBdr>
    </w:div>
    <w:div w:id="187259823">
      <w:bodyDiv w:val="1"/>
      <w:marLeft w:val="0"/>
      <w:marRight w:val="0"/>
      <w:marTop w:val="0"/>
      <w:marBottom w:val="0"/>
      <w:divBdr>
        <w:top w:val="none" w:sz="0" w:space="0" w:color="auto"/>
        <w:left w:val="none" w:sz="0" w:space="0" w:color="auto"/>
        <w:bottom w:val="none" w:sz="0" w:space="0" w:color="auto"/>
        <w:right w:val="none" w:sz="0" w:space="0" w:color="auto"/>
      </w:divBdr>
    </w:div>
    <w:div w:id="194579726">
      <w:bodyDiv w:val="1"/>
      <w:marLeft w:val="0"/>
      <w:marRight w:val="0"/>
      <w:marTop w:val="0"/>
      <w:marBottom w:val="0"/>
      <w:divBdr>
        <w:top w:val="none" w:sz="0" w:space="0" w:color="auto"/>
        <w:left w:val="none" w:sz="0" w:space="0" w:color="auto"/>
        <w:bottom w:val="none" w:sz="0" w:space="0" w:color="auto"/>
        <w:right w:val="none" w:sz="0" w:space="0" w:color="auto"/>
      </w:divBdr>
      <w:divsChild>
        <w:div w:id="1104501440">
          <w:marLeft w:val="0"/>
          <w:marRight w:val="0"/>
          <w:marTop w:val="0"/>
          <w:marBottom w:val="0"/>
          <w:divBdr>
            <w:top w:val="none" w:sz="0" w:space="0" w:color="auto"/>
            <w:left w:val="none" w:sz="0" w:space="0" w:color="auto"/>
            <w:bottom w:val="none" w:sz="0" w:space="0" w:color="auto"/>
            <w:right w:val="none" w:sz="0" w:space="0" w:color="auto"/>
          </w:divBdr>
          <w:divsChild>
            <w:div w:id="1599173782">
              <w:marLeft w:val="0"/>
              <w:marRight w:val="0"/>
              <w:marTop w:val="0"/>
              <w:marBottom w:val="0"/>
              <w:divBdr>
                <w:top w:val="none" w:sz="0" w:space="0" w:color="auto"/>
                <w:left w:val="none" w:sz="0" w:space="0" w:color="auto"/>
                <w:bottom w:val="none" w:sz="0" w:space="0" w:color="auto"/>
                <w:right w:val="none" w:sz="0" w:space="0" w:color="auto"/>
              </w:divBdr>
              <w:divsChild>
                <w:div w:id="93914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13350">
      <w:bodyDiv w:val="1"/>
      <w:marLeft w:val="0"/>
      <w:marRight w:val="0"/>
      <w:marTop w:val="0"/>
      <w:marBottom w:val="0"/>
      <w:divBdr>
        <w:top w:val="none" w:sz="0" w:space="0" w:color="auto"/>
        <w:left w:val="none" w:sz="0" w:space="0" w:color="auto"/>
        <w:bottom w:val="none" w:sz="0" w:space="0" w:color="auto"/>
        <w:right w:val="none" w:sz="0" w:space="0" w:color="auto"/>
      </w:divBdr>
    </w:div>
    <w:div w:id="217791422">
      <w:bodyDiv w:val="1"/>
      <w:marLeft w:val="0"/>
      <w:marRight w:val="0"/>
      <w:marTop w:val="0"/>
      <w:marBottom w:val="0"/>
      <w:divBdr>
        <w:top w:val="none" w:sz="0" w:space="0" w:color="auto"/>
        <w:left w:val="none" w:sz="0" w:space="0" w:color="auto"/>
        <w:bottom w:val="none" w:sz="0" w:space="0" w:color="auto"/>
        <w:right w:val="none" w:sz="0" w:space="0" w:color="auto"/>
      </w:divBdr>
    </w:div>
    <w:div w:id="222103391">
      <w:bodyDiv w:val="1"/>
      <w:marLeft w:val="0"/>
      <w:marRight w:val="0"/>
      <w:marTop w:val="0"/>
      <w:marBottom w:val="0"/>
      <w:divBdr>
        <w:top w:val="none" w:sz="0" w:space="0" w:color="auto"/>
        <w:left w:val="none" w:sz="0" w:space="0" w:color="auto"/>
        <w:bottom w:val="none" w:sz="0" w:space="0" w:color="auto"/>
        <w:right w:val="none" w:sz="0" w:space="0" w:color="auto"/>
      </w:divBdr>
      <w:divsChild>
        <w:div w:id="157700312">
          <w:marLeft w:val="0"/>
          <w:marRight w:val="0"/>
          <w:marTop w:val="0"/>
          <w:marBottom w:val="0"/>
          <w:divBdr>
            <w:top w:val="none" w:sz="0" w:space="0" w:color="auto"/>
            <w:left w:val="none" w:sz="0" w:space="0" w:color="auto"/>
            <w:bottom w:val="none" w:sz="0" w:space="0" w:color="auto"/>
            <w:right w:val="none" w:sz="0" w:space="0" w:color="auto"/>
          </w:divBdr>
          <w:divsChild>
            <w:div w:id="1320189107">
              <w:marLeft w:val="0"/>
              <w:marRight w:val="0"/>
              <w:marTop w:val="0"/>
              <w:marBottom w:val="0"/>
              <w:divBdr>
                <w:top w:val="none" w:sz="0" w:space="0" w:color="auto"/>
                <w:left w:val="none" w:sz="0" w:space="0" w:color="auto"/>
                <w:bottom w:val="none" w:sz="0" w:space="0" w:color="auto"/>
                <w:right w:val="none" w:sz="0" w:space="0" w:color="auto"/>
              </w:divBdr>
              <w:divsChild>
                <w:div w:id="57798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424560">
      <w:bodyDiv w:val="1"/>
      <w:marLeft w:val="0"/>
      <w:marRight w:val="0"/>
      <w:marTop w:val="0"/>
      <w:marBottom w:val="0"/>
      <w:divBdr>
        <w:top w:val="none" w:sz="0" w:space="0" w:color="auto"/>
        <w:left w:val="none" w:sz="0" w:space="0" w:color="auto"/>
        <w:bottom w:val="none" w:sz="0" w:space="0" w:color="auto"/>
        <w:right w:val="none" w:sz="0" w:space="0" w:color="auto"/>
      </w:divBdr>
    </w:div>
    <w:div w:id="276260717">
      <w:bodyDiv w:val="1"/>
      <w:marLeft w:val="0"/>
      <w:marRight w:val="0"/>
      <w:marTop w:val="0"/>
      <w:marBottom w:val="0"/>
      <w:divBdr>
        <w:top w:val="none" w:sz="0" w:space="0" w:color="auto"/>
        <w:left w:val="none" w:sz="0" w:space="0" w:color="auto"/>
        <w:bottom w:val="none" w:sz="0" w:space="0" w:color="auto"/>
        <w:right w:val="none" w:sz="0" w:space="0" w:color="auto"/>
      </w:divBdr>
    </w:div>
    <w:div w:id="285506374">
      <w:bodyDiv w:val="1"/>
      <w:marLeft w:val="0"/>
      <w:marRight w:val="0"/>
      <w:marTop w:val="0"/>
      <w:marBottom w:val="0"/>
      <w:divBdr>
        <w:top w:val="none" w:sz="0" w:space="0" w:color="auto"/>
        <w:left w:val="none" w:sz="0" w:space="0" w:color="auto"/>
        <w:bottom w:val="none" w:sz="0" w:space="0" w:color="auto"/>
        <w:right w:val="none" w:sz="0" w:space="0" w:color="auto"/>
      </w:divBdr>
    </w:div>
    <w:div w:id="289750856">
      <w:bodyDiv w:val="1"/>
      <w:marLeft w:val="0"/>
      <w:marRight w:val="0"/>
      <w:marTop w:val="0"/>
      <w:marBottom w:val="0"/>
      <w:divBdr>
        <w:top w:val="none" w:sz="0" w:space="0" w:color="auto"/>
        <w:left w:val="none" w:sz="0" w:space="0" w:color="auto"/>
        <w:bottom w:val="none" w:sz="0" w:space="0" w:color="auto"/>
        <w:right w:val="none" w:sz="0" w:space="0" w:color="auto"/>
      </w:divBdr>
      <w:divsChild>
        <w:div w:id="789788509">
          <w:marLeft w:val="0"/>
          <w:marRight w:val="0"/>
          <w:marTop w:val="0"/>
          <w:marBottom w:val="0"/>
          <w:divBdr>
            <w:top w:val="none" w:sz="0" w:space="0" w:color="auto"/>
            <w:left w:val="none" w:sz="0" w:space="0" w:color="auto"/>
            <w:bottom w:val="none" w:sz="0" w:space="0" w:color="auto"/>
            <w:right w:val="none" w:sz="0" w:space="0" w:color="auto"/>
          </w:divBdr>
          <w:divsChild>
            <w:div w:id="1303148297">
              <w:marLeft w:val="0"/>
              <w:marRight w:val="0"/>
              <w:marTop w:val="0"/>
              <w:marBottom w:val="0"/>
              <w:divBdr>
                <w:top w:val="none" w:sz="0" w:space="0" w:color="auto"/>
                <w:left w:val="none" w:sz="0" w:space="0" w:color="auto"/>
                <w:bottom w:val="none" w:sz="0" w:space="0" w:color="auto"/>
                <w:right w:val="none" w:sz="0" w:space="0" w:color="auto"/>
              </w:divBdr>
              <w:divsChild>
                <w:div w:id="17287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08766">
      <w:bodyDiv w:val="1"/>
      <w:marLeft w:val="0"/>
      <w:marRight w:val="0"/>
      <w:marTop w:val="0"/>
      <w:marBottom w:val="0"/>
      <w:divBdr>
        <w:top w:val="none" w:sz="0" w:space="0" w:color="auto"/>
        <w:left w:val="none" w:sz="0" w:space="0" w:color="auto"/>
        <w:bottom w:val="none" w:sz="0" w:space="0" w:color="auto"/>
        <w:right w:val="none" w:sz="0" w:space="0" w:color="auto"/>
      </w:divBdr>
    </w:div>
    <w:div w:id="335228612">
      <w:bodyDiv w:val="1"/>
      <w:marLeft w:val="0"/>
      <w:marRight w:val="0"/>
      <w:marTop w:val="0"/>
      <w:marBottom w:val="0"/>
      <w:divBdr>
        <w:top w:val="none" w:sz="0" w:space="0" w:color="auto"/>
        <w:left w:val="none" w:sz="0" w:space="0" w:color="auto"/>
        <w:bottom w:val="none" w:sz="0" w:space="0" w:color="auto"/>
        <w:right w:val="none" w:sz="0" w:space="0" w:color="auto"/>
      </w:divBdr>
    </w:div>
    <w:div w:id="337512950">
      <w:bodyDiv w:val="1"/>
      <w:marLeft w:val="0"/>
      <w:marRight w:val="0"/>
      <w:marTop w:val="0"/>
      <w:marBottom w:val="0"/>
      <w:divBdr>
        <w:top w:val="none" w:sz="0" w:space="0" w:color="auto"/>
        <w:left w:val="none" w:sz="0" w:space="0" w:color="auto"/>
        <w:bottom w:val="none" w:sz="0" w:space="0" w:color="auto"/>
        <w:right w:val="none" w:sz="0" w:space="0" w:color="auto"/>
      </w:divBdr>
      <w:divsChild>
        <w:div w:id="840393855">
          <w:marLeft w:val="0"/>
          <w:marRight w:val="0"/>
          <w:marTop w:val="0"/>
          <w:marBottom w:val="0"/>
          <w:divBdr>
            <w:top w:val="none" w:sz="0" w:space="0" w:color="auto"/>
            <w:left w:val="none" w:sz="0" w:space="0" w:color="auto"/>
            <w:bottom w:val="none" w:sz="0" w:space="0" w:color="auto"/>
            <w:right w:val="none" w:sz="0" w:space="0" w:color="auto"/>
          </w:divBdr>
          <w:divsChild>
            <w:div w:id="986398602">
              <w:marLeft w:val="0"/>
              <w:marRight w:val="0"/>
              <w:marTop w:val="0"/>
              <w:marBottom w:val="0"/>
              <w:divBdr>
                <w:top w:val="none" w:sz="0" w:space="0" w:color="auto"/>
                <w:left w:val="none" w:sz="0" w:space="0" w:color="auto"/>
                <w:bottom w:val="none" w:sz="0" w:space="0" w:color="auto"/>
                <w:right w:val="none" w:sz="0" w:space="0" w:color="auto"/>
              </w:divBdr>
              <w:divsChild>
                <w:div w:id="169321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163451">
      <w:bodyDiv w:val="1"/>
      <w:marLeft w:val="0"/>
      <w:marRight w:val="0"/>
      <w:marTop w:val="0"/>
      <w:marBottom w:val="0"/>
      <w:divBdr>
        <w:top w:val="none" w:sz="0" w:space="0" w:color="auto"/>
        <w:left w:val="none" w:sz="0" w:space="0" w:color="auto"/>
        <w:bottom w:val="none" w:sz="0" w:space="0" w:color="auto"/>
        <w:right w:val="none" w:sz="0" w:space="0" w:color="auto"/>
      </w:divBdr>
    </w:div>
    <w:div w:id="349069443">
      <w:bodyDiv w:val="1"/>
      <w:marLeft w:val="0"/>
      <w:marRight w:val="0"/>
      <w:marTop w:val="0"/>
      <w:marBottom w:val="0"/>
      <w:divBdr>
        <w:top w:val="none" w:sz="0" w:space="0" w:color="auto"/>
        <w:left w:val="none" w:sz="0" w:space="0" w:color="auto"/>
        <w:bottom w:val="none" w:sz="0" w:space="0" w:color="auto"/>
        <w:right w:val="none" w:sz="0" w:space="0" w:color="auto"/>
      </w:divBdr>
    </w:div>
    <w:div w:id="359668216">
      <w:bodyDiv w:val="1"/>
      <w:marLeft w:val="0"/>
      <w:marRight w:val="0"/>
      <w:marTop w:val="0"/>
      <w:marBottom w:val="0"/>
      <w:divBdr>
        <w:top w:val="none" w:sz="0" w:space="0" w:color="auto"/>
        <w:left w:val="none" w:sz="0" w:space="0" w:color="auto"/>
        <w:bottom w:val="none" w:sz="0" w:space="0" w:color="auto"/>
        <w:right w:val="none" w:sz="0" w:space="0" w:color="auto"/>
      </w:divBdr>
    </w:div>
    <w:div w:id="366639528">
      <w:bodyDiv w:val="1"/>
      <w:marLeft w:val="0"/>
      <w:marRight w:val="0"/>
      <w:marTop w:val="0"/>
      <w:marBottom w:val="0"/>
      <w:divBdr>
        <w:top w:val="none" w:sz="0" w:space="0" w:color="auto"/>
        <w:left w:val="none" w:sz="0" w:space="0" w:color="auto"/>
        <w:bottom w:val="none" w:sz="0" w:space="0" w:color="auto"/>
        <w:right w:val="none" w:sz="0" w:space="0" w:color="auto"/>
      </w:divBdr>
    </w:div>
    <w:div w:id="372972608">
      <w:bodyDiv w:val="1"/>
      <w:marLeft w:val="0"/>
      <w:marRight w:val="0"/>
      <w:marTop w:val="0"/>
      <w:marBottom w:val="0"/>
      <w:divBdr>
        <w:top w:val="none" w:sz="0" w:space="0" w:color="auto"/>
        <w:left w:val="none" w:sz="0" w:space="0" w:color="auto"/>
        <w:bottom w:val="none" w:sz="0" w:space="0" w:color="auto"/>
        <w:right w:val="none" w:sz="0" w:space="0" w:color="auto"/>
      </w:divBdr>
      <w:divsChild>
        <w:div w:id="549147638">
          <w:marLeft w:val="0"/>
          <w:marRight w:val="0"/>
          <w:marTop w:val="0"/>
          <w:marBottom w:val="0"/>
          <w:divBdr>
            <w:top w:val="none" w:sz="0" w:space="0" w:color="auto"/>
            <w:left w:val="none" w:sz="0" w:space="0" w:color="auto"/>
            <w:bottom w:val="none" w:sz="0" w:space="0" w:color="auto"/>
            <w:right w:val="none" w:sz="0" w:space="0" w:color="auto"/>
          </w:divBdr>
          <w:divsChild>
            <w:div w:id="861431305">
              <w:marLeft w:val="0"/>
              <w:marRight w:val="0"/>
              <w:marTop w:val="0"/>
              <w:marBottom w:val="0"/>
              <w:divBdr>
                <w:top w:val="none" w:sz="0" w:space="0" w:color="auto"/>
                <w:left w:val="none" w:sz="0" w:space="0" w:color="auto"/>
                <w:bottom w:val="none" w:sz="0" w:space="0" w:color="auto"/>
                <w:right w:val="none" w:sz="0" w:space="0" w:color="auto"/>
              </w:divBdr>
              <w:divsChild>
                <w:div w:id="815947944">
                  <w:marLeft w:val="0"/>
                  <w:marRight w:val="0"/>
                  <w:marTop w:val="0"/>
                  <w:marBottom w:val="0"/>
                  <w:divBdr>
                    <w:top w:val="none" w:sz="0" w:space="0" w:color="auto"/>
                    <w:left w:val="none" w:sz="0" w:space="0" w:color="auto"/>
                    <w:bottom w:val="none" w:sz="0" w:space="0" w:color="auto"/>
                    <w:right w:val="none" w:sz="0" w:space="0" w:color="auto"/>
                  </w:divBdr>
                  <w:divsChild>
                    <w:div w:id="7665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547443">
      <w:bodyDiv w:val="1"/>
      <w:marLeft w:val="0"/>
      <w:marRight w:val="0"/>
      <w:marTop w:val="0"/>
      <w:marBottom w:val="0"/>
      <w:divBdr>
        <w:top w:val="none" w:sz="0" w:space="0" w:color="auto"/>
        <w:left w:val="none" w:sz="0" w:space="0" w:color="auto"/>
        <w:bottom w:val="none" w:sz="0" w:space="0" w:color="auto"/>
        <w:right w:val="none" w:sz="0" w:space="0" w:color="auto"/>
      </w:divBdr>
    </w:div>
    <w:div w:id="415327902">
      <w:bodyDiv w:val="1"/>
      <w:marLeft w:val="0"/>
      <w:marRight w:val="0"/>
      <w:marTop w:val="0"/>
      <w:marBottom w:val="0"/>
      <w:divBdr>
        <w:top w:val="none" w:sz="0" w:space="0" w:color="auto"/>
        <w:left w:val="none" w:sz="0" w:space="0" w:color="auto"/>
        <w:bottom w:val="none" w:sz="0" w:space="0" w:color="auto"/>
        <w:right w:val="none" w:sz="0" w:space="0" w:color="auto"/>
      </w:divBdr>
    </w:div>
    <w:div w:id="435903176">
      <w:bodyDiv w:val="1"/>
      <w:marLeft w:val="0"/>
      <w:marRight w:val="0"/>
      <w:marTop w:val="0"/>
      <w:marBottom w:val="0"/>
      <w:divBdr>
        <w:top w:val="none" w:sz="0" w:space="0" w:color="auto"/>
        <w:left w:val="none" w:sz="0" w:space="0" w:color="auto"/>
        <w:bottom w:val="none" w:sz="0" w:space="0" w:color="auto"/>
        <w:right w:val="none" w:sz="0" w:space="0" w:color="auto"/>
      </w:divBdr>
    </w:div>
    <w:div w:id="446506379">
      <w:bodyDiv w:val="1"/>
      <w:marLeft w:val="0"/>
      <w:marRight w:val="0"/>
      <w:marTop w:val="0"/>
      <w:marBottom w:val="0"/>
      <w:divBdr>
        <w:top w:val="none" w:sz="0" w:space="0" w:color="auto"/>
        <w:left w:val="none" w:sz="0" w:space="0" w:color="auto"/>
        <w:bottom w:val="none" w:sz="0" w:space="0" w:color="auto"/>
        <w:right w:val="none" w:sz="0" w:space="0" w:color="auto"/>
      </w:divBdr>
    </w:div>
    <w:div w:id="468403473">
      <w:bodyDiv w:val="1"/>
      <w:marLeft w:val="0"/>
      <w:marRight w:val="0"/>
      <w:marTop w:val="0"/>
      <w:marBottom w:val="0"/>
      <w:divBdr>
        <w:top w:val="none" w:sz="0" w:space="0" w:color="auto"/>
        <w:left w:val="none" w:sz="0" w:space="0" w:color="auto"/>
        <w:bottom w:val="none" w:sz="0" w:space="0" w:color="auto"/>
        <w:right w:val="none" w:sz="0" w:space="0" w:color="auto"/>
      </w:divBdr>
      <w:divsChild>
        <w:div w:id="48235651">
          <w:marLeft w:val="0"/>
          <w:marRight w:val="0"/>
          <w:marTop w:val="120"/>
          <w:marBottom w:val="120"/>
          <w:divBdr>
            <w:top w:val="none" w:sz="0" w:space="0" w:color="auto"/>
            <w:left w:val="none" w:sz="0" w:space="0" w:color="auto"/>
            <w:bottom w:val="none" w:sz="0" w:space="0" w:color="auto"/>
            <w:right w:val="none" w:sz="0" w:space="0" w:color="auto"/>
          </w:divBdr>
        </w:div>
        <w:div w:id="644043219">
          <w:marLeft w:val="0"/>
          <w:marRight w:val="0"/>
          <w:marTop w:val="120"/>
          <w:marBottom w:val="120"/>
          <w:divBdr>
            <w:top w:val="none" w:sz="0" w:space="0" w:color="auto"/>
            <w:left w:val="none" w:sz="0" w:space="0" w:color="auto"/>
            <w:bottom w:val="none" w:sz="0" w:space="0" w:color="auto"/>
            <w:right w:val="none" w:sz="0" w:space="0" w:color="auto"/>
          </w:divBdr>
        </w:div>
        <w:div w:id="706565111">
          <w:marLeft w:val="0"/>
          <w:marRight w:val="0"/>
          <w:marTop w:val="120"/>
          <w:marBottom w:val="120"/>
          <w:divBdr>
            <w:top w:val="none" w:sz="0" w:space="0" w:color="auto"/>
            <w:left w:val="none" w:sz="0" w:space="0" w:color="auto"/>
            <w:bottom w:val="none" w:sz="0" w:space="0" w:color="auto"/>
            <w:right w:val="none" w:sz="0" w:space="0" w:color="auto"/>
          </w:divBdr>
        </w:div>
        <w:div w:id="982347427">
          <w:marLeft w:val="0"/>
          <w:marRight w:val="0"/>
          <w:marTop w:val="120"/>
          <w:marBottom w:val="120"/>
          <w:divBdr>
            <w:top w:val="none" w:sz="0" w:space="0" w:color="auto"/>
            <w:left w:val="none" w:sz="0" w:space="0" w:color="auto"/>
            <w:bottom w:val="none" w:sz="0" w:space="0" w:color="auto"/>
            <w:right w:val="none" w:sz="0" w:space="0" w:color="auto"/>
          </w:divBdr>
        </w:div>
        <w:div w:id="1220362846">
          <w:marLeft w:val="0"/>
          <w:marRight w:val="0"/>
          <w:marTop w:val="120"/>
          <w:marBottom w:val="120"/>
          <w:divBdr>
            <w:top w:val="none" w:sz="0" w:space="0" w:color="auto"/>
            <w:left w:val="none" w:sz="0" w:space="0" w:color="auto"/>
            <w:bottom w:val="none" w:sz="0" w:space="0" w:color="auto"/>
            <w:right w:val="none" w:sz="0" w:space="0" w:color="auto"/>
          </w:divBdr>
        </w:div>
      </w:divsChild>
    </w:div>
    <w:div w:id="471335432">
      <w:bodyDiv w:val="1"/>
      <w:marLeft w:val="0"/>
      <w:marRight w:val="0"/>
      <w:marTop w:val="0"/>
      <w:marBottom w:val="0"/>
      <w:divBdr>
        <w:top w:val="none" w:sz="0" w:space="0" w:color="auto"/>
        <w:left w:val="none" w:sz="0" w:space="0" w:color="auto"/>
        <w:bottom w:val="none" w:sz="0" w:space="0" w:color="auto"/>
        <w:right w:val="none" w:sz="0" w:space="0" w:color="auto"/>
      </w:divBdr>
    </w:div>
    <w:div w:id="476918123">
      <w:bodyDiv w:val="1"/>
      <w:marLeft w:val="0"/>
      <w:marRight w:val="0"/>
      <w:marTop w:val="0"/>
      <w:marBottom w:val="0"/>
      <w:divBdr>
        <w:top w:val="none" w:sz="0" w:space="0" w:color="auto"/>
        <w:left w:val="none" w:sz="0" w:space="0" w:color="auto"/>
        <w:bottom w:val="none" w:sz="0" w:space="0" w:color="auto"/>
        <w:right w:val="none" w:sz="0" w:space="0" w:color="auto"/>
      </w:divBdr>
    </w:div>
    <w:div w:id="477376974">
      <w:bodyDiv w:val="1"/>
      <w:marLeft w:val="0"/>
      <w:marRight w:val="0"/>
      <w:marTop w:val="0"/>
      <w:marBottom w:val="0"/>
      <w:divBdr>
        <w:top w:val="none" w:sz="0" w:space="0" w:color="auto"/>
        <w:left w:val="none" w:sz="0" w:space="0" w:color="auto"/>
        <w:bottom w:val="none" w:sz="0" w:space="0" w:color="auto"/>
        <w:right w:val="none" w:sz="0" w:space="0" w:color="auto"/>
      </w:divBdr>
    </w:div>
    <w:div w:id="480974001">
      <w:bodyDiv w:val="1"/>
      <w:marLeft w:val="0"/>
      <w:marRight w:val="0"/>
      <w:marTop w:val="0"/>
      <w:marBottom w:val="0"/>
      <w:divBdr>
        <w:top w:val="none" w:sz="0" w:space="0" w:color="auto"/>
        <w:left w:val="none" w:sz="0" w:space="0" w:color="auto"/>
        <w:bottom w:val="none" w:sz="0" w:space="0" w:color="auto"/>
        <w:right w:val="none" w:sz="0" w:space="0" w:color="auto"/>
      </w:divBdr>
      <w:divsChild>
        <w:div w:id="1012996579">
          <w:marLeft w:val="0"/>
          <w:marRight w:val="0"/>
          <w:marTop w:val="0"/>
          <w:marBottom w:val="0"/>
          <w:divBdr>
            <w:top w:val="none" w:sz="0" w:space="0" w:color="auto"/>
            <w:left w:val="none" w:sz="0" w:space="0" w:color="auto"/>
            <w:bottom w:val="none" w:sz="0" w:space="0" w:color="auto"/>
            <w:right w:val="none" w:sz="0" w:space="0" w:color="auto"/>
          </w:divBdr>
          <w:divsChild>
            <w:div w:id="1498499155">
              <w:marLeft w:val="0"/>
              <w:marRight w:val="0"/>
              <w:marTop w:val="0"/>
              <w:marBottom w:val="0"/>
              <w:divBdr>
                <w:top w:val="none" w:sz="0" w:space="0" w:color="auto"/>
                <w:left w:val="none" w:sz="0" w:space="0" w:color="auto"/>
                <w:bottom w:val="none" w:sz="0" w:space="0" w:color="auto"/>
                <w:right w:val="none" w:sz="0" w:space="0" w:color="auto"/>
              </w:divBdr>
              <w:divsChild>
                <w:div w:id="2143958879">
                  <w:marLeft w:val="0"/>
                  <w:marRight w:val="0"/>
                  <w:marTop w:val="0"/>
                  <w:marBottom w:val="0"/>
                  <w:divBdr>
                    <w:top w:val="none" w:sz="0" w:space="0" w:color="auto"/>
                    <w:left w:val="none" w:sz="0" w:space="0" w:color="auto"/>
                    <w:bottom w:val="none" w:sz="0" w:space="0" w:color="auto"/>
                    <w:right w:val="none" w:sz="0" w:space="0" w:color="auto"/>
                  </w:divBdr>
                  <w:divsChild>
                    <w:div w:id="18953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497943">
      <w:bodyDiv w:val="1"/>
      <w:marLeft w:val="0"/>
      <w:marRight w:val="0"/>
      <w:marTop w:val="0"/>
      <w:marBottom w:val="0"/>
      <w:divBdr>
        <w:top w:val="none" w:sz="0" w:space="0" w:color="auto"/>
        <w:left w:val="none" w:sz="0" w:space="0" w:color="auto"/>
        <w:bottom w:val="none" w:sz="0" w:space="0" w:color="auto"/>
        <w:right w:val="none" w:sz="0" w:space="0" w:color="auto"/>
      </w:divBdr>
    </w:div>
    <w:div w:id="503130394">
      <w:bodyDiv w:val="1"/>
      <w:marLeft w:val="0"/>
      <w:marRight w:val="0"/>
      <w:marTop w:val="0"/>
      <w:marBottom w:val="0"/>
      <w:divBdr>
        <w:top w:val="none" w:sz="0" w:space="0" w:color="auto"/>
        <w:left w:val="none" w:sz="0" w:space="0" w:color="auto"/>
        <w:bottom w:val="none" w:sz="0" w:space="0" w:color="auto"/>
        <w:right w:val="none" w:sz="0" w:space="0" w:color="auto"/>
      </w:divBdr>
    </w:div>
    <w:div w:id="525868139">
      <w:bodyDiv w:val="1"/>
      <w:marLeft w:val="0"/>
      <w:marRight w:val="0"/>
      <w:marTop w:val="0"/>
      <w:marBottom w:val="0"/>
      <w:divBdr>
        <w:top w:val="none" w:sz="0" w:space="0" w:color="auto"/>
        <w:left w:val="none" w:sz="0" w:space="0" w:color="auto"/>
        <w:bottom w:val="none" w:sz="0" w:space="0" w:color="auto"/>
        <w:right w:val="none" w:sz="0" w:space="0" w:color="auto"/>
      </w:divBdr>
    </w:div>
    <w:div w:id="537402029">
      <w:bodyDiv w:val="1"/>
      <w:marLeft w:val="0"/>
      <w:marRight w:val="0"/>
      <w:marTop w:val="0"/>
      <w:marBottom w:val="0"/>
      <w:divBdr>
        <w:top w:val="none" w:sz="0" w:space="0" w:color="auto"/>
        <w:left w:val="none" w:sz="0" w:space="0" w:color="auto"/>
        <w:bottom w:val="none" w:sz="0" w:space="0" w:color="auto"/>
        <w:right w:val="none" w:sz="0" w:space="0" w:color="auto"/>
      </w:divBdr>
      <w:divsChild>
        <w:div w:id="1296375104">
          <w:marLeft w:val="0"/>
          <w:marRight w:val="0"/>
          <w:marTop w:val="0"/>
          <w:marBottom w:val="0"/>
          <w:divBdr>
            <w:top w:val="none" w:sz="0" w:space="0" w:color="auto"/>
            <w:left w:val="none" w:sz="0" w:space="0" w:color="auto"/>
            <w:bottom w:val="none" w:sz="0" w:space="0" w:color="auto"/>
            <w:right w:val="none" w:sz="0" w:space="0" w:color="auto"/>
          </w:divBdr>
          <w:divsChild>
            <w:div w:id="1087337816">
              <w:marLeft w:val="0"/>
              <w:marRight w:val="0"/>
              <w:marTop w:val="0"/>
              <w:marBottom w:val="0"/>
              <w:divBdr>
                <w:top w:val="none" w:sz="0" w:space="0" w:color="auto"/>
                <w:left w:val="none" w:sz="0" w:space="0" w:color="auto"/>
                <w:bottom w:val="none" w:sz="0" w:space="0" w:color="auto"/>
                <w:right w:val="none" w:sz="0" w:space="0" w:color="auto"/>
              </w:divBdr>
              <w:divsChild>
                <w:div w:id="1480463173">
                  <w:marLeft w:val="0"/>
                  <w:marRight w:val="0"/>
                  <w:marTop w:val="0"/>
                  <w:marBottom w:val="0"/>
                  <w:divBdr>
                    <w:top w:val="none" w:sz="0" w:space="0" w:color="auto"/>
                    <w:left w:val="none" w:sz="0" w:space="0" w:color="auto"/>
                    <w:bottom w:val="none" w:sz="0" w:space="0" w:color="auto"/>
                    <w:right w:val="none" w:sz="0" w:space="0" w:color="auto"/>
                  </w:divBdr>
                  <w:divsChild>
                    <w:div w:id="123235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932077">
      <w:bodyDiv w:val="1"/>
      <w:marLeft w:val="0"/>
      <w:marRight w:val="0"/>
      <w:marTop w:val="0"/>
      <w:marBottom w:val="0"/>
      <w:divBdr>
        <w:top w:val="none" w:sz="0" w:space="0" w:color="auto"/>
        <w:left w:val="none" w:sz="0" w:space="0" w:color="auto"/>
        <w:bottom w:val="none" w:sz="0" w:space="0" w:color="auto"/>
        <w:right w:val="none" w:sz="0" w:space="0" w:color="auto"/>
      </w:divBdr>
    </w:div>
    <w:div w:id="562179219">
      <w:bodyDiv w:val="1"/>
      <w:marLeft w:val="0"/>
      <w:marRight w:val="0"/>
      <w:marTop w:val="0"/>
      <w:marBottom w:val="0"/>
      <w:divBdr>
        <w:top w:val="none" w:sz="0" w:space="0" w:color="auto"/>
        <w:left w:val="none" w:sz="0" w:space="0" w:color="auto"/>
        <w:bottom w:val="none" w:sz="0" w:space="0" w:color="auto"/>
        <w:right w:val="none" w:sz="0" w:space="0" w:color="auto"/>
      </w:divBdr>
    </w:div>
    <w:div w:id="572544865">
      <w:bodyDiv w:val="1"/>
      <w:marLeft w:val="0"/>
      <w:marRight w:val="0"/>
      <w:marTop w:val="0"/>
      <w:marBottom w:val="0"/>
      <w:divBdr>
        <w:top w:val="none" w:sz="0" w:space="0" w:color="auto"/>
        <w:left w:val="none" w:sz="0" w:space="0" w:color="auto"/>
        <w:bottom w:val="none" w:sz="0" w:space="0" w:color="auto"/>
        <w:right w:val="none" w:sz="0" w:space="0" w:color="auto"/>
      </w:divBdr>
    </w:div>
    <w:div w:id="574097729">
      <w:bodyDiv w:val="1"/>
      <w:marLeft w:val="0"/>
      <w:marRight w:val="0"/>
      <w:marTop w:val="0"/>
      <w:marBottom w:val="0"/>
      <w:divBdr>
        <w:top w:val="none" w:sz="0" w:space="0" w:color="auto"/>
        <w:left w:val="none" w:sz="0" w:space="0" w:color="auto"/>
        <w:bottom w:val="none" w:sz="0" w:space="0" w:color="auto"/>
        <w:right w:val="none" w:sz="0" w:space="0" w:color="auto"/>
      </w:divBdr>
    </w:div>
    <w:div w:id="587229522">
      <w:bodyDiv w:val="1"/>
      <w:marLeft w:val="0"/>
      <w:marRight w:val="0"/>
      <w:marTop w:val="0"/>
      <w:marBottom w:val="0"/>
      <w:divBdr>
        <w:top w:val="none" w:sz="0" w:space="0" w:color="auto"/>
        <w:left w:val="none" w:sz="0" w:space="0" w:color="auto"/>
        <w:bottom w:val="none" w:sz="0" w:space="0" w:color="auto"/>
        <w:right w:val="none" w:sz="0" w:space="0" w:color="auto"/>
      </w:divBdr>
    </w:div>
    <w:div w:id="601106338">
      <w:bodyDiv w:val="1"/>
      <w:marLeft w:val="0"/>
      <w:marRight w:val="0"/>
      <w:marTop w:val="0"/>
      <w:marBottom w:val="0"/>
      <w:divBdr>
        <w:top w:val="none" w:sz="0" w:space="0" w:color="auto"/>
        <w:left w:val="none" w:sz="0" w:space="0" w:color="auto"/>
        <w:bottom w:val="none" w:sz="0" w:space="0" w:color="auto"/>
        <w:right w:val="none" w:sz="0" w:space="0" w:color="auto"/>
      </w:divBdr>
      <w:divsChild>
        <w:div w:id="1110205281">
          <w:marLeft w:val="0"/>
          <w:marRight w:val="0"/>
          <w:marTop w:val="0"/>
          <w:marBottom w:val="0"/>
          <w:divBdr>
            <w:top w:val="none" w:sz="0" w:space="0" w:color="auto"/>
            <w:left w:val="none" w:sz="0" w:space="0" w:color="auto"/>
            <w:bottom w:val="none" w:sz="0" w:space="0" w:color="auto"/>
            <w:right w:val="none" w:sz="0" w:space="0" w:color="auto"/>
          </w:divBdr>
          <w:divsChild>
            <w:div w:id="1451238935">
              <w:marLeft w:val="0"/>
              <w:marRight w:val="0"/>
              <w:marTop w:val="0"/>
              <w:marBottom w:val="0"/>
              <w:divBdr>
                <w:top w:val="none" w:sz="0" w:space="0" w:color="auto"/>
                <w:left w:val="none" w:sz="0" w:space="0" w:color="auto"/>
                <w:bottom w:val="none" w:sz="0" w:space="0" w:color="auto"/>
                <w:right w:val="none" w:sz="0" w:space="0" w:color="auto"/>
              </w:divBdr>
              <w:divsChild>
                <w:div w:id="25213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004090">
      <w:bodyDiv w:val="1"/>
      <w:marLeft w:val="0"/>
      <w:marRight w:val="0"/>
      <w:marTop w:val="0"/>
      <w:marBottom w:val="0"/>
      <w:divBdr>
        <w:top w:val="none" w:sz="0" w:space="0" w:color="auto"/>
        <w:left w:val="none" w:sz="0" w:space="0" w:color="auto"/>
        <w:bottom w:val="none" w:sz="0" w:space="0" w:color="auto"/>
        <w:right w:val="none" w:sz="0" w:space="0" w:color="auto"/>
      </w:divBdr>
      <w:divsChild>
        <w:div w:id="182864682">
          <w:marLeft w:val="0"/>
          <w:marRight w:val="0"/>
          <w:marTop w:val="0"/>
          <w:marBottom w:val="0"/>
          <w:divBdr>
            <w:top w:val="none" w:sz="0" w:space="0" w:color="auto"/>
            <w:left w:val="none" w:sz="0" w:space="0" w:color="auto"/>
            <w:bottom w:val="none" w:sz="0" w:space="0" w:color="auto"/>
            <w:right w:val="none" w:sz="0" w:space="0" w:color="auto"/>
          </w:divBdr>
          <w:divsChild>
            <w:div w:id="1976451721">
              <w:marLeft w:val="0"/>
              <w:marRight w:val="0"/>
              <w:marTop w:val="0"/>
              <w:marBottom w:val="0"/>
              <w:divBdr>
                <w:top w:val="none" w:sz="0" w:space="0" w:color="auto"/>
                <w:left w:val="none" w:sz="0" w:space="0" w:color="auto"/>
                <w:bottom w:val="none" w:sz="0" w:space="0" w:color="auto"/>
                <w:right w:val="none" w:sz="0" w:space="0" w:color="auto"/>
              </w:divBdr>
              <w:divsChild>
                <w:div w:id="191339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74504">
      <w:bodyDiv w:val="1"/>
      <w:marLeft w:val="0"/>
      <w:marRight w:val="0"/>
      <w:marTop w:val="0"/>
      <w:marBottom w:val="0"/>
      <w:divBdr>
        <w:top w:val="none" w:sz="0" w:space="0" w:color="auto"/>
        <w:left w:val="none" w:sz="0" w:space="0" w:color="auto"/>
        <w:bottom w:val="none" w:sz="0" w:space="0" w:color="auto"/>
        <w:right w:val="none" w:sz="0" w:space="0" w:color="auto"/>
      </w:divBdr>
      <w:divsChild>
        <w:div w:id="2017615399">
          <w:marLeft w:val="0"/>
          <w:marRight w:val="0"/>
          <w:marTop w:val="0"/>
          <w:marBottom w:val="0"/>
          <w:divBdr>
            <w:top w:val="none" w:sz="0" w:space="0" w:color="auto"/>
            <w:left w:val="none" w:sz="0" w:space="0" w:color="auto"/>
            <w:bottom w:val="none" w:sz="0" w:space="0" w:color="auto"/>
            <w:right w:val="none" w:sz="0" w:space="0" w:color="auto"/>
          </w:divBdr>
          <w:divsChild>
            <w:div w:id="1599287075">
              <w:marLeft w:val="0"/>
              <w:marRight w:val="0"/>
              <w:marTop w:val="0"/>
              <w:marBottom w:val="0"/>
              <w:divBdr>
                <w:top w:val="none" w:sz="0" w:space="0" w:color="auto"/>
                <w:left w:val="none" w:sz="0" w:space="0" w:color="auto"/>
                <w:bottom w:val="none" w:sz="0" w:space="0" w:color="auto"/>
                <w:right w:val="none" w:sz="0" w:space="0" w:color="auto"/>
              </w:divBdr>
              <w:divsChild>
                <w:div w:id="3696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13365">
      <w:bodyDiv w:val="1"/>
      <w:marLeft w:val="0"/>
      <w:marRight w:val="0"/>
      <w:marTop w:val="0"/>
      <w:marBottom w:val="0"/>
      <w:divBdr>
        <w:top w:val="none" w:sz="0" w:space="0" w:color="auto"/>
        <w:left w:val="none" w:sz="0" w:space="0" w:color="auto"/>
        <w:bottom w:val="none" w:sz="0" w:space="0" w:color="auto"/>
        <w:right w:val="none" w:sz="0" w:space="0" w:color="auto"/>
      </w:divBdr>
    </w:div>
    <w:div w:id="611983527">
      <w:bodyDiv w:val="1"/>
      <w:marLeft w:val="0"/>
      <w:marRight w:val="0"/>
      <w:marTop w:val="0"/>
      <w:marBottom w:val="0"/>
      <w:divBdr>
        <w:top w:val="none" w:sz="0" w:space="0" w:color="auto"/>
        <w:left w:val="none" w:sz="0" w:space="0" w:color="auto"/>
        <w:bottom w:val="none" w:sz="0" w:space="0" w:color="auto"/>
        <w:right w:val="none" w:sz="0" w:space="0" w:color="auto"/>
      </w:divBdr>
      <w:divsChild>
        <w:div w:id="1375497141">
          <w:marLeft w:val="0"/>
          <w:marRight w:val="0"/>
          <w:marTop w:val="0"/>
          <w:marBottom w:val="0"/>
          <w:divBdr>
            <w:top w:val="none" w:sz="0" w:space="0" w:color="auto"/>
            <w:left w:val="none" w:sz="0" w:space="0" w:color="auto"/>
            <w:bottom w:val="none" w:sz="0" w:space="0" w:color="auto"/>
            <w:right w:val="none" w:sz="0" w:space="0" w:color="auto"/>
          </w:divBdr>
          <w:divsChild>
            <w:div w:id="1622684234">
              <w:marLeft w:val="0"/>
              <w:marRight w:val="0"/>
              <w:marTop w:val="0"/>
              <w:marBottom w:val="0"/>
              <w:divBdr>
                <w:top w:val="none" w:sz="0" w:space="0" w:color="auto"/>
                <w:left w:val="none" w:sz="0" w:space="0" w:color="auto"/>
                <w:bottom w:val="none" w:sz="0" w:space="0" w:color="auto"/>
                <w:right w:val="none" w:sz="0" w:space="0" w:color="auto"/>
              </w:divBdr>
              <w:divsChild>
                <w:div w:id="198634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634796">
      <w:bodyDiv w:val="1"/>
      <w:marLeft w:val="0"/>
      <w:marRight w:val="0"/>
      <w:marTop w:val="0"/>
      <w:marBottom w:val="0"/>
      <w:divBdr>
        <w:top w:val="none" w:sz="0" w:space="0" w:color="auto"/>
        <w:left w:val="none" w:sz="0" w:space="0" w:color="auto"/>
        <w:bottom w:val="none" w:sz="0" w:space="0" w:color="auto"/>
        <w:right w:val="none" w:sz="0" w:space="0" w:color="auto"/>
      </w:divBdr>
      <w:divsChild>
        <w:div w:id="995259191">
          <w:marLeft w:val="0"/>
          <w:marRight w:val="0"/>
          <w:marTop w:val="0"/>
          <w:marBottom w:val="0"/>
          <w:divBdr>
            <w:top w:val="none" w:sz="0" w:space="0" w:color="auto"/>
            <w:left w:val="none" w:sz="0" w:space="0" w:color="auto"/>
            <w:bottom w:val="none" w:sz="0" w:space="0" w:color="auto"/>
            <w:right w:val="none" w:sz="0" w:space="0" w:color="auto"/>
          </w:divBdr>
          <w:divsChild>
            <w:div w:id="1025136928">
              <w:marLeft w:val="0"/>
              <w:marRight w:val="0"/>
              <w:marTop w:val="0"/>
              <w:marBottom w:val="0"/>
              <w:divBdr>
                <w:top w:val="none" w:sz="0" w:space="0" w:color="auto"/>
                <w:left w:val="none" w:sz="0" w:space="0" w:color="auto"/>
                <w:bottom w:val="none" w:sz="0" w:space="0" w:color="auto"/>
                <w:right w:val="none" w:sz="0" w:space="0" w:color="auto"/>
              </w:divBdr>
              <w:divsChild>
                <w:div w:id="1271858418">
                  <w:marLeft w:val="0"/>
                  <w:marRight w:val="0"/>
                  <w:marTop w:val="0"/>
                  <w:marBottom w:val="0"/>
                  <w:divBdr>
                    <w:top w:val="none" w:sz="0" w:space="0" w:color="auto"/>
                    <w:left w:val="none" w:sz="0" w:space="0" w:color="auto"/>
                    <w:bottom w:val="none" w:sz="0" w:space="0" w:color="auto"/>
                    <w:right w:val="none" w:sz="0" w:space="0" w:color="auto"/>
                  </w:divBdr>
                  <w:divsChild>
                    <w:div w:id="17889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122259">
      <w:bodyDiv w:val="1"/>
      <w:marLeft w:val="0"/>
      <w:marRight w:val="0"/>
      <w:marTop w:val="0"/>
      <w:marBottom w:val="0"/>
      <w:divBdr>
        <w:top w:val="none" w:sz="0" w:space="0" w:color="auto"/>
        <w:left w:val="none" w:sz="0" w:space="0" w:color="auto"/>
        <w:bottom w:val="none" w:sz="0" w:space="0" w:color="auto"/>
        <w:right w:val="none" w:sz="0" w:space="0" w:color="auto"/>
      </w:divBdr>
    </w:div>
    <w:div w:id="649363212">
      <w:bodyDiv w:val="1"/>
      <w:marLeft w:val="0"/>
      <w:marRight w:val="0"/>
      <w:marTop w:val="0"/>
      <w:marBottom w:val="0"/>
      <w:divBdr>
        <w:top w:val="none" w:sz="0" w:space="0" w:color="auto"/>
        <w:left w:val="none" w:sz="0" w:space="0" w:color="auto"/>
        <w:bottom w:val="none" w:sz="0" w:space="0" w:color="auto"/>
        <w:right w:val="none" w:sz="0" w:space="0" w:color="auto"/>
      </w:divBdr>
    </w:div>
    <w:div w:id="661616981">
      <w:bodyDiv w:val="1"/>
      <w:marLeft w:val="0"/>
      <w:marRight w:val="0"/>
      <w:marTop w:val="0"/>
      <w:marBottom w:val="0"/>
      <w:divBdr>
        <w:top w:val="none" w:sz="0" w:space="0" w:color="auto"/>
        <w:left w:val="none" w:sz="0" w:space="0" w:color="auto"/>
        <w:bottom w:val="none" w:sz="0" w:space="0" w:color="auto"/>
        <w:right w:val="none" w:sz="0" w:space="0" w:color="auto"/>
      </w:divBdr>
    </w:div>
    <w:div w:id="663900544">
      <w:bodyDiv w:val="1"/>
      <w:marLeft w:val="0"/>
      <w:marRight w:val="0"/>
      <w:marTop w:val="0"/>
      <w:marBottom w:val="0"/>
      <w:divBdr>
        <w:top w:val="none" w:sz="0" w:space="0" w:color="auto"/>
        <w:left w:val="none" w:sz="0" w:space="0" w:color="auto"/>
        <w:bottom w:val="none" w:sz="0" w:space="0" w:color="auto"/>
        <w:right w:val="none" w:sz="0" w:space="0" w:color="auto"/>
      </w:divBdr>
      <w:divsChild>
        <w:div w:id="39598749">
          <w:marLeft w:val="0"/>
          <w:marRight w:val="0"/>
          <w:marTop w:val="0"/>
          <w:marBottom w:val="0"/>
          <w:divBdr>
            <w:top w:val="none" w:sz="0" w:space="0" w:color="auto"/>
            <w:left w:val="none" w:sz="0" w:space="0" w:color="auto"/>
            <w:bottom w:val="none" w:sz="0" w:space="0" w:color="auto"/>
            <w:right w:val="none" w:sz="0" w:space="0" w:color="auto"/>
          </w:divBdr>
          <w:divsChild>
            <w:div w:id="841772323">
              <w:marLeft w:val="0"/>
              <w:marRight w:val="0"/>
              <w:marTop w:val="0"/>
              <w:marBottom w:val="0"/>
              <w:divBdr>
                <w:top w:val="none" w:sz="0" w:space="0" w:color="auto"/>
                <w:left w:val="none" w:sz="0" w:space="0" w:color="auto"/>
                <w:bottom w:val="none" w:sz="0" w:space="0" w:color="auto"/>
                <w:right w:val="none" w:sz="0" w:space="0" w:color="auto"/>
              </w:divBdr>
              <w:divsChild>
                <w:div w:id="19967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48858">
      <w:bodyDiv w:val="1"/>
      <w:marLeft w:val="0"/>
      <w:marRight w:val="0"/>
      <w:marTop w:val="0"/>
      <w:marBottom w:val="0"/>
      <w:divBdr>
        <w:top w:val="none" w:sz="0" w:space="0" w:color="auto"/>
        <w:left w:val="none" w:sz="0" w:space="0" w:color="auto"/>
        <w:bottom w:val="none" w:sz="0" w:space="0" w:color="auto"/>
        <w:right w:val="none" w:sz="0" w:space="0" w:color="auto"/>
      </w:divBdr>
    </w:div>
    <w:div w:id="680011880">
      <w:bodyDiv w:val="1"/>
      <w:marLeft w:val="0"/>
      <w:marRight w:val="0"/>
      <w:marTop w:val="0"/>
      <w:marBottom w:val="0"/>
      <w:divBdr>
        <w:top w:val="none" w:sz="0" w:space="0" w:color="auto"/>
        <w:left w:val="none" w:sz="0" w:space="0" w:color="auto"/>
        <w:bottom w:val="none" w:sz="0" w:space="0" w:color="auto"/>
        <w:right w:val="none" w:sz="0" w:space="0" w:color="auto"/>
      </w:divBdr>
    </w:div>
    <w:div w:id="682246514">
      <w:bodyDiv w:val="1"/>
      <w:marLeft w:val="0"/>
      <w:marRight w:val="0"/>
      <w:marTop w:val="0"/>
      <w:marBottom w:val="0"/>
      <w:divBdr>
        <w:top w:val="none" w:sz="0" w:space="0" w:color="auto"/>
        <w:left w:val="none" w:sz="0" w:space="0" w:color="auto"/>
        <w:bottom w:val="none" w:sz="0" w:space="0" w:color="auto"/>
        <w:right w:val="none" w:sz="0" w:space="0" w:color="auto"/>
      </w:divBdr>
    </w:div>
    <w:div w:id="686977952">
      <w:bodyDiv w:val="1"/>
      <w:marLeft w:val="0"/>
      <w:marRight w:val="0"/>
      <w:marTop w:val="0"/>
      <w:marBottom w:val="0"/>
      <w:divBdr>
        <w:top w:val="none" w:sz="0" w:space="0" w:color="auto"/>
        <w:left w:val="none" w:sz="0" w:space="0" w:color="auto"/>
        <w:bottom w:val="none" w:sz="0" w:space="0" w:color="auto"/>
        <w:right w:val="none" w:sz="0" w:space="0" w:color="auto"/>
      </w:divBdr>
    </w:div>
    <w:div w:id="698896540">
      <w:bodyDiv w:val="1"/>
      <w:marLeft w:val="0"/>
      <w:marRight w:val="0"/>
      <w:marTop w:val="0"/>
      <w:marBottom w:val="0"/>
      <w:divBdr>
        <w:top w:val="none" w:sz="0" w:space="0" w:color="auto"/>
        <w:left w:val="none" w:sz="0" w:space="0" w:color="auto"/>
        <w:bottom w:val="none" w:sz="0" w:space="0" w:color="auto"/>
        <w:right w:val="none" w:sz="0" w:space="0" w:color="auto"/>
      </w:divBdr>
    </w:div>
    <w:div w:id="702948336">
      <w:bodyDiv w:val="1"/>
      <w:marLeft w:val="0"/>
      <w:marRight w:val="0"/>
      <w:marTop w:val="0"/>
      <w:marBottom w:val="0"/>
      <w:divBdr>
        <w:top w:val="none" w:sz="0" w:space="0" w:color="auto"/>
        <w:left w:val="none" w:sz="0" w:space="0" w:color="auto"/>
        <w:bottom w:val="none" w:sz="0" w:space="0" w:color="auto"/>
        <w:right w:val="none" w:sz="0" w:space="0" w:color="auto"/>
      </w:divBdr>
    </w:div>
    <w:div w:id="740565020">
      <w:bodyDiv w:val="1"/>
      <w:marLeft w:val="0"/>
      <w:marRight w:val="0"/>
      <w:marTop w:val="0"/>
      <w:marBottom w:val="0"/>
      <w:divBdr>
        <w:top w:val="none" w:sz="0" w:space="0" w:color="auto"/>
        <w:left w:val="none" w:sz="0" w:space="0" w:color="auto"/>
        <w:bottom w:val="none" w:sz="0" w:space="0" w:color="auto"/>
        <w:right w:val="none" w:sz="0" w:space="0" w:color="auto"/>
      </w:divBdr>
    </w:div>
    <w:div w:id="752168533">
      <w:bodyDiv w:val="1"/>
      <w:marLeft w:val="0"/>
      <w:marRight w:val="0"/>
      <w:marTop w:val="0"/>
      <w:marBottom w:val="0"/>
      <w:divBdr>
        <w:top w:val="none" w:sz="0" w:space="0" w:color="auto"/>
        <w:left w:val="none" w:sz="0" w:space="0" w:color="auto"/>
        <w:bottom w:val="none" w:sz="0" w:space="0" w:color="auto"/>
        <w:right w:val="none" w:sz="0" w:space="0" w:color="auto"/>
      </w:divBdr>
    </w:div>
    <w:div w:id="763961238">
      <w:bodyDiv w:val="1"/>
      <w:marLeft w:val="0"/>
      <w:marRight w:val="0"/>
      <w:marTop w:val="0"/>
      <w:marBottom w:val="0"/>
      <w:divBdr>
        <w:top w:val="none" w:sz="0" w:space="0" w:color="auto"/>
        <w:left w:val="none" w:sz="0" w:space="0" w:color="auto"/>
        <w:bottom w:val="none" w:sz="0" w:space="0" w:color="auto"/>
        <w:right w:val="none" w:sz="0" w:space="0" w:color="auto"/>
      </w:divBdr>
    </w:div>
    <w:div w:id="770591013">
      <w:bodyDiv w:val="1"/>
      <w:marLeft w:val="0"/>
      <w:marRight w:val="0"/>
      <w:marTop w:val="0"/>
      <w:marBottom w:val="0"/>
      <w:divBdr>
        <w:top w:val="none" w:sz="0" w:space="0" w:color="auto"/>
        <w:left w:val="none" w:sz="0" w:space="0" w:color="auto"/>
        <w:bottom w:val="none" w:sz="0" w:space="0" w:color="auto"/>
        <w:right w:val="none" w:sz="0" w:space="0" w:color="auto"/>
      </w:divBdr>
    </w:div>
    <w:div w:id="775488780">
      <w:bodyDiv w:val="1"/>
      <w:marLeft w:val="0"/>
      <w:marRight w:val="0"/>
      <w:marTop w:val="0"/>
      <w:marBottom w:val="0"/>
      <w:divBdr>
        <w:top w:val="none" w:sz="0" w:space="0" w:color="auto"/>
        <w:left w:val="none" w:sz="0" w:space="0" w:color="auto"/>
        <w:bottom w:val="none" w:sz="0" w:space="0" w:color="auto"/>
        <w:right w:val="none" w:sz="0" w:space="0" w:color="auto"/>
      </w:divBdr>
    </w:div>
    <w:div w:id="784812649">
      <w:bodyDiv w:val="1"/>
      <w:marLeft w:val="0"/>
      <w:marRight w:val="0"/>
      <w:marTop w:val="0"/>
      <w:marBottom w:val="0"/>
      <w:divBdr>
        <w:top w:val="none" w:sz="0" w:space="0" w:color="auto"/>
        <w:left w:val="none" w:sz="0" w:space="0" w:color="auto"/>
        <w:bottom w:val="none" w:sz="0" w:space="0" w:color="auto"/>
        <w:right w:val="none" w:sz="0" w:space="0" w:color="auto"/>
      </w:divBdr>
    </w:div>
    <w:div w:id="794566237">
      <w:bodyDiv w:val="1"/>
      <w:marLeft w:val="0"/>
      <w:marRight w:val="0"/>
      <w:marTop w:val="0"/>
      <w:marBottom w:val="0"/>
      <w:divBdr>
        <w:top w:val="none" w:sz="0" w:space="0" w:color="auto"/>
        <w:left w:val="none" w:sz="0" w:space="0" w:color="auto"/>
        <w:bottom w:val="none" w:sz="0" w:space="0" w:color="auto"/>
        <w:right w:val="none" w:sz="0" w:space="0" w:color="auto"/>
      </w:divBdr>
      <w:divsChild>
        <w:div w:id="439304561">
          <w:marLeft w:val="0"/>
          <w:marRight w:val="0"/>
          <w:marTop w:val="0"/>
          <w:marBottom w:val="0"/>
          <w:divBdr>
            <w:top w:val="none" w:sz="0" w:space="0" w:color="auto"/>
            <w:left w:val="none" w:sz="0" w:space="0" w:color="auto"/>
            <w:bottom w:val="none" w:sz="0" w:space="0" w:color="auto"/>
            <w:right w:val="none" w:sz="0" w:space="0" w:color="auto"/>
          </w:divBdr>
          <w:divsChild>
            <w:div w:id="2068450015">
              <w:marLeft w:val="0"/>
              <w:marRight w:val="0"/>
              <w:marTop w:val="0"/>
              <w:marBottom w:val="0"/>
              <w:divBdr>
                <w:top w:val="none" w:sz="0" w:space="0" w:color="auto"/>
                <w:left w:val="none" w:sz="0" w:space="0" w:color="auto"/>
                <w:bottom w:val="none" w:sz="0" w:space="0" w:color="auto"/>
                <w:right w:val="none" w:sz="0" w:space="0" w:color="auto"/>
              </w:divBdr>
              <w:divsChild>
                <w:div w:id="57397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86940">
      <w:bodyDiv w:val="1"/>
      <w:marLeft w:val="0"/>
      <w:marRight w:val="0"/>
      <w:marTop w:val="0"/>
      <w:marBottom w:val="0"/>
      <w:divBdr>
        <w:top w:val="none" w:sz="0" w:space="0" w:color="auto"/>
        <w:left w:val="none" w:sz="0" w:space="0" w:color="auto"/>
        <w:bottom w:val="none" w:sz="0" w:space="0" w:color="auto"/>
        <w:right w:val="none" w:sz="0" w:space="0" w:color="auto"/>
      </w:divBdr>
    </w:div>
    <w:div w:id="808784257">
      <w:bodyDiv w:val="1"/>
      <w:marLeft w:val="0"/>
      <w:marRight w:val="0"/>
      <w:marTop w:val="0"/>
      <w:marBottom w:val="0"/>
      <w:divBdr>
        <w:top w:val="none" w:sz="0" w:space="0" w:color="auto"/>
        <w:left w:val="none" w:sz="0" w:space="0" w:color="auto"/>
        <w:bottom w:val="none" w:sz="0" w:space="0" w:color="auto"/>
        <w:right w:val="none" w:sz="0" w:space="0" w:color="auto"/>
      </w:divBdr>
      <w:divsChild>
        <w:div w:id="493377163">
          <w:marLeft w:val="0"/>
          <w:marRight w:val="0"/>
          <w:marTop w:val="120"/>
          <w:marBottom w:val="120"/>
          <w:divBdr>
            <w:top w:val="none" w:sz="0" w:space="0" w:color="auto"/>
            <w:left w:val="none" w:sz="0" w:space="0" w:color="auto"/>
            <w:bottom w:val="none" w:sz="0" w:space="0" w:color="auto"/>
            <w:right w:val="none" w:sz="0" w:space="0" w:color="auto"/>
          </w:divBdr>
        </w:div>
      </w:divsChild>
    </w:div>
    <w:div w:id="813372389">
      <w:bodyDiv w:val="1"/>
      <w:marLeft w:val="0"/>
      <w:marRight w:val="0"/>
      <w:marTop w:val="0"/>
      <w:marBottom w:val="0"/>
      <w:divBdr>
        <w:top w:val="none" w:sz="0" w:space="0" w:color="auto"/>
        <w:left w:val="none" w:sz="0" w:space="0" w:color="auto"/>
        <w:bottom w:val="none" w:sz="0" w:space="0" w:color="auto"/>
        <w:right w:val="none" w:sz="0" w:space="0" w:color="auto"/>
      </w:divBdr>
    </w:div>
    <w:div w:id="814225378">
      <w:bodyDiv w:val="1"/>
      <w:marLeft w:val="0"/>
      <w:marRight w:val="0"/>
      <w:marTop w:val="0"/>
      <w:marBottom w:val="0"/>
      <w:divBdr>
        <w:top w:val="none" w:sz="0" w:space="0" w:color="auto"/>
        <w:left w:val="none" w:sz="0" w:space="0" w:color="auto"/>
        <w:bottom w:val="none" w:sz="0" w:space="0" w:color="auto"/>
        <w:right w:val="none" w:sz="0" w:space="0" w:color="auto"/>
      </w:divBdr>
    </w:div>
    <w:div w:id="819808427">
      <w:bodyDiv w:val="1"/>
      <w:marLeft w:val="0"/>
      <w:marRight w:val="0"/>
      <w:marTop w:val="0"/>
      <w:marBottom w:val="0"/>
      <w:divBdr>
        <w:top w:val="none" w:sz="0" w:space="0" w:color="auto"/>
        <w:left w:val="none" w:sz="0" w:space="0" w:color="auto"/>
        <w:bottom w:val="none" w:sz="0" w:space="0" w:color="auto"/>
        <w:right w:val="none" w:sz="0" w:space="0" w:color="auto"/>
      </w:divBdr>
    </w:div>
    <w:div w:id="820268015">
      <w:bodyDiv w:val="1"/>
      <w:marLeft w:val="0"/>
      <w:marRight w:val="0"/>
      <w:marTop w:val="0"/>
      <w:marBottom w:val="0"/>
      <w:divBdr>
        <w:top w:val="none" w:sz="0" w:space="0" w:color="auto"/>
        <w:left w:val="none" w:sz="0" w:space="0" w:color="auto"/>
        <w:bottom w:val="none" w:sz="0" w:space="0" w:color="auto"/>
        <w:right w:val="none" w:sz="0" w:space="0" w:color="auto"/>
      </w:divBdr>
    </w:div>
    <w:div w:id="832989052">
      <w:bodyDiv w:val="1"/>
      <w:marLeft w:val="0"/>
      <w:marRight w:val="0"/>
      <w:marTop w:val="0"/>
      <w:marBottom w:val="0"/>
      <w:divBdr>
        <w:top w:val="none" w:sz="0" w:space="0" w:color="auto"/>
        <w:left w:val="none" w:sz="0" w:space="0" w:color="auto"/>
        <w:bottom w:val="none" w:sz="0" w:space="0" w:color="auto"/>
        <w:right w:val="none" w:sz="0" w:space="0" w:color="auto"/>
      </w:divBdr>
      <w:divsChild>
        <w:div w:id="1169100482">
          <w:marLeft w:val="0"/>
          <w:marRight w:val="0"/>
          <w:marTop w:val="0"/>
          <w:marBottom w:val="0"/>
          <w:divBdr>
            <w:top w:val="none" w:sz="0" w:space="0" w:color="auto"/>
            <w:left w:val="none" w:sz="0" w:space="0" w:color="auto"/>
            <w:bottom w:val="none" w:sz="0" w:space="0" w:color="auto"/>
            <w:right w:val="none" w:sz="0" w:space="0" w:color="auto"/>
          </w:divBdr>
          <w:divsChild>
            <w:div w:id="1938904762">
              <w:marLeft w:val="0"/>
              <w:marRight w:val="0"/>
              <w:marTop w:val="0"/>
              <w:marBottom w:val="0"/>
              <w:divBdr>
                <w:top w:val="none" w:sz="0" w:space="0" w:color="auto"/>
                <w:left w:val="none" w:sz="0" w:space="0" w:color="auto"/>
                <w:bottom w:val="none" w:sz="0" w:space="0" w:color="auto"/>
                <w:right w:val="none" w:sz="0" w:space="0" w:color="auto"/>
              </w:divBdr>
              <w:divsChild>
                <w:div w:id="186359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99073">
      <w:bodyDiv w:val="1"/>
      <w:marLeft w:val="0"/>
      <w:marRight w:val="0"/>
      <w:marTop w:val="0"/>
      <w:marBottom w:val="0"/>
      <w:divBdr>
        <w:top w:val="none" w:sz="0" w:space="0" w:color="auto"/>
        <w:left w:val="none" w:sz="0" w:space="0" w:color="auto"/>
        <w:bottom w:val="none" w:sz="0" w:space="0" w:color="auto"/>
        <w:right w:val="none" w:sz="0" w:space="0" w:color="auto"/>
      </w:divBdr>
    </w:div>
    <w:div w:id="842015049">
      <w:bodyDiv w:val="1"/>
      <w:marLeft w:val="0"/>
      <w:marRight w:val="0"/>
      <w:marTop w:val="0"/>
      <w:marBottom w:val="0"/>
      <w:divBdr>
        <w:top w:val="none" w:sz="0" w:space="0" w:color="auto"/>
        <w:left w:val="none" w:sz="0" w:space="0" w:color="auto"/>
        <w:bottom w:val="none" w:sz="0" w:space="0" w:color="auto"/>
        <w:right w:val="none" w:sz="0" w:space="0" w:color="auto"/>
      </w:divBdr>
      <w:divsChild>
        <w:div w:id="983849468">
          <w:marLeft w:val="0"/>
          <w:marRight w:val="0"/>
          <w:marTop w:val="120"/>
          <w:marBottom w:val="120"/>
          <w:divBdr>
            <w:top w:val="none" w:sz="0" w:space="0" w:color="auto"/>
            <w:left w:val="none" w:sz="0" w:space="0" w:color="auto"/>
            <w:bottom w:val="none" w:sz="0" w:space="0" w:color="auto"/>
            <w:right w:val="none" w:sz="0" w:space="0" w:color="auto"/>
          </w:divBdr>
        </w:div>
      </w:divsChild>
    </w:div>
    <w:div w:id="856773751">
      <w:bodyDiv w:val="1"/>
      <w:marLeft w:val="0"/>
      <w:marRight w:val="0"/>
      <w:marTop w:val="0"/>
      <w:marBottom w:val="0"/>
      <w:divBdr>
        <w:top w:val="none" w:sz="0" w:space="0" w:color="auto"/>
        <w:left w:val="none" w:sz="0" w:space="0" w:color="auto"/>
        <w:bottom w:val="none" w:sz="0" w:space="0" w:color="auto"/>
        <w:right w:val="none" w:sz="0" w:space="0" w:color="auto"/>
      </w:divBdr>
      <w:divsChild>
        <w:div w:id="1371878882">
          <w:marLeft w:val="0"/>
          <w:marRight w:val="0"/>
          <w:marTop w:val="0"/>
          <w:marBottom w:val="0"/>
          <w:divBdr>
            <w:top w:val="none" w:sz="0" w:space="0" w:color="auto"/>
            <w:left w:val="none" w:sz="0" w:space="0" w:color="auto"/>
            <w:bottom w:val="none" w:sz="0" w:space="0" w:color="auto"/>
            <w:right w:val="none" w:sz="0" w:space="0" w:color="auto"/>
          </w:divBdr>
          <w:divsChild>
            <w:div w:id="543907495">
              <w:marLeft w:val="0"/>
              <w:marRight w:val="0"/>
              <w:marTop w:val="0"/>
              <w:marBottom w:val="0"/>
              <w:divBdr>
                <w:top w:val="none" w:sz="0" w:space="0" w:color="auto"/>
                <w:left w:val="none" w:sz="0" w:space="0" w:color="auto"/>
                <w:bottom w:val="none" w:sz="0" w:space="0" w:color="auto"/>
                <w:right w:val="none" w:sz="0" w:space="0" w:color="auto"/>
              </w:divBdr>
              <w:divsChild>
                <w:div w:id="58334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49048">
      <w:bodyDiv w:val="1"/>
      <w:marLeft w:val="0"/>
      <w:marRight w:val="0"/>
      <w:marTop w:val="0"/>
      <w:marBottom w:val="0"/>
      <w:divBdr>
        <w:top w:val="none" w:sz="0" w:space="0" w:color="auto"/>
        <w:left w:val="none" w:sz="0" w:space="0" w:color="auto"/>
        <w:bottom w:val="none" w:sz="0" w:space="0" w:color="auto"/>
        <w:right w:val="none" w:sz="0" w:space="0" w:color="auto"/>
      </w:divBdr>
    </w:div>
    <w:div w:id="863247657">
      <w:bodyDiv w:val="1"/>
      <w:marLeft w:val="0"/>
      <w:marRight w:val="0"/>
      <w:marTop w:val="0"/>
      <w:marBottom w:val="0"/>
      <w:divBdr>
        <w:top w:val="none" w:sz="0" w:space="0" w:color="auto"/>
        <w:left w:val="none" w:sz="0" w:space="0" w:color="auto"/>
        <w:bottom w:val="none" w:sz="0" w:space="0" w:color="auto"/>
        <w:right w:val="none" w:sz="0" w:space="0" w:color="auto"/>
      </w:divBdr>
    </w:div>
    <w:div w:id="878934463">
      <w:bodyDiv w:val="1"/>
      <w:marLeft w:val="0"/>
      <w:marRight w:val="0"/>
      <w:marTop w:val="0"/>
      <w:marBottom w:val="0"/>
      <w:divBdr>
        <w:top w:val="none" w:sz="0" w:space="0" w:color="auto"/>
        <w:left w:val="none" w:sz="0" w:space="0" w:color="auto"/>
        <w:bottom w:val="none" w:sz="0" w:space="0" w:color="auto"/>
        <w:right w:val="none" w:sz="0" w:space="0" w:color="auto"/>
      </w:divBdr>
    </w:div>
    <w:div w:id="890193820">
      <w:bodyDiv w:val="1"/>
      <w:marLeft w:val="0"/>
      <w:marRight w:val="0"/>
      <w:marTop w:val="0"/>
      <w:marBottom w:val="0"/>
      <w:divBdr>
        <w:top w:val="none" w:sz="0" w:space="0" w:color="auto"/>
        <w:left w:val="none" w:sz="0" w:space="0" w:color="auto"/>
        <w:bottom w:val="none" w:sz="0" w:space="0" w:color="auto"/>
        <w:right w:val="none" w:sz="0" w:space="0" w:color="auto"/>
      </w:divBdr>
      <w:divsChild>
        <w:div w:id="506095171">
          <w:marLeft w:val="0"/>
          <w:marRight w:val="0"/>
          <w:marTop w:val="0"/>
          <w:marBottom w:val="0"/>
          <w:divBdr>
            <w:top w:val="none" w:sz="0" w:space="0" w:color="auto"/>
            <w:left w:val="none" w:sz="0" w:space="0" w:color="auto"/>
            <w:bottom w:val="none" w:sz="0" w:space="0" w:color="auto"/>
            <w:right w:val="none" w:sz="0" w:space="0" w:color="auto"/>
          </w:divBdr>
          <w:divsChild>
            <w:div w:id="2120489499">
              <w:marLeft w:val="0"/>
              <w:marRight w:val="0"/>
              <w:marTop w:val="0"/>
              <w:marBottom w:val="0"/>
              <w:divBdr>
                <w:top w:val="none" w:sz="0" w:space="0" w:color="auto"/>
                <w:left w:val="none" w:sz="0" w:space="0" w:color="auto"/>
                <w:bottom w:val="none" w:sz="0" w:space="0" w:color="auto"/>
                <w:right w:val="none" w:sz="0" w:space="0" w:color="auto"/>
              </w:divBdr>
              <w:divsChild>
                <w:div w:id="174352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75824">
      <w:bodyDiv w:val="1"/>
      <w:marLeft w:val="0"/>
      <w:marRight w:val="0"/>
      <w:marTop w:val="0"/>
      <w:marBottom w:val="0"/>
      <w:divBdr>
        <w:top w:val="none" w:sz="0" w:space="0" w:color="auto"/>
        <w:left w:val="none" w:sz="0" w:space="0" w:color="auto"/>
        <w:bottom w:val="none" w:sz="0" w:space="0" w:color="auto"/>
        <w:right w:val="none" w:sz="0" w:space="0" w:color="auto"/>
      </w:divBdr>
    </w:div>
    <w:div w:id="902568538">
      <w:bodyDiv w:val="1"/>
      <w:marLeft w:val="0"/>
      <w:marRight w:val="0"/>
      <w:marTop w:val="0"/>
      <w:marBottom w:val="0"/>
      <w:divBdr>
        <w:top w:val="none" w:sz="0" w:space="0" w:color="auto"/>
        <w:left w:val="none" w:sz="0" w:space="0" w:color="auto"/>
        <w:bottom w:val="none" w:sz="0" w:space="0" w:color="auto"/>
        <w:right w:val="none" w:sz="0" w:space="0" w:color="auto"/>
      </w:divBdr>
    </w:div>
    <w:div w:id="913079550">
      <w:bodyDiv w:val="1"/>
      <w:marLeft w:val="0"/>
      <w:marRight w:val="0"/>
      <w:marTop w:val="0"/>
      <w:marBottom w:val="0"/>
      <w:divBdr>
        <w:top w:val="none" w:sz="0" w:space="0" w:color="auto"/>
        <w:left w:val="none" w:sz="0" w:space="0" w:color="auto"/>
        <w:bottom w:val="none" w:sz="0" w:space="0" w:color="auto"/>
        <w:right w:val="none" w:sz="0" w:space="0" w:color="auto"/>
      </w:divBdr>
      <w:divsChild>
        <w:div w:id="1666318357">
          <w:marLeft w:val="0"/>
          <w:marRight w:val="0"/>
          <w:marTop w:val="0"/>
          <w:marBottom w:val="0"/>
          <w:divBdr>
            <w:top w:val="none" w:sz="0" w:space="0" w:color="auto"/>
            <w:left w:val="none" w:sz="0" w:space="0" w:color="auto"/>
            <w:bottom w:val="none" w:sz="0" w:space="0" w:color="auto"/>
            <w:right w:val="none" w:sz="0" w:space="0" w:color="auto"/>
          </w:divBdr>
          <w:divsChild>
            <w:div w:id="1354381118">
              <w:marLeft w:val="0"/>
              <w:marRight w:val="0"/>
              <w:marTop w:val="0"/>
              <w:marBottom w:val="0"/>
              <w:divBdr>
                <w:top w:val="none" w:sz="0" w:space="0" w:color="auto"/>
                <w:left w:val="none" w:sz="0" w:space="0" w:color="auto"/>
                <w:bottom w:val="none" w:sz="0" w:space="0" w:color="auto"/>
                <w:right w:val="none" w:sz="0" w:space="0" w:color="auto"/>
              </w:divBdr>
              <w:divsChild>
                <w:div w:id="5061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878371">
      <w:bodyDiv w:val="1"/>
      <w:marLeft w:val="0"/>
      <w:marRight w:val="0"/>
      <w:marTop w:val="0"/>
      <w:marBottom w:val="0"/>
      <w:divBdr>
        <w:top w:val="none" w:sz="0" w:space="0" w:color="auto"/>
        <w:left w:val="none" w:sz="0" w:space="0" w:color="auto"/>
        <w:bottom w:val="none" w:sz="0" w:space="0" w:color="auto"/>
        <w:right w:val="none" w:sz="0" w:space="0" w:color="auto"/>
      </w:divBdr>
      <w:divsChild>
        <w:div w:id="1958948131">
          <w:marLeft w:val="0"/>
          <w:marRight w:val="0"/>
          <w:marTop w:val="0"/>
          <w:marBottom w:val="0"/>
          <w:divBdr>
            <w:top w:val="none" w:sz="0" w:space="0" w:color="auto"/>
            <w:left w:val="none" w:sz="0" w:space="0" w:color="auto"/>
            <w:bottom w:val="none" w:sz="0" w:space="0" w:color="auto"/>
            <w:right w:val="none" w:sz="0" w:space="0" w:color="auto"/>
          </w:divBdr>
          <w:divsChild>
            <w:div w:id="231429603">
              <w:marLeft w:val="0"/>
              <w:marRight w:val="0"/>
              <w:marTop w:val="0"/>
              <w:marBottom w:val="0"/>
              <w:divBdr>
                <w:top w:val="none" w:sz="0" w:space="0" w:color="auto"/>
                <w:left w:val="none" w:sz="0" w:space="0" w:color="auto"/>
                <w:bottom w:val="none" w:sz="0" w:space="0" w:color="auto"/>
                <w:right w:val="none" w:sz="0" w:space="0" w:color="auto"/>
              </w:divBdr>
              <w:divsChild>
                <w:div w:id="113679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780785">
      <w:bodyDiv w:val="1"/>
      <w:marLeft w:val="0"/>
      <w:marRight w:val="0"/>
      <w:marTop w:val="0"/>
      <w:marBottom w:val="0"/>
      <w:divBdr>
        <w:top w:val="none" w:sz="0" w:space="0" w:color="auto"/>
        <w:left w:val="none" w:sz="0" w:space="0" w:color="auto"/>
        <w:bottom w:val="none" w:sz="0" w:space="0" w:color="auto"/>
        <w:right w:val="none" w:sz="0" w:space="0" w:color="auto"/>
      </w:divBdr>
      <w:divsChild>
        <w:div w:id="1431121801">
          <w:marLeft w:val="0"/>
          <w:marRight w:val="0"/>
          <w:marTop w:val="120"/>
          <w:marBottom w:val="120"/>
          <w:divBdr>
            <w:top w:val="none" w:sz="0" w:space="0" w:color="auto"/>
            <w:left w:val="none" w:sz="0" w:space="0" w:color="auto"/>
            <w:bottom w:val="none" w:sz="0" w:space="0" w:color="auto"/>
            <w:right w:val="none" w:sz="0" w:space="0" w:color="auto"/>
          </w:divBdr>
        </w:div>
      </w:divsChild>
    </w:div>
    <w:div w:id="931158879">
      <w:bodyDiv w:val="1"/>
      <w:marLeft w:val="0"/>
      <w:marRight w:val="0"/>
      <w:marTop w:val="0"/>
      <w:marBottom w:val="0"/>
      <w:divBdr>
        <w:top w:val="none" w:sz="0" w:space="0" w:color="auto"/>
        <w:left w:val="none" w:sz="0" w:space="0" w:color="auto"/>
        <w:bottom w:val="none" w:sz="0" w:space="0" w:color="auto"/>
        <w:right w:val="none" w:sz="0" w:space="0" w:color="auto"/>
      </w:divBdr>
    </w:div>
    <w:div w:id="941837153">
      <w:bodyDiv w:val="1"/>
      <w:marLeft w:val="0"/>
      <w:marRight w:val="0"/>
      <w:marTop w:val="0"/>
      <w:marBottom w:val="0"/>
      <w:divBdr>
        <w:top w:val="none" w:sz="0" w:space="0" w:color="auto"/>
        <w:left w:val="none" w:sz="0" w:space="0" w:color="auto"/>
        <w:bottom w:val="none" w:sz="0" w:space="0" w:color="auto"/>
        <w:right w:val="none" w:sz="0" w:space="0" w:color="auto"/>
      </w:divBdr>
    </w:div>
    <w:div w:id="945774331">
      <w:bodyDiv w:val="1"/>
      <w:marLeft w:val="0"/>
      <w:marRight w:val="0"/>
      <w:marTop w:val="0"/>
      <w:marBottom w:val="0"/>
      <w:divBdr>
        <w:top w:val="none" w:sz="0" w:space="0" w:color="auto"/>
        <w:left w:val="none" w:sz="0" w:space="0" w:color="auto"/>
        <w:bottom w:val="none" w:sz="0" w:space="0" w:color="auto"/>
        <w:right w:val="none" w:sz="0" w:space="0" w:color="auto"/>
      </w:divBdr>
    </w:div>
    <w:div w:id="960653859">
      <w:bodyDiv w:val="1"/>
      <w:marLeft w:val="0"/>
      <w:marRight w:val="0"/>
      <w:marTop w:val="0"/>
      <w:marBottom w:val="0"/>
      <w:divBdr>
        <w:top w:val="none" w:sz="0" w:space="0" w:color="auto"/>
        <w:left w:val="none" w:sz="0" w:space="0" w:color="auto"/>
        <w:bottom w:val="none" w:sz="0" w:space="0" w:color="auto"/>
        <w:right w:val="none" w:sz="0" w:space="0" w:color="auto"/>
      </w:divBdr>
    </w:div>
    <w:div w:id="966547830">
      <w:bodyDiv w:val="1"/>
      <w:marLeft w:val="0"/>
      <w:marRight w:val="0"/>
      <w:marTop w:val="0"/>
      <w:marBottom w:val="0"/>
      <w:divBdr>
        <w:top w:val="none" w:sz="0" w:space="0" w:color="auto"/>
        <w:left w:val="none" w:sz="0" w:space="0" w:color="auto"/>
        <w:bottom w:val="none" w:sz="0" w:space="0" w:color="auto"/>
        <w:right w:val="none" w:sz="0" w:space="0" w:color="auto"/>
      </w:divBdr>
    </w:div>
    <w:div w:id="977421263">
      <w:bodyDiv w:val="1"/>
      <w:marLeft w:val="0"/>
      <w:marRight w:val="0"/>
      <w:marTop w:val="0"/>
      <w:marBottom w:val="0"/>
      <w:divBdr>
        <w:top w:val="none" w:sz="0" w:space="0" w:color="auto"/>
        <w:left w:val="none" w:sz="0" w:space="0" w:color="auto"/>
        <w:bottom w:val="none" w:sz="0" w:space="0" w:color="auto"/>
        <w:right w:val="none" w:sz="0" w:space="0" w:color="auto"/>
      </w:divBdr>
    </w:div>
    <w:div w:id="980236469">
      <w:bodyDiv w:val="1"/>
      <w:marLeft w:val="0"/>
      <w:marRight w:val="0"/>
      <w:marTop w:val="0"/>
      <w:marBottom w:val="0"/>
      <w:divBdr>
        <w:top w:val="none" w:sz="0" w:space="0" w:color="auto"/>
        <w:left w:val="none" w:sz="0" w:space="0" w:color="auto"/>
        <w:bottom w:val="none" w:sz="0" w:space="0" w:color="auto"/>
        <w:right w:val="none" w:sz="0" w:space="0" w:color="auto"/>
      </w:divBdr>
    </w:div>
    <w:div w:id="996767181">
      <w:bodyDiv w:val="1"/>
      <w:marLeft w:val="0"/>
      <w:marRight w:val="0"/>
      <w:marTop w:val="0"/>
      <w:marBottom w:val="0"/>
      <w:divBdr>
        <w:top w:val="none" w:sz="0" w:space="0" w:color="auto"/>
        <w:left w:val="none" w:sz="0" w:space="0" w:color="auto"/>
        <w:bottom w:val="none" w:sz="0" w:space="0" w:color="auto"/>
        <w:right w:val="none" w:sz="0" w:space="0" w:color="auto"/>
      </w:divBdr>
    </w:div>
    <w:div w:id="1011103190">
      <w:bodyDiv w:val="1"/>
      <w:marLeft w:val="0"/>
      <w:marRight w:val="0"/>
      <w:marTop w:val="0"/>
      <w:marBottom w:val="0"/>
      <w:divBdr>
        <w:top w:val="none" w:sz="0" w:space="0" w:color="auto"/>
        <w:left w:val="none" w:sz="0" w:space="0" w:color="auto"/>
        <w:bottom w:val="none" w:sz="0" w:space="0" w:color="auto"/>
        <w:right w:val="none" w:sz="0" w:space="0" w:color="auto"/>
      </w:divBdr>
    </w:div>
    <w:div w:id="1037120978">
      <w:bodyDiv w:val="1"/>
      <w:marLeft w:val="0"/>
      <w:marRight w:val="0"/>
      <w:marTop w:val="0"/>
      <w:marBottom w:val="0"/>
      <w:divBdr>
        <w:top w:val="none" w:sz="0" w:space="0" w:color="auto"/>
        <w:left w:val="none" w:sz="0" w:space="0" w:color="auto"/>
        <w:bottom w:val="none" w:sz="0" w:space="0" w:color="auto"/>
        <w:right w:val="none" w:sz="0" w:space="0" w:color="auto"/>
      </w:divBdr>
    </w:div>
    <w:div w:id="1044719417">
      <w:bodyDiv w:val="1"/>
      <w:marLeft w:val="0"/>
      <w:marRight w:val="0"/>
      <w:marTop w:val="0"/>
      <w:marBottom w:val="0"/>
      <w:divBdr>
        <w:top w:val="none" w:sz="0" w:space="0" w:color="auto"/>
        <w:left w:val="none" w:sz="0" w:space="0" w:color="auto"/>
        <w:bottom w:val="none" w:sz="0" w:space="0" w:color="auto"/>
        <w:right w:val="none" w:sz="0" w:space="0" w:color="auto"/>
      </w:divBdr>
    </w:div>
    <w:div w:id="1066030028">
      <w:bodyDiv w:val="1"/>
      <w:marLeft w:val="0"/>
      <w:marRight w:val="0"/>
      <w:marTop w:val="0"/>
      <w:marBottom w:val="0"/>
      <w:divBdr>
        <w:top w:val="none" w:sz="0" w:space="0" w:color="auto"/>
        <w:left w:val="none" w:sz="0" w:space="0" w:color="auto"/>
        <w:bottom w:val="none" w:sz="0" w:space="0" w:color="auto"/>
        <w:right w:val="none" w:sz="0" w:space="0" w:color="auto"/>
      </w:divBdr>
    </w:div>
    <w:div w:id="1073770064">
      <w:bodyDiv w:val="1"/>
      <w:marLeft w:val="0"/>
      <w:marRight w:val="0"/>
      <w:marTop w:val="0"/>
      <w:marBottom w:val="0"/>
      <w:divBdr>
        <w:top w:val="none" w:sz="0" w:space="0" w:color="auto"/>
        <w:left w:val="none" w:sz="0" w:space="0" w:color="auto"/>
        <w:bottom w:val="none" w:sz="0" w:space="0" w:color="auto"/>
        <w:right w:val="none" w:sz="0" w:space="0" w:color="auto"/>
      </w:divBdr>
    </w:div>
    <w:div w:id="1075394319">
      <w:bodyDiv w:val="1"/>
      <w:marLeft w:val="0"/>
      <w:marRight w:val="0"/>
      <w:marTop w:val="0"/>
      <w:marBottom w:val="0"/>
      <w:divBdr>
        <w:top w:val="none" w:sz="0" w:space="0" w:color="auto"/>
        <w:left w:val="none" w:sz="0" w:space="0" w:color="auto"/>
        <w:bottom w:val="none" w:sz="0" w:space="0" w:color="auto"/>
        <w:right w:val="none" w:sz="0" w:space="0" w:color="auto"/>
      </w:divBdr>
    </w:div>
    <w:div w:id="1077629405">
      <w:bodyDiv w:val="1"/>
      <w:marLeft w:val="0"/>
      <w:marRight w:val="0"/>
      <w:marTop w:val="0"/>
      <w:marBottom w:val="0"/>
      <w:divBdr>
        <w:top w:val="none" w:sz="0" w:space="0" w:color="auto"/>
        <w:left w:val="none" w:sz="0" w:space="0" w:color="auto"/>
        <w:bottom w:val="none" w:sz="0" w:space="0" w:color="auto"/>
        <w:right w:val="none" w:sz="0" w:space="0" w:color="auto"/>
      </w:divBdr>
    </w:div>
    <w:div w:id="1078096199">
      <w:bodyDiv w:val="1"/>
      <w:marLeft w:val="0"/>
      <w:marRight w:val="0"/>
      <w:marTop w:val="0"/>
      <w:marBottom w:val="0"/>
      <w:divBdr>
        <w:top w:val="none" w:sz="0" w:space="0" w:color="auto"/>
        <w:left w:val="none" w:sz="0" w:space="0" w:color="auto"/>
        <w:bottom w:val="none" w:sz="0" w:space="0" w:color="auto"/>
        <w:right w:val="none" w:sz="0" w:space="0" w:color="auto"/>
      </w:divBdr>
    </w:div>
    <w:div w:id="1085420974">
      <w:bodyDiv w:val="1"/>
      <w:marLeft w:val="0"/>
      <w:marRight w:val="0"/>
      <w:marTop w:val="0"/>
      <w:marBottom w:val="0"/>
      <w:divBdr>
        <w:top w:val="none" w:sz="0" w:space="0" w:color="auto"/>
        <w:left w:val="none" w:sz="0" w:space="0" w:color="auto"/>
        <w:bottom w:val="none" w:sz="0" w:space="0" w:color="auto"/>
        <w:right w:val="none" w:sz="0" w:space="0" w:color="auto"/>
      </w:divBdr>
    </w:div>
    <w:div w:id="1103308789">
      <w:bodyDiv w:val="1"/>
      <w:marLeft w:val="0"/>
      <w:marRight w:val="0"/>
      <w:marTop w:val="0"/>
      <w:marBottom w:val="0"/>
      <w:divBdr>
        <w:top w:val="none" w:sz="0" w:space="0" w:color="auto"/>
        <w:left w:val="none" w:sz="0" w:space="0" w:color="auto"/>
        <w:bottom w:val="none" w:sz="0" w:space="0" w:color="auto"/>
        <w:right w:val="none" w:sz="0" w:space="0" w:color="auto"/>
      </w:divBdr>
    </w:div>
    <w:div w:id="1150752686">
      <w:bodyDiv w:val="1"/>
      <w:marLeft w:val="0"/>
      <w:marRight w:val="0"/>
      <w:marTop w:val="0"/>
      <w:marBottom w:val="0"/>
      <w:divBdr>
        <w:top w:val="none" w:sz="0" w:space="0" w:color="auto"/>
        <w:left w:val="none" w:sz="0" w:space="0" w:color="auto"/>
        <w:bottom w:val="none" w:sz="0" w:space="0" w:color="auto"/>
        <w:right w:val="none" w:sz="0" w:space="0" w:color="auto"/>
      </w:divBdr>
    </w:div>
    <w:div w:id="1154371739">
      <w:bodyDiv w:val="1"/>
      <w:marLeft w:val="0"/>
      <w:marRight w:val="0"/>
      <w:marTop w:val="0"/>
      <w:marBottom w:val="0"/>
      <w:divBdr>
        <w:top w:val="none" w:sz="0" w:space="0" w:color="auto"/>
        <w:left w:val="none" w:sz="0" w:space="0" w:color="auto"/>
        <w:bottom w:val="none" w:sz="0" w:space="0" w:color="auto"/>
        <w:right w:val="none" w:sz="0" w:space="0" w:color="auto"/>
      </w:divBdr>
    </w:div>
    <w:div w:id="1157107275">
      <w:bodyDiv w:val="1"/>
      <w:marLeft w:val="0"/>
      <w:marRight w:val="0"/>
      <w:marTop w:val="0"/>
      <w:marBottom w:val="0"/>
      <w:divBdr>
        <w:top w:val="none" w:sz="0" w:space="0" w:color="auto"/>
        <w:left w:val="none" w:sz="0" w:space="0" w:color="auto"/>
        <w:bottom w:val="none" w:sz="0" w:space="0" w:color="auto"/>
        <w:right w:val="none" w:sz="0" w:space="0" w:color="auto"/>
      </w:divBdr>
      <w:divsChild>
        <w:div w:id="2045783832">
          <w:marLeft w:val="0"/>
          <w:marRight w:val="0"/>
          <w:marTop w:val="0"/>
          <w:marBottom w:val="0"/>
          <w:divBdr>
            <w:top w:val="none" w:sz="0" w:space="0" w:color="auto"/>
            <w:left w:val="none" w:sz="0" w:space="0" w:color="auto"/>
            <w:bottom w:val="none" w:sz="0" w:space="0" w:color="auto"/>
            <w:right w:val="none" w:sz="0" w:space="0" w:color="auto"/>
          </w:divBdr>
          <w:divsChild>
            <w:div w:id="588125335">
              <w:marLeft w:val="0"/>
              <w:marRight w:val="0"/>
              <w:marTop w:val="0"/>
              <w:marBottom w:val="0"/>
              <w:divBdr>
                <w:top w:val="none" w:sz="0" w:space="0" w:color="auto"/>
                <w:left w:val="none" w:sz="0" w:space="0" w:color="auto"/>
                <w:bottom w:val="none" w:sz="0" w:space="0" w:color="auto"/>
                <w:right w:val="none" w:sz="0" w:space="0" w:color="auto"/>
              </w:divBdr>
              <w:divsChild>
                <w:div w:id="8161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00203">
      <w:bodyDiv w:val="1"/>
      <w:marLeft w:val="0"/>
      <w:marRight w:val="0"/>
      <w:marTop w:val="0"/>
      <w:marBottom w:val="0"/>
      <w:divBdr>
        <w:top w:val="none" w:sz="0" w:space="0" w:color="auto"/>
        <w:left w:val="none" w:sz="0" w:space="0" w:color="auto"/>
        <w:bottom w:val="none" w:sz="0" w:space="0" w:color="auto"/>
        <w:right w:val="none" w:sz="0" w:space="0" w:color="auto"/>
      </w:divBdr>
    </w:div>
    <w:div w:id="1163474101">
      <w:bodyDiv w:val="1"/>
      <w:marLeft w:val="0"/>
      <w:marRight w:val="0"/>
      <w:marTop w:val="0"/>
      <w:marBottom w:val="0"/>
      <w:divBdr>
        <w:top w:val="none" w:sz="0" w:space="0" w:color="auto"/>
        <w:left w:val="none" w:sz="0" w:space="0" w:color="auto"/>
        <w:bottom w:val="none" w:sz="0" w:space="0" w:color="auto"/>
        <w:right w:val="none" w:sz="0" w:space="0" w:color="auto"/>
      </w:divBdr>
    </w:div>
    <w:div w:id="1174152860">
      <w:bodyDiv w:val="1"/>
      <w:marLeft w:val="0"/>
      <w:marRight w:val="0"/>
      <w:marTop w:val="0"/>
      <w:marBottom w:val="0"/>
      <w:divBdr>
        <w:top w:val="none" w:sz="0" w:space="0" w:color="auto"/>
        <w:left w:val="none" w:sz="0" w:space="0" w:color="auto"/>
        <w:bottom w:val="none" w:sz="0" w:space="0" w:color="auto"/>
        <w:right w:val="none" w:sz="0" w:space="0" w:color="auto"/>
      </w:divBdr>
    </w:div>
    <w:div w:id="1175219946">
      <w:bodyDiv w:val="1"/>
      <w:marLeft w:val="0"/>
      <w:marRight w:val="0"/>
      <w:marTop w:val="0"/>
      <w:marBottom w:val="0"/>
      <w:divBdr>
        <w:top w:val="none" w:sz="0" w:space="0" w:color="auto"/>
        <w:left w:val="none" w:sz="0" w:space="0" w:color="auto"/>
        <w:bottom w:val="none" w:sz="0" w:space="0" w:color="auto"/>
        <w:right w:val="none" w:sz="0" w:space="0" w:color="auto"/>
      </w:divBdr>
    </w:div>
    <w:div w:id="1187207051">
      <w:bodyDiv w:val="1"/>
      <w:marLeft w:val="0"/>
      <w:marRight w:val="0"/>
      <w:marTop w:val="0"/>
      <w:marBottom w:val="0"/>
      <w:divBdr>
        <w:top w:val="none" w:sz="0" w:space="0" w:color="auto"/>
        <w:left w:val="none" w:sz="0" w:space="0" w:color="auto"/>
        <w:bottom w:val="none" w:sz="0" w:space="0" w:color="auto"/>
        <w:right w:val="none" w:sz="0" w:space="0" w:color="auto"/>
      </w:divBdr>
    </w:div>
    <w:div w:id="1194266504">
      <w:bodyDiv w:val="1"/>
      <w:marLeft w:val="0"/>
      <w:marRight w:val="0"/>
      <w:marTop w:val="0"/>
      <w:marBottom w:val="0"/>
      <w:divBdr>
        <w:top w:val="none" w:sz="0" w:space="0" w:color="auto"/>
        <w:left w:val="none" w:sz="0" w:space="0" w:color="auto"/>
        <w:bottom w:val="none" w:sz="0" w:space="0" w:color="auto"/>
        <w:right w:val="none" w:sz="0" w:space="0" w:color="auto"/>
      </w:divBdr>
      <w:divsChild>
        <w:div w:id="75712108">
          <w:marLeft w:val="0"/>
          <w:marRight w:val="0"/>
          <w:marTop w:val="0"/>
          <w:marBottom w:val="0"/>
          <w:divBdr>
            <w:top w:val="none" w:sz="0" w:space="0" w:color="auto"/>
            <w:left w:val="none" w:sz="0" w:space="0" w:color="auto"/>
            <w:bottom w:val="none" w:sz="0" w:space="0" w:color="auto"/>
            <w:right w:val="none" w:sz="0" w:space="0" w:color="auto"/>
          </w:divBdr>
          <w:divsChild>
            <w:div w:id="1766226109">
              <w:marLeft w:val="0"/>
              <w:marRight w:val="0"/>
              <w:marTop w:val="0"/>
              <w:marBottom w:val="0"/>
              <w:divBdr>
                <w:top w:val="none" w:sz="0" w:space="0" w:color="auto"/>
                <w:left w:val="none" w:sz="0" w:space="0" w:color="auto"/>
                <w:bottom w:val="none" w:sz="0" w:space="0" w:color="auto"/>
                <w:right w:val="none" w:sz="0" w:space="0" w:color="auto"/>
              </w:divBdr>
              <w:divsChild>
                <w:div w:id="166261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08957">
      <w:bodyDiv w:val="1"/>
      <w:marLeft w:val="0"/>
      <w:marRight w:val="0"/>
      <w:marTop w:val="0"/>
      <w:marBottom w:val="0"/>
      <w:divBdr>
        <w:top w:val="none" w:sz="0" w:space="0" w:color="auto"/>
        <w:left w:val="none" w:sz="0" w:space="0" w:color="auto"/>
        <w:bottom w:val="none" w:sz="0" w:space="0" w:color="auto"/>
        <w:right w:val="none" w:sz="0" w:space="0" w:color="auto"/>
      </w:divBdr>
      <w:divsChild>
        <w:div w:id="426584519">
          <w:marLeft w:val="0"/>
          <w:marRight w:val="0"/>
          <w:marTop w:val="0"/>
          <w:marBottom w:val="0"/>
          <w:divBdr>
            <w:top w:val="none" w:sz="0" w:space="0" w:color="auto"/>
            <w:left w:val="none" w:sz="0" w:space="0" w:color="auto"/>
            <w:bottom w:val="none" w:sz="0" w:space="0" w:color="auto"/>
            <w:right w:val="none" w:sz="0" w:space="0" w:color="auto"/>
          </w:divBdr>
          <w:divsChild>
            <w:div w:id="1718243441">
              <w:marLeft w:val="0"/>
              <w:marRight w:val="0"/>
              <w:marTop w:val="0"/>
              <w:marBottom w:val="0"/>
              <w:divBdr>
                <w:top w:val="none" w:sz="0" w:space="0" w:color="auto"/>
                <w:left w:val="none" w:sz="0" w:space="0" w:color="auto"/>
                <w:bottom w:val="none" w:sz="0" w:space="0" w:color="auto"/>
                <w:right w:val="none" w:sz="0" w:space="0" w:color="auto"/>
              </w:divBdr>
              <w:divsChild>
                <w:div w:id="17382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2330">
      <w:bodyDiv w:val="1"/>
      <w:marLeft w:val="0"/>
      <w:marRight w:val="0"/>
      <w:marTop w:val="0"/>
      <w:marBottom w:val="0"/>
      <w:divBdr>
        <w:top w:val="none" w:sz="0" w:space="0" w:color="auto"/>
        <w:left w:val="none" w:sz="0" w:space="0" w:color="auto"/>
        <w:bottom w:val="none" w:sz="0" w:space="0" w:color="auto"/>
        <w:right w:val="none" w:sz="0" w:space="0" w:color="auto"/>
      </w:divBdr>
      <w:divsChild>
        <w:div w:id="515578630">
          <w:marLeft w:val="0"/>
          <w:marRight w:val="0"/>
          <w:marTop w:val="0"/>
          <w:marBottom w:val="0"/>
          <w:divBdr>
            <w:top w:val="none" w:sz="0" w:space="0" w:color="auto"/>
            <w:left w:val="none" w:sz="0" w:space="0" w:color="auto"/>
            <w:bottom w:val="none" w:sz="0" w:space="0" w:color="auto"/>
            <w:right w:val="none" w:sz="0" w:space="0" w:color="auto"/>
          </w:divBdr>
          <w:divsChild>
            <w:div w:id="1032805140">
              <w:marLeft w:val="0"/>
              <w:marRight w:val="0"/>
              <w:marTop w:val="0"/>
              <w:marBottom w:val="0"/>
              <w:divBdr>
                <w:top w:val="none" w:sz="0" w:space="0" w:color="auto"/>
                <w:left w:val="none" w:sz="0" w:space="0" w:color="auto"/>
                <w:bottom w:val="none" w:sz="0" w:space="0" w:color="auto"/>
                <w:right w:val="none" w:sz="0" w:space="0" w:color="auto"/>
              </w:divBdr>
              <w:divsChild>
                <w:div w:id="13149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32006">
      <w:bodyDiv w:val="1"/>
      <w:marLeft w:val="0"/>
      <w:marRight w:val="0"/>
      <w:marTop w:val="0"/>
      <w:marBottom w:val="0"/>
      <w:divBdr>
        <w:top w:val="none" w:sz="0" w:space="0" w:color="auto"/>
        <w:left w:val="none" w:sz="0" w:space="0" w:color="auto"/>
        <w:bottom w:val="none" w:sz="0" w:space="0" w:color="auto"/>
        <w:right w:val="none" w:sz="0" w:space="0" w:color="auto"/>
      </w:divBdr>
      <w:divsChild>
        <w:div w:id="740909312">
          <w:marLeft w:val="0"/>
          <w:marRight w:val="0"/>
          <w:marTop w:val="120"/>
          <w:marBottom w:val="120"/>
          <w:divBdr>
            <w:top w:val="none" w:sz="0" w:space="0" w:color="auto"/>
            <w:left w:val="none" w:sz="0" w:space="0" w:color="auto"/>
            <w:bottom w:val="none" w:sz="0" w:space="0" w:color="auto"/>
            <w:right w:val="none" w:sz="0" w:space="0" w:color="auto"/>
          </w:divBdr>
        </w:div>
        <w:div w:id="1474904177">
          <w:marLeft w:val="0"/>
          <w:marRight w:val="0"/>
          <w:marTop w:val="120"/>
          <w:marBottom w:val="120"/>
          <w:divBdr>
            <w:top w:val="none" w:sz="0" w:space="0" w:color="auto"/>
            <w:left w:val="none" w:sz="0" w:space="0" w:color="auto"/>
            <w:bottom w:val="none" w:sz="0" w:space="0" w:color="auto"/>
            <w:right w:val="none" w:sz="0" w:space="0" w:color="auto"/>
          </w:divBdr>
        </w:div>
      </w:divsChild>
    </w:div>
    <w:div w:id="1214586676">
      <w:bodyDiv w:val="1"/>
      <w:marLeft w:val="0"/>
      <w:marRight w:val="0"/>
      <w:marTop w:val="0"/>
      <w:marBottom w:val="0"/>
      <w:divBdr>
        <w:top w:val="none" w:sz="0" w:space="0" w:color="auto"/>
        <w:left w:val="none" w:sz="0" w:space="0" w:color="auto"/>
        <w:bottom w:val="none" w:sz="0" w:space="0" w:color="auto"/>
        <w:right w:val="none" w:sz="0" w:space="0" w:color="auto"/>
      </w:divBdr>
      <w:divsChild>
        <w:div w:id="1591696909">
          <w:marLeft w:val="0"/>
          <w:marRight w:val="0"/>
          <w:marTop w:val="0"/>
          <w:marBottom w:val="0"/>
          <w:divBdr>
            <w:top w:val="none" w:sz="0" w:space="0" w:color="auto"/>
            <w:left w:val="none" w:sz="0" w:space="0" w:color="auto"/>
            <w:bottom w:val="none" w:sz="0" w:space="0" w:color="auto"/>
            <w:right w:val="none" w:sz="0" w:space="0" w:color="auto"/>
          </w:divBdr>
          <w:divsChild>
            <w:div w:id="2061051879">
              <w:marLeft w:val="0"/>
              <w:marRight w:val="0"/>
              <w:marTop w:val="0"/>
              <w:marBottom w:val="0"/>
              <w:divBdr>
                <w:top w:val="none" w:sz="0" w:space="0" w:color="auto"/>
                <w:left w:val="none" w:sz="0" w:space="0" w:color="auto"/>
                <w:bottom w:val="none" w:sz="0" w:space="0" w:color="auto"/>
                <w:right w:val="none" w:sz="0" w:space="0" w:color="auto"/>
              </w:divBdr>
              <w:divsChild>
                <w:div w:id="10591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79307">
      <w:bodyDiv w:val="1"/>
      <w:marLeft w:val="0"/>
      <w:marRight w:val="0"/>
      <w:marTop w:val="0"/>
      <w:marBottom w:val="0"/>
      <w:divBdr>
        <w:top w:val="none" w:sz="0" w:space="0" w:color="auto"/>
        <w:left w:val="none" w:sz="0" w:space="0" w:color="auto"/>
        <w:bottom w:val="none" w:sz="0" w:space="0" w:color="auto"/>
        <w:right w:val="none" w:sz="0" w:space="0" w:color="auto"/>
      </w:divBdr>
    </w:div>
    <w:div w:id="1231116879">
      <w:bodyDiv w:val="1"/>
      <w:marLeft w:val="0"/>
      <w:marRight w:val="0"/>
      <w:marTop w:val="0"/>
      <w:marBottom w:val="0"/>
      <w:divBdr>
        <w:top w:val="none" w:sz="0" w:space="0" w:color="auto"/>
        <w:left w:val="none" w:sz="0" w:space="0" w:color="auto"/>
        <w:bottom w:val="none" w:sz="0" w:space="0" w:color="auto"/>
        <w:right w:val="none" w:sz="0" w:space="0" w:color="auto"/>
      </w:divBdr>
    </w:div>
    <w:div w:id="1232928866">
      <w:bodyDiv w:val="1"/>
      <w:marLeft w:val="0"/>
      <w:marRight w:val="0"/>
      <w:marTop w:val="0"/>
      <w:marBottom w:val="0"/>
      <w:divBdr>
        <w:top w:val="none" w:sz="0" w:space="0" w:color="auto"/>
        <w:left w:val="none" w:sz="0" w:space="0" w:color="auto"/>
        <w:bottom w:val="none" w:sz="0" w:space="0" w:color="auto"/>
        <w:right w:val="none" w:sz="0" w:space="0" w:color="auto"/>
      </w:divBdr>
    </w:div>
    <w:div w:id="1232959639">
      <w:bodyDiv w:val="1"/>
      <w:marLeft w:val="0"/>
      <w:marRight w:val="0"/>
      <w:marTop w:val="0"/>
      <w:marBottom w:val="0"/>
      <w:divBdr>
        <w:top w:val="none" w:sz="0" w:space="0" w:color="auto"/>
        <w:left w:val="none" w:sz="0" w:space="0" w:color="auto"/>
        <w:bottom w:val="none" w:sz="0" w:space="0" w:color="auto"/>
        <w:right w:val="none" w:sz="0" w:space="0" w:color="auto"/>
      </w:divBdr>
    </w:div>
    <w:div w:id="1233077133">
      <w:bodyDiv w:val="1"/>
      <w:marLeft w:val="0"/>
      <w:marRight w:val="0"/>
      <w:marTop w:val="0"/>
      <w:marBottom w:val="0"/>
      <w:divBdr>
        <w:top w:val="none" w:sz="0" w:space="0" w:color="auto"/>
        <w:left w:val="none" w:sz="0" w:space="0" w:color="auto"/>
        <w:bottom w:val="none" w:sz="0" w:space="0" w:color="auto"/>
        <w:right w:val="none" w:sz="0" w:space="0" w:color="auto"/>
      </w:divBdr>
    </w:div>
    <w:div w:id="1238637736">
      <w:bodyDiv w:val="1"/>
      <w:marLeft w:val="0"/>
      <w:marRight w:val="0"/>
      <w:marTop w:val="0"/>
      <w:marBottom w:val="0"/>
      <w:divBdr>
        <w:top w:val="none" w:sz="0" w:space="0" w:color="auto"/>
        <w:left w:val="none" w:sz="0" w:space="0" w:color="auto"/>
        <w:bottom w:val="none" w:sz="0" w:space="0" w:color="auto"/>
        <w:right w:val="none" w:sz="0" w:space="0" w:color="auto"/>
      </w:divBdr>
    </w:div>
    <w:div w:id="1264725706">
      <w:bodyDiv w:val="1"/>
      <w:marLeft w:val="0"/>
      <w:marRight w:val="0"/>
      <w:marTop w:val="0"/>
      <w:marBottom w:val="0"/>
      <w:divBdr>
        <w:top w:val="none" w:sz="0" w:space="0" w:color="auto"/>
        <w:left w:val="none" w:sz="0" w:space="0" w:color="auto"/>
        <w:bottom w:val="none" w:sz="0" w:space="0" w:color="auto"/>
        <w:right w:val="none" w:sz="0" w:space="0" w:color="auto"/>
      </w:divBdr>
      <w:divsChild>
        <w:div w:id="1580794145">
          <w:marLeft w:val="0"/>
          <w:marRight w:val="0"/>
          <w:marTop w:val="120"/>
          <w:marBottom w:val="120"/>
          <w:divBdr>
            <w:top w:val="none" w:sz="0" w:space="0" w:color="auto"/>
            <w:left w:val="none" w:sz="0" w:space="0" w:color="auto"/>
            <w:bottom w:val="none" w:sz="0" w:space="0" w:color="auto"/>
            <w:right w:val="none" w:sz="0" w:space="0" w:color="auto"/>
          </w:divBdr>
        </w:div>
      </w:divsChild>
    </w:div>
    <w:div w:id="1266156618">
      <w:bodyDiv w:val="1"/>
      <w:marLeft w:val="0"/>
      <w:marRight w:val="0"/>
      <w:marTop w:val="0"/>
      <w:marBottom w:val="0"/>
      <w:divBdr>
        <w:top w:val="none" w:sz="0" w:space="0" w:color="auto"/>
        <w:left w:val="none" w:sz="0" w:space="0" w:color="auto"/>
        <w:bottom w:val="none" w:sz="0" w:space="0" w:color="auto"/>
        <w:right w:val="none" w:sz="0" w:space="0" w:color="auto"/>
      </w:divBdr>
    </w:div>
    <w:div w:id="1270624631">
      <w:bodyDiv w:val="1"/>
      <w:marLeft w:val="0"/>
      <w:marRight w:val="0"/>
      <w:marTop w:val="0"/>
      <w:marBottom w:val="0"/>
      <w:divBdr>
        <w:top w:val="none" w:sz="0" w:space="0" w:color="auto"/>
        <w:left w:val="none" w:sz="0" w:space="0" w:color="auto"/>
        <w:bottom w:val="none" w:sz="0" w:space="0" w:color="auto"/>
        <w:right w:val="none" w:sz="0" w:space="0" w:color="auto"/>
      </w:divBdr>
    </w:div>
    <w:div w:id="1281568784">
      <w:bodyDiv w:val="1"/>
      <w:marLeft w:val="0"/>
      <w:marRight w:val="0"/>
      <w:marTop w:val="0"/>
      <w:marBottom w:val="0"/>
      <w:divBdr>
        <w:top w:val="none" w:sz="0" w:space="0" w:color="auto"/>
        <w:left w:val="none" w:sz="0" w:space="0" w:color="auto"/>
        <w:bottom w:val="none" w:sz="0" w:space="0" w:color="auto"/>
        <w:right w:val="none" w:sz="0" w:space="0" w:color="auto"/>
      </w:divBdr>
    </w:div>
    <w:div w:id="1304505632">
      <w:bodyDiv w:val="1"/>
      <w:marLeft w:val="0"/>
      <w:marRight w:val="0"/>
      <w:marTop w:val="0"/>
      <w:marBottom w:val="0"/>
      <w:divBdr>
        <w:top w:val="none" w:sz="0" w:space="0" w:color="auto"/>
        <w:left w:val="none" w:sz="0" w:space="0" w:color="auto"/>
        <w:bottom w:val="none" w:sz="0" w:space="0" w:color="auto"/>
        <w:right w:val="none" w:sz="0" w:space="0" w:color="auto"/>
      </w:divBdr>
    </w:div>
    <w:div w:id="1308975138">
      <w:bodyDiv w:val="1"/>
      <w:marLeft w:val="0"/>
      <w:marRight w:val="0"/>
      <w:marTop w:val="0"/>
      <w:marBottom w:val="0"/>
      <w:divBdr>
        <w:top w:val="none" w:sz="0" w:space="0" w:color="auto"/>
        <w:left w:val="none" w:sz="0" w:space="0" w:color="auto"/>
        <w:bottom w:val="none" w:sz="0" w:space="0" w:color="auto"/>
        <w:right w:val="none" w:sz="0" w:space="0" w:color="auto"/>
      </w:divBdr>
      <w:divsChild>
        <w:div w:id="1476753165">
          <w:marLeft w:val="0"/>
          <w:marRight w:val="0"/>
          <w:marTop w:val="0"/>
          <w:marBottom w:val="0"/>
          <w:divBdr>
            <w:top w:val="none" w:sz="0" w:space="0" w:color="auto"/>
            <w:left w:val="none" w:sz="0" w:space="0" w:color="auto"/>
            <w:bottom w:val="none" w:sz="0" w:space="0" w:color="auto"/>
            <w:right w:val="none" w:sz="0" w:space="0" w:color="auto"/>
          </w:divBdr>
          <w:divsChild>
            <w:div w:id="483205004">
              <w:marLeft w:val="0"/>
              <w:marRight w:val="0"/>
              <w:marTop w:val="0"/>
              <w:marBottom w:val="0"/>
              <w:divBdr>
                <w:top w:val="none" w:sz="0" w:space="0" w:color="auto"/>
                <w:left w:val="none" w:sz="0" w:space="0" w:color="auto"/>
                <w:bottom w:val="none" w:sz="0" w:space="0" w:color="auto"/>
                <w:right w:val="none" w:sz="0" w:space="0" w:color="auto"/>
              </w:divBdr>
              <w:divsChild>
                <w:div w:id="166089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372306">
      <w:bodyDiv w:val="1"/>
      <w:marLeft w:val="0"/>
      <w:marRight w:val="0"/>
      <w:marTop w:val="0"/>
      <w:marBottom w:val="0"/>
      <w:divBdr>
        <w:top w:val="none" w:sz="0" w:space="0" w:color="auto"/>
        <w:left w:val="none" w:sz="0" w:space="0" w:color="auto"/>
        <w:bottom w:val="none" w:sz="0" w:space="0" w:color="auto"/>
        <w:right w:val="none" w:sz="0" w:space="0" w:color="auto"/>
      </w:divBdr>
    </w:div>
    <w:div w:id="1315570750">
      <w:bodyDiv w:val="1"/>
      <w:marLeft w:val="0"/>
      <w:marRight w:val="0"/>
      <w:marTop w:val="0"/>
      <w:marBottom w:val="0"/>
      <w:divBdr>
        <w:top w:val="none" w:sz="0" w:space="0" w:color="auto"/>
        <w:left w:val="none" w:sz="0" w:space="0" w:color="auto"/>
        <w:bottom w:val="none" w:sz="0" w:space="0" w:color="auto"/>
        <w:right w:val="none" w:sz="0" w:space="0" w:color="auto"/>
      </w:divBdr>
    </w:div>
    <w:div w:id="1343051713">
      <w:bodyDiv w:val="1"/>
      <w:marLeft w:val="0"/>
      <w:marRight w:val="0"/>
      <w:marTop w:val="0"/>
      <w:marBottom w:val="0"/>
      <w:divBdr>
        <w:top w:val="none" w:sz="0" w:space="0" w:color="auto"/>
        <w:left w:val="none" w:sz="0" w:space="0" w:color="auto"/>
        <w:bottom w:val="none" w:sz="0" w:space="0" w:color="auto"/>
        <w:right w:val="none" w:sz="0" w:space="0" w:color="auto"/>
      </w:divBdr>
    </w:div>
    <w:div w:id="1343513733">
      <w:bodyDiv w:val="1"/>
      <w:marLeft w:val="0"/>
      <w:marRight w:val="0"/>
      <w:marTop w:val="0"/>
      <w:marBottom w:val="0"/>
      <w:divBdr>
        <w:top w:val="none" w:sz="0" w:space="0" w:color="auto"/>
        <w:left w:val="none" w:sz="0" w:space="0" w:color="auto"/>
        <w:bottom w:val="none" w:sz="0" w:space="0" w:color="auto"/>
        <w:right w:val="none" w:sz="0" w:space="0" w:color="auto"/>
      </w:divBdr>
    </w:div>
    <w:div w:id="1372148320">
      <w:bodyDiv w:val="1"/>
      <w:marLeft w:val="0"/>
      <w:marRight w:val="0"/>
      <w:marTop w:val="0"/>
      <w:marBottom w:val="0"/>
      <w:divBdr>
        <w:top w:val="none" w:sz="0" w:space="0" w:color="auto"/>
        <w:left w:val="none" w:sz="0" w:space="0" w:color="auto"/>
        <w:bottom w:val="none" w:sz="0" w:space="0" w:color="auto"/>
        <w:right w:val="none" w:sz="0" w:space="0" w:color="auto"/>
      </w:divBdr>
      <w:divsChild>
        <w:div w:id="1309868658">
          <w:marLeft w:val="0"/>
          <w:marRight w:val="0"/>
          <w:marTop w:val="120"/>
          <w:marBottom w:val="120"/>
          <w:divBdr>
            <w:top w:val="none" w:sz="0" w:space="0" w:color="auto"/>
            <w:left w:val="none" w:sz="0" w:space="0" w:color="auto"/>
            <w:bottom w:val="none" w:sz="0" w:space="0" w:color="auto"/>
            <w:right w:val="none" w:sz="0" w:space="0" w:color="auto"/>
          </w:divBdr>
        </w:div>
      </w:divsChild>
    </w:div>
    <w:div w:id="1372875701">
      <w:bodyDiv w:val="1"/>
      <w:marLeft w:val="0"/>
      <w:marRight w:val="0"/>
      <w:marTop w:val="0"/>
      <w:marBottom w:val="0"/>
      <w:divBdr>
        <w:top w:val="none" w:sz="0" w:space="0" w:color="auto"/>
        <w:left w:val="none" w:sz="0" w:space="0" w:color="auto"/>
        <w:bottom w:val="none" w:sz="0" w:space="0" w:color="auto"/>
        <w:right w:val="none" w:sz="0" w:space="0" w:color="auto"/>
      </w:divBdr>
    </w:div>
    <w:div w:id="1374692000">
      <w:bodyDiv w:val="1"/>
      <w:marLeft w:val="0"/>
      <w:marRight w:val="0"/>
      <w:marTop w:val="0"/>
      <w:marBottom w:val="0"/>
      <w:divBdr>
        <w:top w:val="none" w:sz="0" w:space="0" w:color="auto"/>
        <w:left w:val="none" w:sz="0" w:space="0" w:color="auto"/>
        <w:bottom w:val="none" w:sz="0" w:space="0" w:color="auto"/>
        <w:right w:val="none" w:sz="0" w:space="0" w:color="auto"/>
      </w:divBdr>
    </w:div>
    <w:div w:id="1388339137">
      <w:bodyDiv w:val="1"/>
      <w:marLeft w:val="0"/>
      <w:marRight w:val="0"/>
      <w:marTop w:val="0"/>
      <w:marBottom w:val="0"/>
      <w:divBdr>
        <w:top w:val="none" w:sz="0" w:space="0" w:color="auto"/>
        <w:left w:val="none" w:sz="0" w:space="0" w:color="auto"/>
        <w:bottom w:val="none" w:sz="0" w:space="0" w:color="auto"/>
        <w:right w:val="none" w:sz="0" w:space="0" w:color="auto"/>
      </w:divBdr>
      <w:divsChild>
        <w:div w:id="2092461229">
          <w:marLeft w:val="0"/>
          <w:marRight w:val="0"/>
          <w:marTop w:val="120"/>
          <w:marBottom w:val="120"/>
          <w:divBdr>
            <w:top w:val="none" w:sz="0" w:space="0" w:color="auto"/>
            <w:left w:val="none" w:sz="0" w:space="0" w:color="auto"/>
            <w:bottom w:val="none" w:sz="0" w:space="0" w:color="auto"/>
            <w:right w:val="none" w:sz="0" w:space="0" w:color="auto"/>
          </w:divBdr>
        </w:div>
      </w:divsChild>
    </w:div>
    <w:div w:id="1400519995">
      <w:bodyDiv w:val="1"/>
      <w:marLeft w:val="0"/>
      <w:marRight w:val="0"/>
      <w:marTop w:val="0"/>
      <w:marBottom w:val="0"/>
      <w:divBdr>
        <w:top w:val="none" w:sz="0" w:space="0" w:color="auto"/>
        <w:left w:val="none" w:sz="0" w:space="0" w:color="auto"/>
        <w:bottom w:val="none" w:sz="0" w:space="0" w:color="auto"/>
        <w:right w:val="none" w:sz="0" w:space="0" w:color="auto"/>
      </w:divBdr>
    </w:div>
    <w:div w:id="1416901682">
      <w:bodyDiv w:val="1"/>
      <w:marLeft w:val="0"/>
      <w:marRight w:val="0"/>
      <w:marTop w:val="0"/>
      <w:marBottom w:val="0"/>
      <w:divBdr>
        <w:top w:val="none" w:sz="0" w:space="0" w:color="auto"/>
        <w:left w:val="none" w:sz="0" w:space="0" w:color="auto"/>
        <w:bottom w:val="none" w:sz="0" w:space="0" w:color="auto"/>
        <w:right w:val="none" w:sz="0" w:space="0" w:color="auto"/>
      </w:divBdr>
      <w:divsChild>
        <w:div w:id="334193476">
          <w:marLeft w:val="0"/>
          <w:marRight w:val="0"/>
          <w:marTop w:val="120"/>
          <w:marBottom w:val="120"/>
          <w:divBdr>
            <w:top w:val="none" w:sz="0" w:space="0" w:color="auto"/>
            <w:left w:val="none" w:sz="0" w:space="0" w:color="auto"/>
            <w:bottom w:val="none" w:sz="0" w:space="0" w:color="auto"/>
            <w:right w:val="none" w:sz="0" w:space="0" w:color="auto"/>
          </w:divBdr>
        </w:div>
        <w:div w:id="469786215">
          <w:marLeft w:val="0"/>
          <w:marRight w:val="0"/>
          <w:marTop w:val="120"/>
          <w:marBottom w:val="120"/>
          <w:divBdr>
            <w:top w:val="none" w:sz="0" w:space="0" w:color="auto"/>
            <w:left w:val="none" w:sz="0" w:space="0" w:color="auto"/>
            <w:bottom w:val="none" w:sz="0" w:space="0" w:color="auto"/>
            <w:right w:val="none" w:sz="0" w:space="0" w:color="auto"/>
          </w:divBdr>
        </w:div>
        <w:div w:id="941761554">
          <w:marLeft w:val="0"/>
          <w:marRight w:val="0"/>
          <w:marTop w:val="120"/>
          <w:marBottom w:val="120"/>
          <w:divBdr>
            <w:top w:val="none" w:sz="0" w:space="0" w:color="auto"/>
            <w:left w:val="none" w:sz="0" w:space="0" w:color="auto"/>
            <w:bottom w:val="none" w:sz="0" w:space="0" w:color="auto"/>
            <w:right w:val="none" w:sz="0" w:space="0" w:color="auto"/>
          </w:divBdr>
        </w:div>
        <w:div w:id="950818275">
          <w:marLeft w:val="0"/>
          <w:marRight w:val="0"/>
          <w:marTop w:val="120"/>
          <w:marBottom w:val="120"/>
          <w:divBdr>
            <w:top w:val="none" w:sz="0" w:space="0" w:color="auto"/>
            <w:left w:val="none" w:sz="0" w:space="0" w:color="auto"/>
            <w:bottom w:val="none" w:sz="0" w:space="0" w:color="auto"/>
            <w:right w:val="none" w:sz="0" w:space="0" w:color="auto"/>
          </w:divBdr>
        </w:div>
        <w:div w:id="1380007962">
          <w:marLeft w:val="0"/>
          <w:marRight w:val="0"/>
          <w:marTop w:val="120"/>
          <w:marBottom w:val="120"/>
          <w:divBdr>
            <w:top w:val="none" w:sz="0" w:space="0" w:color="auto"/>
            <w:left w:val="none" w:sz="0" w:space="0" w:color="auto"/>
            <w:bottom w:val="none" w:sz="0" w:space="0" w:color="auto"/>
            <w:right w:val="none" w:sz="0" w:space="0" w:color="auto"/>
          </w:divBdr>
        </w:div>
        <w:div w:id="1566598532">
          <w:marLeft w:val="0"/>
          <w:marRight w:val="0"/>
          <w:marTop w:val="120"/>
          <w:marBottom w:val="120"/>
          <w:divBdr>
            <w:top w:val="none" w:sz="0" w:space="0" w:color="auto"/>
            <w:left w:val="none" w:sz="0" w:space="0" w:color="auto"/>
            <w:bottom w:val="none" w:sz="0" w:space="0" w:color="auto"/>
            <w:right w:val="none" w:sz="0" w:space="0" w:color="auto"/>
          </w:divBdr>
        </w:div>
      </w:divsChild>
    </w:div>
    <w:div w:id="1431461776">
      <w:bodyDiv w:val="1"/>
      <w:marLeft w:val="0"/>
      <w:marRight w:val="0"/>
      <w:marTop w:val="0"/>
      <w:marBottom w:val="0"/>
      <w:divBdr>
        <w:top w:val="none" w:sz="0" w:space="0" w:color="auto"/>
        <w:left w:val="none" w:sz="0" w:space="0" w:color="auto"/>
        <w:bottom w:val="none" w:sz="0" w:space="0" w:color="auto"/>
        <w:right w:val="none" w:sz="0" w:space="0" w:color="auto"/>
      </w:divBdr>
      <w:divsChild>
        <w:div w:id="588663665">
          <w:marLeft w:val="0"/>
          <w:marRight w:val="0"/>
          <w:marTop w:val="120"/>
          <w:marBottom w:val="120"/>
          <w:divBdr>
            <w:top w:val="none" w:sz="0" w:space="0" w:color="auto"/>
            <w:left w:val="none" w:sz="0" w:space="0" w:color="auto"/>
            <w:bottom w:val="none" w:sz="0" w:space="0" w:color="auto"/>
            <w:right w:val="none" w:sz="0" w:space="0" w:color="auto"/>
          </w:divBdr>
        </w:div>
      </w:divsChild>
    </w:div>
    <w:div w:id="1433279017">
      <w:bodyDiv w:val="1"/>
      <w:marLeft w:val="0"/>
      <w:marRight w:val="0"/>
      <w:marTop w:val="0"/>
      <w:marBottom w:val="0"/>
      <w:divBdr>
        <w:top w:val="none" w:sz="0" w:space="0" w:color="auto"/>
        <w:left w:val="none" w:sz="0" w:space="0" w:color="auto"/>
        <w:bottom w:val="none" w:sz="0" w:space="0" w:color="auto"/>
        <w:right w:val="none" w:sz="0" w:space="0" w:color="auto"/>
      </w:divBdr>
    </w:div>
    <w:div w:id="1437871419">
      <w:bodyDiv w:val="1"/>
      <w:marLeft w:val="0"/>
      <w:marRight w:val="0"/>
      <w:marTop w:val="0"/>
      <w:marBottom w:val="0"/>
      <w:divBdr>
        <w:top w:val="none" w:sz="0" w:space="0" w:color="auto"/>
        <w:left w:val="none" w:sz="0" w:space="0" w:color="auto"/>
        <w:bottom w:val="none" w:sz="0" w:space="0" w:color="auto"/>
        <w:right w:val="none" w:sz="0" w:space="0" w:color="auto"/>
      </w:divBdr>
    </w:div>
    <w:div w:id="1445422417">
      <w:bodyDiv w:val="1"/>
      <w:marLeft w:val="0"/>
      <w:marRight w:val="0"/>
      <w:marTop w:val="0"/>
      <w:marBottom w:val="0"/>
      <w:divBdr>
        <w:top w:val="none" w:sz="0" w:space="0" w:color="auto"/>
        <w:left w:val="none" w:sz="0" w:space="0" w:color="auto"/>
        <w:bottom w:val="none" w:sz="0" w:space="0" w:color="auto"/>
        <w:right w:val="none" w:sz="0" w:space="0" w:color="auto"/>
      </w:divBdr>
      <w:divsChild>
        <w:div w:id="1283266957">
          <w:marLeft w:val="0"/>
          <w:marRight w:val="0"/>
          <w:marTop w:val="0"/>
          <w:marBottom w:val="0"/>
          <w:divBdr>
            <w:top w:val="none" w:sz="0" w:space="0" w:color="auto"/>
            <w:left w:val="none" w:sz="0" w:space="0" w:color="auto"/>
            <w:bottom w:val="none" w:sz="0" w:space="0" w:color="auto"/>
            <w:right w:val="none" w:sz="0" w:space="0" w:color="auto"/>
          </w:divBdr>
          <w:divsChild>
            <w:div w:id="1739671919">
              <w:marLeft w:val="0"/>
              <w:marRight w:val="0"/>
              <w:marTop w:val="0"/>
              <w:marBottom w:val="0"/>
              <w:divBdr>
                <w:top w:val="none" w:sz="0" w:space="0" w:color="auto"/>
                <w:left w:val="none" w:sz="0" w:space="0" w:color="auto"/>
                <w:bottom w:val="none" w:sz="0" w:space="0" w:color="auto"/>
                <w:right w:val="none" w:sz="0" w:space="0" w:color="auto"/>
              </w:divBdr>
              <w:divsChild>
                <w:div w:id="57018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1480">
      <w:bodyDiv w:val="1"/>
      <w:marLeft w:val="0"/>
      <w:marRight w:val="0"/>
      <w:marTop w:val="0"/>
      <w:marBottom w:val="0"/>
      <w:divBdr>
        <w:top w:val="none" w:sz="0" w:space="0" w:color="auto"/>
        <w:left w:val="none" w:sz="0" w:space="0" w:color="auto"/>
        <w:bottom w:val="none" w:sz="0" w:space="0" w:color="auto"/>
        <w:right w:val="none" w:sz="0" w:space="0" w:color="auto"/>
      </w:divBdr>
    </w:div>
    <w:div w:id="1455714083">
      <w:bodyDiv w:val="1"/>
      <w:marLeft w:val="0"/>
      <w:marRight w:val="0"/>
      <w:marTop w:val="0"/>
      <w:marBottom w:val="0"/>
      <w:divBdr>
        <w:top w:val="none" w:sz="0" w:space="0" w:color="auto"/>
        <w:left w:val="none" w:sz="0" w:space="0" w:color="auto"/>
        <w:bottom w:val="none" w:sz="0" w:space="0" w:color="auto"/>
        <w:right w:val="none" w:sz="0" w:space="0" w:color="auto"/>
      </w:divBdr>
    </w:div>
    <w:div w:id="1459376668">
      <w:bodyDiv w:val="1"/>
      <w:marLeft w:val="0"/>
      <w:marRight w:val="0"/>
      <w:marTop w:val="0"/>
      <w:marBottom w:val="0"/>
      <w:divBdr>
        <w:top w:val="none" w:sz="0" w:space="0" w:color="auto"/>
        <w:left w:val="none" w:sz="0" w:space="0" w:color="auto"/>
        <w:bottom w:val="none" w:sz="0" w:space="0" w:color="auto"/>
        <w:right w:val="none" w:sz="0" w:space="0" w:color="auto"/>
      </w:divBdr>
      <w:divsChild>
        <w:div w:id="2064014752">
          <w:marLeft w:val="0"/>
          <w:marRight w:val="0"/>
          <w:marTop w:val="0"/>
          <w:marBottom w:val="0"/>
          <w:divBdr>
            <w:top w:val="none" w:sz="0" w:space="0" w:color="auto"/>
            <w:left w:val="none" w:sz="0" w:space="0" w:color="auto"/>
            <w:bottom w:val="none" w:sz="0" w:space="0" w:color="auto"/>
            <w:right w:val="none" w:sz="0" w:space="0" w:color="auto"/>
          </w:divBdr>
          <w:divsChild>
            <w:div w:id="1184392906">
              <w:marLeft w:val="0"/>
              <w:marRight w:val="0"/>
              <w:marTop w:val="0"/>
              <w:marBottom w:val="0"/>
              <w:divBdr>
                <w:top w:val="none" w:sz="0" w:space="0" w:color="auto"/>
                <w:left w:val="none" w:sz="0" w:space="0" w:color="auto"/>
                <w:bottom w:val="none" w:sz="0" w:space="0" w:color="auto"/>
                <w:right w:val="none" w:sz="0" w:space="0" w:color="auto"/>
              </w:divBdr>
              <w:divsChild>
                <w:div w:id="97198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64586">
      <w:bodyDiv w:val="1"/>
      <w:marLeft w:val="0"/>
      <w:marRight w:val="0"/>
      <w:marTop w:val="0"/>
      <w:marBottom w:val="0"/>
      <w:divBdr>
        <w:top w:val="none" w:sz="0" w:space="0" w:color="auto"/>
        <w:left w:val="none" w:sz="0" w:space="0" w:color="auto"/>
        <w:bottom w:val="none" w:sz="0" w:space="0" w:color="auto"/>
        <w:right w:val="none" w:sz="0" w:space="0" w:color="auto"/>
      </w:divBdr>
    </w:div>
    <w:div w:id="1479303116">
      <w:bodyDiv w:val="1"/>
      <w:marLeft w:val="0"/>
      <w:marRight w:val="0"/>
      <w:marTop w:val="0"/>
      <w:marBottom w:val="0"/>
      <w:divBdr>
        <w:top w:val="none" w:sz="0" w:space="0" w:color="auto"/>
        <w:left w:val="none" w:sz="0" w:space="0" w:color="auto"/>
        <w:bottom w:val="none" w:sz="0" w:space="0" w:color="auto"/>
        <w:right w:val="none" w:sz="0" w:space="0" w:color="auto"/>
      </w:divBdr>
      <w:divsChild>
        <w:div w:id="2051105784">
          <w:marLeft w:val="0"/>
          <w:marRight w:val="0"/>
          <w:marTop w:val="0"/>
          <w:marBottom w:val="0"/>
          <w:divBdr>
            <w:top w:val="none" w:sz="0" w:space="0" w:color="auto"/>
            <w:left w:val="none" w:sz="0" w:space="0" w:color="auto"/>
            <w:bottom w:val="none" w:sz="0" w:space="0" w:color="auto"/>
            <w:right w:val="none" w:sz="0" w:space="0" w:color="auto"/>
          </w:divBdr>
          <w:divsChild>
            <w:div w:id="1129131902">
              <w:marLeft w:val="0"/>
              <w:marRight w:val="0"/>
              <w:marTop w:val="0"/>
              <w:marBottom w:val="0"/>
              <w:divBdr>
                <w:top w:val="none" w:sz="0" w:space="0" w:color="auto"/>
                <w:left w:val="none" w:sz="0" w:space="0" w:color="auto"/>
                <w:bottom w:val="none" w:sz="0" w:space="0" w:color="auto"/>
                <w:right w:val="none" w:sz="0" w:space="0" w:color="auto"/>
              </w:divBdr>
              <w:divsChild>
                <w:div w:id="4478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1917">
      <w:bodyDiv w:val="1"/>
      <w:marLeft w:val="0"/>
      <w:marRight w:val="0"/>
      <w:marTop w:val="0"/>
      <w:marBottom w:val="0"/>
      <w:divBdr>
        <w:top w:val="none" w:sz="0" w:space="0" w:color="auto"/>
        <w:left w:val="none" w:sz="0" w:space="0" w:color="auto"/>
        <w:bottom w:val="none" w:sz="0" w:space="0" w:color="auto"/>
        <w:right w:val="none" w:sz="0" w:space="0" w:color="auto"/>
      </w:divBdr>
    </w:div>
    <w:div w:id="1509639887">
      <w:bodyDiv w:val="1"/>
      <w:marLeft w:val="0"/>
      <w:marRight w:val="0"/>
      <w:marTop w:val="0"/>
      <w:marBottom w:val="0"/>
      <w:divBdr>
        <w:top w:val="none" w:sz="0" w:space="0" w:color="auto"/>
        <w:left w:val="none" w:sz="0" w:space="0" w:color="auto"/>
        <w:bottom w:val="none" w:sz="0" w:space="0" w:color="auto"/>
        <w:right w:val="none" w:sz="0" w:space="0" w:color="auto"/>
      </w:divBdr>
    </w:div>
    <w:div w:id="1509952851">
      <w:bodyDiv w:val="1"/>
      <w:marLeft w:val="0"/>
      <w:marRight w:val="0"/>
      <w:marTop w:val="0"/>
      <w:marBottom w:val="0"/>
      <w:divBdr>
        <w:top w:val="none" w:sz="0" w:space="0" w:color="auto"/>
        <w:left w:val="none" w:sz="0" w:space="0" w:color="auto"/>
        <w:bottom w:val="none" w:sz="0" w:space="0" w:color="auto"/>
        <w:right w:val="none" w:sz="0" w:space="0" w:color="auto"/>
      </w:divBdr>
    </w:div>
    <w:div w:id="1529022288">
      <w:bodyDiv w:val="1"/>
      <w:marLeft w:val="0"/>
      <w:marRight w:val="0"/>
      <w:marTop w:val="0"/>
      <w:marBottom w:val="0"/>
      <w:divBdr>
        <w:top w:val="none" w:sz="0" w:space="0" w:color="auto"/>
        <w:left w:val="none" w:sz="0" w:space="0" w:color="auto"/>
        <w:bottom w:val="none" w:sz="0" w:space="0" w:color="auto"/>
        <w:right w:val="none" w:sz="0" w:space="0" w:color="auto"/>
      </w:divBdr>
      <w:divsChild>
        <w:div w:id="279533684">
          <w:marLeft w:val="0"/>
          <w:marRight w:val="0"/>
          <w:marTop w:val="120"/>
          <w:marBottom w:val="120"/>
          <w:divBdr>
            <w:top w:val="none" w:sz="0" w:space="0" w:color="auto"/>
            <w:left w:val="none" w:sz="0" w:space="0" w:color="auto"/>
            <w:bottom w:val="none" w:sz="0" w:space="0" w:color="auto"/>
            <w:right w:val="none" w:sz="0" w:space="0" w:color="auto"/>
          </w:divBdr>
        </w:div>
        <w:div w:id="536820279">
          <w:marLeft w:val="0"/>
          <w:marRight w:val="0"/>
          <w:marTop w:val="120"/>
          <w:marBottom w:val="120"/>
          <w:divBdr>
            <w:top w:val="none" w:sz="0" w:space="0" w:color="auto"/>
            <w:left w:val="none" w:sz="0" w:space="0" w:color="auto"/>
            <w:bottom w:val="none" w:sz="0" w:space="0" w:color="auto"/>
            <w:right w:val="none" w:sz="0" w:space="0" w:color="auto"/>
          </w:divBdr>
        </w:div>
        <w:div w:id="1727680798">
          <w:marLeft w:val="0"/>
          <w:marRight w:val="0"/>
          <w:marTop w:val="120"/>
          <w:marBottom w:val="120"/>
          <w:divBdr>
            <w:top w:val="none" w:sz="0" w:space="0" w:color="auto"/>
            <w:left w:val="none" w:sz="0" w:space="0" w:color="auto"/>
            <w:bottom w:val="none" w:sz="0" w:space="0" w:color="auto"/>
            <w:right w:val="none" w:sz="0" w:space="0" w:color="auto"/>
          </w:divBdr>
        </w:div>
        <w:div w:id="1881430004">
          <w:marLeft w:val="0"/>
          <w:marRight w:val="0"/>
          <w:marTop w:val="120"/>
          <w:marBottom w:val="120"/>
          <w:divBdr>
            <w:top w:val="none" w:sz="0" w:space="0" w:color="auto"/>
            <w:left w:val="none" w:sz="0" w:space="0" w:color="auto"/>
            <w:bottom w:val="none" w:sz="0" w:space="0" w:color="auto"/>
            <w:right w:val="none" w:sz="0" w:space="0" w:color="auto"/>
          </w:divBdr>
        </w:div>
        <w:div w:id="1938439912">
          <w:marLeft w:val="0"/>
          <w:marRight w:val="0"/>
          <w:marTop w:val="120"/>
          <w:marBottom w:val="120"/>
          <w:divBdr>
            <w:top w:val="none" w:sz="0" w:space="0" w:color="auto"/>
            <w:left w:val="none" w:sz="0" w:space="0" w:color="auto"/>
            <w:bottom w:val="none" w:sz="0" w:space="0" w:color="auto"/>
            <w:right w:val="none" w:sz="0" w:space="0" w:color="auto"/>
          </w:divBdr>
        </w:div>
      </w:divsChild>
    </w:div>
    <w:div w:id="1544713731">
      <w:bodyDiv w:val="1"/>
      <w:marLeft w:val="0"/>
      <w:marRight w:val="0"/>
      <w:marTop w:val="0"/>
      <w:marBottom w:val="0"/>
      <w:divBdr>
        <w:top w:val="none" w:sz="0" w:space="0" w:color="auto"/>
        <w:left w:val="none" w:sz="0" w:space="0" w:color="auto"/>
        <w:bottom w:val="none" w:sz="0" w:space="0" w:color="auto"/>
        <w:right w:val="none" w:sz="0" w:space="0" w:color="auto"/>
      </w:divBdr>
      <w:divsChild>
        <w:div w:id="1087774524">
          <w:marLeft w:val="0"/>
          <w:marRight w:val="0"/>
          <w:marTop w:val="120"/>
          <w:marBottom w:val="120"/>
          <w:divBdr>
            <w:top w:val="none" w:sz="0" w:space="0" w:color="auto"/>
            <w:left w:val="none" w:sz="0" w:space="0" w:color="auto"/>
            <w:bottom w:val="none" w:sz="0" w:space="0" w:color="auto"/>
            <w:right w:val="none" w:sz="0" w:space="0" w:color="auto"/>
          </w:divBdr>
        </w:div>
      </w:divsChild>
    </w:div>
    <w:div w:id="1548834184">
      <w:bodyDiv w:val="1"/>
      <w:marLeft w:val="0"/>
      <w:marRight w:val="0"/>
      <w:marTop w:val="0"/>
      <w:marBottom w:val="0"/>
      <w:divBdr>
        <w:top w:val="none" w:sz="0" w:space="0" w:color="auto"/>
        <w:left w:val="none" w:sz="0" w:space="0" w:color="auto"/>
        <w:bottom w:val="none" w:sz="0" w:space="0" w:color="auto"/>
        <w:right w:val="none" w:sz="0" w:space="0" w:color="auto"/>
      </w:divBdr>
    </w:div>
    <w:div w:id="1550024343">
      <w:bodyDiv w:val="1"/>
      <w:marLeft w:val="0"/>
      <w:marRight w:val="0"/>
      <w:marTop w:val="0"/>
      <w:marBottom w:val="0"/>
      <w:divBdr>
        <w:top w:val="none" w:sz="0" w:space="0" w:color="auto"/>
        <w:left w:val="none" w:sz="0" w:space="0" w:color="auto"/>
        <w:bottom w:val="none" w:sz="0" w:space="0" w:color="auto"/>
        <w:right w:val="none" w:sz="0" w:space="0" w:color="auto"/>
      </w:divBdr>
      <w:divsChild>
        <w:div w:id="1929147112">
          <w:marLeft w:val="0"/>
          <w:marRight w:val="0"/>
          <w:marTop w:val="0"/>
          <w:marBottom w:val="0"/>
          <w:divBdr>
            <w:top w:val="none" w:sz="0" w:space="0" w:color="auto"/>
            <w:left w:val="none" w:sz="0" w:space="0" w:color="auto"/>
            <w:bottom w:val="none" w:sz="0" w:space="0" w:color="auto"/>
            <w:right w:val="none" w:sz="0" w:space="0" w:color="auto"/>
          </w:divBdr>
          <w:divsChild>
            <w:div w:id="1586183225">
              <w:marLeft w:val="0"/>
              <w:marRight w:val="0"/>
              <w:marTop w:val="0"/>
              <w:marBottom w:val="0"/>
              <w:divBdr>
                <w:top w:val="none" w:sz="0" w:space="0" w:color="auto"/>
                <w:left w:val="none" w:sz="0" w:space="0" w:color="auto"/>
                <w:bottom w:val="none" w:sz="0" w:space="0" w:color="auto"/>
                <w:right w:val="none" w:sz="0" w:space="0" w:color="auto"/>
              </w:divBdr>
              <w:divsChild>
                <w:div w:id="104236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5344">
      <w:bodyDiv w:val="1"/>
      <w:marLeft w:val="0"/>
      <w:marRight w:val="0"/>
      <w:marTop w:val="0"/>
      <w:marBottom w:val="0"/>
      <w:divBdr>
        <w:top w:val="none" w:sz="0" w:space="0" w:color="auto"/>
        <w:left w:val="none" w:sz="0" w:space="0" w:color="auto"/>
        <w:bottom w:val="none" w:sz="0" w:space="0" w:color="auto"/>
        <w:right w:val="none" w:sz="0" w:space="0" w:color="auto"/>
      </w:divBdr>
      <w:divsChild>
        <w:div w:id="2090881702">
          <w:marLeft w:val="0"/>
          <w:marRight w:val="0"/>
          <w:marTop w:val="0"/>
          <w:marBottom w:val="0"/>
          <w:divBdr>
            <w:top w:val="none" w:sz="0" w:space="0" w:color="auto"/>
            <w:left w:val="none" w:sz="0" w:space="0" w:color="auto"/>
            <w:bottom w:val="none" w:sz="0" w:space="0" w:color="auto"/>
            <w:right w:val="none" w:sz="0" w:space="0" w:color="auto"/>
          </w:divBdr>
          <w:divsChild>
            <w:div w:id="944574615">
              <w:marLeft w:val="0"/>
              <w:marRight w:val="0"/>
              <w:marTop w:val="0"/>
              <w:marBottom w:val="0"/>
              <w:divBdr>
                <w:top w:val="none" w:sz="0" w:space="0" w:color="auto"/>
                <w:left w:val="none" w:sz="0" w:space="0" w:color="auto"/>
                <w:bottom w:val="none" w:sz="0" w:space="0" w:color="auto"/>
                <w:right w:val="none" w:sz="0" w:space="0" w:color="auto"/>
              </w:divBdr>
              <w:divsChild>
                <w:div w:id="75000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960338">
      <w:bodyDiv w:val="1"/>
      <w:marLeft w:val="0"/>
      <w:marRight w:val="0"/>
      <w:marTop w:val="0"/>
      <w:marBottom w:val="0"/>
      <w:divBdr>
        <w:top w:val="none" w:sz="0" w:space="0" w:color="auto"/>
        <w:left w:val="none" w:sz="0" w:space="0" w:color="auto"/>
        <w:bottom w:val="none" w:sz="0" w:space="0" w:color="auto"/>
        <w:right w:val="none" w:sz="0" w:space="0" w:color="auto"/>
      </w:divBdr>
    </w:div>
    <w:div w:id="1592855472">
      <w:bodyDiv w:val="1"/>
      <w:marLeft w:val="0"/>
      <w:marRight w:val="0"/>
      <w:marTop w:val="0"/>
      <w:marBottom w:val="0"/>
      <w:divBdr>
        <w:top w:val="none" w:sz="0" w:space="0" w:color="auto"/>
        <w:left w:val="none" w:sz="0" w:space="0" w:color="auto"/>
        <w:bottom w:val="none" w:sz="0" w:space="0" w:color="auto"/>
        <w:right w:val="none" w:sz="0" w:space="0" w:color="auto"/>
      </w:divBdr>
      <w:divsChild>
        <w:div w:id="817771433">
          <w:marLeft w:val="0"/>
          <w:marRight w:val="0"/>
          <w:marTop w:val="0"/>
          <w:marBottom w:val="0"/>
          <w:divBdr>
            <w:top w:val="none" w:sz="0" w:space="0" w:color="auto"/>
            <w:left w:val="none" w:sz="0" w:space="0" w:color="auto"/>
            <w:bottom w:val="none" w:sz="0" w:space="0" w:color="auto"/>
            <w:right w:val="none" w:sz="0" w:space="0" w:color="auto"/>
          </w:divBdr>
          <w:divsChild>
            <w:div w:id="1179126656">
              <w:marLeft w:val="0"/>
              <w:marRight w:val="0"/>
              <w:marTop w:val="0"/>
              <w:marBottom w:val="0"/>
              <w:divBdr>
                <w:top w:val="none" w:sz="0" w:space="0" w:color="auto"/>
                <w:left w:val="none" w:sz="0" w:space="0" w:color="auto"/>
                <w:bottom w:val="none" w:sz="0" w:space="0" w:color="auto"/>
                <w:right w:val="none" w:sz="0" w:space="0" w:color="auto"/>
              </w:divBdr>
              <w:divsChild>
                <w:div w:id="13093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835093">
      <w:bodyDiv w:val="1"/>
      <w:marLeft w:val="0"/>
      <w:marRight w:val="0"/>
      <w:marTop w:val="0"/>
      <w:marBottom w:val="0"/>
      <w:divBdr>
        <w:top w:val="none" w:sz="0" w:space="0" w:color="auto"/>
        <w:left w:val="none" w:sz="0" w:space="0" w:color="auto"/>
        <w:bottom w:val="none" w:sz="0" w:space="0" w:color="auto"/>
        <w:right w:val="none" w:sz="0" w:space="0" w:color="auto"/>
      </w:divBdr>
    </w:div>
    <w:div w:id="1639457248">
      <w:bodyDiv w:val="1"/>
      <w:marLeft w:val="0"/>
      <w:marRight w:val="0"/>
      <w:marTop w:val="0"/>
      <w:marBottom w:val="0"/>
      <w:divBdr>
        <w:top w:val="none" w:sz="0" w:space="0" w:color="auto"/>
        <w:left w:val="none" w:sz="0" w:space="0" w:color="auto"/>
        <w:bottom w:val="none" w:sz="0" w:space="0" w:color="auto"/>
        <w:right w:val="none" w:sz="0" w:space="0" w:color="auto"/>
      </w:divBdr>
      <w:divsChild>
        <w:div w:id="1759980076">
          <w:marLeft w:val="0"/>
          <w:marRight w:val="0"/>
          <w:marTop w:val="0"/>
          <w:marBottom w:val="0"/>
          <w:divBdr>
            <w:top w:val="none" w:sz="0" w:space="0" w:color="auto"/>
            <w:left w:val="none" w:sz="0" w:space="0" w:color="auto"/>
            <w:bottom w:val="none" w:sz="0" w:space="0" w:color="auto"/>
            <w:right w:val="none" w:sz="0" w:space="0" w:color="auto"/>
          </w:divBdr>
          <w:divsChild>
            <w:div w:id="1093090020">
              <w:marLeft w:val="0"/>
              <w:marRight w:val="0"/>
              <w:marTop w:val="0"/>
              <w:marBottom w:val="0"/>
              <w:divBdr>
                <w:top w:val="none" w:sz="0" w:space="0" w:color="auto"/>
                <w:left w:val="none" w:sz="0" w:space="0" w:color="auto"/>
                <w:bottom w:val="none" w:sz="0" w:space="0" w:color="auto"/>
                <w:right w:val="none" w:sz="0" w:space="0" w:color="auto"/>
              </w:divBdr>
              <w:divsChild>
                <w:div w:id="82427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069828">
      <w:bodyDiv w:val="1"/>
      <w:marLeft w:val="0"/>
      <w:marRight w:val="0"/>
      <w:marTop w:val="0"/>
      <w:marBottom w:val="0"/>
      <w:divBdr>
        <w:top w:val="none" w:sz="0" w:space="0" w:color="auto"/>
        <w:left w:val="none" w:sz="0" w:space="0" w:color="auto"/>
        <w:bottom w:val="none" w:sz="0" w:space="0" w:color="auto"/>
        <w:right w:val="none" w:sz="0" w:space="0" w:color="auto"/>
      </w:divBdr>
      <w:divsChild>
        <w:div w:id="2025747693">
          <w:marLeft w:val="0"/>
          <w:marRight w:val="0"/>
          <w:marTop w:val="0"/>
          <w:marBottom w:val="0"/>
          <w:divBdr>
            <w:top w:val="none" w:sz="0" w:space="0" w:color="auto"/>
            <w:left w:val="none" w:sz="0" w:space="0" w:color="auto"/>
            <w:bottom w:val="none" w:sz="0" w:space="0" w:color="auto"/>
            <w:right w:val="none" w:sz="0" w:space="0" w:color="auto"/>
          </w:divBdr>
          <w:divsChild>
            <w:div w:id="1033730223">
              <w:marLeft w:val="0"/>
              <w:marRight w:val="0"/>
              <w:marTop w:val="0"/>
              <w:marBottom w:val="0"/>
              <w:divBdr>
                <w:top w:val="none" w:sz="0" w:space="0" w:color="auto"/>
                <w:left w:val="none" w:sz="0" w:space="0" w:color="auto"/>
                <w:bottom w:val="none" w:sz="0" w:space="0" w:color="auto"/>
                <w:right w:val="none" w:sz="0" w:space="0" w:color="auto"/>
              </w:divBdr>
              <w:divsChild>
                <w:div w:id="19927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844260">
      <w:bodyDiv w:val="1"/>
      <w:marLeft w:val="0"/>
      <w:marRight w:val="0"/>
      <w:marTop w:val="0"/>
      <w:marBottom w:val="0"/>
      <w:divBdr>
        <w:top w:val="none" w:sz="0" w:space="0" w:color="auto"/>
        <w:left w:val="none" w:sz="0" w:space="0" w:color="auto"/>
        <w:bottom w:val="none" w:sz="0" w:space="0" w:color="auto"/>
        <w:right w:val="none" w:sz="0" w:space="0" w:color="auto"/>
      </w:divBdr>
    </w:div>
    <w:div w:id="1645623995">
      <w:bodyDiv w:val="1"/>
      <w:marLeft w:val="0"/>
      <w:marRight w:val="0"/>
      <w:marTop w:val="0"/>
      <w:marBottom w:val="0"/>
      <w:divBdr>
        <w:top w:val="none" w:sz="0" w:space="0" w:color="auto"/>
        <w:left w:val="none" w:sz="0" w:space="0" w:color="auto"/>
        <w:bottom w:val="none" w:sz="0" w:space="0" w:color="auto"/>
        <w:right w:val="none" w:sz="0" w:space="0" w:color="auto"/>
      </w:divBdr>
    </w:div>
    <w:div w:id="1648316967">
      <w:bodyDiv w:val="1"/>
      <w:marLeft w:val="0"/>
      <w:marRight w:val="0"/>
      <w:marTop w:val="0"/>
      <w:marBottom w:val="0"/>
      <w:divBdr>
        <w:top w:val="none" w:sz="0" w:space="0" w:color="auto"/>
        <w:left w:val="none" w:sz="0" w:space="0" w:color="auto"/>
        <w:bottom w:val="none" w:sz="0" w:space="0" w:color="auto"/>
        <w:right w:val="none" w:sz="0" w:space="0" w:color="auto"/>
      </w:divBdr>
    </w:div>
    <w:div w:id="1685859684">
      <w:bodyDiv w:val="1"/>
      <w:marLeft w:val="0"/>
      <w:marRight w:val="0"/>
      <w:marTop w:val="0"/>
      <w:marBottom w:val="0"/>
      <w:divBdr>
        <w:top w:val="none" w:sz="0" w:space="0" w:color="auto"/>
        <w:left w:val="none" w:sz="0" w:space="0" w:color="auto"/>
        <w:bottom w:val="none" w:sz="0" w:space="0" w:color="auto"/>
        <w:right w:val="none" w:sz="0" w:space="0" w:color="auto"/>
      </w:divBdr>
    </w:div>
    <w:div w:id="1702171162">
      <w:bodyDiv w:val="1"/>
      <w:marLeft w:val="0"/>
      <w:marRight w:val="0"/>
      <w:marTop w:val="0"/>
      <w:marBottom w:val="0"/>
      <w:divBdr>
        <w:top w:val="none" w:sz="0" w:space="0" w:color="auto"/>
        <w:left w:val="none" w:sz="0" w:space="0" w:color="auto"/>
        <w:bottom w:val="none" w:sz="0" w:space="0" w:color="auto"/>
        <w:right w:val="none" w:sz="0" w:space="0" w:color="auto"/>
      </w:divBdr>
    </w:div>
    <w:div w:id="1702776095">
      <w:bodyDiv w:val="1"/>
      <w:marLeft w:val="0"/>
      <w:marRight w:val="0"/>
      <w:marTop w:val="0"/>
      <w:marBottom w:val="0"/>
      <w:divBdr>
        <w:top w:val="none" w:sz="0" w:space="0" w:color="auto"/>
        <w:left w:val="none" w:sz="0" w:space="0" w:color="auto"/>
        <w:bottom w:val="none" w:sz="0" w:space="0" w:color="auto"/>
        <w:right w:val="none" w:sz="0" w:space="0" w:color="auto"/>
      </w:divBdr>
    </w:div>
    <w:div w:id="1705517449">
      <w:bodyDiv w:val="1"/>
      <w:marLeft w:val="0"/>
      <w:marRight w:val="0"/>
      <w:marTop w:val="0"/>
      <w:marBottom w:val="0"/>
      <w:divBdr>
        <w:top w:val="none" w:sz="0" w:space="0" w:color="auto"/>
        <w:left w:val="none" w:sz="0" w:space="0" w:color="auto"/>
        <w:bottom w:val="none" w:sz="0" w:space="0" w:color="auto"/>
        <w:right w:val="none" w:sz="0" w:space="0" w:color="auto"/>
      </w:divBdr>
      <w:divsChild>
        <w:div w:id="845749813">
          <w:marLeft w:val="0"/>
          <w:marRight w:val="0"/>
          <w:marTop w:val="120"/>
          <w:marBottom w:val="120"/>
          <w:divBdr>
            <w:top w:val="none" w:sz="0" w:space="0" w:color="auto"/>
            <w:left w:val="none" w:sz="0" w:space="0" w:color="auto"/>
            <w:bottom w:val="none" w:sz="0" w:space="0" w:color="auto"/>
            <w:right w:val="none" w:sz="0" w:space="0" w:color="auto"/>
          </w:divBdr>
        </w:div>
      </w:divsChild>
    </w:div>
    <w:div w:id="1716391954">
      <w:bodyDiv w:val="1"/>
      <w:marLeft w:val="0"/>
      <w:marRight w:val="0"/>
      <w:marTop w:val="0"/>
      <w:marBottom w:val="0"/>
      <w:divBdr>
        <w:top w:val="none" w:sz="0" w:space="0" w:color="auto"/>
        <w:left w:val="none" w:sz="0" w:space="0" w:color="auto"/>
        <w:bottom w:val="none" w:sz="0" w:space="0" w:color="auto"/>
        <w:right w:val="none" w:sz="0" w:space="0" w:color="auto"/>
      </w:divBdr>
    </w:div>
    <w:div w:id="1740059990">
      <w:bodyDiv w:val="1"/>
      <w:marLeft w:val="0"/>
      <w:marRight w:val="0"/>
      <w:marTop w:val="0"/>
      <w:marBottom w:val="0"/>
      <w:divBdr>
        <w:top w:val="none" w:sz="0" w:space="0" w:color="auto"/>
        <w:left w:val="none" w:sz="0" w:space="0" w:color="auto"/>
        <w:bottom w:val="none" w:sz="0" w:space="0" w:color="auto"/>
        <w:right w:val="none" w:sz="0" w:space="0" w:color="auto"/>
      </w:divBdr>
    </w:div>
    <w:div w:id="1742097064">
      <w:bodyDiv w:val="1"/>
      <w:marLeft w:val="0"/>
      <w:marRight w:val="0"/>
      <w:marTop w:val="0"/>
      <w:marBottom w:val="0"/>
      <w:divBdr>
        <w:top w:val="none" w:sz="0" w:space="0" w:color="auto"/>
        <w:left w:val="none" w:sz="0" w:space="0" w:color="auto"/>
        <w:bottom w:val="none" w:sz="0" w:space="0" w:color="auto"/>
        <w:right w:val="none" w:sz="0" w:space="0" w:color="auto"/>
      </w:divBdr>
    </w:div>
    <w:div w:id="1752849209">
      <w:bodyDiv w:val="1"/>
      <w:marLeft w:val="0"/>
      <w:marRight w:val="0"/>
      <w:marTop w:val="0"/>
      <w:marBottom w:val="0"/>
      <w:divBdr>
        <w:top w:val="none" w:sz="0" w:space="0" w:color="auto"/>
        <w:left w:val="none" w:sz="0" w:space="0" w:color="auto"/>
        <w:bottom w:val="none" w:sz="0" w:space="0" w:color="auto"/>
        <w:right w:val="none" w:sz="0" w:space="0" w:color="auto"/>
      </w:divBdr>
      <w:divsChild>
        <w:div w:id="1028987611">
          <w:marLeft w:val="0"/>
          <w:marRight w:val="0"/>
          <w:marTop w:val="120"/>
          <w:marBottom w:val="120"/>
          <w:divBdr>
            <w:top w:val="none" w:sz="0" w:space="0" w:color="auto"/>
            <w:left w:val="none" w:sz="0" w:space="0" w:color="auto"/>
            <w:bottom w:val="none" w:sz="0" w:space="0" w:color="auto"/>
            <w:right w:val="none" w:sz="0" w:space="0" w:color="auto"/>
          </w:divBdr>
        </w:div>
        <w:div w:id="1099369075">
          <w:marLeft w:val="0"/>
          <w:marRight w:val="0"/>
          <w:marTop w:val="120"/>
          <w:marBottom w:val="120"/>
          <w:divBdr>
            <w:top w:val="none" w:sz="0" w:space="0" w:color="auto"/>
            <w:left w:val="none" w:sz="0" w:space="0" w:color="auto"/>
            <w:bottom w:val="none" w:sz="0" w:space="0" w:color="auto"/>
            <w:right w:val="none" w:sz="0" w:space="0" w:color="auto"/>
          </w:divBdr>
        </w:div>
        <w:div w:id="1328244248">
          <w:marLeft w:val="0"/>
          <w:marRight w:val="0"/>
          <w:marTop w:val="120"/>
          <w:marBottom w:val="120"/>
          <w:divBdr>
            <w:top w:val="none" w:sz="0" w:space="0" w:color="auto"/>
            <w:left w:val="none" w:sz="0" w:space="0" w:color="auto"/>
            <w:bottom w:val="none" w:sz="0" w:space="0" w:color="auto"/>
            <w:right w:val="none" w:sz="0" w:space="0" w:color="auto"/>
          </w:divBdr>
        </w:div>
        <w:div w:id="1887717905">
          <w:marLeft w:val="0"/>
          <w:marRight w:val="0"/>
          <w:marTop w:val="120"/>
          <w:marBottom w:val="120"/>
          <w:divBdr>
            <w:top w:val="none" w:sz="0" w:space="0" w:color="auto"/>
            <w:left w:val="none" w:sz="0" w:space="0" w:color="auto"/>
            <w:bottom w:val="none" w:sz="0" w:space="0" w:color="auto"/>
            <w:right w:val="none" w:sz="0" w:space="0" w:color="auto"/>
          </w:divBdr>
        </w:div>
        <w:div w:id="2130781532">
          <w:marLeft w:val="0"/>
          <w:marRight w:val="0"/>
          <w:marTop w:val="120"/>
          <w:marBottom w:val="120"/>
          <w:divBdr>
            <w:top w:val="none" w:sz="0" w:space="0" w:color="auto"/>
            <w:left w:val="none" w:sz="0" w:space="0" w:color="auto"/>
            <w:bottom w:val="none" w:sz="0" w:space="0" w:color="auto"/>
            <w:right w:val="none" w:sz="0" w:space="0" w:color="auto"/>
          </w:divBdr>
        </w:div>
      </w:divsChild>
    </w:div>
    <w:div w:id="1758400242">
      <w:bodyDiv w:val="1"/>
      <w:marLeft w:val="0"/>
      <w:marRight w:val="0"/>
      <w:marTop w:val="0"/>
      <w:marBottom w:val="0"/>
      <w:divBdr>
        <w:top w:val="none" w:sz="0" w:space="0" w:color="auto"/>
        <w:left w:val="none" w:sz="0" w:space="0" w:color="auto"/>
        <w:bottom w:val="none" w:sz="0" w:space="0" w:color="auto"/>
        <w:right w:val="none" w:sz="0" w:space="0" w:color="auto"/>
      </w:divBdr>
    </w:div>
    <w:div w:id="1758400989">
      <w:bodyDiv w:val="1"/>
      <w:marLeft w:val="0"/>
      <w:marRight w:val="0"/>
      <w:marTop w:val="0"/>
      <w:marBottom w:val="0"/>
      <w:divBdr>
        <w:top w:val="none" w:sz="0" w:space="0" w:color="auto"/>
        <w:left w:val="none" w:sz="0" w:space="0" w:color="auto"/>
        <w:bottom w:val="none" w:sz="0" w:space="0" w:color="auto"/>
        <w:right w:val="none" w:sz="0" w:space="0" w:color="auto"/>
      </w:divBdr>
    </w:div>
    <w:div w:id="1823739427">
      <w:bodyDiv w:val="1"/>
      <w:marLeft w:val="0"/>
      <w:marRight w:val="0"/>
      <w:marTop w:val="0"/>
      <w:marBottom w:val="0"/>
      <w:divBdr>
        <w:top w:val="none" w:sz="0" w:space="0" w:color="auto"/>
        <w:left w:val="none" w:sz="0" w:space="0" w:color="auto"/>
        <w:bottom w:val="none" w:sz="0" w:space="0" w:color="auto"/>
        <w:right w:val="none" w:sz="0" w:space="0" w:color="auto"/>
      </w:divBdr>
    </w:div>
    <w:div w:id="1841196936">
      <w:bodyDiv w:val="1"/>
      <w:marLeft w:val="0"/>
      <w:marRight w:val="0"/>
      <w:marTop w:val="0"/>
      <w:marBottom w:val="0"/>
      <w:divBdr>
        <w:top w:val="none" w:sz="0" w:space="0" w:color="auto"/>
        <w:left w:val="none" w:sz="0" w:space="0" w:color="auto"/>
        <w:bottom w:val="none" w:sz="0" w:space="0" w:color="auto"/>
        <w:right w:val="none" w:sz="0" w:space="0" w:color="auto"/>
      </w:divBdr>
    </w:div>
    <w:div w:id="1846244785">
      <w:bodyDiv w:val="1"/>
      <w:marLeft w:val="0"/>
      <w:marRight w:val="0"/>
      <w:marTop w:val="0"/>
      <w:marBottom w:val="0"/>
      <w:divBdr>
        <w:top w:val="none" w:sz="0" w:space="0" w:color="auto"/>
        <w:left w:val="none" w:sz="0" w:space="0" w:color="auto"/>
        <w:bottom w:val="none" w:sz="0" w:space="0" w:color="auto"/>
        <w:right w:val="none" w:sz="0" w:space="0" w:color="auto"/>
      </w:divBdr>
    </w:div>
    <w:div w:id="1856459858">
      <w:bodyDiv w:val="1"/>
      <w:marLeft w:val="0"/>
      <w:marRight w:val="0"/>
      <w:marTop w:val="0"/>
      <w:marBottom w:val="0"/>
      <w:divBdr>
        <w:top w:val="none" w:sz="0" w:space="0" w:color="auto"/>
        <w:left w:val="none" w:sz="0" w:space="0" w:color="auto"/>
        <w:bottom w:val="none" w:sz="0" w:space="0" w:color="auto"/>
        <w:right w:val="none" w:sz="0" w:space="0" w:color="auto"/>
      </w:divBdr>
      <w:divsChild>
        <w:div w:id="1791782586">
          <w:marLeft w:val="0"/>
          <w:marRight w:val="0"/>
          <w:marTop w:val="0"/>
          <w:marBottom w:val="0"/>
          <w:divBdr>
            <w:top w:val="none" w:sz="0" w:space="0" w:color="auto"/>
            <w:left w:val="none" w:sz="0" w:space="0" w:color="auto"/>
            <w:bottom w:val="none" w:sz="0" w:space="0" w:color="auto"/>
            <w:right w:val="none" w:sz="0" w:space="0" w:color="auto"/>
          </w:divBdr>
          <w:divsChild>
            <w:div w:id="149912524">
              <w:marLeft w:val="0"/>
              <w:marRight w:val="0"/>
              <w:marTop w:val="0"/>
              <w:marBottom w:val="0"/>
              <w:divBdr>
                <w:top w:val="none" w:sz="0" w:space="0" w:color="auto"/>
                <w:left w:val="none" w:sz="0" w:space="0" w:color="auto"/>
                <w:bottom w:val="none" w:sz="0" w:space="0" w:color="auto"/>
                <w:right w:val="none" w:sz="0" w:space="0" w:color="auto"/>
              </w:divBdr>
              <w:divsChild>
                <w:div w:id="188490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268318">
      <w:bodyDiv w:val="1"/>
      <w:marLeft w:val="0"/>
      <w:marRight w:val="0"/>
      <w:marTop w:val="0"/>
      <w:marBottom w:val="0"/>
      <w:divBdr>
        <w:top w:val="none" w:sz="0" w:space="0" w:color="auto"/>
        <w:left w:val="none" w:sz="0" w:space="0" w:color="auto"/>
        <w:bottom w:val="none" w:sz="0" w:space="0" w:color="auto"/>
        <w:right w:val="none" w:sz="0" w:space="0" w:color="auto"/>
      </w:divBdr>
    </w:div>
    <w:div w:id="1898855475">
      <w:bodyDiv w:val="1"/>
      <w:marLeft w:val="0"/>
      <w:marRight w:val="0"/>
      <w:marTop w:val="0"/>
      <w:marBottom w:val="0"/>
      <w:divBdr>
        <w:top w:val="none" w:sz="0" w:space="0" w:color="auto"/>
        <w:left w:val="none" w:sz="0" w:space="0" w:color="auto"/>
        <w:bottom w:val="none" w:sz="0" w:space="0" w:color="auto"/>
        <w:right w:val="none" w:sz="0" w:space="0" w:color="auto"/>
      </w:divBdr>
    </w:div>
    <w:div w:id="1920824043">
      <w:bodyDiv w:val="1"/>
      <w:marLeft w:val="0"/>
      <w:marRight w:val="0"/>
      <w:marTop w:val="0"/>
      <w:marBottom w:val="0"/>
      <w:divBdr>
        <w:top w:val="none" w:sz="0" w:space="0" w:color="auto"/>
        <w:left w:val="none" w:sz="0" w:space="0" w:color="auto"/>
        <w:bottom w:val="none" w:sz="0" w:space="0" w:color="auto"/>
        <w:right w:val="none" w:sz="0" w:space="0" w:color="auto"/>
      </w:divBdr>
    </w:div>
    <w:div w:id="1944074701">
      <w:bodyDiv w:val="1"/>
      <w:marLeft w:val="0"/>
      <w:marRight w:val="0"/>
      <w:marTop w:val="0"/>
      <w:marBottom w:val="0"/>
      <w:divBdr>
        <w:top w:val="none" w:sz="0" w:space="0" w:color="auto"/>
        <w:left w:val="none" w:sz="0" w:space="0" w:color="auto"/>
        <w:bottom w:val="none" w:sz="0" w:space="0" w:color="auto"/>
        <w:right w:val="none" w:sz="0" w:space="0" w:color="auto"/>
      </w:divBdr>
    </w:div>
    <w:div w:id="1967853234">
      <w:bodyDiv w:val="1"/>
      <w:marLeft w:val="0"/>
      <w:marRight w:val="0"/>
      <w:marTop w:val="0"/>
      <w:marBottom w:val="0"/>
      <w:divBdr>
        <w:top w:val="none" w:sz="0" w:space="0" w:color="auto"/>
        <w:left w:val="none" w:sz="0" w:space="0" w:color="auto"/>
        <w:bottom w:val="none" w:sz="0" w:space="0" w:color="auto"/>
        <w:right w:val="none" w:sz="0" w:space="0" w:color="auto"/>
      </w:divBdr>
      <w:divsChild>
        <w:div w:id="1551771130">
          <w:marLeft w:val="0"/>
          <w:marRight w:val="0"/>
          <w:marTop w:val="120"/>
          <w:marBottom w:val="120"/>
          <w:divBdr>
            <w:top w:val="none" w:sz="0" w:space="0" w:color="auto"/>
            <w:left w:val="none" w:sz="0" w:space="0" w:color="auto"/>
            <w:bottom w:val="none" w:sz="0" w:space="0" w:color="auto"/>
            <w:right w:val="none" w:sz="0" w:space="0" w:color="auto"/>
          </w:divBdr>
        </w:div>
      </w:divsChild>
    </w:div>
    <w:div w:id="1970278622">
      <w:bodyDiv w:val="1"/>
      <w:marLeft w:val="0"/>
      <w:marRight w:val="0"/>
      <w:marTop w:val="0"/>
      <w:marBottom w:val="0"/>
      <w:divBdr>
        <w:top w:val="none" w:sz="0" w:space="0" w:color="auto"/>
        <w:left w:val="none" w:sz="0" w:space="0" w:color="auto"/>
        <w:bottom w:val="none" w:sz="0" w:space="0" w:color="auto"/>
        <w:right w:val="none" w:sz="0" w:space="0" w:color="auto"/>
      </w:divBdr>
    </w:div>
    <w:div w:id="1993174029">
      <w:bodyDiv w:val="1"/>
      <w:marLeft w:val="0"/>
      <w:marRight w:val="0"/>
      <w:marTop w:val="0"/>
      <w:marBottom w:val="0"/>
      <w:divBdr>
        <w:top w:val="none" w:sz="0" w:space="0" w:color="auto"/>
        <w:left w:val="none" w:sz="0" w:space="0" w:color="auto"/>
        <w:bottom w:val="none" w:sz="0" w:space="0" w:color="auto"/>
        <w:right w:val="none" w:sz="0" w:space="0" w:color="auto"/>
      </w:divBdr>
    </w:div>
    <w:div w:id="1996376310">
      <w:bodyDiv w:val="1"/>
      <w:marLeft w:val="0"/>
      <w:marRight w:val="0"/>
      <w:marTop w:val="0"/>
      <w:marBottom w:val="0"/>
      <w:divBdr>
        <w:top w:val="none" w:sz="0" w:space="0" w:color="auto"/>
        <w:left w:val="none" w:sz="0" w:space="0" w:color="auto"/>
        <w:bottom w:val="none" w:sz="0" w:space="0" w:color="auto"/>
        <w:right w:val="none" w:sz="0" w:space="0" w:color="auto"/>
      </w:divBdr>
    </w:div>
    <w:div w:id="2006089179">
      <w:bodyDiv w:val="1"/>
      <w:marLeft w:val="0"/>
      <w:marRight w:val="0"/>
      <w:marTop w:val="0"/>
      <w:marBottom w:val="0"/>
      <w:divBdr>
        <w:top w:val="none" w:sz="0" w:space="0" w:color="auto"/>
        <w:left w:val="none" w:sz="0" w:space="0" w:color="auto"/>
        <w:bottom w:val="none" w:sz="0" w:space="0" w:color="auto"/>
        <w:right w:val="none" w:sz="0" w:space="0" w:color="auto"/>
      </w:divBdr>
    </w:div>
    <w:div w:id="2007779704">
      <w:bodyDiv w:val="1"/>
      <w:marLeft w:val="0"/>
      <w:marRight w:val="0"/>
      <w:marTop w:val="0"/>
      <w:marBottom w:val="0"/>
      <w:divBdr>
        <w:top w:val="none" w:sz="0" w:space="0" w:color="auto"/>
        <w:left w:val="none" w:sz="0" w:space="0" w:color="auto"/>
        <w:bottom w:val="none" w:sz="0" w:space="0" w:color="auto"/>
        <w:right w:val="none" w:sz="0" w:space="0" w:color="auto"/>
      </w:divBdr>
      <w:divsChild>
        <w:div w:id="1638603324">
          <w:marLeft w:val="0"/>
          <w:marRight w:val="0"/>
          <w:marTop w:val="0"/>
          <w:marBottom w:val="0"/>
          <w:divBdr>
            <w:top w:val="none" w:sz="0" w:space="0" w:color="auto"/>
            <w:left w:val="none" w:sz="0" w:space="0" w:color="auto"/>
            <w:bottom w:val="none" w:sz="0" w:space="0" w:color="auto"/>
            <w:right w:val="none" w:sz="0" w:space="0" w:color="auto"/>
          </w:divBdr>
          <w:divsChild>
            <w:div w:id="64886154">
              <w:marLeft w:val="0"/>
              <w:marRight w:val="0"/>
              <w:marTop w:val="0"/>
              <w:marBottom w:val="0"/>
              <w:divBdr>
                <w:top w:val="none" w:sz="0" w:space="0" w:color="auto"/>
                <w:left w:val="none" w:sz="0" w:space="0" w:color="auto"/>
                <w:bottom w:val="none" w:sz="0" w:space="0" w:color="auto"/>
                <w:right w:val="none" w:sz="0" w:space="0" w:color="auto"/>
              </w:divBdr>
              <w:divsChild>
                <w:div w:id="88174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3885">
      <w:bodyDiv w:val="1"/>
      <w:marLeft w:val="0"/>
      <w:marRight w:val="0"/>
      <w:marTop w:val="0"/>
      <w:marBottom w:val="0"/>
      <w:divBdr>
        <w:top w:val="none" w:sz="0" w:space="0" w:color="auto"/>
        <w:left w:val="none" w:sz="0" w:space="0" w:color="auto"/>
        <w:bottom w:val="none" w:sz="0" w:space="0" w:color="auto"/>
        <w:right w:val="none" w:sz="0" w:space="0" w:color="auto"/>
      </w:divBdr>
      <w:divsChild>
        <w:div w:id="1258294393">
          <w:marLeft w:val="0"/>
          <w:marRight w:val="0"/>
          <w:marTop w:val="0"/>
          <w:marBottom w:val="0"/>
          <w:divBdr>
            <w:top w:val="none" w:sz="0" w:space="0" w:color="auto"/>
            <w:left w:val="none" w:sz="0" w:space="0" w:color="auto"/>
            <w:bottom w:val="none" w:sz="0" w:space="0" w:color="auto"/>
            <w:right w:val="none" w:sz="0" w:space="0" w:color="auto"/>
          </w:divBdr>
          <w:divsChild>
            <w:div w:id="1552645824">
              <w:marLeft w:val="0"/>
              <w:marRight w:val="0"/>
              <w:marTop w:val="0"/>
              <w:marBottom w:val="0"/>
              <w:divBdr>
                <w:top w:val="none" w:sz="0" w:space="0" w:color="auto"/>
                <w:left w:val="none" w:sz="0" w:space="0" w:color="auto"/>
                <w:bottom w:val="none" w:sz="0" w:space="0" w:color="auto"/>
                <w:right w:val="none" w:sz="0" w:space="0" w:color="auto"/>
              </w:divBdr>
              <w:divsChild>
                <w:div w:id="147541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71567">
      <w:bodyDiv w:val="1"/>
      <w:marLeft w:val="0"/>
      <w:marRight w:val="0"/>
      <w:marTop w:val="0"/>
      <w:marBottom w:val="0"/>
      <w:divBdr>
        <w:top w:val="none" w:sz="0" w:space="0" w:color="auto"/>
        <w:left w:val="none" w:sz="0" w:space="0" w:color="auto"/>
        <w:bottom w:val="none" w:sz="0" w:space="0" w:color="auto"/>
        <w:right w:val="none" w:sz="0" w:space="0" w:color="auto"/>
      </w:divBdr>
    </w:div>
    <w:div w:id="2046322839">
      <w:bodyDiv w:val="1"/>
      <w:marLeft w:val="0"/>
      <w:marRight w:val="0"/>
      <w:marTop w:val="0"/>
      <w:marBottom w:val="0"/>
      <w:divBdr>
        <w:top w:val="none" w:sz="0" w:space="0" w:color="auto"/>
        <w:left w:val="none" w:sz="0" w:space="0" w:color="auto"/>
        <w:bottom w:val="none" w:sz="0" w:space="0" w:color="auto"/>
        <w:right w:val="none" w:sz="0" w:space="0" w:color="auto"/>
      </w:divBdr>
      <w:divsChild>
        <w:div w:id="1851291159">
          <w:marLeft w:val="0"/>
          <w:marRight w:val="0"/>
          <w:marTop w:val="120"/>
          <w:marBottom w:val="120"/>
          <w:divBdr>
            <w:top w:val="none" w:sz="0" w:space="0" w:color="auto"/>
            <w:left w:val="none" w:sz="0" w:space="0" w:color="auto"/>
            <w:bottom w:val="none" w:sz="0" w:space="0" w:color="auto"/>
            <w:right w:val="none" w:sz="0" w:space="0" w:color="auto"/>
          </w:divBdr>
        </w:div>
      </w:divsChild>
    </w:div>
    <w:div w:id="2052417917">
      <w:bodyDiv w:val="1"/>
      <w:marLeft w:val="0"/>
      <w:marRight w:val="0"/>
      <w:marTop w:val="0"/>
      <w:marBottom w:val="0"/>
      <w:divBdr>
        <w:top w:val="none" w:sz="0" w:space="0" w:color="auto"/>
        <w:left w:val="none" w:sz="0" w:space="0" w:color="auto"/>
        <w:bottom w:val="none" w:sz="0" w:space="0" w:color="auto"/>
        <w:right w:val="none" w:sz="0" w:space="0" w:color="auto"/>
      </w:divBdr>
    </w:div>
    <w:div w:id="2063283124">
      <w:bodyDiv w:val="1"/>
      <w:marLeft w:val="0"/>
      <w:marRight w:val="0"/>
      <w:marTop w:val="0"/>
      <w:marBottom w:val="0"/>
      <w:divBdr>
        <w:top w:val="none" w:sz="0" w:space="0" w:color="auto"/>
        <w:left w:val="none" w:sz="0" w:space="0" w:color="auto"/>
        <w:bottom w:val="none" w:sz="0" w:space="0" w:color="auto"/>
        <w:right w:val="none" w:sz="0" w:space="0" w:color="auto"/>
      </w:divBdr>
    </w:div>
    <w:div w:id="2063744321">
      <w:bodyDiv w:val="1"/>
      <w:marLeft w:val="0"/>
      <w:marRight w:val="0"/>
      <w:marTop w:val="0"/>
      <w:marBottom w:val="0"/>
      <w:divBdr>
        <w:top w:val="none" w:sz="0" w:space="0" w:color="auto"/>
        <w:left w:val="none" w:sz="0" w:space="0" w:color="auto"/>
        <w:bottom w:val="none" w:sz="0" w:space="0" w:color="auto"/>
        <w:right w:val="none" w:sz="0" w:space="0" w:color="auto"/>
      </w:divBdr>
    </w:div>
    <w:div w:id="2063794675">
      <w:bodyDiv w:val="1"/>
      <w:marLeft w:val="0"/>
      <w:marRight w:val="0"/>
      <w:marTop w:val="0"/>
      <w:marBottom w:val="0"/>
      <w:divBdr>
        <w:top w:val="none" w:sz="0" w:space="0" w:color="auto"/>
        <w:left w:val="none" w:sz="0" w:space="0" w:color="auto"/>
        <w:bottom w:val="none" w:sz="0" w:space="0" w:color="auto"/>
        <w:right w:val="none" w:sz="0" w:space="0" w:color="auto"/>
      </w:divBdr>
    </w:div>
    <w:div w:id="2069651062">
      <w:bodyDiv w:val="1"/>
      <w:marLeft w:val="0"/>
      <w:marRight w:val="0"/>
      <w:marTop w:val="0"/>
      <w:marBottom w:val="0"/>
      <w:divBdr>
        <w:top w:val="none" w:sz="0" w:space="0" w:color="auto"/>
        <w:left w:val="none" w:sz="0" w:space="0" w:color="auto"/>
        <w:bottom w:val="none" w:sz="0" w:space="0" w:color="auto"/>
        <w:right w:val="none" w:sz="0" w:space="0" w:color="auto"/>
      </w:divBdr>
    </w:div>
    <w:div w:id="2084524388">
      <w:bodyDiv w:val="1"/>
      <w:marLeft w:val="0"/>
      <w:marRight w:val="0"/>
      <w:marTop w:val="0"/>
      <w:marBottom w:val="0"/>
      <w:divBdr>
        <w:top w:val="none" w:sz="0" w:space="0" w:color="auto"/>
        <w:left w:val="none" w:sz="0" w:space="0" w:color="auto"/>
        <w:bottom w:val="none" w:sz="0" w:space="0" w:color="auto"/>
        <w:right w:val="none" w:sz="0" w:space="0" w:color="auto"/>
      </w:divBdr>
    </w:div>
    <w:div w:id="2089379699">
      <w:bodyDiv w:val="1"/>
      <w:marLeft w:val="0"/>
      <w:marRight w:val="0"/>
      <w:marTop w:val="0"/>
      <w:marBottom w:val="0"/>
      <w:divBdr>
        <w:top w:val="none" w:sz="0" w:space="0" w:color="auto"/>
        <w:left w:val="none" w:sz="0" w:space="0" w:color="auto"/>
        <w:bottom w:val="none" w:sz="0" w:space="0" w:color="auto"/>
        <w:right w:val="none" w:sz="0" w:space="0" w:color="auto"/>
      </w:divBdr>
    </w:div>
    <w:div w:id="2105690887">
      <w:bodyDiv w:val="1"/>
      <w:marLeft w:val="0"/>
      <w:marRight w:val="0"/>
      <w:marTop w:val="0"/>
      <w:marBottom w:val="0"/>
      <w:divBdr>
        <w:top w:val="none" w:sz="0" w:space="0" w:color="auto"/>
        <w:left w:val="none" w:sz="0" w:space="0" w:color="auto"/>
        <w:bottom w:val="none" w:sz="0" w:space="0" w:color="auto"/>
        <w:right w:val="none" w:sz="0" w:space="0" w:color="auto"/>
      </w:divBdr>
    </w:div>
    <w:div w:id="2134782389">
      <w:bodyDiv w:val="1"/>
      <w:marLeft w:val="0"/>
      <w:marRight w:val="0"/>
      <w:marTop w:val="0"/>
      <w:marBottom w:val="0"/>
      <w:divBdr>
        <w:top w:val="none" w:sz="0" w:space="0" w:color="auto"/>
        <w:left w:val="none" w:sz="0" w:space="0" w:color="auto"/>
        <w:bottom w:val="none" w:sz="0" w:space="0" w:color="auto"/>
        <w:right w:val="none" w:sz="0" w:space="0" w:color="auto"/>
      </w:divBdr>
    </w:div>
    <w:div w:id="2145080311">
      <w:bodyDiv w:val="1"/>
      <w:marLeft w:val="0"/>
      <w:marRight w:val="0"/>
      <w:marTop w:val="0"/>
      <w:marBottom w:val="0"/>
      <w:divBdr>
        <w:top w:val="none" w:sz="0" w:space="0" w:color="auto"/>
        <w:left w:val="none" w:sz="0" w:space="0" w:color="auto"/>
        <w:bottom w:val="none" w:sz="0" w:space="0" w:color="auto"/>
        <w:right w:val="none" w:sz="0" w:space="0" w:color="auto"/>
      </w:divBdr>
      <w:divsChild>
        <w:div w:id="1335105257">
          <w:marLeft w:val="0"/>
          <w:marRight w:val="0"/>
          <w:marTop w:val="120"/>
          <w:marBottom w:val="120"/>
          <w:divBdr>
            <w:top w:val="none" w:sz="0" w:space="0" w:color="auto"/>
            <w:left w:val="none" w:sz="0" w:space="0" w:color="auto"/>
            <w:bottom w:val="none" w:sz="0" w:space="0" w:color="auto"/>
            <w:right w:val="none" w:sz="0" w:space="0" w:color="auto"/>
          </w:divBdr>
        </w:div>
      </w:divsChild>
    </w:div>
    <w:div w:id="214638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es.com/news-and-insights/quick-insights-direct-lending-market" TargetMode="External"/><Relationship Id="rId18" Type="http://schemas.openxmlformats.org/officeDocument/2006/relationships/hyperlink" Target="https://doi.org/10.1093/rcfs/cfae001" TargetMode="External"/><Relationship Id="rId26" Type="http://schemas.openxmlformats.org/officeDocument/2006/relationships/hyperlink" Target="https://www.valuationresearch.com/insights/european-private-market-update-q1-2026/" TargetMode="External"/><Relationship Id="rId39" Type="http://schemas.openxmlformats.org/officeDocument/2006/relationships/hyperlink" Target="https://doi.org/10.2139/ssrn.4529656" TargetMode="External"/><Relationship Id="rId21" Type="http://schemas.openxmlformats.org/officeDocument/2006/relationships/hyperlink" Target="https://caia.org/sites/default/files/2024-02/Private%20Credit%20and%20Distressed%20Debt_0.pdf" TargetMode="External"/><Relationship Id="rId34" Type="http://schemas.openxmlformats.org/officeDocument/2006/relationships/hyperlink" Target="https://www.gee.gov.pt/pt/indicadores-diarios/ultimos-indicadores/35063-taxa-de-juro-dos-novos-emprestimos-banco-de-portugal-51" TargetMode="External"/><Relationship Id="rId42" Type="http://schemas.openxmlformats.org/officeDocument/2006/relationships/hyperlink" Target="https://doi.org/10.1080/14735970.2024.2351230" TargetMode="External"/><Relationship Id="rId47" Type="http://schemas.openxmlformats.org/officeDocument/2006/relationships/hyperlink" Target="https://www.aresmgmt.com/news-views/perspectives/origins-private-credit" TargetMode="External"/><Relationship Id="rId50" Type="http://schemas.openxmlformats.org/officeDocument/2006/relationships/hyperlink" Target="https://www.aima.org/article/the-convergence-of-european-public-and-private-credit-markets.html" TargetMode="External"/><Relationship Id="rId55" Type="http://schemas.openxmlformats.org/officeDocument/2006/relationships/hyperlink" Target="https://blog.ttrdata.com/relatorio-anual-sobre-o-mercado-transacional-portugues-202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s.org/publ/qtrpdf/r_qt2503.htm" TargetMode="External"/><Relationship Id="rId29" Type="http://schemas.openxmlformats.org/officeDocument/2006/relationships/hyperlink" Target="https://papers.ssrn.com/sol3/papers.cfm?abstract_id=4879742" TargetMode="External"/><Relationship Id="rId11" Type="http://schemas.openxmlformats.org/officeDocument/2006/relationships/footer" Target="footer3.xml"/><Relationship Id="rId24" Type="http://schemas.openxmlformats.org/officeDocument/2006/relationships/hyperlink" Target="https://doi.org/10.1093/rfs/hhac016" TargetMode="External"/><Relationship Id="rId32" Type="http://schemas.openxmlformats.org/officeDocument/2006/relationships/hyperlink" Target="https://www.ecb.europa.eu/press/pr/date/2025/html/ecb.pr251028~4288f66757.en.html" TargetMode="External"/><Relationship Id="rId37" Type="http://schemas.openxmlformats.org/officeDocument/2006/relationships/hyperlink" Target="https://doi.org/10.1007/s11149-019-09379-8" TargetMode="External"/><Relationship Id="rId40" Type="http://schemas.openxmlformats.org/officeDocument/2006/relationships/hyperlink" Target="https://www.morganstanley.com/im/en-us/individual-investor/insights/articles/european-private-credit-why-now.html" TargetMode="External"/><Relationship Id="rId45" Type="http://schemas.openxmlformats.org/officeDocument/2006/relationships/hyperlink" Target="https://www.northleafcapital.com/news/private-credit-market-update-q2-2025" TargetMode="External"/><Relationship Id="rId53" Type="http://schemas.openxmlformats.org/officeDocument/2006/relationships/hyperlink" Target="https://blog.ttrdata.com/relatorio-anual-sobre-o-mercado-transacional-portugues-2022/" TargetMode="External"/><Relationship Id="rId58" Type="http://schemas.openxmlformats.org/officeDocument/2006/relationships/hyperlink" Target="https://doi.org/10.48550/arXiv.2603.14491"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doi.org/https://doi.org/10.1016/j.jfineco.2018.03.011" TargetMode="External"/><Relationship Id="rId14" Type="http://schemas.openxmlformats.org/officeDocument/2006/relationships/hyperlink" Target="https://www.bakermckenzie.com/en/insight/publications/guides/guide-to-private-credit-in-europe" TargetMode="External"/><Relationship Id="rId22" Type="http://schemas.openxmlformats.org/officeDocument/2006/relationships/hyperlink" Target="https://doi.org/https://doi.org/10.1016/j.jimonfin.2022.102612" TargetMode="External"/><Relationship Id="rId27" Type="http://schemas.openxmlformats.org/officeDocument/2006/relationships/hyperlink" Target="https://www.federalreserve.gov/econres/notes/feds-notes/private-credit-growth-and-monetary-policy-transmission-20240802.html" TargetMode="External"/><Relationship Id="rId30" Type="http://schemas.openxmlformats.org/officeDocument/2006/relationships/hyperlink" Target="https://papers.ssrn.com/abstract=4779852" TargetMode="External"/><Relationship Id="rId35" Type="http://schemas.openxmlformats.org/officeDocument/2006/relationships/hyperlink" Target="https://doi.org/10.1093/rfs/hhy052" TargetMode="External"/><Relationship Id="rId43" Type="http://schemas.openxmlformats.org/officeDocument/2006/relationships/hyperlink" Target="https://www.morganstanley.com/ideas/private-credit-outlook-considerations" TargetMode="External"/><Relationship Id="rId48" Type="http://schemas.openxmlformats.org/officeDocument/2006/relationships/hyperlink" Target="https://www.aresmgmt.com/news-views/perspectives/what-is-direct-lending" TargetMode="External"/><Relationship Id="rId56" Type="http://schemas.openxmlformats.org/officeDocument/2006/relationships/hyperlink" Target="https://blog.ttrdata.com/relatorio-mensal-sobre-o-mercado-transacional-portugues-4q2025/" TargetMode="External"/><Relationship Id="rId8" Type="http://schemas.openxmlformats.org/officeDocument/2006/relationships/image" Target="media/image1.png"/><Relationship Id="rId51" Type="http://schemas.openxmlformats.org/officeDocument/2006/relationships/hyperlink" Target="https://doi.org/10.3846/bme.2018.2205" TargetMode="External"/><Relationship Id="rId3" Type="http://schemas.openxmlformats.org/officeDocument/2006/relationships/styles" Target="styles.xml"/><Relationship Id="rId12" Type="http://schemas.openxmlformats.org/officeDocument/2006/relationships/hyperlink" Target="http://dx.doi.org/10.2139/ssrn.5118491" TargetMode="External"/><Relationship Id="rId17" Type="http://schemas.openxmlformats.org/officeDocument/2006/relationships/hyperlink" Target="https://www.blackstone.com/en-emea/pws/essentials-of-private-credit/" TargetMode="External"/><Relationship Id="rId25" Type="http://schemas.openxmlformats.org/officeDocument/2006/relationships/hyperlink" Target="https://doi.org/10.1787/3709429e-en" TargetMode="External"/><Relationship Id="rId33" Type="http://schemas.openxmlformats.org/officeDocument/2006/relationships/hyperlink" Target="https://www.ecb.europa.eu/press/stats/mfi/html/ecb.mir2602~11392d94d2.pt.html" TargetMode="External"/><Relationship Id="rId38" Type="http://schemas.openxmlformats.org/officeDocument/2006/relationships/hyperlink" Target="https://doi.org/10.5089/9798400257704.082" TargetMode="External"/><Relationship Id="rId46" Type="http://schemas.openxmlformats.org/officeDocument/2006/relationships/hyperlink" Target="https://doi.org/10.58445/rars.940" TargetMode="External"/><Relationship Id="rId59" Type="http://schemas.openxmlformats.org/officeDocument/2006/relationships/footer" Target="footer4.xml"/><Relationship Id="rId20" Type="http://schemas.openxmlformats.org/officeDocument/2006/relationships/hyperlink" Target="https://www.federalreserve.gov/econres/notes/feds-notes/private-credit-characteristics-and-risks-20240223.html" TargetMode="External"/><Relationship Id="rId41" Type="http://schemas.openxmlformats.org/officeDocument/2006/relationships/hyperlink" Target="https://www.utupub.fi/bitstream/handle/10024/178899/Kakela_Mikke_opinnayte.pdf?sequence=1" TargetMode="External"/><Relationship Id="rId54" Type="http://schemas.openxmlformats.org/officeDocument/2006/relationships/hyperlink" Target="https://blog.ttrdata.com/relatorio-anual-sobre-o-mercado-transacional-portugues-202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s.org/bcbs/publ/d424.htm" TargetMode="External"/><Relationship Id="rId23" Type="http://schemas.openxmlformats.org/officeDocument/2006/relationships/hyperlink" Target="https://doi.org/10.17016/feds.2023.026" TargetMode="External"/><Relationship Id="rId28" Type="http://schemas.openxmlformats.org/officeDocument/2006/relationships/hyperlink" Target="https://www.bakerdonelson.com/unitranche-debt-structures-practical-insights-for-borrowers-and-lenders" TargetMode="External"/><Relationship Id="rId36" Type="http://schemas.openxmlformats.org/officeDocument/2006/relationships/hyperlink" Target="https://www.spglobal.com/en/research-insights/special-reports/private-debt" TargetMode="External"/><Relationship Id="rId49" Type="http://schemas.openxmlformats.org/officeDocument/2006/relationships/hyperlink" Target="https://www.kkr.com/insights/private-credit-outlook" TargetMode="External"/><Relationship Id="rId57" Type="http://schemas.openxmlformats.org/officeDocument/2006/relationships/hyperlink" Target="https://doi.org/10.1080/1331677X.2010.11517423" TargetMode="External"/><Relationship Id="rId10" Type="http://schemas.openxmlformats.org/officeDocument/2006/relationships/footer" Target="footer2.xml"/><Relationship Id="rId31" Type="http://schemas.openxmlformats.org/officeDocument/2006/relationships/hyperlink" Target="https://www.ecb.europa.eu/pub/pdf/fsr/financialstabilityreview200712en.pdf" TargetMode="External"/><Relationship Id="rId44" Type="http://schemas.openxmlformats.org/officeDocument/2006/relationships/hyperlink" Target="https://www.hklaw.com/en/insights/publications/2025/08/the-private-credit-surge-implications-for-sponsors" TargetMode="External"/><Relationship Id="rId52" Type="http://schemas.openxmlformats.org/officeDocument/2006/relationships/hyperlink" Target="https://blog.ttrdata.com/relatorio-anual-sobre-o-mercado-transacional-portugues-2021/"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24024-3C2C-9B4D-90BE-8363CAEBC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25244</Words>
  <Characters>136318</Characters>
  <Application>Microsoft Office Word</Application>
  <DocSecurity>0</DocSecurity>
  <Lines>1135</Lines>
  <Paragraphs>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161240</CharactersWithSpaces>
  <SharedDoc>false</SharedDoc>
  <HLinks>
    <vt:vector size="786" baseType="variant">
      <vt:variant>
        <vt:i4>4325453</vt:i4>
      </vt:variant>
      <vt:variant>
        <vt:i4>757</vt:i4>
      </vt:variant>
      <vt:variant>
        <vt:i4>0</vt:i4>
      </vt:variant>
      <vt:variant>
        <vt:i4>5</vt:i4>
      </vt:variant>
      <vt:variant>
        <vt:lpwstr>https://doi.org/10.48550/arXiv.2603.14491</vt:lpwstr>
      </vt:variant>
      <vt:variant>
        <vt:lpwstr/>
      </vt:variant>
      <vt:variant>
        <vt:i4>8126582</vt:i4>
      </vt:variant>
      <vt:variant>
        <vt:i4>754</vt:i4>
      </vt:variant>
      <vt:variant>
        <vt:i4>0</vt:i4>
      </vt:variant>
      <vt:variant>
        <vt:i4>5</vt:i4>
      </vt:variant>
      <vt:variant>
        <vt:lpwstr>https://doi.org/10.1080/1331677X.2010.11517423</vt:lpwstr>
      </vt:variant>
      <vt:variant>
        <vt:lpwstr/>
      </vt:variant>
      <vt:variant>
        <vt:i4>262224</vt:i4>
      </vt:variant>
      <vt:variant>
        <vt:i4>751</vt:i4>
      </vt:variant>
      <vt:variant>
        <vt:i4>0</vt:i4>
      </vt:variant>
      <vt:variant>
        <vt:i4>5</vt:i4>
      </vt:variant>
      <vt:variant>
        <vt:lpwstr>https://blog.ttrdata.com/relatorio-mensal-sobre-o-mercado-transacional-portugues-4q2025/</vt:lpwstr>
      </vt:variant>
      <vt:variant>
        <vt:lpwstr/>
      </vt:variant>
      <vt:variant>
        <vt:i4>65617</vt:i4>
      </vt:variant>
      <vt:variant>
        <vt:i4>748</vt:i4>
      </vt:variant>
      <vt:variant>
        <vt:i4>0</vt:i4>
      </vt:variant>
      <vt:variant>
        <vt:i4>5</vt:i4>
      </vt:variant>
      <vt:variant>
        <vt:lpwstr>https://blog.ttrdata.com/relatorio-anual-sobre-o-mercado-transacional-portugues-2024/</vt:lpwstr>
      </vt:variant>
      <vt:variant>
        <vt:lpwstr/>
      </vt:variant>
      <vt:variant>
        <vt:i4>393297</vt:i4>
      </vt:variant>
      <vt:variant>
        <vt:i4>745</vt:i4>
      </vt:variant>
      <vt:variant>
        <vt:i4>0</vt:i4>
      </vt:variant>
      <vt:variant>
        <vt:i4>5</vt:i4>
      </vt:variant>
      <vt:variant>
        <vt:lpwstr>https://blog.ttrdata.com/relatorio-anual-sobre-o-mercado-transacional-portugues-2023/</vt:lpwstr>
      </vt:variant>
      <vt:variant>
        <vt:lpwstr/>
      </vt:variant>
      <vt:variant>
        <vt:i4>458833</vt:i4>
      </vt:variant>
      <vt:variant>
        <vt:i4>742</vt:i4>
      </vt:variant>
      <vt:variant>
        <vt:i4>0</vt:i4>
      </vt:variant>
      <vt:variant>
        <vt:i4>5</vt:i4>
      </vt:variant>
      <vt:variant>
        <vt:lpwstr>https://blog.ttrdata.com/relatorio-anual-sobre-o-mercado-transacional-portugues-2022/</vt:lpwstr>
      </vt:variant>
      <vt:variant>
        <vt:lpwstr/>
      </vt:variant>
      <vt:variant>
        <vt:i4>262225</vt:i4>
      </vt:variant>
      <vt:variant>
        <vt:i4>739</vt:i4>
      </vt:variant>
      <vt:variant>
        <vt:i4>0</vt:i4>
      </vt:variant>
      <vt:variant>
        <vt:i4>5</vt:i4>
      </vt:variant>
      <vt:variant>
        <vt:lpwstr>https://blog.ttrdata.com/relatorio-anual-sobre-o-mercado-transacional-portugues-2021/</vt:lpwstr>
      </vt:variant>
      <vt:variant>
        <vt:lpwstr/>
      </vt:variant>
      <vt:variant>
        <vt:i4>6029388</vt:i4>
      </vt:variant>
      <vt:variant>
        <vt:i4>736</vt:i4>
      </vt:variant>
      <vt:variant>
        <vt:i4>0</vt:i4>
      </vt:variant>
      <vt:variant>
        <vt:i4>5</vt:i4>
      </vt:variant>
      <vt:variant>
        <vt:lpwstr>https://doi.org/10.3846/bme.2018.2205</vt:lpwstr>
      </vt:variant>
      <vt:variant>
        <vt:lpwstr/>
      </vt:variant>
      <vt:variant>
        <vt:i4>3866667</vt:i4>
      </vt:variant>
      <vt:variant>
        <vt:i4>733</vt:i4>
      </vt:variant>
      <vt:variant>
        <vt:i4>0</vt:i4>
      </vt:variant>
      <vt:variant>
        <vt:i4>5</vt:i4>
      </vt:variant>
      <vt:variant>
        <vt:lpwstr>https://www.aima.org/article/the-convergence-of-european-public-and-private-credit-markets.html</vt:lpwstr>
      </vt:variant>
      <vt:variant>
        <vt:lpwstr/>
      </vt:variant>
      <vt:variant>
        <vt:i4>7864378</vt:i4>
      </vt:variant>
      <vt:variant>
        <vt:i4>730</vt:i4>
      </vt:variant>
      <vt:variant>
        <vt:i4>0</vt:i4>
      </vt:variant>
      <vt:variant>
        <vt:i4>5</vt:i4>
      </vt:variant>
      <vt:variant>
        <vt:lpwstr>https://www.kkr.com/insights/private-credit-outlook</vt:lpwstr>
      </vt:variant>
      <vt:variant>
        <vt:lpwstr/>
      </vt:variant>
      <vt:variant>
        <vt:i4>2883621</vt:i4>
      </vt:variant>
      <vt:variant>
        <vt:i4>727</vt:i4>
      </vt:variant>
      <vt:variant>
        <vt:i4>0</vt:i4>
      </vt:variant>
      <vt:variant>
        <vt:i4>5</vt:i4>
      </vt:variant>
      <vt:variant>
        <vt:lpwstr>https://www.aresmgmt.com/news-views/perspectives/what-is-direct-lending</vt:lpwstr>
      </vt:variant>
      <vt:variant>
        <vt:lpwstr/>
      </vt:variant>
      <vt:variant>
        <vt:i4>3997811</vt:i4>
      </vt:variant>
      <vt:variant>
        <vt:i4>724</vt:i4>
      </vt:variant>
      <vt:variant>
        <vt:i4>0</vt:i4>
      </vt:variant>
      <vt:variant>
        <vt:i4>5</vt:i4>
      </vt:variant>
      <vt:variant>
        <vt:lpwstr>https://www.aresmgmt.com/news-views/perspectives/origins-private-credit</vt:lpwstr>
      </vt:variant>
      <vt:variant>
        <vt:lpwstr/>
      </vt:variant>
      <vt:variant>
        <vt:i4>1179656</vt:i4>
      </vt:variant>
      <vt:variant>
        <vt:i4>721</vt:i4>
      </vt:variant>
      <vt:variant>
        <vt:i4>0</vt:i4>
      </vt:variant>
      <vt:variant>
        <vt:i4>5</vt:i4>
      </vt:variant>
      <vt:variant>
        <vt:lpwstr>https://doi.org/10.47611/jsrhs.v13i3.6873</vt:lpwstr>
      </vt:variant>
      <vt:variant>
        <vt:lpwstr/>
      </vt:variant>
      <vt:variant>
        <vt:i4>2621565</vt:i4>
      </vt:variant>
      <vt:variant>
        <vt:i4>718</vt:i4>
      </vt:variant>
      <vt:variant>
        <vt:i4>0</vt:i4>
      </vt:variant>
      <vt:variant>
        <vt:i4>5</vt:i4>
      </vt:variant>
      <vt:variant>
        <vt:lpwstr>https://www.northleafcapital.com/news/private-credit-market-update-q2-2025</vt:lpwstr>
      </vt:variant>
      <vt:variant>
        <vt:lpwstr/>
      </vt:variant>
      <vt:variant>
        <vt:i4>1245269</vt:i4>
      </vt:variant>
      <vt:variant>
        <vt:i4>715</vt:i4>
      </vt:variant>
      <vt:variant>
        <vt:i4>0</vt:i4>
      </vt:variant>
      <vt:variant>
        <vt:i4>5</vt:i4>
      </vt:variant>
      <vt:variant>
        <vt:lpwstr>https://www.hklaw.com/en/insights/publications/2025/08/the-private-credit-surge-implications-for-sponsors</vt:lpwstr>
      </vt:variant>
      <vt:variant>
        <vt:lpwstr/>
      </vt:variant>
      <vt:variant>
        <vt:i4>5374045</vt:i4>
      </vt:variant>
      <vt:variant>
        <vt:i4>712</vt:i4>
      </vt:variant>
      <vt:variant>
        <vt:i4>0</vt:i4>
      </vt:variant>
      <vt:variant>
        <vt:i4>5</vt:i4>
      </vt:variant>
      <vt:variant>
        <vt:lpwstr>https://www.morganstanley.com/ideas/private-credit-outlook-considerations</vt:lpwstr>
      </vt:variant>
      <vt:variant>
        <vt:lpwstr/>
      </vt:variant>
      <vt:variant>
        <vt:i4>655425</vt:i4>
      </vt:variant>
      <vt:variant>
        <vt:i4>709</vt:i4>
      </vt:variant>
      <vt:variant>
        <vt:i4>0</vt:i4>
      </vt:variant>
      <vt:variant>
        <vt:i4>5</vt:i4>
      </vt:variant>
      <vt:variant>
        <vt:lpwstr>https://doi.org/10.1080/14735970.2024.2351230</vt:lpwstr>
      </vt:variant>
      <vt:variant>
        <vt:lpwstr/>
      </vt:variant>
      <vt:variant>
        <vt:i4>5636173</vt:i4>
      </vt:variant>
      <vt:variant>
        <vt:i4>706</vt:i4>
      </vt:variant>
      <vt:variant>
        <vt:i4>0</vt:i4>
      </vt:variant>
      <vt:variant>
        <vt:i4>5</vt:i4>
      </vt:variant>
      <vt:variant>
        <vt:lpwstr>https://www.utupub.fi/bitstream/handle/10024/178899/Kakela_Mikke_opinnayte.pdf?sequence=1</vt:lpwstr>
      </vt:variant>
      <vt:variant>
        <vt:lpwstr/>
      </vt:variant>
      <vt:variant>
        <vt:i4>1245184</vt:i4>
      </vt:variant>
      <vt:variant>
        <vt:i4>703</vt:i4>
      </vt:variant>
      <vt:variant>
        <vt:i4>0</vt:i4>
      </vt:variant>
      <vt:variant>
        <vt:i4>5</vt:i4>
      </vt:variant>
      <vt:variant>
        <vt:lpwstr>https://www.morganstanley.com/im/en-us/individual-investor/insights/articles/european-private-credit-why-now.html</vt:lpwstr>
      </vt:variant>
      <vt:variant>
        <vt:lpwstr/>
      </vt:variant>
      <vt:variant>
        <vt:i4>524356</vt:i4>
      </vt:variant>
      <vt:variant>
        <vt:i4>700</vt:i4>
      </vt:variant>
      <vt:variant>
        <vt:i4>0</vt:i4>
      </vt:variant>
      <vt:variant>
        <vt:i4>5</vt:i4>
      </vt:variant>
      <vt:variant>
        <vt:lpwstr>https://doi.org/10.2139/ssrn.4529656</vt:lpwstr>
      </vt:variant>
      <vt:variant>
        <vt:lpwstr/>
      </vt:variant>
      <vt:variant>
        <vt:i4>196689</vt:i4>
      </vt:variant>
      <vt:variant>
        <vt:i4>697</vt:i4>
      </vt:variant>
      <vt:variant>
        <vt:i4>0</vt:i4>
      </vt:variant>
      <vt:variant>
        <vt:i4>5</vt:i4>
      </vt:variant>
      <vt:variant>
        <vt:lpwstr>https://doi.org/10.5089/9798400257704.082</vt:lpwstr>
      </vt:variant>
      <vt:variant>
        <vt:lpwstr/>
      </vt:variant>
      <vt:variant>
        <vt:i4>2162745</vt:i4>
      </vt:variant>
      <vt:variant>
        <vt:i4>694</vt:i4>
      </vt:variant>
      <vt:variant>
        <vt:i4>0</vt:i4>
      </vt:variant>
      <vt:variant>
        <vt:i4>5</vt:i4>
      </vt:variant>
      <vt:variant>
        <vt:lpwstr>https://doi.org/10.1007/s11149-019-09379-8</vt:lpwstr>
      </vt:variant>
      <vt:variant>
        <vt:lpwstr/>
      </vt:variant>
      <vt:variant>
        <vt:i4>6291555</vt:i4>
      </vt:variant>
      <vt:variant>
        <vt:i4>691</vt:i4>
      </vt:variant>
      <vt:variant>
        <vt:i4>0</vt:i4>
      </vt:variant>
      <vt:variant>
        <vt:i4>5</vt:i4>
      </vt:variant>
      <vt:variant>
        <vt:lpwstr>https://www.spglobal.com/en/research-insights/special-reports/private-debt</vt:lpwstr>
      </vt:variant>
      <vt:variant>
        <vt:lpwstr/>
      </vt:variant>
      <vt:variant>
        <vt:i4>3735676</vt:i4>
      </vt:variant>
      <vt:variant>
        <vt:i4>688</vt:i4>
      </vt:variant>
      <vt:variant>
        <vt:i4>0</vt:i4>
      </vt:variant>
      <vt:variant>
        <vt:i4>5</vt:i4>
      </vt:variant>
      <vt:variant>
        <vt:lpwstr>https://doi.org/10.1093/rfs/hhy052</vt:lpwstr>
      </vt:variant>
      <vt:variant>
        <vt:lpwstr/>
      </vt:variant>
      <vt:variant>
        <vt:i4>6488160</vt:i4>
      </vt:variant>
      <vt:variant>
        <vt:i4>685</vt:i4>
      </vt:variant>
      <vt:variant>
        <vt:i4>0</vt:i4>
      </vt:variant>
      <vt:variant>
        <vt:i4>5</vt:i4>
      </vt:variant>
      <vt:variant>
        <vt:lpwstr>https://www.gee.gov.pt/pt/indicadores-diarios/ultimos-indicadores/35063-taxa-de-juro-dos-novos-emprestimos-banco-de-portugal-51</vt:lpwstr>
      </vt:variant>
      <vt:variant>
        <vt:lpwstr/>
      </vt:variant>
      <vt:variant>
        <vt:i4>4849738</vt:i4>
      </vt:variant>
      <vt:variant>
        <vt:i4>682</vt:i4>
      </vt:variant>
      <vt:variant>
        <vt:i4>0</vt:i4>
      </vt:variant>
      <vt:variant>
        <vt:i4>5</vt:i4>
      </vt:variant>
      <vt:variant>
        <vt:lpwstr>https://www.ecb.europa.eu/press/stats/mfi/html/ecb.mir2602~11392d94d2.pt.html</vt:lpwstr>
      </vt:variant>
      <vt:variant>
        <vt:lpwstr/>
      </vt:variant>
      <vt:variant>
        <vt:i4>5636170</vt:i4>
      </vt:variant>
      <vt:variant>
        <vt:i4>679</vt:i4>
      </vt:variant>
      <vt:variant>
        <vt:i4>0</vt:i4>
      </vt:variant>
      <vt:variant>
        <vt:i4>5</vt:i4>
      </vt:variant>
      <vt:variant>
        <vt:lpwstr>https://www.ecb.europa.eu/press/pr/date/2025/html/ecb.pr251028~4288f66757.en.html</vt:lpwstr>
      </vt:variant>
      <vt:variant>
        <vt:lpwstr/>
      </vt:variant>
      <vt:variant>
        <vt:i4>3014779</vt:i4>
      </vt:variant>
      <vt:variant>
        <vt:i4>676</vt:i4>
      </vt:variant>
      <vt:variant>
        <vt:i4>0</vt:i4>
      </vt:variant>
      <vt:variant>
        <vt:i4>5</vt:i4>
      </vt:variant>
      <vt:variant>
        <vt:lpwstr>https://www.ecb.europa.eu/pub/pdf/fsr/financialstabilityreview200712en.pdf</vt:lpwstr>
      </vt:variant>
      <vt:variant>
        <vt:lpwstr/>
      </vt:variant>
      <vt:variant>
        <vt:i4>196618</vt:i4>
      </vt:variant>
      <vt:variant>
        <vt:i4>673</vt:i4>
      </vt:variant>
      <vt:variant>
        <vt:i4>0</vt:i4>
      </vt:variant>
      <vt:variant>
        <vt:i4>5</vt:i4>
      </vt:variant>
      <vt:variant>
        <vt:lpwstr>https://papers.ssrn.com/abstract=4779852</vt:lpwstr>
      </vt:variant>
      <vt:variant>
        <vt:lpwstr/>
      </vt:variant>
      <vt:variant>
        <vt:i4>7077988</vt:i4>
      </vt:variant>
      <vt:variant>
        <vt:i4>670</vt:i4>
      </vt:variant>
      <vt:variant>
        <vt:i4>0</vt:i4>
      </vt:variant>
      <vt:variant>
        <vt:i4>5</vt:i4>
      </vt:variant>
      <vt:variant>
        <vt:lpwstr>https://doi.org/https://dx.doi.org/10.2139/ssrn.4879742</vt:lpwstr>
      </vt:variant>
      <vt:variant>
        <vt:lpwstr/>
      </vt:variant>
      <vt:variant>
        <vt:i4>30</vt:i4>
      </vt:variant>
      <vt:variant>
        <vt:i4>667</vt:i4>
      </vt:variant>
      <vt:variant>
        <vt:i4>0</vt:i4>
      </vt:variant>
      <vt:variant>
        <vt:i4>5</vt:i4>
      </vt:variant>
      <vt:variant>
        <vt:lpwstr>https://www.bakerdonelson.com/unitranche-debt-structures-practical-insights-for-borrowers-and-lenders</vt:lpwstr>
      </vt:variant>
      <vt:variant>
        <vt:lpwstr/>
      </vt:variant>
      <vt:variant>
        <vt:i4>1572876</vt:i4>
      </vt:variant>
      <vt:variant>
        <vt:i4>664</vt:i4>
      </vt:variant>
      <vt:variant>
        <vt:i4>0</vt:i4>
      </vt:variant>
      <vt:variant>
        <vt:i4>5</vt:i4>
      </vt:variant>
      <vt:variant>
        <vt:lpwstr>https://www.federalreserve.gov/econres/notes/feds-notes/private-credit-growth-and-monetary-policy-transmission-20240802.html</vt:lpwstr>
      </vt:variant>
      <vt:variant>
        <vt:lpwstr/>
      </vt:variant>
      <vt:variant>
        <vt:i4>6815867</vt:i4>
      </vt:variant>
      <vt:variant>
        <vt:i4>661</vt:i4>
      </vt:variant>
      <vt:variant>
        <vt:i4>0</vt:i4>
      </vt:variant>
      <vt:variant>
        <vt:i4>5</vt:i4>
      </vt:variant>
      <vt:variant>
        <vt:lpwstr>https://www.valuationresearch.com/insights/european-private-market-update-q1-2026/</vt:lpwstr>
      </vt:variant>
      <vt:variant>
        <vt:lpwstr/>
      </vt:variant>
      <vt:variant>
        <vt:i4>2556025</vt:i4>
      </vt:variant>
      <vt:variant>
        <vt:i4>658</vt:i4>
      </vt:variant>
      <vt:variant>
        <vt:i4>0</vt:i4>
      </vt:variant>
      <vt:variant>
        <vt:i4>5</vt:i4>
      </vt:variant>
      <vt:variant>
        <vt:lpwstr>https://doi.org/10.1787/3709429e-en</vt:lpwstr>
      </vt:variant>
      <vt:variant>
        <vt:lpwstr/>
      </vt:variant>
      <vt:variant>
        <vt:i4>6881377</vt:i4>
      </vt:variant>
      <vt:variant>
        <vt:i4>655</vt:i4>
      </vt:variant>
      <vt:variant>
        <vt:i4>0</vt:i4>
      </vt:variant>
      <vt:variant>
        <vt:i4>5</vt:i4>
      </vt:variant>
      <vt:variant>
        <vt:lpwstr>https://doi.org/10.1093/rfs/hhac016</vt:lpwstr>
      </vt:variant>
      <vt:variant>
        <vt:lpwstr/>
      </vt:variant>
      <vt:variant>
        <vt:i4>2293881</vt:i4>
      </vt:variant>
      <vt:variant>
        <vt:i4>652</vt:i4>
      </vt:variant>
      <vt:variant>
        <vt:i4>0</vt:i4>
      </vt:variant>
      <vt:variant>
        <vt:i4>5</vt:i4>
      </vt:variant>
      <vt:variant>
        <vt:lpwstr>https://doi.org/10.17016/feds.2023.026</vt:lpwstr>
      </vt:variant>
      <vt:variant>
        <vt:lpwstr/>
      </vt:variant>
      <vt:variant>
        <vt:i4>2424941</vt:i4>
      </vt:variant>
      <vt:variant>
        <vt:i4>649</vt:i4>
      </vt:variant>
      <vt:variant>
        <vt:i4>0</vt:i4>
      </vt:variant>
      <vt:variant>
        <vt:i4>5</vt:i4>
      </vt:variant>
      <vt:variant>
        <vt:lpwstr>https://doi.org/https://doi.org/10.1016/j.jimonfin.2022.102612</vt:lpwstr>
      </vt:variant>
      <vt:variant>
        <vt:lpwstr/>
      </vt:variant>
      <vt:variant>
        <vt:i4>6815824</vt:i4>
      </vt:variant>
      <vt:variant>
        <vt:i4>646</vt:i4>
      </vt:variant>
      <vt:variant>
        <vt:i4>0</vt:i4>
      </vt:variant>
      <vt:variant>
        <vt:i4>5</vt:i4>
      </vt:variant>
      <vt:variant>
        <vt:lpwstr>https://caia.org/sites/default/files/2024-02/Private Credit and Distressed Debt_0.pdf</vt:lpwstr>
      </vt:variant>
      <vt:variant>
        <vt:lpwstr/>
      </vt:variant>
      <vt:variant>
        <vt:i4>3538981</vt:i4>
      </vt:variant>
      <vt:variant>
        <vt:i4>643</vt:i4>
      </vt:variant>
      <vt:variant>
        <vt:i4>0</vt:i4>
      </vt:variant>
      <vt:variant>
        <vt:i4>5</vt:i4>
      </vt:variant>
      <vt:variant>
        <vt:lpwstr>https://www.federalreserve.gov/econres/notes/feds-notes/private-credit-characteristics-and-risks-20240223.html</vt:lpwstr>
      </vt:variant>
      <vt:variant>
        <vt:lpwstr/>
      </vt:variant>
      <vt:variant>
        <vt:i4>5439572</vt:i4>
      </vt:variant>
      <vt:variant>
        <vt:i4>640</vt:i4>
      </vt:variant>
      <vt:variant>
        <vt:i4>0</vt:i4>
      </vt:variant>
      <vt:variant>
        <vt:i4>5</vt:i4>
      </vt:variant>
      <vt:variant>
        <vt:lpwstr>https://doi.org/https://doi.org/10.1016/j.jfineco.2018.03.011</vt:lpwstr>
      </vt:variant>
      <vt:variant>
        <vt:lpwstr/>
      </vt:variant>
      <vt:variant>
        <vt:i4>589905</vt:i4>
      </vt:variant>
      <vt:variant>
        <vt:i4>637</vt:i4>
      </vt:variant>
      <vt:variant>
        <vt:i4>0</vt:i4>
      </vt:variant>
      <vt:variant>
        <vt:i4>5</vt:i4>
      </vt:variant>
      <vt:variant>
        <vt:lpwstr>https://doi.org/10.1093/rcfs/cfae001</vt:lpwstr>
      </vt:variant>
      <vt:variant>
        <vt:lpwstr/>
      </vt:variant>
      <vt:variant>
        <vt:i4>1835080</vt:i4>
      </vt:variant>
      <vt:variant>
        <vt:i4>634</vt:i4>
      </vt:variant>
      <vt:variant>
        <vt:i4>0</vt:i4>
      </vt:variant>
      <vt:variant>
        <vt:i4>5</vt:i4>
      </vt:variant>
      <vt:variant>
        <vt:lpwstr>https://www.blackstone.com/en-emea/pws/essentials-of-private-credit/</vt:lpwstr>
      </vt:variant>
      <vt:variant>
        <vt:lpwstr/>
      </vt:variant>
      <vt:variant>
        <vt:i4>2818141</vt:i4>
      </vt:variant>
      <vt:variant>
        <vt:i4>631</vt:i4>
      </vt:variant>
      <vt:variant>
        <vt:i4>0</vt:i4>
      </vt:variant>
      <vt:variant>
        <vt:i4>5</vt:i4>
      </vt:variant>
      <vt:variant>
        <vt:lpwstr>https://www.bis.org/publ/qtrpdf/r_qt2503.htm</vt:lpwstr>
      </vt:variant>
      <vt:variant>
        <vt:lpwstr/>
      </vt:variant>
      <vt:variant>
        <vt:i4>7995491</vt:i4>
      </vt:variant>
      <vt:variant>
        <vt:i4>628</vt:i4>
      </vt:variant>
      <vt:variant>
        <vt:i4>0</vt:i4>
      </vt:variant>
      <vt:variant>
        <vt:i4>5</vt:i4>
      </vt:variant>
      <vt:variant>
        <vt:lpwstr>https://www.bis.org/bcbs/publ/d424.htm</vt:lpwstr>
      </vt:variant>
      <vt:variant>
        <vt:lpwstr/>
      </vt:variant>
      <vt:variant>
        <vt:i4>2228341</vt:i4>
      </vt:variant>
      <vt:variant>
        <vt:i4>625</vt:i4>
      </vt:variant>
      <vt:variant>
        <vt:i4>0</vt:i4>
      </vt:variant>
      <vt:variant>
        <vt:i4>5</vt:i4>
      </vt:variant>
      <vt:variant>
        <vt:lpwstr>https://www.bakermckenzie.com/en/insight/publications/guides/guide-to-private-credit-in-europe</vt:lpwstr>
      </vt:variant>
      <vt:variant>
        <vt:lpwstr/>
      </vt:variant>
      <vt:variant>
        <vt:i4>7667752</vt:i4>
      </vt:variant>
      <vt:variant>
        <vt:i4>622</vt:i4>
      </vt:variant>
      <vt:variant>
        <vt:i4>0</vt:i4>
      </vt:variant>
      <vt:variant>
        <vt:i4>5</vt:i4>
      </vt:variant>
      <vt:variant>
        <vt:lpwstr>https://www.ares.com/news-and-insights/quick-insights-direct-lending-market</vt:lpwstr>
      </vt:variant>
      <vt:variant>
        <vt:lpwstr/>
      </vt:variant>
      <vt:variant>
        <vt:i4>6553637</vt:i4>
      </vt:variant>
      <vt:variant>
        <vt:i4>619</vt:i4>
      </vt:variant>
      <vt:variant>
        <vt:i4>0</vt:i4>
      </vt:variant>
      <vt:variant>
        <vt:i4>5</vt:i4>
      </vt:variant>
      <vt:variant>
        <vt:lpwstr>https://dx.doi.org/10.2139/ssrn.5118491</vt:lpwstr>
      </vt:variant>
      <vt:variant>
        <vt:lpwstr/>
      </vt:variant>
      <vt:variant>
        <vt:i4>4390923</vt:i4>
      </vt:variant>
      <vt:variant>
        <vt:i4>605</vt:i4>
      </vt:variant>
      <vt:variant>
        <vt:i4>0</vt:i4>
      </vt:variant>
      <vt:variant>
        <vt:i4>5</vt:i4>
      </vt:variant>
      <vt:variant>
        <vt:lpwstr/>
      </vt:variant>
      <vt:variant>
        <vt:lpwstr>_ENREF_26</vt:lpwstr>
      </vt:variant>
      <vt:variant>
        <vt:i4>4325387</vt:i4>
      </vt:variant>
      <vt:variant>
        <vt:i4>599</vt:i4>
      </vt:variant>
      <vt:variant>
        <vt:i4>0</vt:i4>
      </vt:variant>
      <vt:variant>
        <vt:i4>5</vt:i4>
      </vt:variant>
      <vt:variant>
        <vt:lpwstr/>
      </vt:variant>
      <vt:variant>
        <vt:lpwstr>_ENREF_32</vt:lpwstr>
      </vt:variant>
      <vt:variant>
        <vt:i4>4325387</vt:i4>
      </vt:variant>
      <vt:variant>
        <vt:i4>593</vt:i4>
      </vt:variant>
      <vt:variant>
        <vt:i4>0</vt:i4>
      </vt:variant>
      <vt:variant>
        <vt:i4>5</vt:i4>
      </vt:variant>
      <vt:variant>
        <vt:lpwstr/>
      </vt:variant>
      <vt:variant>
        <vt:lpwstr>_ENREF_35</vt:lpwstr>
      </vt:variant>
      <vt:variant>
        <vt:i4>4194315</vt:i4>
      </vt:variant>
      <vt:variant>
        <vt:i4>587</vt:i4>
      </vt:variant>
      <vt:variant>
        <vt:i4>0</vt:i4>
      </vt:variant>
      <vt:variant>
        <vt:i4>5</vt:i4>
      </vt:variant>
      <vt:variant>
        <vt:lpwstr/>
      </vt:variant>
      <vt:variant>
        <vt:lpwstr>_ENREF_17</vt:lpwstr>
      </vt:variant>
      <vt:variant>
        <vt:i4>4718603</vt:i4>
      </vt:variant>
      <vt:variant>
        <vt:i4>581</vt:i4>
      </vt:variant>
      <vt:variant>
        <vt:i4>0</vt:i4>
      </vt:variant>
      <vt:variant>
        <vt:i4>5</vt:i4>
      </vt:variant>
      <vt:variant>
        <vt:lpwstr/>
      </vt:variant>
      <vt:variant>
        <vt:lpwstr>_ENREF_9</vt:lpwstr>
      </vt:variant>
      <vt:variant>
        <vt:i4>4325387</vt:i4>
      </vt:variant>
      <vt:variant>
        <vt:i4>575</vt:i4>
      </vt:variant>
      <vt:variant>
        <vt:i4>0</vt:i4>
      </vt:variant>
      <vt:variant>
        <vt:i4>5</vt:i4>
      </vt:variant>
      <vt:variant>
        <vt:lpwstr/>
      </vt:variant>
      <vt:variant>
        <vt:lpwstr>_ENREF_38</vt:lpwstr>
      </vt:variant>
      <vt:variant>
        <vt:i4>4456459</vt:i4>
      </vt:variant>
      <vt:variant>
        <vt:i4>569</vt:i4>
      </vt:variant>
      <vt:variant>
        <vt:i4>0</vt:i4>
      </vt:variant>
      <vt:variant>
        <vt:i4>5</vt:i4>
      </vt:variant>
      <vt:variant>
        <vt:lpwstr/>
      </vt:variant>
      <vt:variant>
        <vt:lpwstr>_ENREF_5</vt:lpwstr>
      </vt:variant>
      <vt:variant>
        <vt:i4>4390923</vt:i4>
      </vt:variant>
      <vt:variant>
        <vt:i4>565</vt:i4>
      </vt:variant>
      <vt:variant>
        <vt:i4>0</vt:i4>
      </vt:variant>
      <vt:variant>
        <vt:i4>5</vt:i4>
      </vt:variant>
      <vt:variant>
        <vt:lpwstr/>
      </vt:variant>
      <vt:variant>
        <vt:lpwstr>_ENREF_20</vt:lpwstr>
      </vt:variant>
      <vt:variant>
        <vt:i4>4194315</vt:i4>
      </vt:variant>
      <vt:variant>
        <vt:i4>562</vt:i4>
      </vt:variant>
      <vt:variant>
        <vt:i4>0</vt:i4>
      </vt:variant>
      <vt:variant>
        <vt:i4>5</vt:i4>
      </vt:variant>
      <vt:variant>
        <vt:lpwstr/>
      </vt:variant>
      <vt:variant>
        <vt:lpwstr>_ENREF_18</vt:lpwstr>
      </vt:variant>
      <vt:variant>
        <vt:i4>4390923</vt:i4>
      </vt:variant>
      <vt:variant>
        <vt:i4>556</vt:i4>
      </vt:variant>
      <vt:variant>
        <vt:i4>0</vt:i4>
      </vt:variant>
      <vt:variant>
        <vt:i4>5</vt:i4>
      </vt:variant>
      <vt:variant>
        <vt:lpwstr/>
      </vt:variant>
      <vt:variant>
        <vt:lpwstr>_ENREF_21</vt:lpwstr>
      </vt:variant>
      <vt:variant>
        <vt:i4>4194315</vt:i4>
      </vt:variant>
      <vt:variant>
        <vt:i4>548</vt:i4>
      </vt:variant>
      <vt:variant>
        <vt:i4>0</vt:i4>
      </vt:variant>
      <vt:variant>
        <vt:i4>5</vt:i4>
      </vt:variant>
      <vt:variant>
        <vt:lpwstr/>
      </vt:variant>
      <vt:variant>
        <vt:lpwstr>_ENREF_11</vt:lpwstr>
      </vt:variant>
      <vt:variant>
        <vt:i4>4390923</vt:i4>
      </vt:variant>
      <vt:variant>
        <vt:i4>542</vt:i4>
      </vt:variant>
      <vt:variant>
        <vt:i4>0</vt:i4>
      </vt:variant>
      <vt:variant>
        <vt:i4>5</vt:i4>
      </vt:variant>
      <vt:variant>
        <vt:lpwstr/>
      </vt:variant>
      <vt:variant>
        <vt:lpwstr>_ENREF_25</vt:lpwstr>
      </vt:variant>
      <vt:variant>
        <vt:i4>4587531</vt:i4>
      </vt:variant>
      <vt:variant>
        <vt:i4>536</vt:i4>
      </vt:variant>
      <vt:variant>
        <vt:i4>0</vt:i4>
      </vt:variant>
      <vt:variant>
        <vt:i4>5</vt:i4>
      </vt:variant>
      <vt:variant>
        <vt:lpwstr/>
      </vt:variant>
      <vt:variant>
        <vt:lpwstr>_ENREF_7</vt:lpwstr>
      </vt:variant>
      <vt:variant>
        <vt:i4>4653067</vt:i4>
      </vt:variant>
      <vt:variant>
        <vt:i4>530</vt:i4>
      </vt:variant>
      <vt:variant>
        <vt:i4>0</vt:i4>
      </vt:variant>
      <vt:variant>
        <vt:i4>5</vt:i4>
      </vt:variant>
      <vt:variant>
        <vt:lpwstr/>
      </vt:variant>
      <vt:variant>
        <vt:lpwstr>_ENREF_6</vt:lpwstr>
      </vt:variant>
      <vt:variant>
        <vt:i4>4194315</vt:i4>
      </vt:variant>
      <vt:variant>
        <vt:i4>524</vt:i4>
      </vt:variant>
      <vt:variant>
        <vt:i4>0</vt:i4>
      </vt:variant>
      <vt:variant>
        <vt:i4>5</vt:i4>
      </vt:variant>
      <vt:variant>
        <vt:lpwstr/>
      </vt:variant>
      <vt:variant>
        <vt:lpwstr>_ENREF_19</vt:lpwstr>
      </vt:variant>
      <vt:variant>
        <vt:i4>4194315</vt:i4>
      </vt:variant>
      <vt:variant>
        <vt:i4>518</vt:i4>
      </vt:variant>
      <vt:variant>
        <vt:i4>0</vt:i4>
      </vt:variant>
      <vt:variant>
        <vt:i4>5</vt:i4>
      </vt:variant>
      <vt:variant>
        <vt:lpwstr/>
      </vt:variant>
      <vt:variant>
        <vt:lpwstr>_ENREF_12</vt:lpwstr>
      </vt:variant>
      <vt:variant>
        <vt:i4>4194315</vt:i4>
      </vt:variant>
      <vt:variant>
        <vt:i4>508</vt:i4>
      </vt:variant>
      <vt:variant>
        <vt:i4>0</vt:i4>
      </vt:variant>
      <vt:variant>
        <vt:i4>5</vt:i4>
      </vt:variant>
      <vt:variant>
        <vt:lpwstr/>
      </vt:variant>
      <vt:variant>
        <vt:lpwstr>_ENREF_14</vt:lpwstr>
      </vt:variant>
      <vt:variant>
        <vt:i4>4521995</vt:i4>
      </vt:variant>
      <vt:variant>
        <vt:i4>502</vt:i4>
      </vt:variant>
      <vt:variant>
        <vt:i4>0</vt:i4>
      </vt:variant>
      <vt:variant>
        <vt:i4>5</vt:i4>
      </vt:variant>
      <vt:variant>
        <vt:lpwstr/>
      </vt:variant>
      <vt:variant>
        <vt:lpwstr>_ENREF_43</vt:lpwstr>
      </vt:variant>
      <vt:variant>
        <vt:i4>4325387</vt:i4>
      </vt:variant>
      <vt:variant>
        <vt:i4>496</vt:i4>
      </vt:variant>
      <vt:variant>
        <vt:i4>0</vt:i4>
      </vt:variant>
      <vt:variant>
        <vt:i4>5</vt:i4>
      </vt:variant>
      <vt:variant>
        <vt:lpwstr/>
      </vt:variant>
      <vt:variant>
        <vt:lpwstr>_ENREF_39</vt:lpwstr>
      </vt:variant>
      <vt:variant>
        <vt:i4>4390923</vt:i4>
      </vt:variant>
      <vt:variant>
        <vt:i4>490</vt:i4>
      </vt:variant>
      <vt:variant>
        <vt:i4>0</vt:i4>
      </vt:variant>
      <vt:variant>
        <vt:i4>5</vt:i4>
      </vt:variant>
      <vt:variant>
        <vt:lpwstr/>
      </vt:variant>
      <vt:variant>
        <vt:lpwstr>_ENREF_2</vt:lpwstr>
      </vt:variant>
      <vt:variant>
        <vt:i4>4194315</vt:i4>
      </vt:variant>
      <vt:variant>
        <vt:i4>484</vt:i4>
      </vt:variant>
      <vt:variant>
        <vt:i4>0</vt:i4>
      </vt:variant>
      <vt:variant>
        <vt:i4>5</vt:i4>
      </vt:variant>
      <vt:variant>
        <vt:lpwstr/>
      </vt:variant>
      <vt:variant>
        <vt:lpwstr>_ENREF_14</vt:lpwstr>
      </vt:variant>
      <vt:variant>
        <vt:i4>4390923</vt:i4>
      </vt:variant>
      <vt:variant>
        <vt:i4>475</vt:i4>
      </vt:variant>
      <vt:variant>
        <vt:i4>0</vt:i4>
      </vt:variant>
      <vt:variant>
        <vt:i4>5</vt:i4>
      </vt:variant>
      <vt:variant>
        <vt:lpwstr/>
      </vt:variant>
      <vt:variant>
        <vt:lpwstr>_ENREF_22</vt:lpwstr>
      </vt:variant>
      <vt:variant>
        <vt:i4>4390923</vt:i4>
      </vt:variant>
      <vt:variant>
        <vt:i4>469</vt:i4>
      </vt:variant>
      <vt:variant>
        <vt:i4>0</vt:i4>
      </vt:variant>
      <vt:variant>
        <vt:i4>5</vt:i4>
      </vt:variant>
      <vt:variant>
        <vt:lpwstr/>
      </vt:variant>
      <vt:variant>
        <vt:lpwstr>_ENREF_23</vt:lpwstr>
      </vt:variant>
      <vt:variant>
        <vt:i4>4194315</vt:i4>
      </vt:variant>
      <vt:variant>
        <vt:i4>463</vt:i4>
      </vt:variant>
      <vt:variant>
        <vt:i4>0</vt:i4>
      </vt:variant>
      <vt:variant>
        <vt:i4>5</vt:i4>
      </vt:variant>
      <vt:variant>
        <vt:lpwstr/>
      </vt:variant>
      <vt:variant>
        <vt:lpwstr>_ENREF_12</vt:lpwstr>
      </vt:variant>
      <vt:variant>
        <vt:i4>4456459</vt:i4>
      </vt:variant>
      <vt:variant>
        <vt:i4>457</vt:i4>
      </vt:variant>
      <vt:variant>
        <vt:i4>0</vt:i4>
      </vt:variant>
      <vt:variant>
        <vt:i4>5</vt:i4>
      </vt:variant>
      <vt:variant>
        <vt:lpwstr/>
      </vt:variant>
      <vt:variant>
        <vt:lpwstr>_ENREF_53</vt:lpwstr>
      </vt:variant>
      <vt:variant>
        <vt:i4>4194315</vt:i4>
      </vt:variant>
      <vt:variant>
        <vt:i4>454</vt:i4>
      </vt:variant>
      <vt:variant>
        <vt:i4>0</vt:i4>
      </vt:variant>
      <vt:variant>
        <vt:i4>5</vt:i4>
      </vt:variant>
      <vt:variant>
        <vt:lpwstr/>
      </vt:variant>
      <vt:variant>
        <vt:lpwstr>_ENREF_12</vt:lpwstr>
      </vt:variant>
      <vt:variant>
        <vt:i4>4653067</vt:i4>
      </vt:variant>
      <vt:variant>
        <vt:i4>451</vt:i4>
      </vt:variant>
      <vt:variant>
        <vt:i4>0</vt:i4>
      </vt:variant>
      <vt:variant>
        <vt:i4>5</vt:i4>
      </vt:variant>
      <vt:variant>
        <vt:lpwstr/>
      </vt:variant>
      <vt:variant>
        <vt:lpwstr>_ENREF_6</vt:lpwstr>
      </vt:variant>
      <vt:variant>
        <vt:i4>4390923</vt:i4>
      </vt:variant>
      <vt:variant>
        <vt:i4>443</vt:i4>
      </vt:variant>
      <vt:variant>
        <vt:i4>0</vt:i4>
      </vt:variant>
      <vt:variant>
        <vt:i4>5</vt:i4>
      </vt:variant>
      <vt:variant>
        <vt:lpwstr/>
      </vt:variant>
      <vt:variant>
        <vt:lpwstr>_ENREF_29</vt:lpwstr>
      </vt:variant>
      <vt:variant>
        <vt:i4>4521995</vt:i4>
      </vt:variant>
      <vt:variant>
        <vt:i4>440</vt:i4>
      </vt:variant>
      <vt:variant>
        <vt:i4>0</vt:i4>
      </vt:variant>
      <vt:variant>
        <vt:i4>5</vt:i4>
      </vt:variant>
      <vt:variant>
        <vt:lpwstr/>
      </vt:variant>
      <vt:variant>
        <vt:lpwstr>_ENREF_4</vt:lpwstr>
      </vt:variant>
      <vt:variant>
        <vt:i4>4325387</vt:i4>
      </vt:variant>
      <vt:variant>
        <vt:i4>434</vt:i4>
      </vt:variant>
      <vt:variant>
        <vt:i4>0</vt:i4>
      </vt:variant>
      <vt:variant>
        <vt:i4>5</vt:i4>
      </vt:variant>
      <vt:variant>
        <vt:lpwstr/>
      </vt:variant>
      <vt:variant>
        <vt:lpwstr>_ENREF_38</vt:lpwstr>
      </vt:variant>
      <vt:variant>
        <vt:i4>4390923</vt:i4>
      </vt:variant>
      <vt:variant>
        <vt:i4>428</vt:i4>
      </vt:variant>
      <vt:variant>
        <vt:i4>0</vt:i4>
      </vt:variant>
      <vt:variant>
        <vt:i4>5</vt:i4>
      </vt:variant>
      <vt:variant>
        <vt:lpwstr/>
      </vt:variant>
      <vt:variant>
        <vt:lpwstr>_ENREF_29</vt:lpwstr>
      </vt:variant>
      <vt:variant>
        <vt:i4>4456459</vt:i4>
      </vt:variant>
      <vt:variant>
        <vt:i4>422</vt:i4>
      </vt:variant>
      <vt:variant>
        <vt:i4>0</vt:i4>
      </vt:variant>
      <vt:variant>
        <vt:i4>5</vt:i4>
      </vt:variant>
      <vt:variant>
        <vt:lpwstr/>
      </vt:variant>
      <vt:variant>
        <vt:lpwstr>_ENREF_53</vt:lpwstr>
      </vt:variant>
      <vt:variant>
        <vt:i4>4390923</vt:i4>
      </vt:variant>
      <vt:variant>
        <vt:i4>416</vt:i4>
      </vt:variant>
      <vt:variant>
        <vt:i4>0</vt:i4>
      </vt:variant>
      <vt:variant>
        <vt:i4>5</vt:i4>
      </vt:variant>
      <vt:variant>
        <vt:lpwstr/>
      </vt:variant>
      <vt:variant>
        <vt:lpwstr>_ENREF_29</vt:lpwstr>
      </vt:variant>
      <vt:variant>
        <vt:i4>4325387</vt:i4>
      </vt:variant>
      <vt:variant>
        <vt:i4>410</vt:i4>
      </vt:variant>
      <vt:variant>
        <vt:i4>0</vt:i4>
      </vt:variant>
      <vt:variant>
        <vt:i4>5</vt:i4>
      </vt:variant>
      <vt:variant>
        <vt:lpwstr/>
      </vt:variant>
      <vt:variant>
        <vt:lpwstr>_ENREF_32</vt:lpwstr>
      </vt:variant>
      <vt:variant>
        <vt:i4>4390923</vt:i4>
      </vt:variant>
      <vt:variant>
        <vt:i4>407</vt:i4>
      </vt:variant>
      <vt:variant>
        <vt:i4>0</vt:i4>
      </vt:variant>
      <vt:variant>
        <vt:i4>5</vt:i4>
      </vt:variant>
      <vt:variant>
        <vt:lpwstr/>
      </vt:variant>
      <vt:variant>
        <vt:lpwstr>_ENREF_26</vt:lpwstr>
      </vt:variant>
      <vt:variant>
        <vt:i4>4456459</vt:i4>
      </vt:variant>
      <vt:variant>
        <vt:i4>401</vt:i4>
      </vt:variant>
      <vt:variant>
        <vt:i4>0</vt:i4>
      </vt:variant>
      <vt:variant>
        <vt:i4>5</vt:i4>
      </vt:variant>
      <vt:variant>
        <vt:lpwstr/>
      </vt:variant>
      <vt:variant>
        <vt:lpwstr>_ENREF_53</vt:lpwstr>
      </vt:variant>
      <vt:variant>
        <vt:i4>4325387</vt:i4>
      </vt:variant>
      <vt:variant>
        <vt:i4>398</vt:i4>
      </vt:variant>
      <vt:variant>
        <vt:i4>0</vt:i4>
      </vt:variant>
      <vt:variant>
        <vt:i4>5</vt:i4>
      </vt:variant>
      <vt:variant>
        <vt:lpwstr/>
      </vt:variant>
      <vt:variant>
        <vt:lpwstr>_ENREF_38</vt:lpwstr>
      </vt:variant>
      <vt:variant>
        <vt:i4>4456459</vt:i4>
      </vt:variant>
      <vt:variant>
        <vt:i4>392</vt:i4>
      </vt:variant>
      <vt:variant>
        <vt:i4>0</vt:i4>
      </vt:variant>
      <vt:variant>
        <vt:i4>5</vt:i4>
      </vt:variant>
      <vt:variant>
        <vt:lpwstr/>
      </vt:variant>
      <vt:variant>
        <vt:lpwstr>_ENREF_5</vt:lpwstr>
      </vt:variant>
      <vt:variant>
        <vt:i4>4456459</vt:i4>
      </vt:variant>
      <vt:variant>
        <vt:i4>386</vt:i4>
      </vt:variant>
      <vt:variant>
        <vt:i4>0</vt:i4>
      </vt:variant>
      <vt:variant>
        <vt:i4>5</vt:i4>
      </vt:variant>
      <vt:variant>
        <vt:lpwstr/>
      </vt:variant>
      <vt:variant>
        <vt:lpwstr>_ENREF_53</vt:lpwstr>
      </vt:variant>
      <vt:variant>
        <vt:i4>4784139</vt:i4>
      </vt:variant>
      <vt:variant>
        <vt:i4>380</vt:i4>
      </vt:variant>
      <vt:variant>
        <vt:i4>0</vt:i4>
      </vt:variant>
      <vt:variant>
        <vt:i4>5</vt:i4>
      </vt:variant>
      <vt:variant>
        <vt:lpwstr/>
      </vt:variant>
      <vt:variant>
        <vt:lpwstr>_ENREF_8</vt:lpwstr>
      </vt:variant>
      <vt:variant>
        <vt:i4>4784139</vt:i4>
      </vt:variant>
      <vt:variant>
        <vt:i4>374</vt:i4>
      </vt:variant>
      <vt:variant>
        <vt:i4>0</vt:i4>
      </vt:variant>
      <vt:variant>
        <vt:i4>5</vt:i4>
      </vt:variant>
      <vt:variant>
        <vt:lpwstr/>
      </vt:variant>
      <vt:variant>
        <vt:lpwstr>_ENREF_8</vt:lpwstr>
      </vt:variant>
      <vt:variant>
        <vt:i4>4390923</vt:i4>
      </vt:variant>
      <vt:variant>
        <vt:i4>368</vt:i4>
      </vt:variant>
      <vt:variant>
        <vt:i4>0</vt:i4>
      </vt:variant>
      <vt:variant>
        <vt:i4>5</vt:i4>
      </vt:variant>
      <vt:variant>
        <vt:lpwstr/>
      </vt:variant>
      <vt:variant>
        <vt:lpwstr>_ENREF_29</vt:lpwstr>
      </vt:variant>
      <vt:variant>
        <vt:i4>4456459</vt:i4>
      </vt:variant>
      <vt:variant>
        <vt:i4>362</vt:i4>
      </vt:variant>
      <vt:variant>
        <vt:i4>0</vt:i4>
      </vt:variant>
      <vt:variant>
        <vt:i4>5</vt:i4>
      </vt:variant>
      <vt:variant>
        <vt:lpwstr/>
      </vt:variant>
      <vt:variant>
        <vt:lpwstr>_ENREF_53</vt:lpwstr>
      </vt:variant>
      <vt:variant>
        <vt:i4>4390923</vt:i4>
      </vt:variant>
      <vt:variant>
        <vt:i4>354</vt:i4>
      </vt:variant>
      <vt:variant>
        <vt:i4>0</vt:i4>
      </vt:variant>
      <vt:variant>
        <vt:i4>5</vt:i4>
      </vt:variant>
      <vt:variant>
        <vt:lpwstr/>
      </vt:variant>
      <vt:variant>
        <vt:lpwstr>_ENREF_29</vt:lpwstr>
      </vt:variant>
      <vt:variant>
        <vt:i4>4325387</vt:i4>
      </vt:variant>
      <vt:variant>
        <vt:i4>350</vt:i4>
      </vt:variant>
      <vt:variant>
        <vt:i4>0</vt:i4>
      </vt:variant>
      <vt:variant>
        <vt:i4>5</vt:i4>
      </vt:variant>
      <vt:variant>
        <vt:lpwstr/>
      </vt:variant>
      <vt:variant>
        <vt:lpwstr>_ENREF_37</vt:lpwstr>
      </vt:variant>
      <vt:variant>
        <vt:i4>4194315</vt:i4>
      </vt:variant>
      <vt:variant>
        <vt:i4>344</vt:i4>
      </vt:variant>
      <vt:variant>
        <vt:i4>0</vt:i4>
      </vt:variant>
      <vt:variant>
        <vt:i4>5</vt:i4>
      </vt:variant>
      <vt:variant>
        <vt:lpwstr/>
      </vt:variant>
      <vt:variant>
        <vt:lpwstr>_ENREF_15</vt:lpwstr>
      </vt:variant>
      <vt:variant>
        <vt:i4>1572913</vt:i4>
      </vt:variant>
      <vt:variant>
        <vt:i4>227</vt:i4>
      </vt:variant>
      <vt:variant>
        <vt:i4>0</vt:i4>
      </vt:variant>
      <vt:variant>
        <vt:i4>5</vt:i4>
      </vt:variant>
      <vt:variant>
        <vt:lpwstr/>
      </vt:variant>
      <vt:variant>
        <vt:lpwstr>_Toc232960750</vt:lpwstr>
      </vt:variant>
      <vt:variant>
        <vt:i4>1638449</vt:i4>
      </vt:variant>
      <vt:variant>
        <vt:i4>221</vt:i4>
      </vt:variant>
      <vt:variant>
        <vt:i4>0</vt:i4>
      </vt:variant>
      <vt:variant>
        <vt:i4>5</vt:i4>
      </vt:variant>
      <vt:variant>
        <vt:lpwstr/>
      </vt:variant>
      <vt:variant>
        <vt:lpwstr>_Toc232960749</vt:lpwstr>
      </vt:variant>
      <vt:variant>
        <vt:i4>1638449</vt:i4>
      </vt:variant>
      <vt:variant>
        <vt:i4>215</vt:i4>
      </vt:variant>
      <vt:variant>
        <vt:i4>0</vt:i4>
      </vt:variant>
      <vt:variant>
        <vt:i4>5</vt:i4>
      </vt:variant>
      <vt:variant>
        <vt:lpwstr/>
      </vt:variant>
      <vt:variant>
        <vt:lpwstr>_Toc232960748</vt:lpwstr>
      </vt:variant>
      <vt:variant>
        <vt:i4>1638449</vt:i4>
      </vt:variant>
      <vt:variant>
        <vt:i4>209</vt:i4>
      </vt:variant>
      <vt:variant>
        <vt:i4>0</vt:i4>
      </vt:variant>
      <vt:variant>
        <vt:i4>5</vt:i4>
      </vt:variant>
      <vt:variant>
        <vt:lpwstr/>
      </vt:variant>
      <vt:variant>
        <vt:lpwstr>_Toc232960747</vt:lpwstr>
      </vt:variant>
      <vt:variant>
        <vt:i4>1835062</vt:i4>
      </vt:variant>
      <vt:variant>
        <vt:i4>200</vt:i4>
      </vt:variant>
      <vt:variant>
        <vt:i4>0</vt:i4>
      </vt:variant>
      <vt:variant>
        <vt:i4>5</vt:i4>
      </vt:variant>
      <vt:variant>
        <vt:lpwstr/>
      </vt:variant>
      <vt:variant>
        <vt:lpwstr>_Toc232942231</vt:lpwstr>
      </vt:variant>
      <vt:variant>
        <vt:i4>1835062</vt:i4>
      </vt:variant>
      <vt:variant>
        <vt:i4>194</vt:i4>
      </vt:variant>
      <vt:variant>
        <vt:i4>0</vt:i4>
      </vt:variant>
      <vt:variant>
        <vt:i4>5</vt:i4>
      </vt:variant>
      <vt:variant>
        <vt:lpwstr/>
      </vt:variant>
      <vt:variant>
        <vt:lpwstr>_Toc232942230</vt:lpwstr>
      </vt:variant>
      <vt:variant>
        <vt:i4>1900598</vt:i4>
      </vt:variant>
      <vt:variant>
        <vt:i4>188</vt:i4>
      </vt:variant>
      <vt:variant>
        <vt:i4>0</vt:i4>
      </vt:variant>
      <vt:variant>
        <vt:i4>5</vt:i4>
      </vt:variant>
      <vt:variant>
        <vt:lpwstr/>
      </vt:variant>
      <vt:variant>
        <vt:lpwstr>_Toc232942229</vt:lpwstr>
      </vt:variant>
      <vt:variant>
        <vt:i4>1900598</vt:i4>
      </vt:variant>
      <vt:variant>
        <vt:i4>182</vt:i4>
      </vt:variant>
      <vt:variant>
        <vt:i4>0</vt:i4>
      </vt:variant>
      <vt:variant>
        <vt:i4>5</vt:i4>
      </vt:variant>
      <vt:variant>
        <vt:lpwstr/>
      </vt:variant>
      <vt:variant>
        <vt:lpwstr>_Toc232942228</vt:lpwstr>
      </vt:variant>
      <vt:variant>
        <vt:i4>1900598</vt:i4>
      </vt:variant>
      <vt:variant>
        <vt:i4>176</vt:i4>
      </vt:variant>
      <vt:variant>
        <vt:i4>0</vt:i4>
      </vt:variant>
      <vt:variant>
        <vt:i4>5</vt:i4>
      </vt:variant>
      <vt:variant>
        <vt:lpwstr/>
      </vt:variant>
      <vt:variant>
        <vt:lpwstr>_Toc232942227</vt:lpwstr>
      </vt:variant>
      <vt:variant>
        <vt:i4>1900598</vt:i4>
      </vt:variant>
      <vt:variant>
        <vt:i4>170</vt:i4>
      </vt:variant>
      <vt:variant>
        <vt:i4>0</vt:i4>
      </vt:variant>
      <vt:variant>
        <vt:i4>5</vt:i4>
      </vt:variant>
      <vt:variant>
        <vt:lpwstr/>
      </vt:variant>
      <vt:variant>
        <vt:lpwstr>_Toc232942226</vt:lpwstr>
      </vt:variant>
      <vt:variant>
        <vt:i4>1900598</vt:i4>
      </vt:variant>
      <vt:variant>
        <vt:i4>164</vt:i4>
      </vt:variant>
      <vt:variant>
        <vt:i4>0</vt:i4>
      </vt:variant>
      <vt:variant>
        <vt:i4>5</vt:i4>
      </vt:variant>
      <vt:variant>
        <vt:lpwstr/>
      </vt:variant>
      <vt:variant>
        <vt:lpwstr>_Toc232942225</vt:lpwstr>
      </vt:variant>
      <vt:variant>
        <vt:i4>1900598</vt:i4>
      </vt:variant>
      <vt:variant>
        <vt:i4>158</vt:i4>
      </vt:variant>
      <vt:variant>
        <vt:i4>0</vt:i4>
      </vt:variant>
      <vt:variant>
        <vt:i4>5</vt:i4>
      </vt:variant>
      <vt:variant>
        <vt:lpwstr/>
      </vt:variant>
      <vt:variant>
        <vt:lpwstr>_Toc232942224</vt:lpwstr>
      </vt:variant>
      <vt:variant>
        <vt:i4>1900598</vt:i4>
      </vt:variant>
      <vt:variant>
        <vt:i4>152</vt:i4>
      </vt:variant>
      <vt:variant>
        <vt:i4>0</vt:i4>
      </vt:variant>
      <vt:variant>
        <vt:i4>5</vt:i4>
      </vt:variant>
      <vt:variant>
        <vt:lpwstr/>
      </vt:variant>
      <vt:variant>
        <vt:lpwstr>_Toc232942223</vt:lpwstr>
      </vt:variant>
      <vt:variant>
        <vt:i4>1900598</vt:i4>
      </vt:variant>
      <vt:variant>
        <vt:i4>146</vt:i4>
      </vt:variant>
      <vt:variant>
        <vt:i4>0</vt:i4>
      </vt:variant>
      <vt:variant>
        <vt:i4>5</vt:i4>
      </vt:variant>
      <vt:variant>
        <vt:lpwstr/>
      </vt:variant>
      <vt:variant>
        <vt:lpwstr>_Toc232942222</vt:lpwstr>
      </vt:variant>
      <vt:variant>
        <vt:i4>1900598</vt:i4>
      </vt:variant>
      <vt:variant>
        <vt:i4>140</vt:i4>
      </vt:variant>
      <vt:variant>
        <vt:i4>0</vt:i4>
      </vt:variant>
      <vt:variant>
        <vt:i4>5</vt:i4>
      </vt:variant>
      <vt:variant>
        <vt:lpwstr/>
      </vt:variant>
      <vt:variant>
        <vt:lpwstr>_Toc232942221</vt:lpwstr>
      </vt:variant>
      <vt:variant>
        <vt:i4>1900598</vt:i4>
      </vt:variant>
      <vt:variant>
        <vt:i4>134</vt:i4>
      </vt:variant>
      <vt:variant>
        <vt:i4>0</vt:i4>
      </vt:variant>
      <vt:variant>
        <vt:i4>5</vt:i4>
      </vt:variant>
      <vt:variant>
        <vt:lpwstr/>
      </vt:variant>
      <vt:variant>
        <vt:lpwstr>_Toc232942220</vt:lpwstr>
      </vt:variant>
      <vt:variant>
        <vt:i4>1966134</vt:i4>
      </vt:variant>
      <vt:variant>
        <vt:i4>128</vt:i4>
      </vt:variant>
      <vt:variant>
        <vt:i4>0</vt:i4>
      </vt:variant>
      <vt:variant>
        <vt:i4>5</vt:i4>
      </vt:variant>
      <vt:variant>
        <vt:lpwstr/>
      </vt:variant>
      <vt:variant>
        <vt:lpwstr>_Toc232942219</vt:lpwstr>
      </vt:variant>
      <vt:variant>
        <vt:i4>1966134</vt:i4>
      </vt:variant>
      <vt:variant>
        <vt:i4>122</vt:i4>
      </vt:variant>
      <vt:variant>
        <vt:i4>0</vt:i4>
      </vt:variant>
      <vt:variant>
        <vt:i4>5</vt:i4>
      </vt:variant>
      <vt:variant>
        <vt:lpwstr/>
      </vt:variant>
      <vt:variant>
        <vt:lpwstr>_Toc232942218</vt:lpwstr>
      </vt:variant>
      <vt:variant>
        <vt:i4>1966134</vt:i4>
      </vt:variant>
      <vt:variant>
        <vt:i4>116</vt:i4>
      </vt:variant>
      <vt:variant>
        <vt:i4>0</vt:i4>
      </vt:variant>
      <vt:variant>
        <vt:i4>5</vt:i4>
      </vt:variant>
      <vt:variant>
        <vt:lpwstr/>
      </vt:variant>
      <vt:variant>
        <vt:lpwstr>_Toc232942217</vt:lpwstr>
      </vt:variant>
      <vt:variant>
        <vt:i4>1966134</vt:i4>
      </vt:variant>
      <vt:variant>
        <vt:i4>110</vt:i4>
      </vt:variant>
      <vt:variant>
        <vt:i4>0</vt:i4>
      </vt:variant>
      <vt:variant>
        <vt:i4>5</vt:i4>
      </vt:variant>
      <vt:variant>
        <vt:lpwstr/>
      </vt:variant>
      <vt:variant>
        <vt:lpwstr>_Toc232942216</vt:lpwstr>
      </vt:variant>
      <vt:variant>
        <vt:i4>1966134</vt:i4>
      </vt:variant>
      <vt:variant>
        <vt:i4>104</vt:i4>
      </vt:variant>
      <vt:variant>
        <vt:i4>0</vt:i4>
      </vt:variant>
      <vt:variant>
        <vt:i4>5</vt:i4>
      </vt:variant>
      <vt:variant>
        <vt:lpwstr/>
      </vt:variant>
      <vt:variant>
        <vt:lpwstr>_Toc232942215</vt:lpwstr>
      </vt:variant>
      <vt:variant>
        <vt:i4>1966134</vt:i4>
      </vt:variant>
      <vt:variant>
        <vt:i4>98</vt:i4>
      </vt:variant>
      <vt:variant>
        <vt:i4>0</vt:i4>
      </vt:variant>
      <vt:variant>
        <vt:i4>5</vt:i4>
      </vt:variant>
      <vt:variant>
        <vt:lpwstr/>
      </vt:variant>
      <vt:variant>
        <vt:lpwstr>_Toc232942214</vt:lpwstr>
      </vt:variant>
      <vt:variant>
        <vt:i4>1966134</vt:i4>
      </vt:variant>
      <vt:variant>
        <vt:i4>92</vt:i4>
      </vt:variant>
      <vt:variant>
        <vt:i4>0</vt:i4>
      </vt:variant>
      <vt:variant>
        <vt:i4>5</vt:i4>
      </vt:variant>
      <vt:variant>
        <vt:lpwstr/>
      </vt:variant>
      <vt:variant>
        <vt:lpwstr>_Toc232942213</vt:lpwstr>
      </vt:variant>
      <vt:variant>
        <vt:i4>1966134</vt:i4>
      </vt:variant>
      <vt:variant>
        <vt:i4>86</vt:i4>
      </vt:variant>
      <vt:variant>
        <vt:i4>0</vt:i4>
      </vt:variant>
      <vt:variant>
        <vt:i4>5</vt:i4>
      </vt:variant>
      <vt:variant>
        <vt:lpwstr/>
      </vt:variant>
      <vt:variant>
        <vt:lpwstr>_Toc232942212</vt:lpwstr>
      </vt:variant>
      <vt:variant>
        <vt:i4>1966134</vt:i4>
      </vt:variant>
      <vt:variant>
        <vt:i4>80</vt:i4>
      </vt:variant>
      <vt:variant>
        <vt:i4>0</vt:i4>
      </vt:variant>
      <vt:variant>
        <vt:i4>5</vt:i4>
      </vt:variant>
      <vt:variant>
        <vt:lpwstr/>
      </vt:variant>
      <vt:variant>
        <vt:lpwstr>_Toc232942211</vt:lpwstr>
      </vt:variant>
      <vt:variant>
        <vt:i4>1966134</vt:i4>
      </vt:variant>
      <vt:variant>
        <vt:i4>74</vt:i4>
      </vt:variant>
      <vt:variant>
        <vt:i4>0</vt:i4>
      </vt:variant>
      <vt:variant>
        <vt:i4>5</vt:i4>
      </vt:variant>
      <vt:variant>
        <vt:lpwstr/>
      </vt:variant>
      <vt:variant>
        <vt:lpwstr>_Toc232942210</vt:lpwstr>
      </vt:variant>
      <vt:variant>
        <vt:i4>2031670</vt:i4>
      </vt:variant>
      <vt:variant>
        <vt:i4>68</vt:i4>
      </vt:variant>
      <vt:variant>
        <vt:i4>0</vt:i4>
      </vt:variant>
      <vt:variant>
        <vt:i4>5</vt:i4>
      </vt:variant>
      <vt:variant>
        <vt:lpwstr/>
      </vt:variant>
      <vt:variant>
        <vt:lpwstr>_Toc232942209</vt:lpwstr>
      </vt:variant>
      <vt:variant>
        <vt:i4>2031670</vt:i4>
      </vt:variant>
      <vt:variant>
        <vt:i4>62</vt:i4>
      </vt:variant>
      <vt:variant>
        <vt:i4>0</vt:i4>
      </vt:variant>
      <vt:variant>
        <vt:i4>5</vt:i4>
      </vt:variant>
      <vt:variant>
        <vt:lpwstr/>
      </vt:variant>
      <vt:variant>
        <vt:lpwstr>_Toc232942208</vt:lpwstr>
      </vt:variant>
      <vt:variant>
        <vt:i4>2031670</vt:i4>
      </vt:variant>
      <vt:variant>
        <vt:i4>56</vt:i4>
      </vt:variant>
      <vt:variant>
        <vt:i4>0</vt:i4>
      </vt:variant>
      <vt:variant>
        <vt:i4>5</vt:i4>
      </vt:variant>
      <vt:variant>
        <vt:lpwstr/>
      </vt:variant>
      <vt:variant>
        <vt:lpwstr>_Toc232942207</vt:lpwstr>
      </vt:variant>
      <vt:variant>
        <vt:i4>2031670</vt:i4>
      </vt:variant>
      <vt:variant>
        <vt:i4>50</vt:i4>
      </vt:variant>
      <vt:variant>
        <vt:i4>0</vt:i4>
      </vt:variant>
      <vt:variant>
        <vt:i4>5</vt:i4>
      </vt:variant>
      <vt:variant>
        <vt:lpwstr/>
      </vt:variant>
      <vt:variant>
        <vt:lpwstr>_Toc232942206</vt:lpwstr>
      </vt:variant>
      <vt:variant>
        <vt:i4>2031670</vt:i4>
      </vt:variant>
      <vt:variant>
        <vt:i4>44</vt:i4>
      </vt:variant>
      <vt:variant>
        <vt:i4>0</vt:i4>
      </vt:variant>
      <vt:variant>
        <vt:i4>5</vt:i4>
      </vt:variant>
      <vt:variant>
        <vt:lpwstr/>
      </vt:variant>
      <vt:variant>
        <vt:lpwstr>_Toc232942205</vt:lpwstr>
      </vt:variant>
      <vt:variant>
        <vt:i4>2031670</vt:i4>
      </vt:variant>
      <vt:variant>
        <vt:i4>38</vt:i4>
      </vt:variant>
      <vt:variant>
        <vt:i4>0</vt:i4>
      </vt:variant>
      <vt:variant>
        <vt:i4>5</vt:i4>
      </vt:variant>
      <vt:variant>
        <vt:lpwstr/>
      </vt:variant>
      <vt:variant>
        <vt:lpwstr>_Toc232942204</vt:lpwstr>
      </vt:variant>
      <vt:variant>
        <vt:i4>2031670</vt:i4>
      </vt:variant>
      <vt:variant>
        <vt:i4>32</vt:i4>
      </vt:variant>
      <vt:variant>
        <vt:i4>0</vt:i4>
      </vt:variant>
      <vt:variant>
        <vt:i4>5</vt:i4>
      </vt:variant>
      <vt:variant>
        <vt:lpwstr/>
      </vt:variant>
      <vt:variant>
        <vt:lpwstr>_Toc232942203</vt:lpwstr>
      </vt:variant>
      <vt:variant>
        <vt:i4>2031670</vt:i4>
      </vt:variant>
      <vt:variant>
        <vt:i4>26</vt:i4>
      </vt:variant>
      <vt:variant>
        <vt:i4>0</vt:i4>
      </vt:variant>
      <vt:variant>
        <vt:i4>5</vt:i4>
      </vt:variant>
      <vt:variant>
        <vt:lpwstr/>
      </vt:variant>
      <vt:variant>
        <vt:lpwstr>_Toc232942202</vt:lpwstr>
      </vt:variant>
      <vt:variant>
        <vt:i4>2031670</vt:i4>
      </vt:variant>
      <vt:variant>
        <vt:i4>20</vt:i4>
      </vt:variant>
      <vt:variant>
        <vt:i4>0</vt:i4>
      </vt:variant>
      <vt:variant>
        <vt:i4>5</vt:i4>
      </vt:variant>
      <vt:variant>
        <vt:lpwstr/>
      </vt:variant>
      <vt:variant>
        <vt:lpwstr>_Toc232942201</vt:lpwstr>
      </vt:variant>
      <vt:variant>
        <vt:i4>2031670</vt:i4>
      </vt:variant>
      <vt:variant>
        <vt:i4>14</vt:i4>
      </vt:variant>
      <vt:variant>
        <vt:i4>0</vt:i4>
      </vt:variant>
      <vt:variant>
        <vt:i4>5</vt:i4>
      </vt:variant>
      <vt:variant>
        <vt:lpwstr/>
      </vt:variant>
      <vt:variant>
        <vt:lpwstr>_Toc232942200</vt:lpwstr>
      </vt:variant>
      <vt:variant>
        <vt:i4>1441845</vt:i4>
      </vt:variant>
      <vt:variant>
        <vt:i4>8</vt:i4>
      </vt:variant>
      <vt:variant>
        <vt:i4>0</vt:i4>
      </vt:variant>
      <vt:variant>
        <vt:i4>5</vt:i4>
      </vt:variant>
      <vt:variant>
        <vt:lpwstr/>
      </vt:variant>
      <vt:variant>
        <vt:lpwstr>_Toc232942199</vt:lpwstr>
      </vt:variant>
      <vt:variant>
        <vt:i4>1441845</vt:i4>
      </vt:variant>
      <vt:variant>
        <vt:i4>2</vt:i4>
      </vt:variant>
      <vt:variant>
        <vt:i4>0</vt:i4>
      </vt:variant>
      <vt:variant>
        <vt:i4>5</vt:i4>
      </vt:variant>
      <vt:variant>
        <vt:lpwstr/>
      </vt:variant>
      <vt:variant>
        <vt:lpwstr>_Toc232942198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Duarte Silva Cunha</dc:creator>
  <cp:keywords/>
  <dc:description/>
  <cp:lastModifiedBy>Duarte Silva Cunha</cp:lastModifiedBy>
  <cp:revision>2</cp:revision>
  <cp:lastPrinted>2026-06-21T19:51:00Z</cp:lastPrinted>
  <dcterms:created xsi:type="dcterms:W3CDTF">2026-06-23T21:09:00Z</dcterms:created>
  <dcterms:modified xsi:type="dcterms:W3CDTF">2026-06-23T21:09:00Z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id="uc3CEaKY"/&gt;&lt;style id="http://www.zotero.org/styles/apa" locale="en-GB" hasBibliography="1" bibliographyStyleHasBeenSet="1"/&gt;&lt;prefs&gt;&lt;pref name="fieldType" value="Field"/&gt;&lt;/prefs&gt;&lt;/data&gt;</vt:lpwstr>
  </property>
</Properties>
</file>