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5C4AF" w14:textId="77777777" w:rsidR="00FA6B71" w:rsidRDefault="00000000">
      <w:pPr>
        <w:widowControl w:val="0"/>
        <w:pBdr>
          <w:top w:val="nil"/>
          <w:left w:val="nil"/>
          <w:bottom w:val="nil"/>
          <w:right w:val="nil"/>
          <w:between w:val="nil"/>
        </w:pBdr>
        <w:spacing w:line="288" w:lineRule="auto"/>
        <w:ind w:left="6946"/>
        <w:rPr>
          <w:rFonts w:ascii="Gill Sans" w:eastAsia="Gill Sans" w:hAnsi="Gill Sans" w:cs="Gill Sans"/>
          <w:smallCaps/>
          <w:color w:val="000000"/>
          <w:sz w:val="18"/>
          <w:szCs w:val="18"/>
        </w:rPr>
      </w:pPr>
      <w:r>
        <w:rPr>
          <w:rFonts w:ascii="EB Garamond" w:eastAsia="EB Garamond" w:hAnsi="EB Garamond" w:cs="EB Garamond"/>
          <w:noProof/>
          <w:color w:val="000000"/>
        </w:rPr>
        <w:drawing>
          <wp:inline distT="0" distB="0" distL="0" distR="0" wp14:anchorId="6D656B4B" wp14:editId="66D21C26">
            <wp:extent cx="1206500" cy="261876"/>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06500" cy="261876"/>
                    </a:xfrm>
                    <a:prstGeom prst="rect">
                      <a:avLst/>
                    </a:prstGeom>
                    <a:ln/>
                  </pic:spPr>
                </pic:pic>
              </a:graphicData>
            </a:graphic>
          </wp:inline>
        </w:drawing>
      </w:r>
    </w:p>
    <w:p w14:paraId="1CF73668" w14:textId="77777777" w:rsidR="00FA6B71" w:rsidRDefault="00FA6B71">
      <w:pPr>
        <w:widowControl w:val="0"/>
        <w:pBdr>
          <w:top w:val="nil"/>
          <w:left w:val="nil"/>
          <w:bottom w:val="nil"/>
          <w:right w:val="nil"/>
          <w:between w:val="nil"/>
        </w:pBdr>
        <w:spacing w:line="288" w:lineRule="auto"/>
        <w:rPr>
          <w:rFonts w:ascii="Gill Sans" w:eastAsia="Gill Sans" w:hAnsi="Gill Sans" w:cs="Gill Sans"/>
          <w:smallCaps/>
          <w:color w:val="000000"/>
          <w:sz w:val="18"/>
          <w:szCs w:val="18"/>
        </w:rPr>
      </w:pPr>
    </w:p>
    <w:p w14:paraId="52EEFC89" w14:textId="77777777" w:rsidR="00FA6B71" w:rsidRDefault="00FA6B71">
      <w:pPr>
        <w:widowControl w:val="0"/>
        <w:pBdr>
          <w:top w:val="nil"/>
          <w:left w:val="nil"/>
          <w:bottom w:val="nil"/>
          <w:right w:val="nil"/>
          <w:between w:val="nil"/>
        </w:pBdr>
        <w:spacing w:line="288" w:lineRule="auto"/>
        <w:rPr>
          <w:rFonts w:ascii="Gill Sans" w:eastAsia="Gill Sans" w:hAnsi="Gill Sans" w:cs="Gill Sans"/>
          <w:smallCaps/>
          <w:sz w:val="18"/>
          <w:szCs w:val="18"/>
        </w:rPr>
      </w:pPr>
    </w:p>
    <w:p w14:paraId="355AFBEC" w14:textId="075193C5" w:rsidR="00FA6B71" w:rsidRDefault="00FA6B71">
      <w:pPr>
        <w:widowControl w:val="0"/>
        <w:pBdr>
          <w:top w:val="nil"/>
          <w:left w:val="nil"/>
          <w:bottom w:val="nil"/>
          <w:right w:val="nil"/>
          <w:between w:val="nil"/>
        </w:pBdr>
        <w:spacing w:line="288" w:lineRule="auto"/>
        <w:rPr>
          <w:rFonts w:ascii="Gill Sans" w:eastAsia="Gill Sans" w:hAnsi="Gill Sans" w:cs="Gill Sans"/>
          <w:smallCaps/>
          <w:sz w:val="18"/>
          <w:szCs w:val="18"/>
        </w:rPr>
      </w:pPr>
    </w:p>
    <w:p w14:paraId="7E7F52A4" w14:textId="688AF96C" w:rsidR="00FA6B71" w:rsidRDefault="00FA6B71">
      <w:pPr>
        <w:widowControl w:val="0"/>
        <w:pBdr>
          <w:top w:val="nil"/>
          <w:left w:val="nil"/>
          <w:bottom w:val="nil"/>
          <w:right w:val="nil"/>
          <w:between w:val="nil"/>
        </w:pBdr>
        <w:spacing w:line="288" w:lineRule="auto"/>
        <w:rPr>
          <w:rFonts w:ascii="Gill Sans" w:eastAsia="Gill Sans" w:hAnsi="Gill Sans" w:cs="Gill Sans"/>
          <w:smallCaps/>
          <w:color w:val="000000"/>
          <w:sz w:val="18"/>
          <w:szCs w:val="18"/>
        </w:rPr>
      </w:pPr>
    </w:p>
    <w:p w14:paraId="75924979" w14:textId="0AD54231" w:rsidR="00FA6B71" w:rsidRDefault="00FA6B71">
      <w:pPr>
        <w:widowControl w:val="0"/>
        <w:pBdr>
          <w:top w:val="nil"/>
          <w:left w:val="nil"/>
          <w:bottom w:val="nil"/>
          <w:right w:val="nil"/>
          <w:between w:val="nil"/>
        </w:pBdr>
        <w:spacing w:line="288" w:lineRule="auto"/>
        <w:rPr>
          <w:rFonts w:ascii="Gill Sans" w:eastAsia="Gill Sans" w:hAnsi="Gill Sans" w:cs="Gill Sans"/>
          <w:smallCaps/>
          <w:color w:val="000000"/>
          <w:sz w:val="18"/>
          <w:szCs w:val="18"/>
        </w:rPr>
      </w:pPr>
    </w:p>
    <w:p w14:paraId="08199661" w14:textId="3931D276" w:rsidR="00FA6B71" w:rsidRDefault="00FA6B71">
      <w:pPr>
        <w:widowControl w:val="0"/>
        <w:pBdr>
          <w:top w:val="nil"/>
          <w:left w:val="nil"/>
          <w:bottom w:val="nil"/>
          <w:right w:val="nil"/>
          <w:between w:val="nil"/>
        </w:pBdr>
        <w:spacing w:line="288" w:lineRule="auto"/>
        <w:ind w:left="-567"/>
        <w:rPr>
          <w:rFonts w:ascii="Gill Sans" w:eastAsia="Gill Sans" w:hAnsi="Gill Sans" w:cs="Gill Sans"/>
          <w:smallCaps/>
          <w:color w:val="000000"/>
          <w:sz w:val="18"/>
          <w:szCs w:val="18"/>
        </w:rPr>
      </w:pPr>
    </w:p>
    <w:p w14:paraId="58AABE9C" w14:textId="01115B0C" w:rsidR="00FA6B71" w:rsidRDefault="00000000">
      <w:pPr>
        <w:widowControl w:val="0"/>
        <w:pBdr>
          <w:top w:val="nil"/>
          <w:left w:val="nil"/>
          <w:bottom w:val="nil"/>
          <w:right w:val="nil"/>
          <w:between w:val="nil"/>
        </w:pBdr>
        <w:spacing w:line="288" w:lineRule="auto"/>
        <w:ind w:left="-567"/>
        <w:rPr>
          <w:rFonts w:ascii="Gill Sans" w:eastAsia="Gill Sans" w:hAnsi="Gill Sans" w:cs="Gill Sans"/>
          <w:b/>
          <w:smallCaps/>
          <w:color w:val="00ADEF"/>
          <w:sz w:val="12"/>
          <w:szCs w:val="12"/>
          <w:vertAlign w:val="subscript"/>
        </w:rPr>
      </w:pPr>
      <w:r>
        <w:rPr>
          <w:rFonts w:ascii="Gill Sans" w:eastAsia="Gill Sans" w:hAnsi="Gill Sans" w:cs="Gill Sans"/>
          <w:b/>
          <w:smallCaps/>
          <w:sz w:val="18"/>
          <w:szCs w:val="18"/>
        </w:rPr>
        <w:t>MESTRADO EM TEMAS DE PSICOLOGIA</w:t>
      </w:r>
    </w:p>
    <w:p w14:paraId="295F496E" w14:textId="77777777" w:rsidR="00FA6B71" w:rsidRDefault="00000000">
      <w:pPr>
        <w:ind w:left="-567"/>
        <w:rPr>
          <w:rFonts w:ascii="Gill Sans" w:eastAsia="Gill Sans" w:hAnsi="Gill Sans" w:cs="Gill Sans"/>
          <w:smallCaps/>
          <w:sz w:val="18"/>
          <w:szCs w:val="18"/>
        </w:rPr>
      </w:pPr>
      <w:r>
        <w:rPr>
          <w:rFonts w:ascii="Gill Sans" w:eastAsia="Gill Sans" w:hAnsi="Gill Sans" w:cs="Gill Sans"/>
          <w:smallCaps/>
          <w:sz w:val="18"/>
          <w:szCs w:val="18"/>
        </w:rPr>
        <w:t>Psicologia do Desenvolvimento e Educação da Criança - Educação Inclusiva e Intervenção Precoce</w:t>
      </w:r>
    </w:p>
    <w:p w14:paraId="4790C3DF" w14:textId="2B4DF76A" w:rsidR="00FA6B71" w:rsidRDefault="00FA6B71">
      <w:pPr>
        <w:widowControl w:val="0"/>
        <w:pBdr>
          <w:top w:val="nil"/>
          <w:left w:val="nil"/>
          <w:bottom w:val="nil"/>
          <w:right w:val="nil"/>
          <w:between w:val="nil"/>
        </w:pBdr>
        <w:spacing w:line="288" w:lineRule="auto"/>
        <w:ind w:left="-567"/>
        <w:rPr>
          <w:rFonts w:ascii="Gill Sans" w:eastAsia="Gill Sans" w:hAnsi="Gill Sans" w:cs="Gill Sans"/>
          <w:smallCaps/>
          <w:color w:val="000000"/>
          <w:sz w:val="18"/>
          <w:szCs w:val="18"/>
        </w:rPr>
      </w:pPr>
    </w:p>
    <w:p w14:paraId="17B723B9" w14:textId="45E3883F" w:rsidR="00FA6B71" w:rsidRDefault="00FA6B71">
      <w:pPr>
        <w:widowControl w:val="0"/>
        <w:pBdr>
          <w:top w:val="nil"/>
          <w:left w:val="nil"/>
          <w:bottom w:val="nil"/>
          <w:right w:val="nil"/>
          <w:between w:val="nil"/>
        </w:pBdr>
        <w:spacing w:line="288" w:lineRule="auto"/>
        <w:rPr>
          <w:rFonts w:ascii="Gill Sans" w:eastAsia="Gill Sans" w:hAnsi="Gill Sans" w:cs="Gill Sans"/>
          <w:smallCaps/>
          <w:color w:val="000000"/>
          <w:sz w:val="18"/>
          <w:szCs w:val="18"/>
        </w:rPr>
      </w:pPr>
    </w:p>
    <w:p w14:paraId="67E21E49" w14:textId="03268166" w:rsidR="00FA6B71" w:rsidRDefault="00FA6B71">
      <w:pPr>
        <w:widowControl w:val="0"/>
        <w:pBdr>
          <w:top w:val="nil"/>
          <w:left w:val="nil"/>
          <w:bottom w:val="nil"/>
          <w:right w:val="nil"/>
          <w:between w:val="nil"/>
        </w:pBdr>
        <w:spacing w:line="288" w:lineRule="auto"/>
        <w:ind w:left="-567"/>
        <w:rPr>
          <w:rFonts w:ascii="Gill Sans" w:eastAsia="Gill Sans" w:hAnsi="Gill Sans" w:cs="Gill Sans"/>
          <w:b/>
          <w:sz w:val="48"/>
          <w:szCs w:val="48"/>
        </w:rPr>
      </w:pPr>
    </w:p>
    <w:p w14:paraId="68B0CB8E" w14:textId="5D082021" w:rsidR="00FA6B71" w:rsidRDefault="00000000">
      <w:pPr>
        <w:widowControl w:val="0"/>
        <w:pBdr>
          <w:top w:val="nil"/>
          <w:left w:val="nil"/>
          <w:bottom w:val="nil"/>
          <w:right w:val="nil"/>
          <w:between w:val="nil"/>
        </w:pBdr>
        <w:spacing w:line="288" w:lineRule="auto"/>
        <w:ind w:left="-567"/>
        <w:rPr>
          <w:rFonts w:ascii="Gill Sans" w:eastAsia="Gill Sans" w:hAnsi="Gill Sans" w:cs="Gill Sans"/>
          <w:b/>
          <w:sz w:val="48"/>
          <w:szCs w:val="48"/>
        </w:rPr>
      </w:pPr>
      <w:r>
        <w:rPr>
          <w:rFonts w:ascii="Gill Sans" w:eastAsia="Gill Sans" w:hAnsi="Gill Sans" w:cs="Gill Sans"/>
          <w:b/>
          <w:sz w:val="48"/>
          <w:szCs w:val="48"/>
        </w:rPr>
        <w:t xml:space="preserve">Há lugar para a Morte na escola? </w:t>
      </w:r>
      <w:proofErr w:type="spellStart"/>
      <w:r>
        <w:rPr>
          <w:rFonts w:ascii="Gill Sans" w:eastAsia="Gill Sans" w:hAnsi="Gill Sans" w:cs="Gill Sans"/>
          <w:b/>
          <w:sz w:val="48"/>
          <w:szCs w:val="48"/>
        </w:rPr>
        <w:t>Perce</w:t>
      </w:r>
      <w:r w:rsidR="006C099A">
        <w:rPr>
          <w:rFonts w:ascii="Gill Sans" w:eastAsia="Gill Sans" w:hAnsi="Gill Sans" w:cs="Gill Sans"/>
          <w:b/>
          <w:sz w:val="48"/>
          <w:szCs w:val="48"/>
        </w:rPr>
        <w:t>p</w:t>
      </w:r>
      <w:r>
        <w:rPr>
          <w:rFonts w:ascii="Gill Sans" w:eastAsia="Gill Sans" w:hAnsi="Gill Sans" w:cs="Gill Sans"/>
          <w:b/>
          <w:sz w:val="48"/>
          <w:szCs w:val="48"/>
        </w:rPr>
        <w:t>ções</w:t>
      </w:r>
      <w:proofErr w:type="spellEnd"/>
      <w:r>
        <w:rPr>
          <w:rFonts w:ascii="Gill Sans" w:eastAsia="Gill Sans" w:hAnsi="Gill Sans" w:cs="Gill Sans"/>
          <w:b/>
          <w:sz w:val="48"/>
          <w:szCs w:val="48"/>
        </w:rPr>
        <w:t xml:space="preserve"> de docentes sobre Educação para a Morte no 1º CEB</w:t>
      </w:r>
    </w:p>
    <w:p w14:paraId="617DFC26" w14:textId="35138DCE" w:rsidR="00FA6B71" w:rsidRDefault="00FA6B71">
      <w:pPr>
        <w:widowControl w:val="0"/>
        <w:pBdr>
          <w:top w:val="nil"/>
          <w:left w:val="nil"/>
          <w:bottom w:val="nil"/>
          <w:right w:val="nil"/>
          <w:between w:val="nil"/>
        </w:pBdr>
        <w:spacing w:line="288" w:lineRule="auto"/>
        <w:ind w:left="-567"/>
        <w:rPr>
          <w:rFonts w:ascii="Gill Sans" w:eastAsia="Gill Sans" w:hAnsi="Gill Sans" w:cs="Gill Sans"/>
          <w:b/>
          <w:sz w:val="48"/>
          <w:szCs w:val="48"/>
        </w:rPr>
      </w:pPr>
    </w:p>
    <w:p w14:paraId="393F176B" w14:textId="525732A8" w:rsidR="00FA6B71" w:rsidRDefault="00000000">
      <w:pPr>
        <w:widowControl w:val="0"/>
        <w:pBdr>
          <w:top w:val="nil"/>
          <w:left w:val="nil"/>
          <w:bottom w:val="nil"/>
          <w:right w:val="nil"/>
          <w:between w:val="nil"/>
        </w:pBdr>
        <w:spacing w:line="288" w:lineRule="auto"/>
        <w:ind w:left="-567"/>
        <w:rPr>
          <w:rFonts w:ascii="Gill Sans" w:eastAsia="Gill Sans" w:hAnsi="Gill Sans" w:cs="Gill Sans"/>
          <w:smallCaps/>
          <w:color w:val="00ADEF"/>
          <w:sz w:val="12"/>
          <w:szCs w:val="12"/>
        </w:rPr>
      </w:pPr>
      <w:r>
        <w:rPr>
          <w:rFonts w:ascii="Gill Sans" w:eastAsia="Gill Sans" w:hAnsi="Gill Sans" w:cs="Gill Sans"/>
          <w:sz w:val="48"/>
          <w:szCs w:val="48"/>
        </w:rPr>
        <w:t>Igor Alves Ferreira</w:t>
      </w:r>
    </w:p>
    <w:p w14:paraId="44724700" w14:textId="539C7970" w:rsidR="00FA6B71" w:rsidRDefault="00000000">
      <w:pPr>
        <w:widowControl w:val="0"/>
        <w:pBdr>
          <w:top w:val="nil"/>
          <w:left w:val="nil"/>
          <w:bottom w:val="nil"/>
          <w:right w:val="nil"/>
          <w:between w:val="nil"/>
        </w:pBdr>
        <w:ind w:left="-567"/>
        <w:rPr>
          <w:rFonts w:ascii="Gill Sans" w:eastAsia="Gill Sans" w:hAnsi="Gill Sans" w:cs="Gill Sans"/>
          <w:b/>
          <w:smallCaps/>
          <w:color w:val="000000"/>
          <w:sz w:val="96"/>
          <w:szCs w:val="96"/>
        </w:rPr>
      </w:pPr>
      <w:r>
        <w:rPr>
          <w:rFonts w:ascii="Gill Sans" w:eastAsia="Gill Sans" w:hAnsi="Gill Sans" w:cs="Gill Sans"/>
          <w:b/>
          <w:smallCaps/>
          <w:color w:val="000000"/>
          <w:sz w:val="96"/>
          <w:szCs w:val="96"/>
        </w:rPr>
        <w:t>M</w:t>
      </w:r>
    </w:p>
    <w:p w14:paraId="6A97795F" w14:textId="5110DDE9" w:rsidR="00FA6B71" w:rsidRPr="007B7C3D" w:rsidRDefault="001032A6" w:rsidP="007B7C3D">
      <w:pPr>
        <w:widowControl w:val="0"/>
        <w:pBdr>
          <w:top w:val="nil"/>
          <w:left w:val="nil"/>
          <w:bottom w:val="nil"/>
          <w:right w:val="nil"/>
          <w:between w:val="nil"/>
        </w:pBdr>
        <w:ind w:left="-567"/>
        <w:rPr>
          <w:rFonts w:ascii="Arial" w:eastAsia="Arial" w:hAnsi="Arial" w:cs="Arial"/>
        </w:rPr>
      </w:pPr>
      <w:bookmarkStart w:id="0" w:name="_heading=h.s4lzcmj8rb8n" w:colFirst="0" w:colLast="0"/>
      <w:bookmarkEnd w:id="0"/>
      <w:r>
        <w:rPr>
          <w:rFonts w:ascii="Gill Sans" w:eastAsia="Gill Sans" w:hAnsi="Gill Sans" w:cs="Gill Sans"/>
          <w:b/>
          <w:smallCaps/>
          <w:color w:val="000000"/>
          <w:sz w:val="22"/>
          <w:szCs w:val="22"/>
        </w:rPr>
        <w:t>202</w:t>
      </w:r>
      <w:r>
        <w:rPr>
          <w:rFonts w:ascii="Gill Sans" w:eastAsia="Gill Sans" w:hAnsi="Gill Sans" w:cs="Gill Sans"/>
          <w:b/>
          <w:smallCaps/>
          <w:sz w:val="22"/>
          <w:szCs w:val="22"/>
        </w:rPr>
        <w:t>5</w:t>
      </w:r>
      <w:r w:rsidR="007B7C3D">
        <w:rPr>
          <w:rFonts w:ascii="Arial" w:eastAsia="Arial" w:hAnsi="Arial" w:cs="Arial"/>
        </w:rPr>
        <w:tab/>
      </w:r>
    </w:p>
    <w:p w14:paraId="5A804A11" w14:textId="15BA99D1" w:rsidR="007B7C3D" w:rsidRDefault="007B7C3D">
      <w:pPr>
        <w:spacing w:line="360" w:lineRule="auto"/>
        <w:jc w:val="center"/>
        <w:rPr>
          <w:rFonts w:ascii="Times New Roman" w:eastAsia="Times New Roman" w:hAnsi="Times New Roman" w:cs="Times New Roman"/>
          <w:b/>
        </w:rPr>
      </w:pPr>
    </w:p>
    <w:p w14:paraId="3810C5FE" w14:textId="0CCA91EA" w:rsidR="007B7C3D" w:rsidRDefault="007B7C3D">
      <w:pPr>
        <w:spacing w:line="360" w:lineRule="auto"/>
        <w:jc w:val="center"/>
        <w:rPr>
          <w:rFonts w:ascii="Times New Roman" w:eastAsia="Times New Roman" w:hAnsi="Times New Roman" w:cs="Times New Roman"/>
          <w:b/>
        </w:rPr>
      </w:pPr>
    </w:p>
    <w:p w14:paraId="1C1DB387" w14:textId="6B15F64E" w:rsidR="00065C94" w:rsidRDefault="00065C94">
      <w:pPr>
        <w:spacing w:line="360" w:lineRule="auto"/>
        <w:jc w:val="center"/>
        <w:rPr>
          <w:rFonts w:ascii="Times New Roman" w:eastAsia="Times New Roman" w:hAnsi="Times New Roman" w:cs="Times New Roman"/>
          <w:b/>
        </w:rPr>
      </w:pPr>
    </w:p>
    <w:p w14:paraId="6A957670" w14:textId="44A92917" w:rsidR="00065C94" w:rsidRDefault="00065C94">
      <w:pPr>
        <w:spacing w:line="360" w:lineRule="auto"/>
        <w:jc w:val="center"/>
        <w:rPr>
          <w:rFonts w:ascii="Times New Roman" w:eastAsia="Times New Roman" w:hAnsi="Times New Roman" w:cs="Times New Roman"/>
          <w:b/>
        </w:rPr>
      </w:pPr>
    </w:p>
    <w:p w14:paraId="702001E8" w14:textId="38EF409B" w:rsidR="00065C94" w:rsidRDefault="00065C94">
      <w:pPr>
        <w:spacing w:line="360" w:lineRule="auto"/>
        <w:jc w:val="center"/>
        <w:rPr>
          <w:rFonts w:ascii="Times New Roman" w:eastAsia="Times New Roman" w:hAnsi="Times New Roman" w:cs="Times New Roman"/>
          <w:b/>
        </w:rPr>
      </w:pPr>
    </w:p>
    <w:p w14:paraId="782B006D" w14:textId="4601FE38" w:rsidR="00065C94" w:rsidRDefault="00065C94">
      <w:pPr>
        <w:spacing w:line="360" w:lineRule="auto"/>
        <w:jc w:val="center"/>
        <w:rPr>
          <w:rFonts w:ascii="Times New Roman" w:eastAsia="Times New Roman" w:hAnsi="Times New Roman" w:cs="Times New Roman"/>
          <w:b/>
        </w:rPr>
      </w:pPr>
    </w:p>
    <w:p w14:paraId="6950FE7D" w14:textId="38AC2290" w:rsidR="00065C94" w:rsidRDefault="00065C94">
      <w:pPr>
        <w:spacing w:line="360" w:lineRule="auto"/>
        <w:jc w:val="center"/>
        <w:rPr>
          <w:rFonts w:ascii="Times New Roman" w:eastAsia="Times New Roman" w:hAnsi="Times New Roman" w:cs="Times New Roman"/>
          <w:b/>
        </w:rPr>
      </w:pPr>
    </w:p>
    <w:p w14:paraId="27E9E876" w14:textId="3EB6C621" w:rsidR="00065C94" w:rsidRDefault="005818BC">
      <w:pPr>
        <w:spacing w:line="360" w:lineRule="auto"/>
        <w:jc w:val="center"/>
        <w:rPr>
          <w:rFonts w:ascii="Times New Roman" w:eastAsia="Times New Roman" w:hAnsi="Times New Roman" w:cs="Times New Roman"/>
          <w:b/>
        </w:rPr>
      </w:pPr>
      <w:r>
        <w:rPr>
          <w:noProof/>
        </w:rPr>
        <w:drawing>
          <wp:anchor distT="0" distB="0" distL="114300" distR="114300" simplePos="0" relativeHeight="251658240" behindDoc="0" locked="0" layoutInCell="1" allowOverlap="1" wp14:anchorId="49F5D499" wp14:editId="2237A95E">
            <wp:simplePos x="0" y="0"/>
            <wp:positionH relativeFrom="margin">
              <wp:align>center</wp:align>
            </wp:positionH>
            <wp:positionV relativeFrom="paragraph">
              <wp:posOffset>126365</wp:posOffset>
            </wp:positionV>
            <wp:extent cx="847725" cy="2990850"/>
            <wp:effectExtent l="0" t="0" r="9525" b="0"/>
            <wp:wrapNone/>
            <wp:docPr id="7661822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847725" cy="2990850"/>
                    </a:xfrm>
                    <a:prstGeom prst="rect">
                      <a:avLst/>
                    </a:prstGeom>
                    <a:ln/>
                  </pic:spPr>
                </pic:pic>
              </a:graphicData>
            </a:graphic>
          </wp:anchor>
        </w:drawing>
      </w:r>
    </w:p>
    <w:p w14:paraId="19DD7E45" w14:textId="77777777" w:rsidR="00065C94" w:rsidRDefault="00065C94">
      <w:pPr>
        <w:spacing w:line="360" w:lineRule="auto"/>
        <w:jc w:val="center"/>
        <w:rPr>
          <w:rFonts w:ascii="Times New Roman" w:eastAsia="Times New Roman" w:hAnsi="Times New Roman" w:cs="Times New Roman"/>
          <w:b/>
        </w:rPr>
      </w:pPr>
    </w:p>
    <w:p w14:paraId="3496D9EB" w14:textId="77777777" w:rsidR="00065C94" w:rsidRDefault="00065C94">
      <w:pPr>
        <w:spacing w:line="360" w:lineRule="auto"/>
        <w:jc w:val="center"/>
        <w:rPr>
          <w:rFonts w:ascii="Times New Roman" w:eastAsia="Times New Roman" w:hAnsi="Times New Roman" w:cs="Times New Roman"/>
          <w:b/>
        </w:rPr>
      </w:pPr>
    </w:p>
    <w:p w14:paraId="18AC3264" w14:textId="77777777" w:rsidR="006C099A" w:rsidRDefault="006C099A">
      <w:pPr>
        <w:spacing w:line="360" w:lineRule="auto"/>
        <w:jc w:val="center"/>
        <w:rPr>
          <w:rFonts w:ascii="Times New Roman" w:eastAsia="Times New Roman" w:hAnsi="Times New Roman" w:cs="Times New Roman"/>
          <w:b/>
        </w:rPr>
      </w:pPr>
    </w:p>
    <w:p w14:paraId="32A71F76" w14:textId="77777777" w:rsidR="006C099A" w:rsidRDefault="006C099A">
      <w:pPr>
        <w:spacing w:line="360" w:lineRule="auto"/>
        <w:jc w:val="center"/>
        <w:rPr>
          <w:rFonts w:ascii="Times New Roman" w:eastAsia="Times New Roman" w:hAnsi="Times New Roman" w:cs="Times New Roman"/>
          <w:b/>
        </w:rPr>
      </w:pPr>
    </w:p>
    <w:p w14:paraId="68E5DE42" w14:textId="77777777" w:rsidR="001032A6" w:rsidRDefault="001032A6">
      <w:pPr>
        <w:spacing w:line="360" w:lineRule="auto"/>
        <w:jc w:val="center"/>
        <w:rPr>
          <w:rFonts w:ascii="Times New Roman" w:eastAsia="Times New Roman" w:hAnsi="Times New Roman" w:cs="Times New Roman"/>
          <w:b/>
        </w:rPr>
      </w:pPr>
    </w:p>
    <w:p w14:paraId="0B393CEA" w14:textId="77777777" w:rsidR="001032A6" w:rsidRDefault="001032A6">
      <w:pPr>
        <w:spacing w:line="360" w:lineRule="auto"/>
        <w:jc w:val="center"/>
        <w:rPr>
          <w:rFonts w:ascii="Times New Roman" w:eastAsia="Times New Roman" w:hAnsi="Times New Roman" w:cs="Times New Roman"/>
          <w:b/>
        </w:rPr>
      </w:pPr>
    </w:p>
    <w:p w14:paraId="50181BFC" w14:textId="558C878E" w:rsidR="00FA6B71" w:rsidRDefault="00000000">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Universidade do Porto</w:t>
      </w:r>
    </w:p>
    <w:p w14:paraId="47F670A8" w14:textId="46E96F14" w:rsidR="00FA6B71" w:rsidRDefault="00000000">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Faculdade de Psicologia e de Ciências da Educação</w:t>
      </w:r>
    </w:p>
    <w:p w14:paraId="544CBC44" w14:textId="56E5B3BE" w:rsidR="00FA6B71" w:rsidRDefault="00FA6B71">
      <w:pPr>
        <w:spacing w:line="360" w:lineRule="auto"/>
        <w:jc w:val="center"/>
        <w:rPr>
          <w:rFonts w:ascii="Times New Roman" w:eastAsia="Times New Roman" w:hAnsi="Times New Roman" w:cs="Times New Roman"/>
          <w:b/>
        </w:rPr>
      </w:pPr>
    </w:p>
    <w:p w14:paraId="1EDF5160" w14:textId="17A5DB8F" w:rsidR="00FA6B71" w:rsidRDefault="00FA6B71">
      <w:pPr>
        <w:spacing w:line="360" w:lineRule="auto"/>
        <w:jc w:val="center"/>
        <w:rPr>
          <w:rFonts w:ascii="Times New Roman" w:eastAsia="Times New Roman" w:hAnsi="Times New Roman" w:cs="Times New Roman"/>
          <w:b/>
        </w:rPr>
      </w:pPr>
    </w:p>
    <w:p w14:paraId="78418D17" w14:textId="77777777" w:rsidR="00FA6B71" w:rsidRDefault="00FA6B71">
      <w:pPr>
        <w:spacing w:line="360" w:lineRule="auto"/>
        <w:jc w:val="center"/>
        <w:rPr>
          <w:rFonts w:ascii="Times New Roman" w:eastAsia="Times New Roman" w:hAnsi="Times New Roman" w:cs="Times New Roman"/>
          <w:b/>
        </w:rPr>
      </w:pPr>
    </w:p>
    <w:p w14:paraId="05CE948F" w14:textId="77777777" w:rsidR="00FA6B71" w:rsidRDefault="00FA6B71">
      <w:pPr>
        <w:spacing w:line="360" w:lineRule="auto"/>
        <w:jc w:val="center"/>
        <w:rPr>
          <w:rFonts w:ascii="Times New Roman" w:eastAsia="Times New Roman" w:hAnsi="Times New Roman" w:cs="Times New Roman"/>
          <w:b/>
        </w:rPr>
      </w:pPr>
    </w:p>
    <w:p w14:paraId="6125E653" w14:textId="77777777" w:rsidR="00FA6B71" w:rsidRDefault="00FA6B71">
      <w:pPr>
        <w:spacing w:line="360" w:lineRule="auto"/>
        <w:jc w:val="center"/>
        <w:rPr>
          <w:rFonts w:ascii="Times New Roman" w:eastAsia="Times New Roman" w:hAnsi="Times New Roman" w:cs="Times New Roman"/>
          <w:b/>
        </w:rPr>
      </w:pPr>
    </w:p>
    <w:p w14:paraId="0601D6B9" w14:textId="77777777" w:rsidR="00FA6B71" w:rsidRDefault="00FA6B71">
      <w:pPr>
        <w:spacing w:line="360" w:lineRule="auto"/>
        <w:jc w:val="center"/>
        <w:rPr>
          <w:rFonts w:ascii="Times New Roman" w:eastAsia="Times New Roman" w:hAnsi="Times New Roman" w:cs="Times New Roman"/>
          <w:b/>
        </w:rPr>
      </w:pPr>
    </w:p>
    <w:p w14:paraId="0F971F26" w14:textId="77777777" w:rsidR="00FA6B71" w:rsidRDefault="00FA6B71">
      <w:pPr>
        <w:spacing w:line="360" w:lineRule="auto"/>
        <w:jc w:val="center"/>
        <w:rPr>
          <w:rFonts w:ascii="Times New Roman" w:eastAsia="Times New Roman" w:hAnsi="Times New Roman" w:cs="Times New Roman"/>
          <w:b/>
        </w:rPr>
      </w:pPr>
    </w:p>
    <w:p w14:paraId="3392A12A" w14:textId="77777777" w:rsidR="00FA6B71" w:rsidRDefault="00FA6B71">
      <w:pPr>
        <w:spacing w:line="360" w:lineRule="auto"/>
        <w:jc w:val="center"/>
        <w:rPr>
          <w:rFonts w:ascii="Times New Roman" w:eastAsia="Times New Roman" w:hAnsi="Times New Roman" w:cs="Times New Roman"/>
          <w:b/>
        </w:rPr>
      </w:pPr>
    </w:p>
    <w:p w14:paraId="1B3D901E" w14:textId="77777777" w:rsidR="00FA6B71" w:rsidRDefault="00000000">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HÁ LUGAR PARA A MORTE NA ESCOLA? PERCEPÇÕES DE DOCENTES SOBRE A EDUCAÇÃO PARA A MORTE NO 1º CEB</w:t>
      </w:r>
    </w:p>
    <w:p w14:paraId="23CE89CB" w14:textId="77777777" w:rsidR="00FA6B71" w:rsidRDefault="00FA6B71">
      <w:pPr>
        <w:spacing w:line="360" w:lineRule="auto"/>
        <w:jc w:val="center"/>
        <w:rPr>
          <w:rFonts w:ascii="Times New Roman" w:eastAsia="Times New Roman" w:hAnsi="Times New Roman" w:cs="Times New Roman"/>
          <w:b/>
        </w:rPr>
      </w:pPr>
    </w:p>
    <w:p w14:paraId="458901BE" w14:textId="77777777" w:rsidR="00FA6B71" w:rsidRDefault="00FA6B71">
      <w:pPr>
        <w:spacing w:line="360" w:lineRule="auto"/>
        <w:jc w:val="center"/>
        <w:rPr>
          <w:rFonts w:ascii="Times New Roman" w:eastAsia="Times New Roman" w:hAnsi="Times New Roman" w:cs="Times New Roman"/>
          <w:b/>
        </w:rPr>
      </w:pPr>
    </w:p>
    <w:p w14:paraId="3414BD6D" w14:textId="77777777" w:rsidR="00FA6B71" w:rsidRDefault="00FA6B71">
      <w:pPr>
        <w:spacing w:line="360" w:lineRule="auto"/>
        <w:jc w:val="center"/>
        <w:rPr>
          <w:rFonts w:ascii="Times New Roman" w:eastAsia="Times New Roman" w:hAnsi="Times New Roman" w:cs="Times New Roman"/>
          <w:b/>
        </w:rPr>
      </w:pPr>
    </w:p>
    <w:p w14:paraId="1AB3CB8D" w14:textId="77777777" w:rsidR="00FA6B71"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Igor Alves Ferreira</w:t>
      </w:r>
    </w:p>
    <w:p w14:paraId="7E94A89A" w14:textId="77777777" w:rsidR="00FA6B71" w:rsidRDefault="00FA6B71">
      <w:pPr>
        <w:spacing w:line="360" w:lineRule="auto"/>
        <w:jc w:val="center"/>
        <w:rPr>
          <w:rFonts w:ascii="Times New Roman" w:eastAsia="Times New Roman" w:hAnsi="Times New Roman" w:cs="Times New Roman"/>
        </w:rPr>
      </w:pPr>
    </w:p>
    <w:p w14:paraId="2815079E" w14:textId="77777777" w:rsidR="00FA6B71"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Outubro 2025</w:t>
      </w:r>
    </w:p>
    <w:p w14:paraId="49D212FD" w14:textId="77777777" w:rsidR="00FA6B71" w:rsidRDefault="00FA6B71">
      <w:pPr>
        <w:spacing w:line="360" w:lineRule="auto"/>
        <w:rPr>
          <w:rFonts w:ascii="Times New Roman" w:eastAsia="Times New Roman" w:hAnsi="Times New Roman" w:cs="Times New Roman"/>
        </w:rPr>
      </w:pPr>
    </w:p>
    <w:p w14:paraId="1B2F3E8B" w14:textId="77777777" w:rsidR="00FA6B71" w:rsidRDefault="00FA6B71">
      <w:pPr>
        <w:spacing w:line="360" w:lineRule="auto"/>
        <w:jc w:val="both"/>
        <w:rPr>
          <w:rFonts w:ascii="Times New Roman" w:eastAsia="Times New Roman" w:hAnsi="Times New Roman" w:cs="Times New Roman"/>
        </w:rPr>
      </w:pPr>
    </w:p>
    <w:p w14:paraId="58EFADB5" w14:textId="2F2A2E16" w:rsidR="007B7C3D" w:rsidRDefault="00000000" w:rsidP="007B7C3D">
      <w:pPr>
        <w:spacing w:line="360" w:lineRule="auto"/>
        <w:ind w:left="2267"/>
        <w:jc w:val="both"/>
        <w:rPr>
          <w:rFonts w:ascii="Times New Roman" w:eastAsia="Times New Roman" w:hAnsi="Times New Roman" w:cs="Times New Roman"/>
        </w:rPr>
      </w:pPr>
      <w:r>
        <w:rPr>
          <w:rFonts w:ascii="Times New Roman" w:eastAsia="Times New Roman" w:hAnsi="Times New Roman" w:cs="Times New Roman"/>
        </w:rPr>
        <w:t xml:space="preserve">Dissertação apresentada no Mestrado em Temas de Psicologia, em Psicologia do Desenvolvimento e Educação da Criança - Educação Inclusiva e Intervenção Precoce, Faculdade de Psicologia e de Ciências da Educação da Universidade do Porto, orientada pela Professora Doutora </w:t>
      </w:r>
      <w:r>
        <w:rPr>
          <w:rFonts w:ascii="Times New Roman" w:eastAsia="Times New Roman" w:hAnsi="Times New Roman" w:cs="Times New Roman"/>
          <w:b/>
        </w:rPr>
        <w:t>Joana Dias Cadima</w:t>
      </w:r>
      <w:r>
        <w:rPr>
          <w:rFonts w:ascii="Times New Roman" w:eastAsia="Times New Roman" w:hAnsi="Times New Roman" w:cs="Times New Roman"/>
        </w:rPr>
        <w:t xml:space="preserve"> (FPCEUP), </w:t>
      </w:r>
      <w:proofErr w:type="spellStart"/>
      <w:r>
        <w:rPr>
          <w:rFonts w:ascii="Times New Roman" w:eastAsia="Times New Roman" w:hAnsi="Times New Roman" w:cs="Times New Roman"/>
        </w:rPr>
        <w:t>co-orientada</w:t>
      </w:r>
      <w:proofErr w:type="spellEnd"/>
      <w:r>
        <w:rPr>
          <w:rFonts w:ascii="Times New Roman" w:eastAsia="Times New Roman" w:hAnsi="Times New Roman" w:cs="Times New Roman"/>
        </w:rPr>
        <w:t xml:space="preserve"> pela Professora Doutora </w:t>
      </w:r>
      <w:r>
        <w:rPr>
          <w:rFonts w:ascii="Times New Roman" w:eastAsia="Times New Roman" w:hAnsi="Times New Roman" w:cs="Times New Roman"/>
          <w:b/>
        </w:rPr>
        <w:t xml:space="preserve">Inês Maria Soares Areal </w:t>
      </w:r>
      <w:proofErr w:type="spellStart"/>
      <w:r>
        <w:rPr>
          <w:rFonts w:ascii="Times New Roman" w:eastAsia="Times New Roman" w:hAnsi="Times New Roman" w:cs="Times New Roman"/>
          <w:b/>
        </w:rPr>
        <w:t>Rothes</w:t>
      </w:r>
      <w:proofErr w:type="spellEnd"/>
      <w:r>
        <w:rPr>
          <w:rFonts w:ascii="Times New Roman" w:eastAsia="Times New Roman" w:hAnsi="Times New Roman" w:cs="Times New Roman"/>
          <w:b/>
        </w:rPr>
        <w:t xml:space="preserve"> </w:t>
      </w:r>
      <w:r>
        <w:rPr>
          <w:rFonts w:ascii="Times New Roman" w:eastAsia="Times New Roman" w:hAnsi="Times New Roman" w:cs="Times New Roman"/>
        </w:rPr>
        <w:t>(FPCEUP).</w:t>
      </w:r>
      <w:r w:rsidR="007B7C3D">
        <w:rPr>
          <w:rFonts w:ascii="Times New Roman" w:eastAsia="Times New Roman" w:hAnsi="Times New Roman" w:cs="Times New Roman"/>
        </w:rPr>
        <w:tab/>
      </w:r>
    </w:p>
    <w:p w14:paraId="0036DB3C" w14:textId="77777777" w:rsidR="007B7C3D" w:rsidRDefault="007B7C3D">
      <w:pPr>
        <w:rPr>
          <w:rFonts w:ascii="Times New Roman" w:eastAsia="Times New Roman" w:hAnsi="Times New Roman" w:cs="Times New Roman"/>
        </w:rPr>
      </w:pPr>
      <w:r>
        <w:rPr>
          <w:rFonts w:ascii="Times New Roman" w:eastAsia="Times New Roman" w:hAnsi="Times New Roman" w:cs="Times New Roman"/>
        </w:rPr>
        <w:br w:type="page"/>
      </w:r>
    </w:p>
    <w:p w14:paraId="7DE7CE65" w14:textId="77777777" w:rsidR="00FA6B71" w:rsidRDefault="00000000">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AVISOS LEGAIS</w:t>
      </w:r>
    </w:p>
    <w:p w14:paraId="40E60123" w14:textId="77777777" w:rsidR="00FA6B71" w:rsidRDefault="00FA6B71">
      <w:pPr>
        <w:spacing w:line="360" w:lineRule="auto"/>
        <w:jc w:val="center"/>
        <w:rPr>
          <w:rFonts w:ascii="Times New Roman" w:eastAsia="Times New Roman" w:hAnsi="Times New Roman" w:cs="Times New Roman"/>
          <w:b/>
        </w:rPr>
      </w:pPr>
    </w:p>
    <w:p w14:paraId="52C66CB6" w14:textId="77777777" w:rsidR="00FA6B71" w:rsidRDefault="00FA6B71">
      <w:pPr>
        <w:spacing w:line="360" w:lineRule="auto"/>
        <w:jc w:val="center"/>
        <w:rPr>
          <w:rFonts w:ascii="Times New Roman" w:eastAsia="Times New Roman" w:hAnsi="Times New Roman" w:cs="Times New Roman"/>
          <w:b/>
        </w:rPr>
      </w:pPr>
    </w:p>
    <w:p w14:paraId="21456985" w14:textId="77777777" w:rsidR="00FA6B71" w:rsidRDefault="00FA6B71">
      <w:pPr>
        <w:spacing w:line="360" w:lineRule="auto"/>
        <w:jc w:val="center"/>
        <w:rPr>
          <w:rFonts w:ascii="Times New Roman" w:eastAsia="Times New Roman" w:hAnsi="Times New Roman" w:cs="Times New Roman"/>
          <w:b/>
        </w:rPr>
      </w:pPr>
    </w:p>
    <w:p w14:paraId="7EEDE044" w14:textId="77777777" w:rsidR="00FA6B71"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O conteúdo desta dissertação reflete as perspetivas, o trabalho e as interpretações do autor no momento da sua entrega. Esta dissertação pode conter incorreções, tanto conceptuais como metodológicas, que podem ter sido identificadas em momento posterior ao da sua entrega. Por conseguinte, qualquer utilização dos seus conteúdos deve ser exercida com cautela.</w:t>
      </w:r>
    </w:p>
    <w:p w14:paraId="06C17F73" w14:textId="77777777" w:rsidR="00FA6B71" w:rsidRDefault="00FA6B71">
      <w:pPr>
        <w:spacing w:line="360" w:lineRule="auto"/>
        <w:jc w:val="center"/>
        <w:rPr>
          <w:rFonts w:ascii="Times New Roman" w:eastAsia="Times New Roman" w:hAnsi="Times New Roman" w:cs="Times New Roman"/>
        </w:rPr>
      </w:pPr>
    </w:p>
    <w:p w14:paraId="11096926" w14:textId="2C9F82AE" w:rsidR="007B7C3D" w:rsidRDefault="00000000" w:rsidP="007B7C3D">
      <w:pPr>
        <w:spacing w:line="360" w:lineRule="auto"/>
        <w:jc w:val="center"/>
        <w:rPr>
          <w:rFonts w:ascii="Times New Roman" w:eastAsia="Times New Roman" w:hAnsi="Times New Roman" w:cs="Times New Roman"/>
        </w:rPr>
      </w:pPr>
      <w:r>
        <w:rPr>
          <w:rFonts w:ascii="Times New Roman" w:eastAsia="Times New Roman" w:hAnsi="Times New Roman" w:cs="Times New Roman"/>
        </w:rPr>
        <w:t>Ao entregar esta dissertação, o autor declara que a mesma é resultante do seu próprio trabalho, contém contributos originais e são reconhecidas todas as fontes utilizadas, encontrando-se tais fontes devidamente citadas no corpo do texto e identificadas na secção de referências. O autor declara, ainda, que não divulga na presente dissertação quaisquer conteúdos cuja reprodução esteja vedada por direitos de autor ou de propriedade industrial</w:t>
      </w:r>
      <w:r w:rsidR="007B7C3D">
        <w:rPr>
          <w:rFonts w:ascii="Times New Roman" w:eastAsia="Times New Roman" w:hAnsi="Times New Roman" w:cs="Times New Roman"/>
        </w:rPr>
        <w:tab/>
      </w:r>
    </w:p>
    <w:p w14:paraId="7E65209A" w14:textId="77777777" w:rsidR="007B7C3D" w:rsidRDefault="007B7C3D">
      <w:pPr>
        <w:rPr>
          <w:rFonts w:ascii="Times New Roman" w:eastAsia="Times New Roman" w:hAnsi="Times New Roman" w:cs="Times New Roman"/>
        </w:rPr>
      </w:pPr>
      <w:r>
        <w:rPr>
          <w:rFonts w:ascii="Times New Roman" w:eastAsia="Times New Roman" w:hAnsi="Times New Roman" w:cs="Times New Roman"/>
        </w:rPr>
        <w:br w:type="page"/>
      </w:r>
    </w:p>
    <w:p w14:paraId="3113802B" w14:textId="77777777" w:rsidR="00FA6B71" w:rsidRDefault="00000000">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Agradecimentos</w:t>
      </w:r>
    </w:p>
    <w:p w14:paraId="5428AF49" w14:textId="77777777" w:rsidR="00FA6B71" w:rsidRDefault="00000000">
      <w:pPr>
        <w:spacing w:line="360" w:lineRule="auto"/>
        <w:rPr>
          <w:rFonts w:ascii="Times New Roman" w:eastAsia="Times New Roman" w:hAnsi="Times New Roman" w:cs="Times New Roman"/>
        </w:rPr>
      </w:pPr>
      <w:r>
        <w:rPr>
          <w:rFonts w:ascii="Times New Roman" w:eastAsia="Times New Roman" w:hAnsi="Times New Roman" w:cs="Times New Roman"/>
        </w:rPr>
        <w:tab/>
      </w:r>
    </w:p>
    <w:p w14:paraId="37D9702B" w14:textId="2406E8EA"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Primeiramente, agradeço às minhas duas orientadoras, professora Joana Cadima e Inês </w:t>
      </w:r>
      <w:proofErr w:type="spellStart"/>
      <w:r>
        <w:rPr>
          <w:rFonts w:ascii="Times New Roman" w:eastAsia="Times New Roman" w:hAnsi="Times New Roman" w:cs="Times New Roman"/>
        </w:rPr>
        <w:t>Rothes</w:t>
      </w:r>
      <w:proofErr w:type="spellEnd"/>
      <w:r>
        <w:rPr>
          <w:rFonts w:ascii="Times New Roman" w:eastAsia="Times New Roman" w:hAnsi="Times New Roman" w:cs="Times New Roman"/>
        </w:rPr>
        <w:t xml:space="preserve">, por </w:t>
      </w:r>
      <w:r w:rsidR="007B3A9B">
        <w:rPr>
          <w:rFonts w:ascii="Times New Roman" w:eastAsia="Times New Roman" w:hAnsi="Times New Roman" w:cs="Times New Roman"/>
        </w:rPr>
        <w:t>me terem dado a oportunidade de</w:t>
      </w:r>
      <w:r>
        <w:rPr>
          <w:rFonts w:ascii="Times New Roman" w:eastAsia="Times New Roman" w:hAnsi="Times New Roman" w:cs="Times New Roman"/>
        </w:rPr>
        <w:t xml:space="preserve"> estudar um tema tão importante para a minha formação pessoal e profissional, tendo me dado todo apoio necessário com paciência, liberdade argumentativa e interesse pelo meu trabalho. Sem o apoio e instrução das duas, não seria possível realizar esse trabalho da forma como ele está e dar vida a essa dissertação.</w:t>
      </w:r>
    </w:p>
    <w:p w14:paraId="2BB0E3A2" w14:textId="2C16A6D3"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Agradeço aos professores que se disponibilizaram a participar dessa pesquisa e enriquecer o conhecimento sobre o tema – agradecimento este que </w:t>
      </w:r>
      <w:r w:rsidR="007B3A9B">
        <w:rPr>
          <w:rFonts w:ascii="Times New Roman" w:eastAsia="Times New Roman" w:hAnsi="Times New Roman" w:cs="Times New Roman"/>
        </w:rPr>
        <w:t xml:space="preserve">se </w:t>
      </w:r>
      <w:r>
        <w:rPr>
          <w:rFonts w:ascii="Times New Roman" w:eastAsia="Times New Roman" w:hAnsi="Times New Roman" w:cs="Times New Roman"/>
        </w:rPr>
        <w:t>estende à toda classe d</w:t>
      </w:r>
      <w:r w:rsidR="007B3A9B">
        <w:rPr>
          <w:rFonts w:ascii="Times New Roman" w:eastAsia="Times New Roman" w:hAnsi="Times New Roman" w:cs="Times New Roman"/>
        </w:rPr>
        <w:t>e</w:t>
      </w:r>
      <w:r>
        <w:rPr>
          <w:rFonts w:ascii="Times New Roman" w:eastAsia="Times New Roman" w:hAnsi="Times New Roman" w:cs="Times New Roman"/>
        </w:rPr>
        <w:t xml:space="preserve"> educadores que são a base de toda a nossa sociedade e devem ter seu trabalho reconhecido e respeitado ao redor do mundo.</w:t>
      </w:r>
    </w:p>
    <w:p w14:paraId="3C1998AA"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Agradeço à </w:t>
      </w:r>
      <w:proofErr w:type="spellStart"/>
      <w:r>
        <w:rPr>
          <w:rFonts w:ascii="Times New Roman" w:eastAsia="Times New Roman" w:hAnsi="Times New Roman" w:cs="Times New Roman"/>
        </w:rPr>
        <w:t>Ligia</w:t>
      </w:r>
      <w:proofErr w:type="spellEnd"/>
      <w:r>
        <w:rPr>
          <w:rFonts w:ascii="Times New Roman" w:eastAsia="Times New Roman" w:hAnsi="Times New Roman" w:cs="Times New Roman"/>
        </w:rPr>
        <w:t>, minha companheira, meu amor e meu apoio diário. Obrigado por estar comigo durante todo esse processo, me ajudando a não desistir e me reerguer sempre que eu estive a ponto de largar tudo. Por ter assumido tantas funções para que eu me concentrasse na pesquisa, durante o momento mais importante das nossas vidas. Por me dar amor, carinho, risadas e motivação para viver.</w:t>
      </w:r>
    </w:p>
    <w:p w14:paraId="3D02914B"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Agradeço aos meus pais Patrícia e Clayton, que são a base e estrutura de tudo que sou. Mesmo fisicamente distantes, nunca deixaram de me apoiar e me fazer seguir em frente, mesmo que eu quisesse por muitas vezes desistir. Me educaram da melhor forma que conseguiram e me amaram incondicionalmente nesse processo.</w:t>
      </w:r>
    </w:p>
    <w:p w14:paraId="268CB46D" w14:textId="19D26183"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Estendo meu agradecimento à toda minha família, aos meus tios Paula e Paula, que tenho imensa saudade; meu primo Gabriel, palmeirense nato e incansável; meus avós Laura e </w:t>
      </w:r>
      <w:proofErr w:type="spellStart"/>
      <w:r>
        <w:rPr>
          <w:rFonts w:ascii="Times New Roman" w:eastAsia="Times New Roman" w:hAnsi="Times New Roman" w:cs="Times New Roman"/>
        </w:rPr>
        <w:t>Aurecides</w:t>
      </w:r>
      <w:proofErr w:type="spellEnd"/>
      <w:r>
        <w:rPr>
          <w:rFonts w:ascii="Times New Roman" w:eastAsia="Times New Roman" w:hAnsi="Times New Roman" w:cs="Times New Roman"/>
        </w:rPr>
        <w:t xml:space="preserve">, que tanto me ensinaram nessa vida com sua inteligência; meus avós Iza e </w:t>
      </w:r>
      <w:proofErr w:type="spellStart"/>
      <w:r>
        <w:rPr>
          <w:rFonts w:ascii="Times New Roman" w:eastAsia="Times New Roman" w:hAnsi="Times New Roman" w:cs="Times New Roman"/>
        </w:rPr>
        <w:t>Alzino</w:t>
      </w:r>
      <w:proofErr w:type="spellEnd"/>
      <w:r>
        <w:rPr>
          <w:rFonts w:ascii="Times New Roman" w:eastAsia="Times New Roman" w:hAnsi="Times New Roman" w:cs="Times New Roman"/>
        </w:rPr>
        <w:t xml:space="preserve">, que tanto me amaram, fortaleceram e </w:t>
      </w:r>
      <w:r w:rsidR="007B3A9B">
        <w:rPr>
          <w:rFonts w:ascii="Times New Roman" w:eastAsia="Times New Roman" w:hAnsi="Times New Roman" w:cs="Times New Roman"/>
        </w:rPr>
        <w:t>mostraram</w:t>
      </w:r>
      <w:r>
        <w:rPr>
          <w:rFonts w:ascii="Times New Roman" w:eastAsia="Times New Roman" w:hAnsi="Times New Roman" w:cs="Times New Roman"/>
        </w:rPr>
        <w:t xml:space="preserve"> sobre o mundo; </w:t>
      </w:r>
      <w:r w:rsidR="007B3A9B">
        <w:rPr>
          <w:rFonts w:ascii="Times New Roman" w:eastAsia="Times New Roman" w:hAnsi="Times New Roman" w:cs="Times New Roman"/>
        </w:rPr>
        <w:t>à</w:t>
      </w:r>
      <w:r>
        <w:rPr>
          <w:rFonts w:ascii="Times New Roman" w:eastAsia="Times New Roman" w:hAnsi="Times New Roman" w:cs="Times New Roman"/>
        </w:rPr>
        <w:t xml:space="preserve"> minha </w:t>
      </w:r>
      <w:r w:rsidR="007B3A9B">
        <w:rPr>
          <w:rFonts w:ascii="Times New Roman" w:eastAsia="Times New Roman" w:hAnsi="Times New Roman" w:cs="Times New Roman"/>
        </w:rPr>
        <w:t xml:space="preserve">tia </w:t>
      </w:r>
      <w:r>
        <w:rPr>
          <w:rFonts w:ascii="Times New Roman" w:eastAsia="Times New Roman" w:hAnsi="Times New Roman" w:cs="Times New Roman"/>
        </w:rPr>
        <w:t>Nelma, à Isa</w:t>
      </w:r>
      <w:r w:rsidR="007B3A9B">
        <w:rPr>
          <w:rFonts w:ascii="Times New Roman" w:eastAsia="Times New Roman" w:hAnsi="Times New Roman" w:cs="Times New Roman"/>
        </w:rPr>
        <w:t>,</w:t>
      </w:r>
      <w:r>
        <w:rPr>
          <w:rFonts w:ascii="Times New Roman" w:eastAsia="Times New Roman" w:hAnsi="Times New Roman" w:cs="Times New Roman"/>
        </w:rPr>
        <w:t xml:space="preserve"> à Clara,</w:t>
      </w:r>
      <w:r w:rsidR="007B3A9B">
        <w:rPr>
          <w:rFonts w:ascii="Times New Roman" w:eastAsia="Times New Roman" w:hAnsi="Times New Roman" w:cs="Times New Roman"/>
        </w:rPr>
        <w:t xml:space="preserve"> e o tio Machado</w:t>
      </w:r>
      <w:r>
        <w:rPr>
          <w:rFonts w:ascii="Times New Roman" w:eastAsia="Times New Roman" w:hAnsi="Times New Roman" w:cs="Times New Roman"/>
        </w:rPr>
        <w:t xml:space="preserve"> q</w:t>
      </w:r>
      <w:r w:rsidR="007B3A9B">
        <w:rPr>
          <w:rFonts w:ascii="Times New Roman" w:eastAsia="Times New Roman" w:hAnsi="Times New Roman" w:cs="Times New Roman"/>
        </w:rPr>
        <w:t>ue são família mesmo sem ter meu sangue</w:t>
      </w:r>
      <w:r>
        <w:rPr>
          <w:rFonts w:ascii="Times New Roman" w:eastAsia="Times New Roman" w:hAnsi="Times New Roman" w:cs="Times New Roman"/>
        </w:rPr>
        <w:t>.</w:t>
      </w:r>
    </w:p>
    <w:p w14:paraId="0D7BC14E" w14:textId="77777777" w:rsidR="007B3A9B" w:rsidRDefault="00000000" w:rsidP="007B3A9B">
      <w:pPr>
        <w:spacing w:line="360" w:lineRule="auto"/>
        <w:ind w:firstLine="720"/>
        <w:jc w:val="both"/>
        <w:rPr>
          <w:rFonts w:ascii="Times New Roman" w:eastAsia="Times New Roman" w:hAnsi="Times New Roman" w:cs="Times New Roman"/>
          <w:b/>
        </w:rPr>
      </w:pPr>
      <w:r>
        <w:rPr>
          <w:rFonts w:ascii="Times New Roman" w:eastAsia="Times New Roman" w:hAnsi="Times New Roman" w:cs="Times New Roman"/>
        </w:rPr>
        <w:t xml:space="preserve">Por fim, aos meus amigos eternos que a faculdade deu, Nico, </w:t>
      </w:r>
      <w:proofErr w:type="spellStart"/>
      <w:r>
        <w:rPr>
          <w:rFonts w:ascii="Times New Roman" w:eastAsia="Times New Roman" w:hAnsi="Times New Roman" w:cs="Times New Roman"/>
        </w:rPr>
        <w:t>Rapha</w:t>
      </w:r>
      <w:proofErr w:type="spellEnd"/>
      <w:r>
        <w:rPr>
          <w:rFonts w:ascii="Times New Roman" w:eastAsia="Times New Roman" w:hAnsi="Times New Roman" w:cs="Times New Roman"/>
        </w:rPr>
        <w:t xml:space="preserve">, Juninho, </w:t>
      </w:r>
      <w:proofErr w:type="spellStart"/>
      <w:r>
        <w:rPr>
          <w:rFonts w:ascii="Times New Roman" w:eastAsia="Times New Roman" w:hAnsi="Times New Roman" w:cs="Times New Roman"/>
        </w:rPr>
        <w:t>Felps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Cici</w:t>
      </w:r>
      <w:proofErr w:type="spellEnd"/>
      <w:r>
        <w:rPr>
          <w:rFonts w:ascii="Times New Roman" w:eastAsia="Times New Roman" w:hAnsi="Times New Roman" w:cs="Times New Roman"/>
        </w:rPr>
        <w:t>, Dani e Luan, que estiveram comigo durante toda minha formação como psicólogo, pelas (muitas) risadas, conversas profundas, jogos e discussões ferrenhas. Aos amigos de São Paulo que mesmo estando tão distantes agora, es</w:t>
      </w:r>
      <w:r w:rsidR="007B3A9B">
        <w:rPr>
          <w:rFonts w:ascii="Times New Roman" w:eastAsia="Times New Roman" w:hAnsi="Times New Roman" w:cs="Times New Roman"/>
        </w:rPr>
        <w:t xml:space="preserve">tão sempre presentes no meu pensamento </w:t>
      </w:r>
      <w:proofErr w:type="spellStart"/>
      <w:r>
        <w:rPr>
          <w:rFonts w:ascii="Times New Roman" w:eastAsia="Times New Roman" w:hAnsi="Times New Roman" w:cs="Times New Roman"/>
        </w:rPr>
        <w:t>Biel</w:t>
      </w:r>
      <w:proofErr w:type="spellEnd"/>
      <w:r>
        <w:rPr>
          <w:rFonts w:ascii="Times New Roman" w:eastAsia="Times New Roman" w:hAnsi="Times New Roman" w:cs="Times New Roman"/>
        </w:rPr>
        <w:t xml:space="preserve">, Felipe, Iago, </w:t>
      </w:r>
      <w:proofErr w:type="spellStart"/>
      <w:r>
        <w:rPr>
          <w:rFonts w:ascii="Times New Roman" w:eastAsia="Times New Roman" w:hAnsi="Times New Roman" w:cs="Times New Roman"/>
        </w:rPr>
        <w:t>Julia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w:t>
      </w:r>
      <w:r w:rsidR="007B3A9B">
        <w:rPr>
          <w:rFonts w:ascii="Times New Roman" w:eastAsia="Times New Roman" w:hAnsi="Times New Roman" w:cs="Times New Roman"/>
        </w:rPr>
        <w:t>e</w:t>
      </w:r>
      <w:r>
        <w:rPr>
          <w:rFonts w:ascii="Times New Roman" w:eastAsia="Times New Roman" w:hAnsi="Times New Roman" w:cs="Times New Roman"/>
        </w:rPr>
        <w: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Thabata</w:t>
      </w:r>
      <w:proofErr w:type="spellEnd"/>
      <w:r>
        <w:rPr>
          <w:rFonts w:ascii="Times New Roman" w:eastAsia="Times New Roman" w:hAnsi="Times New Roman" w:cs="Times New Roman"/>
        </w:rPr>
        <w:t>.</w:t>
      </w:r>
      <w:r w:rsidR="00817508">
        <w:rPr>
          <w:rFonts w:ascii="Times New Roman" w:eastAsia="Times New Roman" w:hAnsi="Times New Roman" w:cs="Times New Roman"/>
        </w:rPr>
        <w:t xml:space="preserve"> Aos amigos de Portugal que me acolheram e estão cada dia que passa mais próximos, Maju e Cadu, </w:t>
      </w:r>
      <w:proofErr w:type="spellStart"/>
      <w:r w:rsidR="00817508">
        <w:rPr>
          <w:rFonts w:ascii="Times New Roman" w:eastAsia="Times New Roman" w:hAnsi="Times New Roman" w:cs="Times New Roman"/>
        </w:rPr>
        <w:t>Ju</w:t>
      </w:r>
      <w:proofErr w:type="spellEnd"/>
      <w:r w:rsidR="00817508">
        <w:rPr>
          <w:rFonts w:ascii="Times New Roman" w:eastAsia="Times New Roman" w:hAnsi="Times New Roman" w:cs="Times New Roman"/>
        </w:rPr>
        <w:t xml:space="preserve"> e </w:t>
      </w:r>
      <w:proofErr w:type="spellStart"/>
      <w:r w:rsidR="00817508">
        <w:rPr>
          <w:rFonts w:ascii="Times New Roman" w:eastAsia="Times New Roman" w:hAnsi="Times New Roman" w:cs="Times New Roman"/>
        </w:rPr>
        <w:t>Tishi</w:t>
      </w:r>
      <w:proofErr w:type="spellEnd"/>
      <w:r w:rsidR="00817508">
        <w:rPr>
          <w:rFonts w:ascii="Times New Roman" w:eastAsia="Times New Roman" w:hAnsi="Times New Roman" w:cs="Times New Roman"/>
        </w:rPr>
        <w:t xml:space="preserve">, </w:t>
      </w:r>
      <w:proofErr w:type="spellStart"/>
      <w:r w:rsidR="00817508">
        <w:rPr>
          <w:rFonts w:ascii="Times New Roman" w:eastAsia="Times New Roman" w:hAnsi="Times New Roman" w:cs="Times New Roman"/>
        </w:rPr>
        <w:t>Gi</w:t>
      </w:r>
      <w:proofErr w:type="spellEnd"/>
      <w:r w:rsidR="00817508">
        <w:rPr>
          <w:rFonts w:ascii="Times New Roman" w:eastAsia="Times New Roman" w:hAnsi="Times New Roman" w:cs="Times New Roman"/>
        </w:rPr>
        <w:t xml:space="preserve"> e Lucas</w:t>
      </w:r>
    </w:p>
    <w:p w14:paraId="04F2C5A8" w14:textId="7109512B" w:rsidR="00FA6B71" w:rsidRDefault="00000000" w:rsidP="007B3A9B">
      <w:pPr>
        <w:spacing w:line="360" w:lineRule="auto"/>
        <w:ind w:firstLine="720"/>
        <w:jc w:val="center"/>
        <w:rPr>
          <w:rFonts w:ascii="Times New Roman" w:eastAsia="Times New Roman" w:hAnsi="Times New Roman" w:cs="Times New Roman"/>
          <w:b/>
        </w:rPr>
      </w:pPr>
      <w:r>
        <w:rPr>
          <w:rFonts w:ascii="Times New Roman" w:eastAsia="Times New Roman" w:hAnsi="Times New Roman" w:cs="Times New Roman"/>
          <w:b/>
        </w:rPr>
        <w:lastRenderedPageBreak/>
        <w:t>Resumo</w:t>
      </w:r>
    </w:p>
    <w:p w14:paraId="70956A89" w14:textId="77777777" w:rsidR="00FA6B71" w:rsidRDefault="00FA6B71">
      <w:pPr>
        <w:spacing w:line="360" w:lineRule="auto"/>
        <w:jc w:val="center"/>
        <w:rPr>
          <w:rFonts w:ascii="Times New Roman" w:eastAsia="Times New Roman" w:hAnsi="Times New Roman" w:cs="Times New Roman"/>
          <w:b/>
        </w:rPr>
      </w:pPr>
    </w:p>
    <w:p w14:paraId="2F2505ED" w14:textId="62763284"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A Educação para a Morte é um campo influente no guarda-chuva dos estudos sobre o Luto e a Morte e amplia os espaços de discussão sobre a temática. A escola é um espaço privilegiado do desenvolvimento humano, e a morte, apesar de ser uma dimensão intrínseca à vida, continua a ser omitida nos contextos educativos. O estudo desenvolveu-se segundo uma metodologia qualitativa, envolvendo a adaptação de um questionário sobre as atitudes de professores perante a educação para a morte (Rodríguez</w:t>
      </w:r>
      <w:r w:rsidR="001032A6">
        <w:rPr>
          <w:rFonts w:ascii="Times New Roman" w:eastAsia="Times New Roman" w:hAnsi="Times New Roman" w:cs="Times New Roman"/>
        </w:rPr>
        <w:t xml:space="preserve"> </w:t>
      </w:r>
      <w:proofErr w:type="spellStart"/>
      <w:r w:rsidR="001032A6">
        <w:rPr>
          <w:rFonts w:ascii="Times New Roman" w:eastAsia="Times New Roman" w:hAnsi="Times New Roman" w:cs="Times New Roman"/>
        </w:rPr>
        <w:t>et</w:t>
      </w:r>
      <w:proofErr w:type="spellEnd"/>
      <w:r w:rsidR="001032A6">
        <w:rPr>
          <w:rFonts w:ascii="Times New Roman" w:eastAsia="Times New Roman" w:hAnsi="Times New Roman" w:cs="Times New Roman"/>
        </w:rPr>
        <w:t xml:space="preserve"> al.</w:t>
      </w:r>
      <w:r>
        <w:rPr>
          <w:rFonts w:ascii="Times New Roman" w:eastAsia="Times New Roman" w:hAnsi="Times New Roman" w:cs="Times New Roman"/>
        </w:rPr>
        <w:t xml:space="preserve">, 2020) e a pilotagem do próprio, </w:t>
      </w:r>
      <w:proofErr w:type="spellStart"/>
      <w:r>
        <w:rPr>
          <w:rFonts w:ascii="Times New Roman" w:eastAsia="Times New Roman" w:hAnsi="Times New Roman" w:cs="Times New Roman"/>
        </w:rPr>
        <w:t>baseado-se</w:t>
      </w:r>
      <w:proofErr w:type="spellEnd"/>
      <w:r>
        <w:rPr>
          <w:rFonts w:ascii="Times New Roman" w:eastAsia="Times New Roman" w:hAnsi="Times New Roman" w:cs="Times New Roman"/>
        </w:rPr>
        <w:t xml:space="preserve"> no modelo de Entrevista Cognitiva descrito por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(1999, 2005). Foram feitas entrevistas com professores do 1º CEB, cujas respostas foram analisadas em dois passos: (i) análise de conteúdo e (</w:t>
      </w:r>
      <w:proofErr w:type="spellStart"/>
      <w:r>
        <w:rPr>
          <w:rFonts w:ascii="Times New Roman" w:eastAsia="Times New Roman" w:hAnsi="Times New Roman" w:cs="Times New Roman"/>
        </w:rPr>
        <w:t>ii</w:t>
      </w:r>
      <w:proofErr w:type="spellEnd"/>
      <w:r>
        <w:rPr>
          <w:rFonts w:ascii="Times New Roman" w:eastAsia="Times New Roman" w:hAnsi="Times New Roman" w:cs="Times New Roman"/>
        </w:rPr>
        <w:t xml:space="preserve">) revisão da entrevista cognitiva. Os resultados indicam principalmente: défices formativos significativos no tratamento da morte em contexto escolar, dificuldades dos professores em agregar crenças pessoais e expectativas em relação ao tratamento da temática Morte com crianças e opiniões divergentes quanto </w:t>
      </w:r>
      <w:r w:rsidR="001032A6">
        <w:rPr>
          <w:rFonts w:ascii="Times New Roman" w:eastAsia="Times New Roman" w:hAnsi="Times New Roman" w:cs="Times New Roman"/>
        </w:rPr>
        <w:t xml:space="preserve">à </w:t>
      </w:r>
      <w:r>
        <w:rPr>
          <w:rFonts w:ascii="Times New Roman" w:eastAsia="Times New Roman" w:hAnsi="Times New Roman" w:cs="Times New Roman"/>
        </w:rPr>
        <w:t>integração desta temática no corpo curricular. Quanto à pilotagem do questionário</w:t>
      </w:r>
      <w:r w:rsidR="001032A6">
        <w:rPr>
          <w:rFonts w:ascii="Times New Roman" w:eastAsia="Times New Roman" w:hAnsi="Times New Roman" w:cs="Times New Roman"/>
        </w:rPr>
        <w:t>,</w:t>
      </w:r>
      <w:r>
        <w:rPr>
          <w:rFonts w:ascii="Times New Roman" w:eastAsia="Times New Roman" w:hAnsi="Times New Roman" w:cs="Times New Roman"/>
        </w:rPr>
        <w:t xml:space="preserve"> revel</w:t>
      </w:r>
      <w:r w:rsidR="001032A6">
        <w:rPr>
          <w:rFonts w:ascii="Times New Roman" w:eastAsia="Times New Roman" w:hAnsi="Times New Roman" w:cs="Times New Roman"/>
        </w:rPr>
        <w:t>aram</w:t>
      </w:r>
      <w:r>
        <w:rPr>
          <w:rFonts w:ascii="Times New Roman" w:eastAsia="Times New Roman" w:hAnsi="Times New Roman" w:cs="Times New Roman"/>
        </w:rPr>
        <w:t xml:space="preserve">-se limitações na </w:t>
      </w:r>
      <w:r w:rsidR="006C099A">
        <w:rPr>
          <w:rFonts w:ascii="Times New Roman" w:eastAsia="Times New Roman" w:hAnsi="Times New Roman" w:cs="Times New Roman"/>
        </w:rPr>
        <w:tab/>
      </w:r>
      <w:r>
        <w:rPr>
          <w:rFonts w:ascii="Times New Roman" w:eastAsia="Times New Roman" w:hAnsi="Times New Roman" w:cs="Times New Roman"/>
        </w:rPr>
        <w:t>termos ambíguos ou conceitualmente sobrepostos. Conclui-se que a inclusão sistemática dessa temática nos programas formativos pode contribuir para uma abordagem mais humanizada e consciente do processo educativo.</w:t>
      </w:r>
    </w:p>
    <w:p w14:paraId="3A612E30" w14:textId="77777777" w:rsidR="00FA6B71" w:rsidRDefault="00FA6B71">
      <w:pPr>
        <w:spacing w:line="360" w:lineRule="auto"/>
        <w:jc w:val="both"/>
        <w:rPr>
          <w:rFonts w:ascii="Times New Roman" w:eastAsia="Times New Roman" w:hAnsi="Times New Roman" w:cs="Times New Roman"/>
        </w:rPr>
      </w:pPr>
    </w:p>
    <w:p w14:paraId="354BBEDE" w14:textId="72C47B95" w:rsidR="00A6784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b/>
        </w:rPr>
        <w:t>Palavras-chave</w:t>
      </w:r>
      <w:r>
        <w:rPr>
          <w:rFonts w:ascii="Times New Roman" w:eastAsia="Times New Roman" w:hAnsi="Times New Roman" w:cs="Times New Roman"/>
        </w:rPr>
        <w:t>: Educação para a morte; formação docente; 1º Ciclo do Ensino Básico; entrevista cognitiva; educação infantil.</w:t>
      </w:r>
      <w:r w:rsidR="00A67841">
        <w:rPr>
          <w:rFonts w:ascii="Times New Roman" w:eastAsia="Times New Roman" w:hAnsi="Times New Roman" w:cs="Times New Roman"/>
        </w:rPr>
        <w:tab/>
      </w:r>
    </w:p>
    <w:p w14:paraId="3B16BFAF" w14:textId="219252A2" w:rsidR="00FA6B71" w:rsidRDefault="00A67841" w:rsidP="00A67841">
      <w:pPr>
        <w:rPr>
          <w:rFonts w:ascii="Times New Roman" w:eastAsia="Times New Roman" w:hAnsi="Times New Roman" w:cs="Times New Roman"/>
        </w:rPr>
      </w:pPr>
      <w:r>
        <w:rPr>
          <w:rFonts w:ascii="Times New Roman" w:eastAsia="Times New Roman" w:hAnsi="Times New Roman" w:cs="Times New Roman"/>
        </w:rPr>
        <w:br w:type="page"/>
      </w:r>
    </w:p>
    <w:p w14:paraId="35E61401" w14:textId="77777777" w:rsidR="00FA6B71" w:rsidRDefault="00000000">
      <w:pPr>
        <w:spacing w:line="36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lastRenderedPageBreak/>
        <w:t>Abstract</w:t>
      </w:r>
      <w:proofErr w:type="spellEnd"/>
    </w:p>
    <w:p w14:paraId="569A3D88" w14:textId="77777777" w:rsidR="00FA6B71" w:rsidRDefault="00FA6B71">
      <w:pPr>
        <w:spacing w:line="360" w:lineRule="auto"/>
        <w:jc w:val="both"/>
        <w:rPr>
          <w:rFonts w:ascii="Times New Roman" w:eastAsia="Times New Roman" w:hAnsi="Times New Roman" w:cs="Times New Roman"/>
        </w:rPr>
      </w:pPr>
    </w:p>
    <w:p w14:paraId="76377C12" w14:textId="32E43FE5" w:rsidR="00FA6B71" w:rsidRDefault="00000000">
      <w:pPr>
        <w:spacing w:line="360" w:lineRule="auto"/>
        <w:ind w:firstLine="720"/>
        <w:jc w:val="both"/>
        <w:rPr>
          <w:rFonts w:ascii="Times New Roman" w:eastAsia="Times New Roman" w:hAnsi="Times New Roman" w:cs="Times New Roman"/>
        </w:rPr>
      </w:pP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influential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field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within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broader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framework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Grief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Studies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expands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spaces</w:t>
      </w:r>
      <w:proofErr w:type="spellEnd"/>
      <w:r>
        <w:rPr>
          <w:rFonts w:ascii="Times New Roman" w:eastAsia="Times New Roman" w:hAnsi="Times New Roman" w:cs="Times New Roman"/>
        </w:rPr>
        <w:t xml:space="preserve"> for </w:t>
      </w:r>
      <w:proofErr w:type="spellStart"/>
      <w:r>
        <w:rPr>
          <w:rFonts w:ascii="Times New Roman" w:eastAsia="Times New Roman" w:hAnsi="Times New Roman" w:cs="Times New Roman"/>
        </w:rPr>
        <w:t>discussion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topic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school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is</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privileged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setting</w:t>
      </w:r>
      <w:proofErr w:type="spellEnd"/>
      <w:r>
        <w:rPr>
          <w:rFonts w:ascii="Times New Roman" w:eastAsia="Times New Roman" w:hAnsi="Times New Roman" w:cs="Times New Roman"/>
        </w:rPr>
        <w:t xml:space="preserve"> for </w:t>
      </w:r>
      <w:proofErr w:type="spellStart"/>
      <w:r>
        <w:rPr>
          <w:rFonts w:ascii="Times New Roman" w:eastAsia="Times New Roman" w:hAnsi="Times New Roman" w:cs="Times New Roman"/>
        </w:rPr>
        <w:t>human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development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despite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intrinsic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dimension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life</w:t>
      </w:r>
      <w:proofErr w:type="spellEnd"/>
      <w:r>
        <w:rPr>
          <w:rFonts w:ascii="Times New Roman" w:eastAsia="Times New Roman" w:hAnsi="Times New Roman" w:cs="Times New Roman"/>
        </w:rPr>
        <w:t xml:space="preserve">, continues to </w:t>
      </w:r>
      <w:proofErr w:type="spellStart"/>
      <w:r>
        <w:rPr>
          <w:rFonts w:ascii="Times New Roman" w:eastAsia="Times New Roman" w:hAnsi="Times New Roman" w:cs="Times New Roman"/>
        </w:rPr>
        <w:t>be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omitted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from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contexts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developed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through</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qualitative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methodology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involving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adaptation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questionnaire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teachers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attitudes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toward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(Rodríguez </w:t>
      </w:r>
      <w:proofErr w:type="spellStart"/>
      <w:r w:rsidR="001032A6">
        <w:rPr>
          <w:rFonts w:ascii="Times New Roman" w:eastAsia="Times New Roman" w:hAnsi="Times New Roman" w:cs="Times New Roman"/>
        </w:rPr>
        <w:t>et</w:t>
      </w:r>
      <w:proofErr w:type="spellEnd"/>
      <w:r w:rsidR="001032A6">
        <w:rPr>
          <w:rFonts w:ascii="Times New Roman" w:eastAsia="Times New Roman" w:hAnsi="Times New Roman" w:cs="Times New Roman"/>
        </w:rPr>
        <w:t xml:space="preserve"> al.</w:t>
      </w:r>
      <w:r>
        <w:rPr>
          <w:rFonts w:ascii="Times New Roman" w:eastAsia="Times New Roman" w:hAnsi="Times New Roman" w:cs="Times New Roman"/>
        </w:rPr>
        <w:t xml:space="preserve">, 2020)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pilot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testing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based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Cognitive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Interview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described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(1999, 2005). </w:t>
      </w:r>
      <w:proofErr w:type="spellStart"/>
      <w:r>
        <w:rPr>
          <w:rFonts w:ascii="Times New Roman" w:eastAsia="Times New Roman" w:hAnsi="Times New Roman" w:cs="Times New Roman"/>
        </w:rPr>
        <w:t>Interviews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were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conducted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primary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school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teachers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whose</w:t>
      </w:r>
      <w:proofErr w:type="spellEnd"/>
      <w:r>
        <w:rPr>
          <w:rFonts w:ascii="Times New Roman" w:eastAsia="Times New Roman" w:hAnsi="Times New Roman" w:cs="Times New Roman"/>
        </w:rPr>
        <w:t xml:space="preserve"> responses </w:t>
      </w:r>
      <w:proofErr w:type="spellStart"/>
      <w:r>
        <w:rPr>
          <w:rFonts w:ascii="Times New Roman" w:eastAsia="Times New Roman" w:hAnsi="Times New Roman" w:cs="Times New Roman"/>
        </w:rPr>
        <w:t>were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analyzed</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two</w:t>
      </w:r>
      <w:proofErr w:type="spellEnd"/>
      <w:r>
        <w:rPr>
          <w:rFonts w:ascii="Times New Roman" w:eastAsia="Times New Roman" w:hAnsi="Times New Roman" w:cs="Times New Roman"/>
        </w:rPr>
        <w:t xml:space="preserve"> steps: (i) </w:t>
      </w:r>
      <w:proofErr w:type="spellStart"/>
      <w:r>
        <w:rPr>
          <w:rFonts w:ascii="Times New Roman" w:eastAsia="Times New Roman" w:hAnsi="Times New Roman" w:cs="Times New Roman"/>
        </w:rPr>
        <w:t>content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analysis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cognitive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interview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review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results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mainly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indicate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significant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teacher</w:t>
      </w:r>
      <w:proofErr w:type="spellEnd"/>
      <w:r>
        <w:rPr>
          <w:rFonts w:ascii="Times New Roman" w:eastAsia="Times New Roman" w:hAnsi="Times New Roman" w:cs="Times New Roman"/>
        </w:rPr>
        <w:t xml:space="preserve"> training gaps in </w:t>
      </w:r>
      <w:proofErr w:type="spellStart"/>
      <w:r>
        <w:rPr>
          <w:rFonts w:ascii="Times New Roman" w:eastAsia="Times New Roman" w:hAnsi="Times New Roman" w:cs="Times New Roman"/>
        </w:rPr>
        <w:t>addressing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within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school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context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difficulties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among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teachers</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reconciling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beliefs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expectations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regarding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how</w:t>
      </w:r>
      <w:proofErr w:type="spellEnd"/>
      <w:r>
        <w:rPr>
          <w:rFonts w:ascii="Times New Roman" w:eastAsia="Times New Roman" w:hAnsi="Times New Roman" w:cs="Times New Roman"/>
        </w:rPr>
        <w:t xml:space="preserve"> to </w:t>
      </w:r>
      <w:proofErr w:type="spellStart"/>
      <w:r>
        <w:rPr>
          <w:rFonts w:ascii="Times New Roman" w:eastAsia="Times New Roman" w:hAnsi="Times New Roman" w:cs="Times New Roman"/>
        </w:rPr>
        <w:t>approach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topic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children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divergent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opinions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about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integrating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subject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curriculum. </w:t>
      </w:r>
      <w:proofErr w:type="spellStart"/>
      <w:r>
        <w:rPr>
          <w:rFonts w:ascii="Times New Roman" w:eastAsia="Times New Roman" w:hAnsi="Times New Roman" w:cs="Times New Roman"/>
        </w:rPr>
        <w:t>Regarding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pilot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testing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questionnaire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limitations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were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identified</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formulation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some </w:t>
      </w:r>
      <w:proofErr w:type="spellStart"/>
      <w:r>
        <w:rPr>
          <w:rFonts w:ascii="Times New Roman" w:eastAsia="Times New Roman" w:hAnsi="Times New Roman" w:cs="Times New Roman"/>
        </w:rPr>
        <w:t>items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particularly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those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containing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ambiguous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conceptually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overlapping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terms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concluded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systematic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topic</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teacher</w:t>
      </w:r>
      <w:proofErr w:type="spellEnd"/>
      <w:r>
        <w:rPr>
          <w:rFonts w:ascii="Times New Roman" w:eastAsia="Times New Roman" w:hAnsi="Times New Roman" w:cs="Times New Roman"/>
        </w:rPr>
        <w:t xml:space="preserve"> training </w:t>
      </w:r>
      <w:proofErr w:type="spellStart"/>
      <w:r>
        <w:rPr>
          <w:rFonts w:ascii="Times New Roman" w:eastAsia="Times New Roman" w:hAnsi="Times New Roman" w:cs="Times New Roman"/>
        </w:rPr>
        <w:t>programs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contribute</w:t>
      </w:r>
      <w:proofErr w:type="spellEnd"/>
      <w:r>
        <w:rPr>
          <w:rFonts w:ascii="Times New Roman" w:eastAsia="Times New Roman" w:hAnsi="Times New Roman" w:cs="Times New Roman"/>
        </w:rPr>
        <w:t xml:space="preserve"> to a more </w:t>
      </w:r>
      <w:proofErr w:type="spellStart"/>
      <w:r>
        <w:rPr>
          <w:rFonts w:ascii="Times New Roman" w:eastAsia="Times New Roman" w:hAnsi="Times New Roman" w:cs="Times New Roman"/>
        </w:rPr>
        <w:t>humanized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conscious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approach</w:t>
      </w:r>
      <w:proofErr w:type="spellEnd"/>
      <w:r>
        <w:rPr>
          <w:rFonts w:ascii="Times New Roman" w:eastAsia="Times New Roman" w:hAnsi="Times New Roman" w:cs="Times New Roman"/>
        </w:rPr>
        <w:t xml:space="preserve"> to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process</w:t>
      </w:r>
      <w:proofErr w:type="spellEnd"/>
      <w:r>
        <w:rPr>
          <w:rFonts w:ascii="Times New Roman" w:eastAsia="Times New Roman" w:hAnsi="Times New Roman" w:cs="Times New Roman"/>
        </w:rPr>
        <w:t>.</w:t>
      </w:r>
    </w:p>
    <w:p w14:paraId="499FAD6F" w14:textId="77777777" w:rsidR="00FA6B71" w:rsidRDefault="00FA6B71">
      <w:pPr>
        <w:spacing w:line="360" w:lineRule="auto"/>
        <w:ind w:firstLine="720"/>
        <w:jc w:val="both"/>
        <w:rPr>
          <w:rFonts w:ascii="Times New Roman" w:eastAsia="Times New Roman" w:hAnsi="Times New Roman" w:cs="Times New Roman"/>
        </w:rPr>
      </w:pPr>
    </w:p>
    <w:p w14:paraId="33852ABE" w14:textId="38E80BD6" w:rsidR="00A67841" w:rsidRDefault="00000000" w:rsidP="00A67841">
      <w:pPr>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b/>
        </w:rPr>
        <w:t>Keywords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teacher</w:t>
      </w:r>
      <w:proofErr w:type="spellEnd"/>
      <w:r>
        <w:rPr>
          <w:rFonts w:ascii="Times New Roman" w:eastAsia="Times New Roman" w:hAnsi="Times New Roman" w:cs="Times New Roman"/>
        </w:rPr>
        <w:t xml:space="preserve"> training; </w:t>
      </w:r>
      <w:proofErr w:type="spellStart"/>
      <w:r>
        <w:rPr>
          <w:rFonts w:ascii="Times New Roman" w:eastAsia="Times New Roman" w:hAnsi="Times New Roman" w:cs="Times New Roman"/>
        </w:rPr>
        <w:t>primary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cognitive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interview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early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childhood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w:t>
      </w:r>
      <w:r w:rsidR="00A67841">
        <w:rPr>
          <w:rFonts w:ascii="Times New Roman" w:eastAsia="Times New Roman" w:hAnsi="Times New Roman" w:cs="Times New Roman"/>
        </w:rPr>
        <w:tab/>
      </w:r>
    </w:p>
    <w:p w14:paraId="391AE8C9" w14:textId="77777777" w:rsidR="00A67841" w:rsidRDefault="00A67841">
      <w:pPr>
        <w:rPr>
          <w:rFonts w:ascii="Times New Roman" w:eastAsia="Times New Roman" w:hAnsi="Times New Roman" w:cs="Times New Roman"/>
        </w:rPr>
      </w:pPr>
      <w:r>
        <w:rPr>
          <w:rFonts w:ascii="Times New Roman" w:eastAsia="Times New Roman" w:hAnsi="Times New Roman" w:cs="Times New Roman"/>
        </w:rPr>
        <w:br w:type="page"/>
      </w:r>
    </w:p>
    <w:sdt>
      <w:sdtPr>
        <w:rPr>
          <w:rFonts w:ascii="Cambria" w:eastAsia="Cambria" w:hAnsi="Cambria" w:cs="Cambria"/>
          <w:color w:val="auto"/>
          <w:sz w:val="24"/>
          <w:szCs w:val="24"/>
        </w:rPr>
        <w:id w:val="1370795556"/>
        <w:docPartObj>
          <w:docPartGallery w:val="Table of Contents"/>
          <w:docPartUnique/>
        </w:docPartObj>
      </w:sdtPr>
      <w:sdtEndPr>
        <w:rPr>
          <w:b/>
          <w:bCs/>
        </w:rPr>
      </w:sdtEndPr>
      <w:sdtContent>
        <w:p w14:paraId="16C59D42" w14:textId="27B89807" w:rsidR="007B7C3D" w:rsidRDefault="007B7C3D" w:rsidP="007B7C3D">
          <w:pPr>
            <w:pStyle w:val="Cabealhodondice"/>
            <w:jc w:val="center"/>
            <w:rPr>
              <w:rFonts w:ascii="Times New Roman" w:hAnsi="Times New Roman" w:cs="Times New Roman"/>
              <w:b/>
              <w:bCs/>
              <w:color w:val="auto"/>
              <w:sz w:val="24"/>
              <w:szCs w:val="24"/>
            </w:rPr>
          </w:pPr>
          <w:r w:rsidRPr="007B7C3D">
            <w:rPr>
              <w:rFonts w:ascii="Times New Roman" w:hAnsi="Times New Roman" w:cs="Times New Roman"/>
              <w:b/>
              <w:bCs/>
              <w:color w:val="auto"/>
              <w:sz w:val="24"/>
              <w:szCs w:val="24"/>
            </w:rPr>
            <w:t>Índice</w:t>
          </w:r>
        </w:p>
        <w:p w14:paraId="4F1F327F" w14:textId="77777777" w:rsidR="007B7C3D" w:rsidRPr="007B7C3D" w:rsidRDefault="007B7C3D" w:rsidP="007B7C3D"/>
        <w:p w14:paraId="007555DD" w14:textId="4C647635" w:rsidR="007B7C3D" w:rsidRPr="007B7C3D" w:rsidRDefault="007B7C3D">
          <w:pPr>
            <w:pStyle w:val="ndice1"/>
            <w:tabs>
              <w:tab w:val="left" w:pos="480"/>
              <w:tab w:val="right" w:leader="dot" w:pos="8290"/>
            </w:tabs>
            <w:rPr>
              <w:rFonts w:ascii="Times New Roman" w:hAnsi="Times New Roman" w:cs="Times New Roman"/>
              <w:noProof/>
            </w:rPr>
          </w:pPr>
          <w:r w:rsidRPr="007B7C3D">
            <w:rPr>
              <w:rFonts w:ascii="Times New Roman" w:hAnsi="Times New Roman" w:cs="Times New Roman"/>
            </w:rPr>
            <w:fldChar w:fldCharType="begin"/>
          </w:r>
          <w:r w:rsidRPr="007B7C3D">
            <w:rPr>
              <w:rFonts w:ascii="Times New Roman" w:hAnsi="Times New Roman" w:cs="Times New Roman"/>
            </w:rPr>
            <w:instrText xml:space="preserve"> TOC \o "1-3" \h \z \u </w:instrText>
          </w:r>
          <w:r w:rsidRPr="007B7C3D">
            <w:rPr>
              <w:rFonts w:ascii="Times New Roman" w:hAnsi="Times New Roman" w:cs="Times New Roman"/>
            </w:rPr>
            <w:fldChar w:fldCharType="separate"/>
          </w:r>
          <w:hyperlink w:anchor="_Toc210994438" w:history="1">
            <w:r w:rsidRPr="007B7C3D">
              <w:rPr>
                <w:rStyle w:val="Hiperligao"/>
                <w:rFonts w:ascii="Times New Roman" w:hAnsi="Times New Roman" w:cs="Times New Roman"/>
                <w:noProof/>
              </w:rPr>
              <w:t>1.</w:t>
            </w:r>
            <w:r w:rsidRPr="007B7C3D">
              <w:rPr>
                <w:rFonts w:ascii="Times New Roman" w:hAnsi="Times New Roman" w:cs="Times New Roman"/>
                <w:noProof/>
              </w:rPr>
              <w:tab/>
            </w:r>
            <w:r w:rsidRPr="007B7C3D">
              <w:rPr>
                <w:rStyle w:val="Hiperligao"/>
                <w:rFonts w:ascii="Times New Roman" w:hAnsi="Times New Roman" w:cs="Times New Roman"/>
                <w:noProof/>
              </w:rPr>
              <w:t>Introdução</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_Toc210994438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1</w:t>
            </w:r>
            <w:r w:rsidRPr="007B7C3D">
              <w:rPr>
                <w:rFonts w:ascii="Times New Roman" w:hAnsi="Times New Roman" w:cs="Times New Roman"/>
                <w:noProof/>
                <w:webHidden/>
              </w:rPr>
              <w:fldChar w:fldCharType="end"/>
            </w:r>
          </w:hyperlink>
        </w:p>
        <w:p w14:paraId="306B9F48" w14:textId="38CD033C" w:rsidR="007B7C3D" w:rsidRPr="007B7C3D" w:rsidRDefault="007B7C3D">
          <w:pPr>
            <w:pStyle w:val="ndice2"/>
            <w:tabs>
              <w:tab w:val="right" w:leader="dot" w:pos="8290"/>
            </w:tabs>
            <w:rPr>
              <w:rFonts w:ascii="Times New Roman" w:hAnsi="Times New Roman" w:cs="Times New Roman"/>
              <w:noProof/>
            </w:rPr>
          </w:pPr>
          <w:hyperlink w:anchor="_Toc210994439" w:history="1">
            <w:r w:rsidRPr="007B7C3D">
              <w:rPr>
                <w:rStyle w:val="Hiperligao"/>
                <w:rFonts w:ascii="Times New Roman" w:hAnsi="Times New Roman" w:cs="Times New Roman"/>
                <w:noProof/>
              </w:rPr>
              <w:t>1.1. As crianças e a morte</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_Toc210994439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3</w:t>
            </w:r>
            <w:r w:rsidRPr="007B7C3D">
              <w:rPr>
                <w:rFonts w:ascii="Times New Roman" w:hAnsi="Times New Roman" w:cs="Times New Roman"/>
                <w:noProof/>
                <w:webHidden/>
              </w:rPr>
              <w:fldChar w:fldCharType="end"/>
            </w:r>
          </w:hyperlink>
        </w:p>
        <w:p w14:paraId="2BCA5624" w14:textId="608BBC21" w:rsidR="007B7C3D" w:rsidRPr="007B7C3D" w:rsidRDefault="007B7C3D">
          <w:pPr>
            <w:pStyle w:val="ndice2"/>
            <w:tabs>
              <w:tab w:val="right" w:leader="dot" w:pos="8290"/>
            </w:tabs>
            <w:rPr>
              <w:rFonts w:ascii="Times New Roman" w:hAnsi="Times New Roman" w:cs="Times New Roman"/>
              <w:noProof/>
              <w:u w:val="single"/>
            </w:rPr>
          </w:pPr>
          <w:hyperlink w:anchor="_Toc210994440" w:history="1">
            <w:r w:rsidRPr="007B7C3D">
              <w:rPr>
                <w:rStyle w:val="Hiperligao"/>
                <w:rFonts w:ascii="Times New Roman" w:hAnsi="Times New Roman" w:cs="Times New Roman"/>
                <w:noProof/>
              </w:rPr>
              <w:t>1.2. Morte e luto no contexto escolar português</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_Toc210994440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4</w:t>
            </w:r>
            <w:r w:rsidRPr="007B7C3D">
              <w:rPr>
                <w:rFonts w:ascii="Times New Roman" w:hAnsi="Times New Roman" w:cs="Times New Roman"/>
                <w:noProof/>
                <w:webHidden/>
              </w:rPr>
              <w:fldChar w:fldCharType="end"/>
            </w:r>
          </w:hyperlink>
        </w:p>
        <w:p w14:paraId="0C575EE9" w14:textId="504DB16E" w:rsidR="007B7C3D" w:rsidRPr="007B7C3D" w:rsidRDefault="007B7C3D">
          <w:pPr>
            <w:pStyle w:val="ndice2"/>
            <w:tabs>
              <w:tab w:val="right" w:leader="dot" w:pos="8290"/>
            </w:tabs>
            <w:rPr>
              <w:rFonts w:ascii="Times New Roman" w:hAnsi="Times New Roman" w:cs="Times New Roman"/>
              <w:noProof/>
            </w:rPr>
          </w:pPr>
          <w:hyperlink w:anchor="_Toc210994441" w:history="1">
            <w:r w:rsidRPr="007B7C3D">
              <w:rPr>
                <w:rStyle w:val="Hiperligao"/>
                <w:rFonts w:ascii="Times New Roman" w:hAnsi="Times New Roman" w:cs="Times New Roman"/>
                <w:noProof/>
              </w:rPr>
              <w:t>1.3. Educadores e suas atitudes perante a morte em contexto escolar</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_Toc210994441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5</w:t>
            </w:r>
            <w:r w:rsidRPr="007B7C3D">
              <w:rPr>
                <w:rFonts w:ascii="Times New Roman" w:hAnsi="Times New Roman" w:cs="Times New Roman"/>
                <w:noProof/>
                <w:webHidden/>
              </w:rPr>
              <w:fldChar w:fldCharType="end"/>
            </w:r>
          </w:hyperlink>
        </w:p>
        <w:p w14:paraId="0EE0D8D7" w14:textId="45D0F325" w:rsidR="007B7C3D" w:rsidRPr="007B7C3D" w:rsidRDefault="007B7C3D">
          <w:pPr>
            <w:pStyle w:val="ndice2"/>
            <w:tabs>
              <w:tab w:val="right" w:leader="dot" w:pos="8290"/>
            </w:tabs>
            <w:rPr>
              <w:rFonts w:ascii="Times New Roman" w:hAnsi="Times New Roman" w:cs="Times New Roman"/>
              <w:noProof/>
            </w:rPr>
          </w:pPr>
          <w:hyperlink w:anchor="_Toc210994442" w:history="1">
            <w:r w:rsidRPr="007B7C3D">
              <w:rPr>
                <w:rStyle w:val="Hiperligao"/>
                <w:rFonts w:ascii="Times New Roman" w:hAnsi="Times New Roman" w:cs="Times New Roman"/>
                <w:noProof/>
              </w:rPr>
              <w:t>1.4. Entrevista Cognitiva</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_Toc210994442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6</w:t>
            </w:r>
            <w:r w:rsidRPr="007B7C3D">
              <w:rPr>
                <w:rFonts w:ascii="Times New Roman" w:hAnsi="Times New Roman" w:cs="Times New Roman"/>
                <w:noProof/>
                <w:webHidden/>
              </w:rPr>
              <w:fldChar w:fldCharType="end"/>
            </w:r>
          </w:hyperlink>
        </w:p>
        <w:p w14:paraId="62EB772C" w14:textId="0FCF3A16" w:rsidR="007B7C3D" w:rsidRPr="007B7C3D" w:rsidRDefault="007B7C3D">
          <w:pPr>
            <w:pStyle w:val="ndice2"/>
            <w:tabs>
              <w:tab w:val="right" w:leader="dot" w:pos="8290"/>
            </w:tabs>
            <w:rPr>
              <w:rFonts w:ascii="Times New Roman" w:hAnsi="Times New Roman" w:cs="Times New Roman"/>
              <w:noProof/>
            </w:rPr>
          </w:pPr>
          <w:hyperlink w:anchor="_Toc210994443" w:history="1">
            <w:r w:rsidRPr="007B7C3D">
              <w:rPr>
                <w:rStyle w:val="Hiperligao"/>
                <w:rFonts w:ascii="Times New Roman" w:hAnsi="Times New Roman" w:cs="Times New Roman"/>
                <w:noProof/>
              </w:rPr>
              <w:t>1.5. Objetivos</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_Toc210994443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9</w:t>
            </w:r>
            <w:r w:rsidRPr="007B7C3D">
              <w:rPr>
                <w:rFonts w:ascii="Times New Roman" w:hAnsi="Times New Roman" w:cs="Times New Roman"/>
                <w:noProof/>
                <w:webHidden/>
              </w:rPr>
              <w:fldChar w:fldCharType="end"/>
            </w:r>
          </w:hyperlink>
        </w:p>
        <w:p w14:paraId="7E47CAFB" w14:textId="7EECE7A4" w:rsidR="007B7C3D" w:rsidRPr="007B7C3D" w:rsidRDefault="007B7C3D">
          <w:pPr>
            <w:pStyle w:val="ndice1"/>
            <w:tabs>
              <w:tab w:val="right" w:leader="dot" w:pos="8290"/>
            </w:tabs>
            <w:rPr>
              <w:rFonts w:ascii="Times New Roman" w:hAnsi="Times New Roman" w:cs="Times New Roman"/>
              <w:noProof/>
            </w:rPr>
          </w:pPr>
          <w:hyperlink w:anchor="_Toc210994444" w:history="1">
            <w:r w:rsidRPr="007B7C3D">
              <w:rPr>
                <w:rStyle w:val="Hiperligao"/>
                <w:rFonts w:ascii="Times New Roman" w:hAnsi="Times New Roman" w:cs="Times New Roman"/>
                <w:noProof/>
              </w:rPr>
              <w:t>2. Método</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_Toc210994444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10</w:t>
            </w:r>
            <w:r w:rsidRPr="007B7C3D">
              <w:rPr>
                <w:rFonts w:ascii="Times New Roman" w:hAnsi="Times New Roman" w:cs="Times New Roman"/>
                <w:noProof/>
                <w:webHidden/>
              </w:rPr>
              <w:fldChar w:fldCharType="end"/>
            </w:r>
          </w:hyperlink>
        </w:p>
        <w:p w14:paraId="2342E83C" w14:textId="706C7037" w:rsidR="007B7C3D" w:rsidRPr="007B7C3D" w:rsidRDefault="007B7C3D">
          <w:pPr>
            <w:pStyle w:val="ndice2"/>
            <w:tabs>
              <w:tab w:val="right" w:leader="dot" w:pos="8290"/>
            </w:tabs>
            <w:rPr>
              <w:rFonts w:ascii="Times New Roman" w:hAnsi="Times New Roman" w:cs="Times New Roman"/>
              <w:noProof/>
            </w:rPr>
          </w:pPr>
          <w:hyperlink w:anchor="_Toc210994445" w:history="1">
            <w:r w:rsidRPr="007B7C3D">
              <w:rPr>
                <w:rStyle w:val="Hiperligao"/>
                <w:rFonts w:ascii="Times New Roman" w:hAnsi="Times New Roman" w:cs="Times New Roman"/>
                <w:noProof/>
              </w:rPr>
              <w:t>2.1.</w:t>
            </w:r>
            <w:r w:rsidRPr="007B7C3D">
              <w:rPr>
                <w:rStyle w:val="Hiperligao"/>
                <w:rFonts w:ascii="Times New Roman" w:hAnsi="Times New Roman" w:cs="Times New Roman"/>
                <w:i/>
                <w:noProof/>
              </w:rPr>
              <w:t xml:space="preserve"> </w:t>
            </w:r>
            <w:r w:rsidRPr="007B7C3D">
              <w:rPr>
                <w:rStyle w:val="Hiperligao"/>
                <w:rFonts w:ascii="Times New Roman" w:hAnsi="Times New Roman" w:cs="Times New Roman"/>
                <w:noProof/>
              </w:rPr>
              <w:t>Participantes</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_Toc210994445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10</w:t>
            </w:r>
            <w:r w:rsidRPr="007B7C3D">
              <w:rPr>
                <w:rFonts w:ascii="Times New Roman" w:hAnsi="Times New Roman" w:cs="Times New Roman"/>
                <w:noProof/>
                <w:webHidden/>
              </w:rPr>
              <w:fldChar w:fldCharType="end"/>
            </w:r>
          </w:hyperlink>
        </w:p>
        <w:p w14:paraId="58D412BF" w14:textId="7A804D83" w:rsidR="007B7C3D" w:rsidRPr="007B7C3D" w:rsidRDefault="007B7C3D">
          <w:pPr>
            <w:pStyle w:val="ndice2"/>
            <w:tabs>
              <w:tab w:val="right" w:leader="dot" w:pos="8290"/>
            </w:tabs>
            <w:rPr>
              <w:rFonts w:ascii="Times New Roman" w:hAnsi="Times New Roman" w:cs="Times New Roman"/>
              <w:noProof/>
            </w:rPr>
          </w:pPr>
          <w:hyperlink w:anchor="_Toc210994446" w:history="1">
            <w:r w:rsidRPr="007B7C3D">
              <w:rPr>
                <w:rStyle w:val="Hiperligao"/>
                <w:rFonts w:ascii="Times New Roman" w:hAnsi="Times New Roman" w:cs="Times New Roman"/>
                <w:noProof/>
              </w:rPr>
              <w:t>2.2. Procedimentos</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_Toc210994446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12</w:t>
            </w:r>
            <w:r w:rsidRPr="007B7C3D">
              <w:rPr>
                <w:rFonts w:ascii="Times New Roman" w:hAnsi="Times New Roman" w:cs="Times New Roman"/>
                <w:noProof/>
                <w:webHidden/>
              </w:rPr>
              <w:fldChar w:fldCharType="end"/>
            </w:r>
          </w:hyperlink>
        </w:p>
        <w:p w14:paraId="5AE01821" w14:textId="29CBC0B2" w:rsidR="007B7C3D" w:rsidRPr="007B7C3D" w:rsidRDefault="007B7C3D">
          <w:pPr>
            <w:pStyle w:val="ndice2"/>
            <w:tabs>
              <w:tab w:val="right" w:leader="dot" w:pos="8290"/>
            </w:tabs>
            <w:rPr>
              <w:rFonts w:ascii="Times New Roman" w:hAnsi="Times New Roman" w:cs="Times New Roman"/>
              <w:noProof/>
            </w:rPr>
          </w:pPr>
          <w:hyperlink w:anchor="_Toc210994447" w:history="1">
            <w:r w:rsidRPr="007B7C3D">
              <w:rPr>
                <w:rStyle w:val="Hiperligao"/>
                <w:rFonts w:ascii="Times New Roman" w:hAnsi="Times New Roman" w:cs="Times New Roman"/>
                <w:noProof/>
              </w:rPr>
              <w:t>2.4. Medidas</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_Toc210994447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13</w:t>
            </w:r>
            <w:r w:rsidRPr="007B7C3D">
              <w:rPr>
                <w:rFonts w:ascii="Times New Roman" w:hAnsi="Times New Roman" w:cs="Times New Roman"/>
                <w:noProof/>
                <w:webHidden/>
              </w:rPr>
              <w:fldChar w:fldCharType="end"/>
            </w:r>
          </w:hyperlink>
        </w:p>
        <w:p w14:paraId="620A95A9" w14:textId="5416B4AA" w:rsidR="007B7C3D" w:rsidRPr="007B7C3D" w:rsidRDefault="007B7C3D">
          <w:pPr>
            <w:pStyle w:val="ndice1"/>
            <w:tabs>
              <w:tab w:val="left" w:pos="480"/>
              <w:tab w:val="right" w:leader="dot" w:pos="8290"/>
            </w:tabs>
            <w:rPr>
              <w:rFonts w:ascii="Times New Roman" w:hAnsi="Times New Roman" w:cs="Times New Roman"/>
              <w:noProof/>
            </w:rPr>
          </w:pPr>
          <w:hyperlink w:anchor="_Toc210994448" w:history="1">
            <w:r w:rsidRPr="007B7C3D">
              <w:rPr>
                <w:rStyle w:val="Hiperligao"/>
                <w:rFonts w:ascii="Times New Roman" w:hAnsi="Times New Roman" w:cs="Times New Roman"/>
                <w:noProof/>
              </w:rPr>
              <w:t>3.</w:t>
            </w:r>
            <w:r w:rsidRPr="007B7C3D">
              <w:rPr>
                <w:rFonts w:ascii="Times New Roman" w:hAnsi="Times New Roman" w:cs="Times New Roman"/>
                <w:noProof/>
              </w:rPr>
              <w:tab/>
            </w:r>
            <w:r w:rsidRPr="007B7C3D">
              <w:rPr>
                <w:rStyle w:val="Hiperligao"/>
                <w:rFonts w:ascii="Times New Roman" w:hAnsi="Times New Roman" w:cs="Times New Roman"/>
                <w:noProof/>
              </w:rPr>
              <w:t>Resultados</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_Toc210994448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15</w:t>
            </w:r>
            <w:r w:rsidRPr="007B7C3D">
              <w:rPr>
                <w:rFonts w:ascii="Times New Roman" w:hAnsi="Times New Roman" w:cs="Times New Roman"/>
                <w:noProof/>
                <w:webHidden/>
              </w:rPr>
              <w:fldChar w:fldCharType="end"/>
            </w:r>
          </w:hyperlink>
        </w:p>
        <w:p w14:paraId="4B1C4EE8" w14:textId="3DA613EB" w:rsidR="007B7C3D" w:rsidRPr="007B7C3D" w:rsidRDefault="007B7C3D">
          <w:pPr>
            <w:pStyle w:val="ndice2"/>
            <w:tabs>
              <w:tab w:val="right" w:leader="dot" w:pos="8290"/>
            </w:tabs>
            <w:rPr>
              <w:rFonts w:ascii="Times New Roman" w:hAnsi="Times New Roman" w:cs="Times New Roman"/>
              <w:noProof/>
            </w:rPr>
          </w:pPr>
          <w:hyperlink w:anchor="_Toc210994449" w:history="1">
            <w:r w:rsidRPr="007B7C3D">
              <w:rPr>
                <w:rStyle w:val="Hiperligao"/>
                <w:rFonts w:ascii="Times New Roman" w:hAnsi="Times New Roman" w:cs="Times New Roman"/>
                <w:noProof/>
              </w:rPr>
              <w:t>3.1 - “Necessidades na formação”</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_Toc210994449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15</w:t>
            </w:r>
            <w:r w:rsidRPr="007B7C3D">
              <w:rPr>
                <w:rFonts w:ascii="Times New Roman" w:hAnsi="Times New Roman" w:cs="Times New Roman"/>
                <w:noProof/>
                <w:webHidden/>
              </w:rPr>
              <w:fldChar w:fldCharType="end"/>
            </w:r>
          </w:hyperlink>
        </w:p>
        <w:p w14:paraId="180C044F" w14:textId="4CE7B386" w:rsidR="007B7C3D" w:rsidRPr="007B7C3D" w:rsidRDefault="007B7C3D">
          <w:pPr>
            <w:pStyle w:val="ndice2"/>
            <w:tabs>
              <w:tab w:val="right" w:leader="dot" w:pos="8290"/>
            </w:tabs>
            <w:rPr>
              <w:rFonts w:ascii="Times New Roman" w:hAnsi="Times New Roman" w:cs="Times New Roman"/>
              <w:noProof/>
            </w:rPr>
          </w:pPr>
          <w:hyperlink w:anchor="_Toc210994450" w:history="1">
            <w:r w:rsidRPr="007B7C3D">
              <w:rPr>
                <w:rStyle w:val="Hiperligao"/>
                <w:rFonts w:ascii="Times New Roman" w:hAnsi="Times New Roman" w:cs="Times New Roman"/>
                <w:noProof/>
              </w:rPr>
              <w:t>3.2 - “Integração da temática no ensino escolar”</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_Toc210994450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17</w:t>
            </w:r>
            <w:r w:rsidRPr="007B7C3D">
              <w:rPr>
                <w:rFonts w:ascii="Times New Roman" w:hAnsi="Times New Roman" w:cs="Times New Roman"/>
                <w:noProof/>
                <w:webHidden/>
              </w:rPr>
              <w:fldChar w:fldCharType="end"/>
            </w:r>
          </w:hyperlink>
        </w:p>
        <w:p w14:paraId="200DFF00" w14:textId="58441810" w:rsidR="007B7C3D" w:rsidRPr="007B7C3D" w:rsidRDefault="007B7C3D">
          <w:pPr>
            <w:pStyle w:val="ndice2"/>
            <w:tabs>
              <w:tab w:val="right" w:leader="dot" w:pos="8290"/>
            </w:tabs>
            <w:rPr>
              <w:rFonts w:ascii="Times New Roman" w:hAnsi="Times New Roman" w:cs="Times New Roman"/>
              <w:noProof/>
            </w:rPr>
          </w:pPr>
          <w:hyperlink w:anchor="_Toc210994451" w:history="1">
            <w:r w:rsidRPr="007B7C3D">
              <w:rPr>
                <w:rStyle w:val="Hiperligao"/>
                <w:rFonts w:ascii="Times New Roman" w:hAnsi="Times New Roman" w:cs="Times New Roman"/>
                <w:noProof/>
              </w:rPr>
              <w:t>3.3 - “Capacidade dos educadores em refletir sobre a morte”</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_Toc210994451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20</w:t>
            </w:r>
            <w:r w:rsidRPr="007B7C3D">
              <w:rPr>
                <w:rFonts w:ascii="Times New Roman" w:hAnsi="Times New Roman" w:cs="Times New Roman"/>
                <w:noProof/>
                <w:webHidden/>
              </w:rPr>
              <w:fldChar w:fldCharType="end"/>
            </w:r>
          </w:hyperlink>
        </w:p>
        <w:p w14:paraId="53FC7499" w14:textId="318B6D10" w:rsidR="007B7C3D" w:rsidRPr="007B7C3D" w:rsidRDefault="007B7C3D">
          <w:pPr>
            <w:pStyle w:val="ndice2"/>
            <w:tabs>
              <w:tab w:val="right" w:leader="dot" w:pos="8290"/>
            </w:tabs>
            <w:rPr>
              <w:rFonts w:ascii="Times New Roman" w:hAnsi="Times New Roman" w:cs="Times New Roman"/>
              <w:noProof/>
            </w:rPr>
          </w:pPr>
          <w:hyperlink w:anchor="_Toc210994452" w:history="1">
            <w:r w:rsidRPr="007B7C3D">
              <w:rPr>
                <w:rStyle w:val="Hiperligao"/>
                <w:rFonts w:ascii="Times New Roman" w:hAnsi="Times New Roman" w:cs="Times New Roman"/>
                <w:noProof/>
              </w:rPr>
              <w:t>3.4 - Avaliação geral do questionário</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_Toc210994452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21</w:t>
            </w:r>
            <w:r w:rsidRPr="007B7C3D">
              <w:rPr>
                <w:rFonts w:ascii="Times New Roman" w:hAnsi="Times New Roman" w:cs="Times New Roman"/>
                <w:noProof/>
                <w:webHidden/>
              </w:rPr>
              <w:fldChar w:fldCharType="end"/>
            </w:r>
          </w:hyperlink>
        </w:p>
        <w:p w14:paraId="1711E402" w14:textId="575545E1" w:rsidR="007B7C3D" w:rsidRPr="007B7C3D" w:rsidRDefault="007B7C3D">
          <w:pPr>
            <w:pStyle w:val="ndice1"/>
            <w:tabs>
              <w:tab w:val="left" w:pos="480"/>
              <w:tab w:val="right" w:leader="dot" w:pos="8290"/>
            </w:tabs>
            <w:rPr>
              <w:rFonts w:ascii="Times New Roman" w:hAnsi="Times New Roman" w:cs="Times New Roman"/>
              <w:noProof/>
            </w:rPr>
          </w:pPr>
          <w:hyperlink w:anchor="_Toc210994453" w:history="1">
            <w:r w:rsidRPr="007B7C3D">
              <w:rPr>
                <w:rStyle w:val="Hiperligao"/>
                <w:rFonts w:ascii="Times New Roman" w:hAnsi="Times New Roman" w:cs="Times New Roman"/>
                <w:noProof/>
              </w:rPr>
              <w:t>4.</w:t>
            </w:r>
            <w:r w:rsidRPr="007B7C3D">
              <w:rPr>
                <w:rFonts w:ascii="Times New Roman" w:hAnsi="Times New Roman" w:cs="Times New Roman"/>
                <w:noProof/>
              </w:rPr>
              <w:tab/>
            </w:r>
            <w:r w:rsidRPr="007B7C3D">
              <w:rPr>
                <w:rStyle w:val="Hiperligao"/>
                <w:rFonts w:ascii="Times New Roman" w:hAnsi="Times New Roman" w:cs="Times New Roman"/>
                <w:noProof/>
              </w:rPr>
              <w:t>Discussão</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_Toc210994453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24</w:t>
            </w:r>
            <w:r w:rsidRPr="007B7C3D">
              <w:rPr>
                <w:rFonts w:ascii="Times New Roman" w:hAnsi="Times New Roman" w:cs="Times New Roman"/>
                <w:noProof/>
                <w:webHidden/>
              </w:rPr>
              <w:fldChar w:fldCharType="end"/>
            </w:r>
          </w:hyperlink>
        </w:p>
        <w:p w14:paraId="2464CCB6" w14:textId="681E3AEA" w:rsidR="007B7C3D" w:rsidRPr="007B7C3D" w:rsidRDefault="007B7C3D">
          <w:pPr>
            <w:pStyle w:val="ndice1"/>
            <w:tabs>
              <w:tab w:val="left" w:pos="480"/>
              <w:tab w:val="right" w:leader="dot" w:pos="8290"/>
            </w:tabs>
            <w:rPr>
              <w:rFonts w:ascii="Times New Roman" w:hAnsi="Times New Roman" w:cs="Times New Roman"/>
              <w:noProof/>
            </w:rPr>
          </w:pPr>
          <w:hyperlink w:anchor="_Toc210994454" w:history="1">
            <w:r w:rsidRPr="007B7C3D">
              <w:rPr>
                <w:rStyle w:val="Hiperligao"/>
                <w:rFonts w:ascii="Times New Roman" w:hAnsi="Times New Roman" w:cs="Times New Roman"/>
                <w:noProof/>
              </w:rPr>
              <w:t>5.</w:t>
            </w:r>
            <w:r w:rsidRPr="007B7C3D">
              <w:rPr>
                <w:rFonts w:ascii="Times New Roman" w:hAnsi="Times New Roman" w:cs="Times New Roman"/>
                <w:noProof/>
              </w:rPr>
              <w:tab/>
            </w:r>
            <w:r w:rsidRPr="007B7C3D">
              <w:rPr>
                <w:rStyle w:val="Hiperligao"/>
                <w:rFonts w:ascii="Times New Roman" w:hAnsi="Times New Roman" w:cs="Times New Roman"/>
                <w:noProof/>
              </w:rPr>
              <w:t>Considerações finais</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_Toc210994454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28</w:t>
            </w:r>
            <w:r w:rsidRPr="007B7C3D">
              <w:rPr>
                <w:rFonts w:ascii="Times New Roman" w:hAnsi="Times New Roman" w:cs="Times New Roman"/>
                <w:noProof/>
                <w:webHidden/>
              </w:rPr>
              <w:fldChar w:fldCharType="end"/>
            </w:r>
          </w:hyperlink>
        </w:p>
        <w:p w14:paraId="4A0E2D7F" w14:textId="728DB815" w:rsidR="007B7C3D" w:rsidRPr="007B7C3D" w:rsidRDefault="007B7C3D">
          <w:pPr>
            <w:pStyle w:val="ndice1"/>
            <w:tabs>
              <w:tab w:val="right" w:leader="dot" w:pos="8290"/>
            </w:tabs>
            <w:rPr>
              <w:rFonts w:ascii="Times New Roman" w:hAnsi="Times New Roman" w:cs="Times New Roman"/>
              <w:noProof/>
            </w:rPr>
          </w:pPr>
          <w:hyperlink w:anchor="_Toc210994455" w:history="1">
            <w:r w:rsidRPr="007B7C3D">
              <w:rPr>
                <w:rStyle w:val="Hiperligao"/>
                <w:rFonts w:ascii="Times New Roman" w:hAnsi="Times New Roman" w:cs="Times New Roman"/>
                <w:noProof/>
              </w:rPr>
              <w:t>Referências Bibliográficas</w:t>
            </w:r>
            <w:r w:rsidRPr="007B7C3D">
              <w:rPr>
                <w:rFonts w:ascii="Times New Roman" w:hAnsi="Times New Roman" w:cs="Times New Roman"/>
                <w:noProof/>
                <w:webHidden/>
              </w:rPr>
              <w:tab/>
            </w:r>
            <w:r w:rsidRPr="007B7C3D">
              <w:rPr>
                <w:rFonts w:ascii="Times New Roman" w:hAnsi="Times New Roman" w:cs="Times New Roman"/>
                <w:noProof/>
                <w:webHidden/>
              </w:rPr>
              <w:fldChar w:fldCharType="begin"/>
            </w:r>
            <w:r w:rsidRPr="007B7C3D">
              <w:rPr>
                <w:rFonts w:ascii="Times New Roman" w:hAnsi="Times New Roman" w:cs="Times New Roman"/>
                <w:noProof/>
                <w:webHidden/>
              </w:rPr>
              <w:instrText xml:space="preserve"> PAGEREF _Toc210994455 \h </w:instrText>
            </w:r>
            <w:r w:rsidRPr="007B7C3D">
              <w:rPr>
                <w:rFonts w:ascii="Times New Roman" w:hAnsi="Times New Roman" w:cs="Times New Roman"/>
                <w:noProof/>
                <w:webHidden/>
              </w:rPr>
            </w:r>
            <w:r w:rsidRPr="007B7C3D">
              <w:rPr>
                <w:rFonts w:ascii="Times New Roman" w:hAnsi="Times New Roman" w:cs="Times New Roman"/>
                <w:noProof/>
                <w:webHidden/>
              </w:rPr>
              <w:fldChar w:fldCharType="separate"/>
            </w:r>
            <w:r w:rsidR="00065C94">
              <w:rPr>
                <w:rFonts w:ascii="Times New Roman" w:hAnsi="Times New Roman" w:cs="Times New Roman"/>
                <w:noProof/>
                <w:webHidden/>
              </w:rPr>
              <w:t>30</w:t>
            </w:r>
            <w:r w:rsidRPr="007B7C3D">
              <w:rPr>
                <w:rFonts w:ascii="Times New Roman" w:hAnsi="Times New Roman" w:cs="Times New Roman"/>
                <w:noProof/>
                <w:webHidden/>
              </w:rPr>
              <w:fldChar w:fldCharType="end"/>
            </w:r>
          </w:hyperlink>
        </w:p>
        <w:p w14:paraId="362EA579" w14:textId="67D49EA0" w:rsidR="007B7C3D" w:rsidRDefault="007B7C3D">
          <w:r w:rsidRPr="007B7C3D">
            <w:rPr>
              <w:rFonts w:ascii="Times New Roman" w:hAnsi="Times New Roman" w:cs="Times New Roman"/>
              <w:b/>
              <w:bCs/>
            </w:rPr>
            <w:fldChar w:fldCharType="end"/>
          </w:r>
        </w:p>
      </w:sdtContent>
    </w:sdt>
    <w:p w14:paraId="53BDFDF8" w14:textId="1FEB5C9F" w:rsidR="007B7C3D" w:rsidRDefault="007B7C3D" w:rsidP="007B7C3D">
      <w:pPr>
        <w:rPr>
          <w:rFonts w:ascii="Times New Roman" w:eastAsia="Times New Roman" w:hAnsi="Times New Roman" w:cs="Times New Roman"/>
        </w:rPr>
      </w:pPr>
    </w:p>
    <w:p w14:paraId="5E802A44" w14:textId="77777777" w:rsidR="002778BE" w:rsidRDefault="002778BE" w:rsidP="007B7C3D">
      <w:pPr>
        <w:rPr>
          <w:rFonts w:ascii="Times New Roman" w:eastAsia="Times New Roman" w:hAnsi="Times New Roman" w:cs="Times New Roman"/>
        </w:rPr>
      </w:pPr>
    </w:p>
    <w:p w14:paraId="058B2314" w14:textId="77777777" w:rsidR="002778BE" w:rsidRDefault="002778BE" w:rsidP="007B7C3D">
      <w:pPr>
        <w:rPr>
          <w:rFonts w:ascii="Times New Roman" w:eastAsia="Times New Roman" w:hAnsi="Times New Roman" w:cs="Times New Roman"/>
        </w:rPr>
      </w:pPr>
    </w:p>
    <w:p w14:paraId="16F72984" w14:textId="77777777" w:rsidR="002778BE" w:rsidRDefault="002778BE" w:rsidP="007B7C3D">
      <w:pPr>
        <w:rPr>
          <w:rFonts w:ascii="Times New Roman" w:eastAsia="Times New Roman" w:hAnsi="Times New Roman" w:cs="Times New Roman"/>
        </w:rPr>
      </w:pPr>
    </w:p>
    <w:p w14:paraId="01E3AB82" w14:textId="77777777" w:rsidR="002778BE" w:rsidRDefault="002778BE" w:rsidP="007B7C3D">
      <w:pPr>
        <w:rPr>
          <w:rFonts w:ascii="Times New Roman" w:eastAsia="Times New Roman" w:hAnsi="Times New Roman" w:cs="Times New Roman"/>
        </w:rPr>
      </w:pPr>
    </w:p>
    <w:p w14:paraId="129E3888" w14:textId="77777777" w:rsidR="002778BE" w:rsidRDefault="002778BE" w:rsidP="007B7C3D">
      <w:pPr>
        <w:rPr>
          <w:rFonts w:ascii="Times New Roman" w:eastAsia="Times New Roman" w:hAnsi="Times New Roman" w:cs="Times New Roman"/>
        </w:rPr>
      </w:pPr>
    </w:p>
    <w:p w14:paraId="64C4B02B" w14:textId="77777777" w:rsidR="002778BE" w:rsidRDefault="002778BE" w:rsidP="007B7C3D">
      <w:pPr>
        <w:rPr>
          <w:rFonts w:ascii="Times New Roman" w:eastAsia="Times New Roman" w:hAnsi="Times New Roman" w:cs="Times New Roman"/>
        </w:rPr>
      </w:pPr>
    </w:p>
    <w:p w14:paraId="75F55D99" w14:textId="77777777" w:rsidR="002778BE" w:rsidRDefault="002778BE" w:rsidP="007B7C3D">
      <w:pPr>
        <w:rPr>
          <w:rFonts w:ascii="Times New Roman" w:eastAsia="Times New Roman" w:hAnsi="Times New Roman" w:cs="Times New Roman"/>
        </w:rPr>
      </w:pPr>
    </w:p>
    <w:p w14:paraId="45595504" w14:textId="77777777" w:rsidR="002778BE" w:rsidRDefault="002778BE" w:rsidP="007B7C3D">
      <w:pPr>
        <w:rPr>
          <w:rFonts w:ascii="Times New Roman" w:eastAsia="Times New Roman" w:hAnsi="Times New Roman" w:cs="Times New Roman"/>
        </w:rPr>
      </w:pPr>
    </w:p>
    <w:p w14:paraId="1DD045E0" w14:textId="77777777" w:rsidR="002778BE" w:rsidRDefault="002778BE" w:rsidP="007B7C3D">
      <w:pPr>
        <w:rPr>
          <w:rFonts w:ascii="Times New Roman" w:eastAsia="Times New Roman" w:hAnsi="Times New Roman" w:cs="Times New Roman"/>
        </w:rPr>
      </w:pPr>
    </w:p>
    <w:p w14:paraId="32658D39" w14:textId="77777777" w:rsidR="002778BE" w:rsidRDefault="002778BE" w:rsidP="007B7C3D">
      <w:pPr>
        <w:rPr>
          <w:rFonts w:ascii="Times New Roman" w:eastAsia="Times New Roman" w:hAnsi="Times New Roman" w:cs="Times New Roman"/>
        </w:rPr>
      </w:pPr>
    </w:p>
    <w:p w14:paraId="46B59168" w14:textId="77777777" w:rsidR="002778BE" w:rsidRDefault="002778BE" w:rsidP="007B7C3D">
      <w:pPr>
        <w:rPr>
          <w:rFonts w:ascii="Times New Roman" w:eastAsia="Times New Roman" w:hAnsi="Times New Roman" w:cs="Times New Roman"/>
        </w:rPr>
      </w:pPr>
    </w:p>
    <w:p w14:paraId="334152C2" w14:textId="77777777" w:rsidR="002778BE" w:rsidRDefault="002778BE" w:rsidP="007B7C3D">
      <w:pPr>
        <w:rPr>
          <w:rFonts w:ascii="Times New Roman" w:eastAsia="Times New Roman" w:hAnsi="Times New Roman" w:cs="Times New Roman"/>
        </w:rPr>
      </w:pPr>
    </w:p>
    <w:p w14:paraId="088F95A1" w14:textId="77777777" w:rsidR="002778BE" w:rsidRDefault="002778BE" w:rsidP="007B7C3D">
      <w:pPr>
        <w:rPr>
          <w:rFonts w:ascii="Times New Roman" w:eastAsia="Times New Roman" w:hAnsi="Times New Roman" w:cs="Times New Roman"/>
        </w:rPr>
      </w:pPr>
    </w:p>
    <w:p w14:paraId="0D0CD60D" w14:textId="77777777" w:rsidR="002778BE" w:rsidRDefault="002778BE" w:rsidP="007B7C3D">
      <w:pPr>
        <w:rPr>
          <w:rFonts w:ascii="Times New Roman" w:eastAsia="Times New Roman" w:hAnsi="Times New Roman" w:cs="Times New Roman"/>
        </w:rPr>
      </w:pPr>
    </w:p>
    <w:p w14:paraId="6EAE2EE0" w14:textId="77777777" w:rsidR="002778BE" w:rsidRDefault="002778BE" w:rsidP="007B7C3D">
      <w:pPr>
        <w:rPr>
          <w:rFonts w:ascii="Times New Roman" w:eastAsia="Times New Roman" w:hAnsi="Times New Roman" w:cs="Times New Roman"/>
        </w:rPr>
      </w:pPr>
    </w:p>
    <w:p w14:paraId="32D562B3" w14:textId="77777777" w:rsidR="002778BE" w:rsidRDefault="002778BE" w:rsidP="007B7C3D">
      <w:pPr>
        <w:rPr>
          <w:rFonts w:ascii="Times New Roman" w:eastAsia="Times New Roman" w:hAnsi="Times New Roman" w:cs="Times New Roman"/>
        </w:rPr>
      </w:pPr>
    </w:p>
    <w:p w14:paraId="4C2B5695" w14:textId="77777777" w:rsidR="002778BE" w:rsidRDefault="002778BE" w:rsidP="007B7C3D">
      <w:pPr>
        <w:rPr>
          <w:rFonts w:ascii="Times New Roman" w:eastAsia="Times New Roman" w:hAnsi="Times New Roman" w:cs="Times New Roman"/>
        </w:rPr>
      </w:pPr>
    </w:p>
    <w:p w14:paraId="5DA2296A" w14:textId="77777777" w:rsidR="002778BE" w:rsidRDefault="002778BE" w:rsidP="007B7C3D">
      <w:pPr>
        <w:rPr>
          <w:rFonts w:ascii="Times New Roman" w:eastAsia="Times New Roman" w:hAnsi="Times New Roman" w:cs="Times New Roman"/>
        </w:rPr>
      </w:pPr>
    </w:p>
    <w:p w14:paraId="4BDD85A3" w14:textId="77777777" w:rsidR="002778BE" w:rsidRDefault="002778BE" w:rsidP="007B7C3D">
      <w:pPr>
        <w:rPr>
          <w:rFonts w:ascii="Times New Roman" w:eastAsia="Times New Roman" w:hAnsi="Times New Roman" w:cs="Times New Roman"/>
        </w:rPr>
      </w:pPr>
    </w:p>
    <w:p w14:paraId="604D4069" w14:textId="77777777" w:rsidR="00065C94" w:rsidRDefault="00065C94" w:rsidP="007B7C3D">
      <w:pPr>
        <w:rPr>
          <w:rFonts w:ascii="Times New Roman" w:eastAsia="Times New Roman" w:hAnsi="Times New Roman" w:cs="Times New Roman"/>
        </w:rPr>
        <w:sectPr w:rsidR="00065C94" w:rsidSect="002778BE">
          <w:headerReference w:type="default" r:id="rId11"/>
          <w:footerReference w:type="default" r:id="rId12"/>
          <w:footerReference w:type="first" r:id="rId13"/>
          <w:pgSz w:w="11900" w:h="16840"/>
          <w:pgMar w:top="1440" w:right="1800" w:bottom="1440" w:left="1800" w:header="708" w:footer="708" w:gutter="0"/>
          <w:pgNumType w:fmt="lowerRoman" w:start="1"/>
          <w:cols w:space="720"/>
          <w:titlePg/>
          <w:docGrid w:linePitch="326"/>
        </w:sectPr>
      </w:pPr>
    </w:p>
    <w:p w14:paraId="388F53A3" w14:textId="77777777" w:rsidR="002778BE" w:rsidRDefault="002778BE" w:rsidP="007B7C3D">
      <w:pPr>
        <w:rPr>
          <w:rFonts w:ascii="Times New Roman" w:eastAsia="Times New Roman" w:hAnsi="Times New Roman" w:cs="Times New Roman"/>
        </w:rPr>
      </w:pPr>
    </w:p>
    <w:p w14:paraId="460D4849" w14:textId="77777777" w:rsidR="002778BE" w:rsidRDefault="002778BE" w:rsidP="007B7C3D">
      <w:pPr>
        <w:rPr>
          <w:rFonts w:ascii="Times New Roman" w:eastAsia="Times New Roman" w:hAnsi="Times New Roman" w:cs="Times New Roman"/>
        </w:rPr>
      </w:pPr>
    </w:p>
    <w:p w14:paraId="7D751348" w14:textId="77777777" w:rsidR="002778BE" w:rsidRDefault="002778BE" w:rsidP="007B7C3D">
      <w:pPr>
        <w:rPr>
          <w:rFonts w:ascii="Times New Roman" w:eastAsia="Times New Roman" w:hAnsi="Times New Roman" w:cs="Times New Roman"/>
        </w:rPr>
      </w:pPr>
    </w:p>
    <w:p w14:paraId="25B391D4" w14:textId="77777777" w:rsidR="00FA6B71" w:rsidRPr="007B7C3D" w:rsidRDefault="00000000" w:rsidP="007B7C3D">
      <w:pPr>
        <w:pStyle w:val="Ttulo1"/>
      </w:pPr>
      <w:bookmarkStart w:id="1" w:name="_Toc210994438"/>
      <w:r w:rsidRPr="007B7C3D">
        <w:t>Introdução</w:t>
      </w:r>
      <w:bookmarkEnd w:id="1"/>
    </w:p>
    <w:p w14:paraId="2782B2B7" w14:textId="77777777" w:rsidR="00117F81" w:rsidRDefault="00117F81" w:rsidP="00117F81">
      <w:pPr>
        <w:spacing w:line="360" w:lineRule="auto"/>
        <w:ind w:left="720"/>
        <w:rPr>
          <w:rFonts w:ascii="Times New Roman" w:eastAsia="Times New Roman" w:hAnsi="Times New Roman" w:cs="Times New Roman"/>
          <w:b/>
        </w:rPr>
      </w:pPr>
    </w:p>
    <w:p w14:paraId="74EE3812"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morte é uma realidade inescapável da existência humana e, por isso, deve ser também objeto de reflexão, discussão e preparação ao longo da vida. A partir dessa premissa, emergiu o conceito de Educação para a Morte, um campo de estudo que propõe abordar de maneira integrada e humanizada os </w:t>
      </w:r>
      <w:proofErr w:type="spellStart"/>
      <w:r>
        <w:rPr>
          <w:rFonts w:ascii="Times New Roman" w:eastAsia="Times New Roman" w:hAnsi="Times New Roman" w:cs="Times New Roman"/>
        </w:rPr>
        <w:t>aspectos</w:t>
      </w:r>
      <w:proofErr w:type="spellEnd"/>
      <w:r>
        <w:rPr>
          <w:rFonts w:ascii="Times New Roman" w:eastAsia="Times New Roman" w:hAnsi="Times New Roman" w:cs="Times New Roman"/>
        </w:rPr>
        <w:t xml:space="preserve"> psicológicos, sociais, culturais e existenciais da finitude. Longe de restringir-se ao âmbito privado ou familiar, essa educação tem vindo a ser defendida como necessária também em espaços públicos de socialização e desenvolvimento humano — como as escolas. </w:t>
      </w: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xml:space="preserve"> (2005, 2008) reconhece que preparar as pessoas para lidar com a morte — a sua e a dos outros — é preparar para a vida, promovendo saúde mental, maturidade emocional e desenvolvimento humano.</w:t>
      </w:r>
    </w:p>
    <w:p w14:paraId="71EA045F"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incompreensão, a dúvida e o mistério que orbitam todo o conceito de morte desde a infância, entretanto, não </w:t>
      </w:r>
      <w:proofErr w:type="gramStart"/>
      <w:r>
        <w:rPr>
          <w:rFonts w:ascii="Times New Roman" w:eastAsia="Times New Roman" w:hAnsi="Times New Roman" w:cs="Times New Roman"/>
        </w:rPr>
        <w:t>encerram-se</w:t>
      </w:r>
      <w:proofErr w:type="gramEnd"/>
      <w:r>
        <w:rPr>
          <w:rFonts w:ascii="Times New Roman" w:eastAsia="Times New Roman" w:hAnsi="Times New Roman" w:cs="Times New Roman"/>
        </w:rPr>
        <w:t xml:space="preserve"> naturalmente com a transição para a vida adulta. Não obstante, a morte é um fenômeno transversal em todo ciclo da vida. </w:t>
      </w:r>
      <w:proofErr w:type="spellStart"/>
      <w:r>
        <w:rPr>
          <w:rFonts w:ascii="Times New Roman" w:eastAsia="Times New Roman" w:hAnsi="Times New Roman" w:cs="Times New Roman"/>
        </w:rPr>
        <w:t>Kóvacs</w:t>
      </w:r>
      <w:proofErr w:type="spellEnd"/>
      <w:r>
        <w:rPr>
          <w:rFonts w:ascii="Times New Roman" w:eastAsia="Times New Roman" w:hAnsi="Times New Roman" w:cs="Times New Roman"/>
        </w:rPr>
        <w:t xml:space="preserve"> (2005) discorre sobre como o interesse pela compreensão da morte parte de uma característica intrinsecamente humana de busca por autoconhecimento, ao refletir sobre o próprio sentido da própria vida. Porém, esta questão não traz em si uma resposta universal e definitiva, e é exatamente isso que impulsiona e continua a intrigar estudiosos. A autora propõe a Educação para a Morte enquanto estudo integral sobre o desenvolvimento humano que, a partir dos conhecimentos desenvolvidos pela </w:t>
      </w:r>
      <w:r>
        <w:rPr>
          <w:rFonts w:ascii="Times New Roman" w:eastAsia="Times New Roman" w:hAnsi="Times New Roman" w:cs="Times New Roman"/>
          <w:i/>
        </w:rPr>
        <w:t>Psicologia da Morte</w:t>
      </w:r>
      <w:r>
        <w:rPr>
          <w:rFonts w:ascii="Times New Roman" w:eastAsia="Times New Roman" w:hAnsi="Times New Roman" w:cs="Times New Roman"/>
        </w:rPr>
        <w:t>, envolve preparar as pessoas para a morte, trazendo-a para o debate da educação e das políticas públicas. Mais que isso, a educação para a morte tem se mostrado um conjunto teórico-prático importante que inspira a criação de programas para escolas e hospitais, a fim de preparar profissionais não só para lidar com a morte e luto dos outros, mas com a ideia de sua própria finitude (</w:t>
      </w:r>
      <w:proofErr w:type="spellStart"/>
      <w:r>
        <w:rPr>
          <w:rFonts w:ascii="Times New Roman" w:eastAsia="Times New Roman" w:hAnsi="Times New Roman" w:cs="Times New Roman"/>
        </w:rPr>
        <w:t>Kóvacs</w:t>
      </w:r>
      <w:proofErr w:type="spellEnd"/>
      <w:r>
        <w:rPr>
          <w:rFonts w:ascii="Times New Roman" w:eastAsia="Times New Roman" w:hAnsi="Times New Roman" w:cs="Times New Roman"/>
        </w:rPr>
        <w:t>, 2005).</w:t>
      </w:r>
    </w:p>
    <w:p w14:paraId="39B697D7"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Parece essencial trazer para debate qual o papel que os adultos têm relativamente ao cuidado, à comunicação e à educação das crianças sobre o luto e a morte, quando falamos especificamente sobre as escolas. Um dos pontos mais criticados por boa parte dos autores, e que pode ser crucial na vivência saudável do luto, é quando adultos ocultam a realidade da morte para crianças, em geral com o argumento de que esse é um tema que não as compete entender (</w:t>
      </w:r>
      <w:proofErr w:type="spellStart"/>
      <w:r>
        <w:rPr>
          <w:rFonts w:ascii="Times New Roman" w:eastAsia="Times New Roman" w:hAnsi="Times New Roman" w:cs="Times New Roman"/>
        </w:rPr>
        <w:t>Aberastury</w:t>
      </w:r>
      <w:proofErr w:type="spellEnd"/>
      <w:r>
        <w:rPr>
          <w:rFonts w:ascii="Times New Roman" w:eastAsia="Times New Roman" w:hAnsi="Times New Roman" w:cs="Times New Roman"/>
        </w:rPr>
        <w:t xml:space="preserve">, 1984). Isto parte de </w:t>
      </w:r>
      <w:r>
        <w:rPr>
          <w:rFonts w:ascii="Times New Roman" w:eastAsia="Times New Roman" w:hAnsi="Times New Roman" w:cs="Times New Roman"/>
        </w:rPr>
        <w:lastRenderedPageBreak/>
        <w:t xml:space="preserve">um entendimento comum na sociedade moderna de que a morte não teria sentido nenhum para as crianças, portanto, deveriam ser protegidas dos </w:t>
      </w:r>
      <w:proofErr w:type="spellStart"/>
      <w:r>
        <w:rPr>
          <w:rFonts w:ascii="Times New Roman" w:eastAsia="Times New Roman" w:hAnsi="Times New Roman" w:cs="Times New Roman"/>
        </w:rPr>
        <w:t>aspectos</w:t>
      </w:r>
      <w:proofErr w:type="spellEnd"/>
      <w:r>
        <w:rPr>
          <w:rFonts w:ascii="Times New Roman" w:eastAsia="Times New Roman" w:hAnsi="Times New Roman" w:cs="Times New Roman"/>
        </w:rPr>
        <w:t xml:space="preserve"> emocionais relacionados (</w:t>
      </w:r>
      <w:proofErr w:type="spellStart"/>
      <w:r>
        <w:rPr>
          <w:rFonts w:ascii="Times New Roman" w:eastAsia="Times New Roman" w:hAnsi="Times New Roman" w:cs="Times New Roman"/>
        </w:rPr>
        <w:t>Holland</w:t>
      </w:r>
      <w:proofErr w:type="spellEnd"/>
      <w:r>
        <w:rPr>
          <w:rFonts w:ascii="Times New Roman" w:eastAsia="Times New Roman" w:hAnsi="Times New Roman" w:cs="Times New Roman"/>
        </w:rPr>
        <w:t xml:space="preserve">, 2008). </w:t>
      </w: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xml:space="preserve"> (1992) afirma que suprimir a verdade sobre um falecimento pode perturbar o processo de luto, uma vez que reforça a negação da morte e dificulta o desenvolvimento da criança. Contribuir com a assimilação da morte, bem como com o cuidado à uma criança enlutada é uma atribuição que não deve ser apenas de familiares. Como será discutido por este trabalho, o educador e os agentes escolares podem oferecer suporte e assistência e serem decisivos durante o processo, uma vez que a escola é o ambiente em que a criança passa a maior parte do seu tempo (</w:t>
      </w:r>
      <w:proofErr w:type="spellStart"/>
      <w:r>
        <w:rPr>
          <w:rFonts w:ascii="Times New Roman" w:eastAsia="Times New Roman" w:hAnsi="Times New Roman" w:cs="Times New Roman"/>
        </w:rPr>
        <w:t>Dyregrov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Dyregrov</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Idsoe</w:t>
      </w:r>
      <w:proofErr w:type="spellEnd"/>
      <w:r>
        <w:rPr>
          <w:rFonts w:ascii="Times New Roman" w:eastAsia="Times New Roman" w:hAnsi="Times New Roman" w:cs="Times New Roman"/>
        </w:rPr>
        <w:t>, 2013; Paiva, 2008).</w:t>
      </w:r>
    </w:p>
    <w:p w14:paraId="2CEBD92A"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r>
      <w:proofErr w:type="gramStart"/>
      <w:r>
        <w:rPr>
          <w:rFonts w:ascii="Times New Roman" w:eastAsia="Times New Roman" w:hAnsi="Times New Roman" w:cs="Times New Roman"/>
        </w:rPr>
        <w:t>A gama de autores do campo da Psicologia da Morte partilham</w:t>
      </w:r>
      <w:proofErr w:type="gramEnd"/>
      <w:r>
        <w:rPr>
          <w:rFonts w:ascii="Times New Roman" w:eastAsia="Times New Roman" w:hAnsi="Times New Roman" w:cs="Times New Roman"/>
        </w:rPr>
        <w:t xml:space="preserve"> a ideia da escola como um espaço para além do lugar de aprendizagem, mas como uma esfera de formação humana e convivência, onde alunos vão se relacionar com outros alunos e com os agentes educadores (Paiva, 2008; Domingos &amp; Maluf, 2003; </w:t>
      </w: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xml:space="preserve">, 2005; Torres, 2012). É constantemente questionado por autores da área como poderiam assuntos tão relevantes e fundamentais para experiência humana, como o ciclo da vida e a morte, escaparem ao ambiente escolar. </w:t>
      </w:r>
    </w:p>
    <w:p w14:paraId="6EF6F3BA"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Segundo </w:t>
      </w:r>
      <w:proofErr w:type="spellStart"/>
      <w:r>
        <w:rPr>
          <w:rFonts w:ascii="Times New Roman" w:eastAsia="Times New Roman" w:hAnsi="Times New Roman" w:cs="Times New Roman"/>
        </w:rPr>
        <w:t>Granek</w:t>
      </w:r>
      <w:proofErr w:type="spellEnd"/>
      <w:r>
        <w:rPr>
          <w:rFonts w:ascii="Times New Roman" w:eastAsia="Times New Roman" w:hAnsi="Times New Roman" w:cs="Times New Roman"/>
        </w:rPr>
        <w:t xml:space="preserve"> (2010), a definição de </w:t>
      </w:r>
      <w:r>
        <w:rPr>
          <w:rFonts w:ascii="Times New Roman" w:eastAsia="Times New Roman" w:hAnsi="Times New Roman" w:cs="Times New Roman"/>
          <w:i/>
        </w:rPr>
        <w:t xml:space="preserve">luto e morte </w:t>
      </w:r>
      <w:r>
        <w:rPr>
          <w:rFonts w:ascii="Times New Roman" w:eastAsia="Times New Roman" w:hAnsi="Times New Roman" w:cs="Times New Roman"/>
        </w:rPr>
        <w:t>é transitória</w:t>
      </w:r>
      <w:r>
        <w:rPr>
          <w:rFonts w:ascii="Times New Roman" w:eastAsia="Times New Roman" w:hAnsi="Times New Roman" w:cs="Times New Roman"/>
          <w:i/>
        </w:rPr>
        <w:t xml:space="preserve"> </w:t>
      </w:r>
      <w:r>
        <w:rPr>
          <w:rFonts w:ascii="Times New Roman" w:eastAsia="Times New Roman" w:hAnsi="Times New Roman" w:cs="Times New Roman"/>
        </w:rPr>
        <w:t xml:space="preserve">ao longo da história, e suas transformações são contingentes às mudanças sociais e culturais ocorridas entre o início do século XX e a atualidade. A transformação do luto e da morte em um objeto de estudo psicológico é parte de um fenômeno social mais amplo e complexo. À princípio, esses os estudos psicológicos colocavam esses fenômenos em um lugar particularmente patológico. Em parte, a </w:t>
      </w:r>
      <w:proofErr w:type="spellStart"/>
      <w:r>
        <w:rPr>
          <w:rFonts w:ascii="Times New Roman" w:eastAsia="Times New Roman" w:hAnsi="Times New Roman" w:cs="Times New Roman"/>
        </w:rPr>
        <w:t>patologização</w:t>
      </w:r>
      <w:proofErr w:type="spellEnd"/>
      <w:r>
        <w:rPr>
          <w:rFonts w:ascii="Times New Roman" w:eastAsia="Times New Roman" w:hAnsi="Times New Roman" w:cs="Times New Roman"/>
        </w:rPr>
        <w:t xml:space="preserve"> do luto pode diminuir em importância a experiência real do sujeito enlutado, com o foco cada vez mais voltado para os sintomas; por outro lado, a consolidação do luto enquanto </w:t>
      </w:r>
      <w:r>
        <w:rPr>
          <w:rFonts w:ascii="Times New Roman" w:eastAsia="Times New Roman" w:hAnsi="Times New Roman" w:cs="Times New Roman"/>
          <w:i/>
        </w:rPr>
        <w:t>objeto psicológico</w:t>
      </w:r>
      <w:r>
        <w:rPr>
          <w:rFonts w:ascii="Times New Roman" w:eastAsia="Times New Roman" w:hAnsi="Times New Roman" w:cs="Times New Roman"/>
        </w:rPr>
        <w:t xml:space="preserve"> trouxe um foco de estudos para o fenômeno, enquanto um problema que necessita estudo e intervenção de profissionais preparados (</w:t>
      </w:r>
      <w:proofErr w:type="spellStart"/>
      <w:r>
        <w:rPr>
          <w:rFonts w:ascii="Times New Roman" w:eastAsia="Times New Roman" w:hAnsi="Times New Roman" w:cs="Times New Roman"/>
        </w:rPr>
        <w:t>Granek</w:t>
      </w:r>
      <w:proofErr w:type="spellEnd"/>
      <w:r>
        <w:rPr>
          <w:rFonts w:ascii="Times New Roman" w:eastAsia="Times New Roman" w:hAnsi="Times New Roman" w:cs="Times New Roman"/>
        </w:rPr>
        <w:t>, 2010). Esse desenvolvimento provocou um gradual isolamento do lugar da morte e luto para a medicina e os hospitais (Wu, 2022). Porém, com o crescente desenvolvimento da área de Educação para a Morte, essa discussão se ampliou e expandiu os horizontes acerca dos espaços em que esses objetos de análise e intervenção devem fazer parte. Um dos grandes focos do educar para a morte é abrir espaço de reflexão e diálogo aberto que atravessa todos os ambientes tais quais hospitais, espaços religiosos, universidades e escolas (</w:t>
      </w: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2008).</w:t>
      </w:r>
    </w:p>
    <w:p w14:paraId="12F10DC0"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Em contraste ao entendimento do senso comum sobre morte como assunto intrínseco à vida privada, e ao admiti-la enquanto fator fundamental para o desenvolvimento humano, faz-se necessário debater que espaço as discussões sobre a morte e a perda encontram dentro da educação infantil (</w:t>
      </w: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xml:space="preserve">, 2005). Isso porque morte e luto são assuntos inescapáveis ao ambiente escolar, uma vez que as crianças demonstram interesse no tema e estão possivelmente expostas </w:t>
      </w:r>
      <w:proofErr w:type="gramStart"/>
      <w:r>
        <w:rPr>
          <w:rFonts w:ascii="Times New Roman" w:eastAsia="Times New Roman" w:hAnsi="Times New Roman" w:cs="Times New Roman"/>
        </w:rPr>
        <w:t>à</w:t>
      </w:r>
      <w:proofErr w:type="gramEnd"/>
      <w:r>
        <w:rPr>
          <w:rFonts w:ascii="Times New Roman" w:eastAsia="Times New Roman" w:hAnsi="Times New Roman" w:cs="Times New Roman"/>
        </w:rPr>
        <w:t xml:space="preserve"> situações como o falecimento de familiares e animais (</w:t>
      </w:r>
      <w:proofErr w:type="spellStart"/>
      <w:r>
        <w:rPr>
          <w:rFonts w:ascii="Times New Roman" w:eastAsia="Times New Roman" w:hAnsi="Times New Roman" w:cs="Times New Roman"/>
        </w:rPr>
        <w:t>Stylianou</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Zembylas</w:t>
      </w:r>
      <w:proofErr w:type="spellEnd"/>
      <w:r>
        <w:rPr>
          <w:rFonts w:ascii="Times New Roman" w:eastAsia="Times New Roman" w:hAnsi="Times New Roman" w:cs="Times New Roman"/>
        </w:rPr>
        <w:t>, 2018). Estudos estadunidenses estimam, por exemplo, que aproximadamente 5% das crianças experienciam perdas importantes antes dos 15 anos (</w:t>
      </w:r>
      <w:proofErr w:type="spellStart"/>
      <w:r>
        <w:rPr>
          <w:rFonts w:ascii="Times New Roman" w:eastAsia="Times New Roman" w:hAnsi="Times New Roman" w:cs="Times New Roman"/>
        </w:rPr>
        <w:t>Currier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Holland</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Neimeyer</w:t>
      </w:r>
      <w:proofErr w:type="spellEnd"/>
      <w:r>
        <w:rPr>
          <w:rFonts w:ascii="Times New Roman" w:eastAsia="Times New Roman" w:hAnsi="Times New Roman" w:cs="Times New Roman"/>
        </w:rPr>
        <w:t>, 2007), e que 9 entre 10 adolescentes sofrem a perda de algum ente querido até o fim do ensino secundário (</w:t>
      </w:r>
      <w:proofErr w:type="spellStart"/>
      <w:r>
        <w:rPr>
          <w:rFonts w:ascii="Times New Roman" w:eastAsia="Times New Roman" w:hAnsi="Times New Roman" w:cs="Times New Roman"/>
        </w:rPr>
        <w:t>Lively-Endicott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Naimi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Hudson</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Schonfeld</w:t>
      </w:r>
      <w:proofErr w:type="spellEnd"/>
      <w:r>
        <w:rPr>
          <w:rFonts w:ascii="Times New Roman" w:eastAsia="Times New Roman" w:hAnsi="Times New Roman" w:cs="Times New Roman"/>
        </w:rPr>
        <w:t>, 2023). Já no Reino Unido, estima-se que aproximadamente 45.500 crianças sofrem com a morte de um progenitor todos os anos (</w:t>
      </w:r>
      <w:proofErr w:type="spellStart"/>
      <w:r>
        <w:rPr>
          <w:rFonts w:ascii="Times New Roman" w:eastAsia="Times New Roman" w:hAnsi="Times New Roman" w:cs="Times New Roman"/>
        </w:rPr>
        <w:t>Duncan</w:t>
      </w:r>
      <w:proofErr w:type="spellEnd"/>
      <w:r>
        <w:rPr>
          <w:rFonts w:ascii="Times New Roman" w:eastAsia="Times New Roman" w:hAnsi="Times New Roman" w:cs="Times New Roman"/>
        </w:rPr>
        <w:t>, 2020). Isto é de grande relevância pois uma morte importante para a criança, como do pai ou mãe, pode gerar também impactos a nível econômico e social, principalmente tratando-se de famílias já em situação de vulnerabilidade (</w:t>
      </w:r>
      <w:proofErr w:type="spellStart"/>
      <w:r>
        <w:rPr>
          <w:rFonts w:ascii="Times New Roman" w:eastAsia="Times New Roman" w:hAnsi="Times New Roman" w:cs="Times New Roman"/>
        </w:rPr>
        <w:t>Holland</w:t>
      </w:r>
      <w:proofErr w:type="spellEnd"/>
      <w:r>
        <w:rPr>
          <w:rFonts w:ascii="Times New Roman" w:eastAsia="Times New Roman" w:hAnsi="Times New Roman" w:cs="Times New Roman"/>
        </w:rPr>
        <w:t xml:space="preserve">, 2008). </w:t>
      </w:r>
    </w:p>
    <w:p w14:paraId="44A936DF" w14:textId="77777777" w:rsidR="00FA6B71" w:rsidRDefault="00FA6B71">
      <w:pPr>
        <w:spacing w:line="360" w:lineRule="auto"/>
        <w:jc w:val="both"/>
        <w:rPr>
          <w:rFonts w:ascii="Times New Roman" w:eastAsia="Times New Roman" w:hAnsi="Times New Roman" w:cs="Times New Roman"/>
        </w:rPr>
      </w:pPr>
    </w:p>
    <w:p w14:paraId="2AAAE4BA" w14:textId="77777777" w:rsidR="00FA6B71" w:rsidRPr="007B7C3D" w:rsidRDefault="00000000" w:rsidP="007B7C3D">
      <w:pPr>
        <w:pStyle w:val="Ttulo2"/>
      </w:pPr>
      <w:bookmarkStart w:id="2" w:name="_Toc210994439"/>
      <w:r w:rsidRPr="007B7C3D">
        <w:t>1.1. As crianças e a morte</w:t>
      </w:r>
      <w:bookmarkEnd w:id="2"/>
    </w:p>
    <w:p w14:paraId="791573A1"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Crianças reagem à noção de morte e vivenciam o luto de maneiras diferentes a depender, sobretudo, da sua idade e dos comportamentos dos adultos ao seu redor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2002), e sua construção do conceito de morte é influenciada pelas “características e peculiaridades de acordo com ritos familiares e a cultura em que vive” (</w:t>
      </w: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xml:space="preserve">, 2005, p.72). </w:t>
      </w:r>
      <w:proofErr w:type="spellStart"/>
      <w:r>
        <w:rPr>
          <w:rFonts w:ascii="Times New Roman" w:eastAsia="Times New Roman" w:hAnsi="Times New Roman" w:cs="Times New Roman"/>
        </w:rPr>
        <w:t>Worden</w:t>
      </w:r>
      <w:proofErr w:type="spellEnd"/>
      <w:r>
        <w:rPr>
          <w:rFonts w:ascii="Times New Roman" w:eastAsia="Times New Roman" w:hAnsi="Times New Roman" w:cs="Times New Roman"/>
        </w:rPr>
        <w:t xml:space="preserve"> (1996) já apontava para a particular vulnerabilidade das crianças mais novas ao luto, pelo fato de muitas vezes já terem atingido o desenvolvimento cognitivo necessário para compreender a morte enquanto abstração, mas ter desenvolvido poucas habilidades de enfrentamento. Alguns fatores podem acarretar confusão para a criança, durante o processo; normalmente, elas podem ter dificuldade em compreender a morte como algo irreversível e uma condição permanente. A depender de como o tópico é trabalhado pela família, a criança pode acreditar, por experiência material, que como algo que quebra, a morte pode ser “consertada”. Outro </w:t>
      </w:r>
      <w:proofErr w:type="spellStart"/>
      <w:r>
        <w:rPr>
          <w:rFonts w:ascii="Times New Roman" w:eastAsia="Times New Roman" w:hAnsi="Times New Roman" w:cs="Times New Roman"/>
        </w:rPr>
        <w:t>aspecto</w:t>
      </w:r>
      <w:proofErr w:type="spellEnd"/>
      <w:r>
        <w:rPr>
          <w:rFonts w:ascii="Times New Roman" w:eastAsia="Times New Roman" w:hAnsi="Times New Roman" w:cs="Times New Roman"/>
        </w:rPr>
        <w:t xml:space="preserve"> importante é que as crianças desenvolvem, ao longo do tempo, as noções abstratas de temporalidade e ciclo da vida. Logo, é importante que compreenda as noções de inevitabilidade à morte enquanto algo irrevogável a todos </w:t>
      </w:r>
      <w:r>
        <w:rPr>
          <w:rFonts w:ascii="Times New Roman" w:eastAsia="Times New Roman" w:hAnsi="Times New Roman" w:cs="Times New Roman"/>
        </w:rPr>
        <w:lastRenderedPageBreak/>
        <w:t>seres vivos e a causalidade desta como resultado de um processo natural incontrolável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2002; </w:t>
      </w:r>
      <w:proofErr w:type="spellStart"/>
      <w:r>
        <w:rPr>
          <w:rFonts w:ascii="Times New Roman" w:eastAsia="Times New Roman" w:hAnsi="Times New Roman" w:cs="Times New Roman"/>
        </w:rPr>
        <w:t>Worden</w:t>
      </w:r>
      <w:proofErr w:type="spellEnd"/>
      <w:r>
        <w:rPr>
          <w:rFonts w:ascii="Times New Roman" w:eastAsia="Times New Roman" w:hAnsi="Times New Roman" w:cs="Times New Roman"/>
        </w:rPr>
        <w:t>, 1996).</w:t>
      </w:r>
    </w:p>
    <w:p w14:paraId="4701F34E"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Como afirma Paiva (2008), a criança não tem participação no fenômeno morte e nos seus rituais, seu lugar é continuamente negado pelos adultos. É socialmente admitido que, pela incapacidade da criança em assimilar uma noção tão complexa quanto o fim da vida, é mais seguro protegê-la da realidade dela. De fato, é conhecido que a criança, até seus dois anos de idade, não desenvolveu condições cognitivas para assimilar noções abstratas e, portanto, não consegue compreender a morte (</w:t>
      </w:r>
      <w:proofErr w:type="spellStart"/>
      <w:r>
        <w:rPr>
          <w:rFonts w:ascii="Times New Roman" w:eastAsia="Times New Roman" w:hAnsi="Times New Roman" w:cs="Times New Roman"/>
        </w:rPr>
        <w:t>Kastenbaum</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Aisenberg</w:t>
      </w:r>
      <w:proofErr w:type="spellEnd"/>
      <w:r>
        <w:rPr>
          <w:rFonts w:ascii="Times New Roman" w:eastAsia="Times New Roman" w:hAnsi="Times New Roman" w:cs="Times New Roman"/>
        </w:rPr>
        <w:t xml:space="preserve">, 1983). Esse desafio cognitivo que é apreender a morte enquanto abstração se complementa a um outro desafio, de natureza emocional e afetiva, que leva a criança a criar relações mágicas e fantasiosas sobre o que acarreta a morte, normalmente trazendo para si a culpa </w:t>
      </w:r>
      <w:proofErr w:type="gramStart"/>
      <w:r>
        <w:rPr>
          <w:rFonts w:ascii="Times New Roman" w:eastAsia="Times New Roman" w:hAnsi="Times New Roman" w:cs="Times New Roman"/>
        </w:rPr>
        <w:t>da falecimento</w:t>
      </w:r>
      <w:proofErr w:type="gramEnd"/>
      <w:r>
        <w:rPr>
          <w:rFonts w:ascii="Times New Roman" w:eastAsia="Times New Roman" w:hAnsi="Times New Roman" w:cs="Times New Roman"/>
        </w:rPr>
        <w:t xml:space="preserve"> de um ente querido (Torres, 2012). Os modelos piagetianos de desenvolvimento são convenientes para explicar como a criança elabora a morte. Num nível </w:t>
      </w:r>
      <w:r>
        <w:rPr>
          <w:rFonts w:ascii="Times New Roman" w:eastAsia="Times New Roman" w:hAnsi="Times New Roman" w:cs="Times New Roman"/>
          <w:i/>
        </w:rPr>
        <w:t>pré-operacional</w:t>
      </w:r>
      <w:r>
        <w:rPr>
          <w:rFonts w:ascii="Times New Roman" w:eastAsia="Times New Roman" w:hAnsi="Times New Roman" w:cs="Times New Roman"/>
        </w:rPr>
        <w:t xml:space="preserve">, por não ter atingido um grau de abstração tal, a criança não compreende a oposição entre um ser animado e inanimado e apesar de terem alguma noção sobre o que é a morte, não compreendem sua irreversibilidade. Já no nível das </w:t>
      </w:r>
      <w:r>
        <w:rPr>
          <w:rFonts w:ascii="Times New Roman" w:eastAsia="Times New Roman" w:hAnsi="Times New Roman" w:cs="Times New Roman"/>
          <w:i/>
        </w:rPr>
        <w:t>operações concretas</w:t>
      </w:r>
      <w:r>
        <w:rPr>
          <w:rFonts w:ascii="Times New Roman" w:eastAsia="Times New Roman" w:hAnsi="Times New Roman" w:cs="Times New Roman"/>
        </w:rPr>
        <w:t xml:space="preserve">, a criança já compreende a oposição entre vida e morte de forma mais clara, entendendo que a morte é definitiva; porém, não conseguem compreender sua causalidade, ou seja, o que leva um ser vivo a morrer. Assim sendo, é tão somente no nível das </w:t>
      </w:r>
      <w:r>
        <w:rPr>
          <w:rFonts w:ascii="Times New Roman" w:eastAsia="Times New Roman" w:hAnsi="Times New Roman" w:cs="Times New Roman"/>
          <w:i/>
        </w:rPr>
        <w:t>operações formais</w:t>
      </w:r>
      <w:r>
        <w:rPr>
          <w:rFonts w:ascii="Times New Roman" w:eastAsia="Times New Roman" w:hAnsi="Times New Roman" w:cs="Times New Roman"/>
        </w:rPr>
        <w:t xml:space="preserve"> que a criança começa a compreender a morte como processo, e como operam as funções biológicas que acarretam na cessação da vida (Torres, 2012).</w:t>
      </w:r>
    </w:p>
    <w:p w14:paraId="30DFCF14" w14:textId="77777777" w:rsidR="00FA6B71" w:rsidRDefault="00FA6B71">
      <w:pPr>
        <w:spacing w:line="360" w:lineRule="auto"/>
        <w:jc w:val="both"/>
        <w:rPr>
          <w:rFonts w:ascii="Times New Roman" w:eastAsia="Times New Roman" w:hAnsi="Times New Roman" w:cs="Times New Roman"/>
        </w:rPr>
      </w:pPr>
    </w:p>
    <w:p w14:paraId="151800A5" w14:textId="77777777" w:rsidR="00FA6B71" w:rsidRDefault="00000000" w:rsidP="007B7C3D">
      <w:pPr>
        <w:pStyle w:val="Ttulo2"/>
      </w:pPr>
      <w:bookmarkStart w:id="3" w:name="_Toc210994440"/>
      <w:r>
        <w:t>1.2. Morte e luto no contexto escolar português</w:t>
      </w:r>
      <w:bookmarkEnd w:id="3"/>
    </w:p>
    <w:p w14:paraId="54DD6D44"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Em consonância com as diversas investigações que estão sendo conduzidas atualmente na maioria dos países ocidentais, este estudo buscará identificar como professores comunicam-se com os seus alunos sobre morte e luto, e de que forma a temática se faz presente nas escolas de Portugal. Mais além, este estudo tem como grande foco a investigação sobre as atitudes de professores perante a morte e seu conceito dentro do contexto escolar, com vista para o primeiro ciclo de ensino português, período que compreende crianças em </w:t>
      </w:r>
      <w:r>
        <w:rPr>
          <w:rFonts w:ascii="Times New Roman" w:eastAsia="Times New Roman" w:hAnsi="Times New Roman" w:cs="Times New Roman"/>
          <w:i/>
        </w:rPr>
        <w:t>estágio das operações concretas</w:t>
      </w:r>
      <w:r>
        <w:rPr>
          <w:rFonts w:ascii="Times New Roman" w:eastAsia="Times New Roman" w:hAnsi="Times New Roman" w:cs="Times New Roman"/>
        </w:rPr>
        <w:t xml:space="preserve"> do desenvolvimento infantil. Algo similar foi desenvolvido por Granja (2013) em estudo exploratório sobre o tema. A autora indica que há uma resistência das escolas em abordar o tema, estando isso associado à presunção de que são temas circunscritos ao </w:t>
      </w:r>
      <w:r>
        <w:rPr>
          <w:rFonts w:ascii="Times New Roman" w:eastAsia="Times New Roman" w:hAnsi="Times New Roman" w:cs="Times New Roman"/>
        </w:rPr>
        <w:lastRenderedPageBreak/>
        <w:t xml:space="preserve">âmbito familiar. Isto também </w:t>
      </w:r>
      <w:proofErr w:type="gramStart"/>
      <w:r>
        <w:rPr>
          <w:rFonts w:ascii="Times New Roman" w:eastAsia="Times New Roman" w:hAnsi="Times New Roman" w:cs="Times New Roman"/>
        </w:rPr>
        <w:t>confirma-se</w:t>
      </w:r>
      <w:proofErr w:type="gramEnd"/>
      <w:r>
        <w:rPr>
          <w:rFonts w:ascii="Times New Roman" w:eastAsia="Times New Roman" w:hAnsi="Times New Roman" w:cs="Times New Roman"/>
        </w:rPr>
        <w:t xml:space="preserve"> com fato de que nenhuma escola, em sua pesquisa, incluía a perda e o luto como conteúdos em seu projeto educativo. Ao papel do educador, por outro lado, atribui-se certa responsabilidade para lidar com o tema em casos específicos, mas reduz-se a ações individuais dos professores. Entretanto, chama a atenção que existe uma compreensão das escolas, ainda que frágil e desorganizada, de que se faz necessário tomar alguma atitude em relação ao tema, mesmo que não se saiba o quê (Granja, 2013).</w:t>
      </w:r>
    </w:p>
    <w:p w14:paraId="4DB5B3CD"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autora observou ainda que, apesar de a maioria das escolas reconhecer a relevância de oferecer suporte emocional aos alunos, a responsabilidade não é propriamente da escola enquanto instituição, mas difusa. Os professores apoiam-se em ações essencialmente informais e desarticuladas (Granja, 2013). Tal cenário reforça a ideia de que a Escola portuguesa, embora reconheça figurativamente a importância do acolhimento em caso de luto e da reflexão sobre o papel do adulto na formação da criança, ainda não é um espaço verdadeiramente sensível à temática. Isso parte de uma descoordenação de ações dos agentes educativos presentes na escola que não formalizam diretrizes claras para tratar do assunto. </w:t>
      </w:r>
    </w:p>
    <w:p w14:paraId="4EBFA11B"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Os resultados obtidos nas fases subsequentes da investigação da mesma pesquisa apontam para uma necessidade imperativa de formação para docentes na área do luto e da educação para a morte. Diretores e educadores relataram sentir-se despreparados para lidar com a dimensão emocional do tema, solicitando formação específica sobre estratégias de apoio a alunos enlutados e sobre o impacto que essas experiências têm no processo de aprendizagem (Granja, 2013).</w:t>
      </w:r>
    </w:p>
    <w:p w14:paraId="28945649" w14:textId="77777777" w:rsidR="00FA6B71" w:rsidRDefault="00FA6B71">
      <w:pPr>
        <w:spacing w:line="360" w:lineRule="auto"/>
        <w:ind w:firstLine="720"/>
        <w:jc w:val="both"/>
        <w:rPr>
          <w:rFonts w:ascii="Times New Roman" w:eastAsia="Times New Roman" w:hAnsi="Times New Roman" w:cs="Times New Roman"/>
        </w:rPr>
      </w:pPr>
    </w:p>
    <w:p w14:paraId="5DBF0150" w14:textId="77777777" w:rsidR="00FA6B71" w:rsidRDefault="00000000" w:rsidP="007B7C3D">
      <w:pPr>
        <w:pStyle w:val="Ttulo2"/>
      </w:pPr>
      <w:bookmarkStart w:id="4" w:name="_Toc210994441"/>
      <w:r>
        <w:t>1.3. Educadores e suas atitudes perante a morte em contexto escolar</w:t>
      </w:r>
      <w:bookmarkEnd w:id="4"/>
    </w:p>
    <w:p w14:paraId="03A24F41"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questão pode ser mais ou menos complicada a depender de como o conversar sobre a morte é visto dentro da cultura em que esses professores estão inseridos. Em estudo conduzido na Irlanda, foi demonstrado que os educadores apresentam atitudes mais positivas perante situações de morte e luto dentro das escolas, se comparado à maioria dos estudos conduzidos em outros países; notadamente, os professores e familiares mostraram-se mais aptos a trabalhar esses assuntos e apresentaram maior compreensão da temática num geral (McGovern &amp; </w:t>
      </w:r>
      <w:proofErr w:type="spellStart"/>
      <w:r>
        <w:rPr>
          <w:rFonts w:ascii="Times New Roman" w:eastAsia="Times New Roman" w:hAnsi="Times New Roman" w:cs="Times New Roman"/>
        </w:rPr>
        <w:t>Murray</w:t>
      </w:r>
      <w:proofErr w:type="spellEnd"/>
      <w:r>
        <w:rPr>
          <w:rFonts w:ascii="Times New Roman" w:eastAsia="Times New Roman" w:hAnsi="Times New Roman" w:cs="Times New Roman"/>
        </w:rPr>
        <w:t xml:space="preserve">, 2000). No estudo com professores noruegueses conduzido por </w:t>
      </w:r>
      <w:proofErr w:type="spellStart"/>
      <w:r>
        <w:rPr>
          <w:rFonts w:ascii="Times New Roman" w:eastAsia="Times New Roman" w:hAnsi="Times New Roman" w:cs="Times New Roman"/>
        </w:rPr>
        <w:t>Dyregrov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Dyregrov</w:t>
      </w:r>
      <w:proofErr w:type="spellEnd"/>
      <w:r>
        <w:rPr>
          <w:rFonts w:ascii="Times New Roman" w:eastAsia="Times New Roman" w:hAnsi="Times New Roman" w:cs="Times New Roman"/>
        </w:rPr>
        <w:t xml:space="preserve"> e </w:t>
      </w:r>
      <w:proofErr w:type="spellStart"/>
      <w:r>
        <w:rPr>
          <w:rFonts w:ascii="Times New Roman" w:eastAsia="Times New Roman" w:hAnsi="Times New Roman" w:cs="Times New Roman"/>
        </w:rPr>
        <w:t>Idsoe</w:t>
      </w:r>
      <w:proofErr w:type="spellEnd"/>
      <w:r>
        <w:rPr>
          <w:rFonts w:ascii="Times New Roman" w:eastAsia="Times New Roman" w:hAnsi="Times New Roman" w:cs="Times New Roman"/>
        </w:rPr>
        <w:t xml:space="preserve"> (2013) também </w:t>
      </w:r>
      <w:proofErr w:type="gramStart"/>
      <w:r>
        <w:rPr>
          <w:rFonts w:ascii="Times New Roman" w:eastAsia="Times New Roman" w:hAnsi="Times New Roman" w:cs="Times New Roman"/>
        </w:rPr>
        <w:t>identificou-se</w:t>
      </w:r>
      <w:proofErr w:type="gramEnd"/>
      <w:r>
        <w:rPr>
          <w:rFonts w:ascii="Times New Roman" w:eastAsia="Times New Roman" w:hAnsi="Times New Roman" w:cs="Times New Roman"/>
        </w:rPr>
        <w:t xml:space="preserve"> um bom nível de consciência sobre o luto infantil e suas possíveis </w:t>
      </w:r>
      <w:r>
        <w:rPr>
          <w:rFonts w:ascii="Times New Roman" w:eastAsia="Times New Roman" w:hAnsi="Times New Roman" w:cs="Times New Roman"/>
        </w:rPr>
        <w:lastRenderedPageBreak/>
        <w:t>implicações, como a negligência que crianças enlutadas podem sofrer dentro do ambiente escolar, e a importância em demonstrar empatia e oferecer suporte.</w:t>
      </w:r>
    </w:p>
    <w:p w14:paraId="04C72764"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Como salienta </w:t>
      </w:r>
      <w:proofErr w:type="spellStart"/>
      <w:r>
        <w:rPr>
          <w:rFonts w:ascii="Times New Roman" w:eastAsia="Times New Roman" w:hAnsi="Times New Roman" w:cs="Times New Roman"/>
        </w:rPr>
        <w:t>Duncan</w:t>
      </w:r>
      <w:proofErr w:type="spellEnd"/>
      <w:r>
        <w:rPr>
          <w:rFonts w:ascii="Times New Roman" w:eastAsia="Times New Roman" w:hAnsi="Times New Roman" w:cs="Times New Roman"/>
        </w:rPr>
        <w:t xml:space="preserve"> (2020) há um crescente interesse científico acerca das estratégias e condutas que educadores e agentes escolares podem promover para ajudar crianças em luto infantil. Foi demonstrado que as principais abordagens dos estudos sobre o assunto orbitavam em torno dos temas: (i) </w:t>
      </w:r>
      <w:proofErr w:type="gramStart"/>
      <w:r>
        <w:rPr>
          <w:rFonts w:ascii="Times New Roman" w:eastAsia="Times New Roman" w:hAnsi="Times New Roman" w:cs="Times New Roman"/>
          <w:i/>
        </w:rPr>
        <w:t>comunicação</w:t>
      </w:r>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ii</w:t>
      </w:r>
      <w:proofErr w:type="spellEnd"/>
      <w:r>
        <w:rPr>
          <w:rFonts w:ascii="Times New Roman" w:eastAsia="Times New Roman" w:hAnsi="Times New Roman" w:cs="Times New Roman"/>
        </w:rPr>
        <w:t xml:space="preserve">) </w:t>
      </w:r>
      <w:r>
        <w:rPr>
          <w:rFonts w:ascii="Times New Roman" w:eastAsia="Times New Roman" w:hAnsi="Times New Roman" w:cs="Times New Roman"/>
          <w:i/>
        </w:rPr>
        <w:t>apoio social/dos pares</w:t>
      </w:r>
      <w:r>
        <w:rPr>
          <w:rFonts w:ascii="Times New Roman" w:eastAsia="Times New Roman" w:hAnsi="Times New Roman" w:cs="Times New Roman"/>
        </w:rPr>
        <w:t>; (</w:t>
      </w:r>
      <w:proofErr w:type="spellStart"/>
      <w:r>
        <w:rPr>
          <w:rFonts w:ascii="Times New Roman" w:eastAsia="Times New Roman" w:hAnsi="Times New Roman" w:cs="Times New Roman"/>
        </w:rPr>
        <w:t>iii</w:t>
      </w:r>
      <w:proofErr w:type="spellEnd"/>
      <w:r>
        <w:rPr>
          <w:rFonts w:ascii="Times New Roman" w:eastAsia="Times New Roman" w:hAnsi="Times New Roman" w:cs="Times New Roman"/>
        </w:rPr>
        <w:t xml:space="preserve">) </w:t>
      </w:r>
      <w:r>
        <w:rPr>
          <w:rFonts w:ascii="Times New Roman" w:eastAsia="Times New Roman" w:hAnsi="Times New Roman" w:cs="Times New Roman"/>
          <w:i/>
        </w:rPr>
        <w:t>expressão das emoções</w:t>
      </w:r>
      <w:r>
        <w:rPr>
          <w:rFonts w:ascii="Times New Roman" w:eastAsia="Times New Roman" w:hAnsi="Times New Roman" w:cs="Times New Roman"/>
        </w:rPr>
        <w:t>; (</w:t>
      </w:r>
      <w:proofErr w:type="spellStart"/>
      <w:r>
        <w:rPr>
          <w:rFonts w:ascii="Times New Roman" w:eastAsia="Times New Roman" w:hAnsi="Times New Roman" w:cs="Times New Roman"/>
        </w:rPr>
        <w:t>iv</w:t>
      </w:r>
      <w:proofErr w:type="spellEnd"/>
      <w:r>
        <w:rPr>
          <w:rFonts w:ascii="Times New Roman" w:eastAsia="Times New Roman" w:hAnsi="Times New Roman" w:cs="Times New Roman"/>
        </w:rPr>
        <w:t xml:space="preserve">) </w:t>
      </w:r>
      <w:r>
        <w:rPr>
          <w:rFonts w:ascii="Times New Roman" w:eastAsia="Times New Roman" w:hAnsi="Times New Roman" w:cs="Times New Roman"/>
          <w:i/>
        </w:rPr>
        <w:t>papel dos adultos</w:t>
      </w:r>
      <w:r>
        <w:rPr>
          <w:rFonts w:ascii="Times New Roman" w:eastAsia="Times New Roman" w:hAnsi="Times New Roman" w:cs="Times New Roman"/>
        </w:rPr>
        <w:t xml:space="preserve">; (v) </w:t>
      </w:r>
      <w:r>
        <w:rPr>
          <w:rFonts w:ascii="Times New Roman" w:eastAsia="Times New Roman" w:hAnsi="Times New Roman" w:cs="Times New Roman"/>
          <w:i/>
        </w:rPr>
        <w:t xml:space="preserve">conceitualização do </w:t>
      </w:r>
      <w:proofErr w:type="spellStart"/>
      <w:r>
        <w:rPr>
          <w:rFonts w:ascii="Times New Roman" w:eastAsia="Times New Roman" w:hAnsi="Times New Roman" w:cs="Times New Roman"/>
          <w:i/>
        </w:rPr>
        <w:t>enlutamento</w:t>
      </w:r>
      <w:proofErr w:type="spellEnd"/>
      <w:r>
        <w:rPr>
          <w:rFonts w:ascii="Times New Roman" w:eastAsia="Times New Roman" w:hAnsi="Times New Roman" w:cs="Times New Roman"/>
        </w:rPr>
        <w:t xml:space="preserve">; (vi) </w:t>
      </w:r>
      <w:r>
        <w:rPr>
          <w:rFonts w:ascii="Times New Roman" w:eastAsia="Times New Roman" w:hAnsi="Times New Roman" w:cs="Times New Roman"/>
          <w:i/>
        </w:rPr>
        <w:t>achar conforto</w:t>
      </w:r>
      <w:r>
        <w:rPr>
          <w:rFonts w:ascii="Times New Roman" w:eastAsia="Times New Roman" w:hAnsi="Times New Roman" w:cs="Times New Roman"/>
        </w:rPr>
        <w:t>; (</w:t>
      </w:r>
      <w:proofErr w:type="spellStart"/>
      <w:r>
        <w:rPr>
          <w:rFonts w:ascii="Times New Roman" w:eastAsia="Times New Roman" w:hAnsi="Times New Roman" w:cs="Times New Roman"/>
        </w:rPr>
        <w:t>vii</w:t>
      </w:r>
      <w:proofErr w:type="spellEnd"/>
      <w:r>
        <w:rPr>
          <w:rFonts w:ascii="Times New Roman" w:eastAsia="Times New Roman" w:hAnsi="Times New Roman" w:cs="Times New Roman"/>
        </w:rPr>
        <w:t xml:space="preserve">) </w:t>
      </w:r>
      <w:r>
        <w:rPr>
          <w:rFonts w:ascii="Times New Roman" w:eastAsia="Times New Roman" w:hAnsi="Times New Roman" w:cs="Times New Roman"/>
          <w:i/>
        </w:rPr>
        <w:t>estresse e trauma</w:t>
      </w:r>
      <w:r>
        <w:rPr>
          <w:rFonts w:ascii="Times New Roman" w:eastAsia="Times New Roman" w:hAnsi="Times New Roman" w:cs="Times New Roman"/>
        </w:rPr>
        <w:t>; (</w:t>
      </w:r>
      <w:proofErr w:type="spellStart"/>
      <w:r>
        <w:rPr>
          <w:rFonts w:ascii="Times New Roman" w:eastAsia="Times New Roman" w:hAnsi="Times New Roman" w:cs="Times New Roman"/>
        </w:rPr>
        <w:t>viii</w:t>
      </w:r>
      <w:proofErr w:type="spellEnd"/>
      <w:r>
        <w:rPr>
          <w:rFonts w:ascii="Times New Roman" w:eastAsia="Times New Roman" w:hAnsi="Times New Roman" w:cs="Times New Roman"/>
        </w:rPr>
        <w:t xml:space="preserve">) </w:t>
      </w:r>
      <w:r>
        <w:rPr>
          <w:rFonts w:ascii="Times New Roman" w:eastAsia="Times New Roman" w:hAnsi="Times New Roman" w:cs="Times New Roman"/>
          <w:i/>
        </w:rPr>
        <w:t>olhar para o futuro.</w:t>
      </w:r>
      <w:r>
        <w:rPr>
          <w:rFonts w:ascii="Times New Roman" w:eastAsia="Times New Roman" w:hAnsi="Times New Roman" w:cs="Times New Roman"/>
        </w:rPr>
        <w:t xml:space="preserve"> O autor também sublinha as possibilidades de integração da morte nos currículos escolares, aproximando componentes </w:t>
      </w:r>
      <w:proofErr w:type="spellStart"/>
      <w:r>
        <w:rPr>
          <w:rFonts w:ascii="Times New Roman" w:eastAsia="Times New Roman" w:hAnsi="Times New Roman" w:cs="Times New Roman"/>
        </w:rPr>
        <w:t>psicoeducacionais</w:t>
      </w:r>
      <w:proofErr w:type="spellEnd"/>
      <w:r>
        <w:rPr>
          <w:rFonts w:ascii="Times New Roman" w:eastAsia="Times New Roman" w:hAnsi="Times New Roman" w:cs="Times New Roman"/>
        </w:rPr>
        <w:t xml:space="preserve"> dos professores, a fim de promover uma comunicação adequada e proativa sobre o assunto (</w:t>
      </w:r>
      <w:proofErr w:type="spellStart"/>
      <w:r>
        <w:rPr>
          <w:rFonts w:ascii="Times New Roman" w:eastAsia="Times New Roman" w:hAnsi="Times New Roman" w:cs="Times New Roman"/>
        </w:rPr>
        <w:t>Duncan</w:t>
      </w:r>
      <w:proofErr w:type="spellEnd"/>
      <w:r>
        <w:rPr>
          <w:rFonts w:ascii="Times New Roman" w:eastAsia="Times New Roman" w:hAnsi="Times New Roman" w:cs="Times New Roman"/>
        </w:rPr>
        <w:t>, 2020).</w:t>
      </w:r>
    </w:p>
    <w:p w14:paraId="673ED256" w14:textId="77777777" w:rsidR="00FA6B71" w:rsidRDefault="00000000">
      <w:pPr>
        <w:widowControl w:val="0"/>
        <w:spacing w:line="360" w:lineRule="auto"/>
        <w:ind w:firstLine="720"/>
        <w:jc w:val="both"/>
        <w:rPr>
          <w:rFonts w:ascii="Times New Roman" w:eastAsia="Times New Roman" w:hAnsi="Times New Roman" w:cs="Times New Roman"/>
          <w:b/>
        </w:rPr>
      </w:pPr>
      <w:r>
        <w:rPr>
          <w:rFonts w:ascii="Times New Roman" w:eastAsia="Times New Roman" w:hAnsi="Times New Roman" w:cs="Times New Roman"/>
        </w:rPr>
        <w:t xml:space="preserve">Rodríguez, </w:t>
      </w:r>
      <w:proofErr w:type="spellStart"/>
      <w:r>
        <w:rPr>
          <w:rFonts w:ascii="Times New Roman" w:eastAsia="Times New Roman" w:hAnsi="Times New Roman" w:cs="Times New Roman"/>
        </w:rPr>
        <w:t>Herrán</w:t>
      </w:r>
      <w:proofErr w:type="spellEnd"/>
      <w:r>
        <w:rPr>
          <w:rFonts w:ascii="Times New Roman" w:eastAsia="Times New Roman" w:hAnsi="Times New Roman" w:cs="Times New Roman"/>
        </w:rPr>
        <w:t>, Pérez-</w:t>
      </w:r>
      <w:proofErr w:type="spellStart"/>
      <w:r>
        <w:rPr>
          <w:rFonts w:ascii="Times New Roman" w:eastAsia="Times New Roman" w:hAnsi="Times New Roman" w:cs="Times New Roman"/>
        </w:rPr>
        <w:t>Bonet</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Sánchez-Huete</w:t>
      </w:r>
      <w:proofErr w:type="spellEnd"/>
      <w:r>
        <w:rPr>
          <w:rFonts w:ascii="Times New Roman" w:eastAsia="Times New Roman" w:hAnsi="Times New Roman" w:cs="Times New Roman"/>
        </w:rPr>
        <w:t xml:space="preserve"> (2020) estudaram as atitudes de educadores </w:t>
      </w:r>
      <w:proofErr w:type="spellStart"/>
      <w:r>
        <w:rPr>
          <w:rFonts w:ascii="Times New Roman" w:eastAsia="Times New Roman" w:hAnsi="Times New Roman" w:cs="Times New Roman"/>
        </w:rPr>
        <w:t>espanhois</w:t>
      </w:r>
      <w:proofErr w:type="spellEnd"/>
      <w:r>
        <w:rPr>
          <w:rFonts w:ascii="Times New Roman" w:eastAsia="Times New Roman" w:hAnsi="Times New Roman" w:cs="Times New Roman"/>
        </w:rPr>
        <w:t xml:space="preserve"> em relação à educação para a morte; em estudo que contou com 683 professores de diferentes escolas, os resultados apontaram para uma atitude moderadamente positiva de professores em relação à inclusão da educação para a morte em contexto escolar. A categoria mais destacada no estudo compreende a necessidade de mais treinamento dos professores para tratar desses assuntos dentro da sala de aula; os autores também relacionam esse dado ao fato de que a grande maioria dos participantes relataram não terem tido nenhum tipo de treinamento nessa área. Outro resultado interessante aponta que a maioria dos professores acredita que não apenas o tema é tratado com grande tabu na sociedade, mas que esse tabu </w:t>
      </w:r>
      <w:proofErr w:type="gramStart"/>
      <w:r>
        <w:rPr>
          <w:rFonts w:ascii="Times New Roman" w:eastAsia="Times New Roman" w:hAnsi="Times New Roman" w:cs="Times New Roman"/>
        </w:rPr>
        <w:t>reflete-se</w:t>
      </w:r>
      <w:proofErr w:type="gramEnd"/>
      <w:r>
        <w:rPr>
          <w:rFonts w:ascii="Times New Roman" w:eastAsia="Times New Roman" w:hAnsi="Times New Roman" w:cs="Times New Roman"/>
        </w:rPr>
        <w:t xml:space="preserve"> no contexto educacional, em que o tema não é incluído no projeto escolar e não há procedimentos para a tomada de decisões quando há mortes que afetam os alunos. </w:t>
      </w:r>
    </w:p>
    <w:p w14:paraId="7018111E" w14:textId="77777777" w:rsidR="00FA6B71" w:rsidRDefault="00FA6B71">
      <w:pPr>
        <w:spacing w:line="360" w:lineRule="auto"/>
        <w:jc w:val="both"/>
        <w:rPr>
          <w:rFonts w:ascii="Times New Roman" w:eastAsia="Times New Roman" w:hAnsi="Times New Roman" w:cs="Times New Roman"/>
          <w:b/>
        </w:rPr>
      </w:pPr>
    </w:p>
    <w:p w14:paraId="6655B0F8" w14:textId="77777777" w:rsidR="00FA6B71" w:rsidRDefault="00000000" w:rsidP="007B7C3D">
      <w:pPr>
        <w:pStyle w:val="Ttulo2"/>
      </w:pPr>
      <w:bookmarkStart w:id="5" w:name="_Toc210994442"/>
      <w:r>
        <w:t>1.4. Entrevista Cognitiva</w:t>
      </w:r>
      <w:bookmarkEnd w:id="5"/>
    </w:p>
    <w:p w14:paraId="00730AB7"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Neste estudo, foi empregado uma metodologia conhecida como </w:t>
      </w:r>
      <w:r>
        <w:rPr>
          <w:rFonts w:ascii="Times New Roman" w:eastAsia="Times New Roman" w:hAnsi="Times New Roman" w:cs="Times New Roman"/>
          <w:b/>
        </w:rPr>
        <w:t>entrevista cognitiva</w:t>
      </w:r>
      <w:r>
        <w:rPr>
          <w:rFonts w:ascii="Times New Roman" w:eastAsia="Times New Roman" w:hAnsi="Times New Roman" w:cs="Times New Roman"/>
        </w:rPr>
        <w:t>. Em termos gerais, esta metodologia consiste em uma variedade de técnicas que podem ser empregadas para avaliar e refinar a qualidade dos inquéritos psicológicos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1994). Seu desenvolvimento começou nos anos 1980, quando investigadores do campo da Teoria Cognitiva tentavam explorar com mais profundidade as propriedades cognitivas que orientavam as respostas dos participantes de pesquisas com questionários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1994). Com o esforço de psicólogos e investigadores, desenvolveu-se o campo interdisciplinar conhecido como </w:t>
      </w:r>
      <w:proofErr w:type="spellStart"/>
      <w:r>
        <w:rPr>
          <w:rFonts w:ascii="Times New Roman" w:eastAsia="Times New Roman" w:hAnsi="Times New Roman" w:cs="Times New Roman"/>
          <w:i/>
        </w:rPr>
        <w:t>Cognitive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Aspects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of</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Survey</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Methodology</w:t>
      </w:r>
      <w:proofErr w:type="spellEnd"/>
      <w:r>
        <w:rPr>
          <w:rFonts w:ascii="Times New Roman" w:eastAsia="Times New Roman" w:hAnsi="Times New Roman" w:cs="Times New Roman"/>
          <w:i/>
        </w:rPr>
        <w:t xml:space="preserve"> (CASM)</w:t>
      </w:r>
      <w:r>
        <w:rPr>
          <w:rFonts w:ascii="Times New Roman" w:eastAsia="Times New Roman" w:hAnsi="Times New Roman" w:cs="Times New Roman"/>
        </w:rPr>
        <w:t xml:space="preserve">. Um ponto central para o entendimento deste </w:t>
      </w:r>
      <w:r>
        <w:rPr>
          <w:rFonts w:ascii="Times New Roman" w:eastAsia="Times New Roman" w:hAnsi="Times New Roman" w:cs="Times New Roman"/>
        </w:rPr>
        <w:lastRenderedPageBreak/>
        <w:t xml:space="preserve">campo é a ideia de que responder a um inquérito propõe uma série de tarefas cognitivas </w:t>
      </w:r>
      <w:proofErr w:type="spellStart"/>
      <w:proofErr w:type="gramStart"/>
      <w:r>
        <w:rPr>
          <w:rFonts w:ascii="Times New Roman" w:eastAsia="Times New Roman" w:hAnsi="Times New Roman" w:cs="Times New Roman"/>
        </w:rPr>
        <w:t>inter</w:t>
      </w:r>
      <w:proofErr w:type="spellEnd"/>
      <w:r>
        <w:rPr>
          <w:rFonts w:ascii="Times New Roman" w:eastAsia="Times New Roman" w:hAnsi="Times New Roman" w:cs="Times New Roman"/>
        </w:rPr>
        <w:t xml:space="preserve"> relacionadas</w:t>
      </w:r>
      <w:proofErr w:type="gramEnd"/>
      <w:r>
        <w:rPr>
          <w:rFonts w:ascii="Times New Roman" w:eastAsia="Times New Roman" w:hAnsi="Times New Roman" w:cs="Times New Roman"/>
        </w:rPr>
        <w:t>; isso significa dizer que, entre a questão proposta pelo investigador e a resposta de um participante, há muitos processos cognitivos que ficam subjacentes (</w:t>
      </w:r>
      <w:proofErr w:type="spellStart"/>
      <w:r>
        <w:rPr>
          <w:rFonts w:ascii="Times New Roman" w:eastAsia="Times New Roman" w:hAnsi="Times New Roman" w:cs="Times New Roman"/>
        </w:rPr>
        <w:t>Schwartz</w:t>
      </w:r>
      <w:proofErr w:type="spellEnd"/>
      <w:r>
        <w:rPr>
          <w:rFonts w:ascii="Times New Roman" w:eastAsia="Times New Roman" w:hAnsi="Times New Roman" w:cs="Times New Roman"/>
        </w:rPr>
        <w:t>, 2007).  Responder a um questionário envolve múltiplas tarefas cognitivas — interpretar a questão, recuperar informações da memória, formular um juízo e, por fim, adaptá-lo às opções de resposta. Quando os itens não estão suficientemente delimitados, a primeira dessas tarefas (a interpretação) torna-se problemática, o que afeta todas as etapas seguintes (</w:t>
      </w:r>
      <w:proofErr w:type="spellStart"/>
      <w:r>
        <w:rPr>
          <w:rFonts w:ascii="Times New Roman" w:eastAsia="Times New Roman" w:hAnsi="Times New Roman" w:cs="Times New Roman"/>
        </w:rPr>
        <w:t>Tourangeau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Rips</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Rasinski</w:t>
      </w:r>
      <w:proofErr w:type="spellEnd"/>
      <w:r>
        <w:rPr>
          <w:rFonts w:ascii="Times New Roman" w:eastAsia="Times New Roman" w:hAnsi="Times New Roman" w:cs="Times New Roman"/>
        </w:rPr>
        <w:t xml:space="preserve">, 2000). Isso também envolve que o sujeito respondente se depare com questões com conceitos abstratos e complexos; muitas vezes têm que conseguir </w:t>
      </w:r>
      <w:proofErr w:type="spellStart"/>
      <w:r>
        <w:rPr>
          <w:rFonts w:ascii="Times New Roman" w:eastAsia="Times New Roman" w:hAnsi="Times New Roman" w:cs="Times New Roman"/>
        </w:rPr>
        <w:t>acessar</w:t>
      </w:r>
      <w:proofErr w:type="spellEnd"/>
      <w:r>
        <w:rPr>
          <w:rFonts w:ascii="Times New Roman" w:eastAsia="Times New Roman" w:hAnsi="Times New Roman" w:cs="Times New Roman"/>
        </w:rPr>
        <w:t xml:space="preserve"> memórias de longo termo, para agregá-las num processo de decisão que o leva a sustentar uma resposta e não uma outra qualquer. Estes tais processos cognitivos são, portanto, o principal objeto de estudo dos métodos CASM, pois interpretá-los é o que indica se as perguntas contidas em um inquérito eliciam respostas adequadas ao que busca-se avaliar dentro dos objetivos de um estudo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2005).</w:t>
      </w:r>
    </w:p>
    <w:p w14:paraId="586EC22E"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Com efeito, em uma entrevista cognitiva, os sujeitos são recrutados para participarem de </w:t>
      </w:r>
      <w:proofErr w:type="gramStart"/>
      <w:r>
        <w:rPr>
          <w:rFonts w:ascii="Times New Roman" w:eastAsia="Times New Roman" w:hAnsi="Times New Roman" w:cs="Times New Roman"/>
        </w:rPr>
        <w:t>um entrevista</w:t>
      </w:r>
      <w:proofErr w:type="gramEnd"/>
      <w:r>
        <w:rPr>
          <w:rFonts w:ascii="Times New Roman" w:eastAsia="Times New Roman" w:hAnsi="Times New Roman" w:cs="Times New Roman"/>
        </w:rPr>
        <w:t xml:space="preserve"> (em laboratório ou mesmo um ambiente privado de alguma instituição) que tem como base um inquérito em construção. Apesar de o objeto do investigador tratar-se de um questionário para futuramente servir como instrumento de avaliação, uma entrevista cognitiva tem, essencialmente, um </w:t>
      </w:r>
      <w:proofErr w:type="spellStart"/>
      <w:r>
        <w:rPr>
          <w:rFonts w:ascii="Times New Roman" w:eastAsia="Times New Roman" w:hAnsi="Times New Roman" w:cs="Times New Roman"/>
        </w:rPr>
        <w:t>caráter</w:t>
      </w:r>
      <w:proofErr w:type="spellEnd"/>
      <w:r>
        <w:rPr>
          <w:rFonts w:ascii="Times New Roman" w:eastAsia="Times New Roman" w:hAnsi="Times New Roman" w:cs="Times New Roman"/>
        </w:rPr>
        <w:t xml:space="preserve"> </w:t>
      </w:r>
      <w:r>
        <w:rPr>
          <w:rFonts w:ascii="Times New Roman" w:eastAsia="Times New Roman" w:hAnsi="Times New Roman" w:cs="Times New Roman"/>
          <w:i/>
        </w:rPr>
        <w:t>qualitativo</w:t>
      </w:r>
      <w:r>
        <w:rPr>
          <w:rFonts w:ascii="Times New Roman" w:eastAsia="Times New Roman" w:hAnsi="Times New Roman" w:cs="Times New Roman"/>
        </w:rPr>
        <w:t>. Isso significa dizer que também não é objetivo desse tipo de entrevista produzir uma estimativa estatística para uma população, tampouco produzir e generalizar dados acerca de um fenômeno (</w:t>
      </w:r>
      <w:proofErr w:type="spellStart"/>
      <w:r>
        <w:rPr>
          <w:rFonts w:ascii="Times New Roman" w:eastAsia="Times New Roman" w:hAnsi="Times New Roman" w:cs="Times New Roman"/>
        </w:rPr>
        <w:t>Bhalla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Bahar</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Kanapathy</w:t>
      </w:r>
      <w:proofErr w:type="spellEnd"/>
      <w:r>
        <w:rPr>
          <w:rFonts w:ascii="Times New Roman" w:eastAsia="Times New Roman" w:hAnsi="Times New Roman" w:cs="Times New Roman"/>
        </w:rPr>
        <w:t xml:space="preserve">, 2023); uma entrevista cognitiva produz conhecimento mais aprofundado sobre uma temática, melhorando os instrumentos a serem produzidos. É, portanto, uma forma de pré-teste de um questionário que utiliza de </w:t>
      </w:r>
      <w:proofErr w:type="spellStart"/>
      <w:r>
        <w:rPr>
          <w:rFonts w:ascii="Times New Roman" w:eastAsia="Times New Roman" w:hAnsi="Times New Roman" w:cs="Times New Roman"/>
        </w:rPr>
        <w:t>percepções</w:t>
      </w:r>
      <w:proofErr w:type="spellEnd"/>
      <w:r>
        <w:rPr>
          <w:rFonts w:ascii="Times New Roman" w:eastAsia="Times New Roman" w:hAnsi="Times New Roman" w:cs="Times New Roman"/>
        </w:rPr>
        <w:t xml:space="preserve"> e experiências dos sujeitos respondentes para </w:t>
      </w:r>
      <w:proofErr w:type="spellStart"/>
      <w:r>
        <w:rPr>
          <w:rFonts w:ascii="Times New Roman" w:eastAsia="Times New Roman" w:hAnsi="Times New Roman" w:cs="Times New Roman"/>
        </w:rPr>
        <w:t>detectar</w:t>
      </w:r>
      <w:proofErr w:type="spellEnd"/>
      <w:r>
        <w:rPr>
          <w:rFonts w:ascii="Times New Roman" w:eastAsia="Times New Roman" w:hAnsi="Times New Roman" w:cs="Times New Roman"/>
        </w:rPr>
        <w:t xml:space="preserve"> falhas, sejam elas de cariz estrutural (formato do questionário, clareza da pergunta, etc.), em relação aos processos cognitivos do participante (problemas de compreensão, dificuldade em recordar informações, processos de tomada de decisão, por exemplo) e mesmo com relação aos próprios temas abordados dentro do questionário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1994).</w:t>
      </w:r>
    </w:p>
    <w:p w14:paraId="2C1C454A"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Em termos práticos, são dois os formatos mais comuns dessa técnica de entrevista, são eles o </w:t>
      </w:r>
      <w:proofErr w:type="spellStart"/>
      <w:r>
        <w:rPr>
          <w:rFonts w:ascii="Times New Roman" w:eastAsia="Times New Roman" w:hAnsi="Times New Roman" w:cs="Times New Roman"/>
          <w:i/>
        </w:rPr>
        <w:t>Thinking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aloud</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(TA) e o </w:t>
      </w:r>
      <w:r>
        <w:rPr>
          <w:rFonts w:ascii="Times New Roman" w:eastAsia="Times New Roman" w:hAnsi="Times New Roman" w:cs="Times New Roman"/>
          <w:i/>
        </w:rPr>
        <w:t xml:space="preserve">Verbal </w:t>
      </w:r>
      <w:proofErr w:type="spellStart"/>
      <w:r>
        <w:rPr>
          <w:rFonts w:ascii="Times New Roman" w:eastAsia="Times New Roman" w:hAnsi="Times New Roman" w:cs="Times New Roman"/>
          <w:i/>
        </w:rPr>
        <w:t>Probing</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(VP). Apesar de suas diferenças, ambas as formas têm seus pontos positivos e negativos relativamente a </w:t>
      </w:r>
      <w:r>
        <w:rPr>
          <w:rFonts w:ascii="Times New Roman" w:eastAsia="Times New Roman" w:hAnsi="Times New Roman" w:cs="Times New Roman"/>
        </w:rPr>
        <w:lastRenderedPageBreak/>
        <w:t>obtenção dos resultados desejados. O TA</w:t>
      </w:r>
      <w:r>
        <w:rPr>
          <w:rFonts w:ascii="Times New Roman" w:eastAsia="Times New Roman" w:hAnsi="Times New Roman" w:cs="Times New Roman"/>
          <w:i/>
        </w:rPr>
        <w:t xml:space="preserve"> </w:t>
      </w:r>
      <w:r>
        <w:rPr>
          <w:rFonts w:ascii="Times New Roman" w:eastAsia="Times New Roman" w:hAnsi="Times New Roman" w:cs="Times New Roman"/>
        </w:rPr>
        <w:t>é a técnica mais comum utilizada em entrevistas cognitivas e de onde surgiu a metodologia; ao utilizá-la, o entrevistador, através de instruções como “diga-me o que está a pensar” ou interjeições do tipo “continue falando” a fim de encorajar o participante a aprofundar suas respostas e vocalizar os processos de pensamentos por trás de cada resposta (</w:t>
      </w:r>
      <w:proofErr w:type="spellStart"/>
      <w:r>
        <w:rPr>
          <w:rFonts w:ascii="Times New Roman" w:eastAsia="Times New Roman" w:hAnsi="Times New Roman" w:cs="Times New Roman"/>
        </w:rPr>
        <w:t>Farrall</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Priede</w:t>
      </w:r>
      <w:proofErr w:type="spellEnd"/>
      <w:r>
        <w:rPr>
          <w:rFonts w:ascii="Times New Roman" w:eastAsia="Times New Roman" w:hAnsi="Times New Roman" w:cs="Times New Roman"/>
        </w:rPr>
        <w:t xml:space="preserve">, 2011). Por outro lado, o VP trata-se de uma abordagem muito mais ativa por parte do entrevistador; é uma técnica alternativa que surgiu da observação de que alguns participantes não conseguem executar o </w:t>
      </w:r>
      <w:proofErr w:type="spellStart"/>
      <w:r>
        <w:rPr>
          <w:rFonts w:ascii="Times New Roman" w:eastAsia="Times New Roman" w:hAnsi="Times New Roman" w:cs="Times New Roman"/>
          <w:i/>
        </w:rPr>
        <w:t>think-aloud</w:t>
      </w:r>
      <w:proofErr w:type="spellEnd"/>
      <w:r>
        <w:rPr>
          <w:rFonts w:ascii="Times New Roman" w:eastAsia="Times New Roman" w:hAnsi="Times New Roman" w:cs="Times New Roman"/>
          <w:i/>
        </w:rPr>
        <w:t xml:space="preserve"> </w:t>
      </w:r>
      <w:r>
        <w:rPr>
          <w:rFonts w:ascii="Times New Roman" w:eastAsia="Times New Roman" w:hAnsi="Times New Roman" w:cs="Times New Roman"/>
        </w:rPr>
        <w:t>de forma satisfatória como outros. Uma das grandes vantagens do uso deste método é a capacidade de canalizar a atenção de participantes que tendem a tangenciar a temática com assuntos irrelevantes e dificultar o processo de entrevista (</w:t>
      </w:r>
      <w:proofErr w:type="spellStart"/>
      <w:r>
        <w:rPr>
          <w:rFonts w:ascii="Times New Roman" w:eastAsia="Times New Roman" w:hAnsi="Times New Roman" w:cs="Times New Roman"/>
        </w:rPr>
        <w:t>Beatty</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2007).</w:t>
      </w:r>
    </w:p>
    <w:p w14:paraId="539B005F"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Explicar a técnica de </w:t>
      </w:r>
      <w:r>
        <w:rPr>
          <w:rFonts w:ascii="Times New Roman" w:eastAsia="Times New Roman" w:hAnsi="Times New Roman" w:cs="Times New Roman"/>
          <w:i/>
        </w:rPr>
        <w:t xml:space="preserve">Verbal </w:t>
      </w:r>
      <w:proofErr w:type="spellStart"/>
      <w:r>
        <w:rPr>
          <w:rFonts w:ascii="Times New Roman" w:eastAsia="Times New Roman" w:hAnsi="Times New Roman" w:cs="Times New Roman"/>
          <w:i/>
        </w:rPr>
        <w:t>Probing</w:t>
      </w:r>
      <w:proofErr w:type="spellEnd"/>
      <w:r>
        <w:rPr>
          <w:rFonts w:ascii="Times New Roman" w:eastAsia="Times New Roman" w:hAnsi="Times New Roman" w:cs="Times New Roman"/>
        </w:rPr>
        <w:t xml:space="preserve"> exige mais atenção, por se tratar-se da técnica escolhida por este estudo. Segundo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(1994), o VP é uma técnica que utiliza de perguntas focalizadas (sondagem) que são normalmente alocadas após a pergunta do questionário, de forma a sondar mais aprofundadamente a base da resposta dada. Essas perguntas de sondagem, em sua maioria, pensadas com antecedência à aplicação da entrevista cognitiva e, por serem mais estruturadas, tendem a eliminar boa parte de discussões não produtivas que podem atrapalhar o processo. Apesar disso, por ser mais diretiva, a sondagem mais direta pode interferir no fluxo normal de uma entrevista, comprometendo a confiabilidade dos dados obtidos (</w:t>
      </w:r>
      <w:proofErr w:type="spellStart"/>
      <w:r>
        <w:rPr>
          <w:rFonts w:ascii="Times New Roman" w:eastAsia="Times New Roman" w:hAnsi="Times New Roman" w:cs="Times New Roman"/>
        </w:rPr>
        <w:t>Beatty</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2007).</w:t>
      </w:r>
    </w:p>
    <w:p w14:paraId="7C6A2A34"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(1994) identifica seis categorias de “sondagens cognitivas” que podem ser utilizadas pelo entrevistador na aplicação: (i) </w:t>
      </w:r>
      <w:r>
        <w:rPr>
          <w:rFonts w:ascii="Times New Roman" w:eastAsia="Times New Roman" w:hAnsi="Times New Roman" w:cs="Times New Roman"/>
          <w:i/>
        </w:rPr>
        <w:t>sondagem de interpretação/compreensão</w:t>
      </w:r>
      <w:r>
        <w:rPr>
          <w:rFonts w:ascii="Times New Roman" w:eastAsia="Times New Roman" w:hAnsi="Times New Roman" w:cs="Times New Roman"/>
        </w:rPr>
        <w:t>: o entrevistador busca entender qual significado tem para o participante algum termo específico da pergunta; (</w:t>
      </w:r>
      <w:proofErr w:type="spellStart"/>
      <w:r>
        <w:rPr>
          <w:rFonts w:ascii="Times New Roman" w:eastAsia="Times New Roman" w:hAnsi="Times New Roman" w:cs="Times New Roman"/>
        </w:rPr>
        <w:t>ii</w:t>
      </w:r>
      <w:proofErr w:type="spellEnd"/>
      <w:r>
        <w:rPr>
          <w:rFonts w:ascii="Times New Roman" w:eastAsia="Times New Roman" w:hAnsi="Times New Roman" w:cs="Times New Roman"/>
        </w:rPr>
        <w:t xml:space="preserve">) </w:t>
      </w:r>
      <w:r>
        <w:rPr>
          <w:rFonts w:ascii="Times New Roman" w:eastAsia="Times New Roman" w:hAnsi="Times New Roman" w:cs="Times New Roman"/>
          <w:i/>
        </w:rPr>
        <w:t>paráfrase</w:t>
      </w:r>
      <w:r>
        <w:rPr>
          <w:rFonts w:ascii="Times New Roman" w:eastAsia="Times New Roman" w:hAnsi="Times New Roman" w:cs="Times New Roman"/>
        </w:rPr>
        <w:t>: o entrevistador pede ao participante para repetir a pergunta em suas próprias palavras; (</w:t>
      </w:r>
      <w:proofErr w:type="spellStart"/>
      <w:r>
        <w:rPr>
          <w:rFonts w:ascii="Times New Roman" w:eastAsia="Times New Roman" w:hAnsi="Times New Roman" w:cs="Times New Roman"/>
        </w:rPr>
        <w:t>iii</w:t>
      </w:r>
      <w:proofErr w:type="spellEnd"/>
      <w:r>
        <w:rPr>
          <w:rFonts w:ascii="Times New Roman" w:eastAsia="Times New Roman" w:hAnsi="Times New Roman" w:cs="Times New Roman"/>
        </w:rPr>
        <w:t xml:space="preserve">) </w:t>
      </w:r>
      <w:r>
        <w:rPr>
          <w:rFonts w:ascii="Times New Roman" w:eastAsia="Times New Roman" w:hAnsi="Times New Roman" w:cs="Times New Roman"/>
          <w:i/>
        </w:rPr>
        <w:t>julgamento de confiança</w:t>
      </w:r>
      <w:r>
        <w:rPr>
          <w:rFonts w:ascii="Times New Roman" w:eastAsia="Times New Roman" w:hAnsi="Times New Roman" w:cs="Times New Roman"/>
        </w:rPr>
        <w:t>: o entrevistador testa o quanto o participante está seguro de uma resposta ou não; (</w:t>
      </w:r>
      <w:proofErr w:type="spellStart"/>
      <w:r>
        <w:rPr>
          <w:rFonts w:ascii="Times New Roman" w:eastAsia="Times New Roman" w:hAnsi="Times New Roman" w:cs="Times New Roman"/>
        </w:rPr>
        <w:t>iv</w:t>
      </w:r>
      <w:proofErr w:type="spellEnd"/>
      <w:r>
        <w:rPr>
          <w:rFonts w:ascii="Times New Roman" w:eastAsia="Times New Roman" w:hAnsi="Times New Roman" w:cs="Times New Roman"/>
        </w:rPr>
        <w:t xml:space="preserve">) </w:t>
      </w:r>
      <w:r>
        <w:rPr>
          <w:rFonts w:ascii="Times New Roman" w:eastAsia="Times New Roman" w:hAnsi="Times New Roman" w:cs="Times New Roman"/>
          <w:i/>
        </w:rPr>
        <w:t>sondagem de memória</w:t>
      </w:r>
      <w:r>
        <w:rPr>
          <w:rFonts w:ascii="Times New Roman" w:eastAsia="Times New Roman" w:hAnsi="Times New Roman" w:cs="Times New Roman"/>
        </w:rPr>
        <w:t xml:space="preserve">: o entrevistador estimula o participante a lembrar de alguma situação específica que tenha ligação com a pergunta; (v) </w:t>
      </w:r>
      <w:r>
        <w:rPr>
          <w:rFonts w:ascii="Times New Roman" w:eastAsia="Times New Roman" w:hAnsi="Times New Roman" w:cs="Times New Roman"/>
          <w:i/>
        </w:rPr>
        <w:t>sondagem específica</w:t>
      </w:r>
      <w:r>
        <w:rPr>
          <w:rFonts w:ascii="Times New Roman" w:eastAsia="Times New Roman" w:hAnsi="Times New Roman" w:cs="Times New Roman"/>
        </w:rPr>
        <w:t xml:space="preserve">: pergunta direta sobre uma temática em questão como por exemplo perguntar a opinião mais aprofundada do participante sobre o que acabou de responder; (vi) </w:t>
      </w:r>
      <w:r>
        <w:rPr>
          <w:rFonts w:ascii="Times New Roman" w:eastAsia="Times New Roman" w:hAnsi="Times New Roman" w:cs="Times New Roman"/>
          <w:i/>
        </w:rPr>
        <w:t>sondagens gerais</w:t>
      </w:r>
      <w:r>
        <w:rPr>
          <w:rFonts w:ascii="Times New Roman" w:eastAsia="Times New Roman" w:hAnsi="Times New Roman" w:cs="Times New Roman"/>
        </w:rPr>
        <w:t>: perguntas mais abertas e generalistas do tipo “como chegou a esta resposta?” ou “diga-me o que pensou ao ouvir esta pergunta?”.</w:t>
      </w:r>
    </w:p>
    <w:p w14:paraId="0FE20A19"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r>
      <w:proofErr w:type="spellStart"/>
      <w:r>
        <w:rPr>
          <w:rFonts w:ascii="Times New Roman" w:eastAsia="Times New Roman" w:hAnsi="Times New Roman" w:cs="Times New Roman"/>
        </w:rPr>
        <w:t>Beatty</w:t>
      </w:r>
      <w:proofErr w:type="spellEnd"/>
      <w:r>
        <w:rPr>
          <w:rFonts w:ascii="Times New Roman" w:eastAsia="Times New Roman" w:hAnsi="Times New Roman" w:cs="Times New Roman"/>
        </w:rPr>
        <w:t xml:space="preserve"> e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(2007), por sua vez, distinguem os tipos de sondagens que podem aparecer durante uma entrevista. As </w:t>
      </w:r>
      <w:r>
        <w:rPr>
          <w:rFonts w:ascii="Times New Roman" w:eastAsia="Times New Roman" w:hAnsi="Times New Roman" w:cs="Times New Roman"/>
          <w:i/>
        </w:rPr>
        <w:t>sondagens antecipadas</w:t>
      </w:r>
      <w:r>
        <w:rPr>
          <w:rFonts w:ascii="Times New Roman" w:eastAsia="Times New Roman" w:hAnsi="Times New Roman" w:cs="Times New Roman"/>
        </w:rPr>
        <w:t xml:space="preserve"> são planejadas </w:t>
      </w:r>
      <w:r>
        <w:rPr>
          <w:rFonts w:ascii="Times New Roman" w:eastAsia="Times New Roman" w:hAnsi="Times New Roman" w:cs="Times New Roman"/>
        </w:rPr>
        <w:lastRenderedPageBreak/>
        <w:t xml:space="preserve">anteriormente pelo entrevistador e já prenunciam questões problemáticas com a pergunta em si (por exemplo, o entrevistador pode perguntar qual é a opinião do entrevistado sobre o termo “luto infantil”). Há também </w:t>
      </w:r>
      <w:r>
        <w:rPr>
          <w:rFonts w:ascii="Times New Roman" w:eastAsia="Times New Roman" w:hAnsi="Times New Roman" w:cs="Times New Roman"/>
          <w:i/>
        </w:rPr>
        <w:t>sondagens espontâneas</w:t>
      </w:r>
      <w:r>
        <w:rPr>
          <w:rFonts w:ascii="Times New Roman" w:eastAsia="Times New Roman" w:hAnsi="Times New Roman" w:cs="Times New Roman"/>
        </w:rPr>
        <w:t xml:space="preserve"> que não são pensadas com antecedência, mas também não surgem como reação ao sujeito respondente; essas são utilizadas pelo entrevistador para investigar possíveis problemas no curso da entrevista. Já as </w:t>
      </w:r>
      <w:r>
        <w:rPr>
          <w:rFonts w:ascii="Times New Roman" w:eastAsia="Times New Roman" w:hAnsi="Times New Roman" w:cs="Times New Roman"/>
          <w:i/>
        </w:rPr>
        <w:t>sondagens condicionais</w:t>
      </w:r>
      <w:r>
        <w:rPr>
          <w:rFonts w:ascii="Times New Roman" w:eastAsia="Times New Roman" w:hAnsi="Times New Roman" w:cs="Times New Roman"/>
        </w:rPr>
        <w:t xml:space="preserve"> são perguntas planejadas para serem usadas no caso de o participante apresentar um comportamento específico. Por fim, as </w:t>
      </w:r>
      <w:r>
        <w:rPr>
          <w:rFonts w:ascii="Times New Roman" w:eastAsia="Times New Roman" w:hAnsi="Times New Roman" w:cs="Times New Roman"/>
          <w:i/>
        </w:rPr>
        <w:t xml:space="preserve">sondagens emergentes </w:t>
      </w:r>
      <w:r>
        <w:rPr>
          <w:rFonts w:ascii="Times New Roman" w:eastAsia="Times New Roman" w:hAnsi="Times New Roman" w:cs="Times New Roman"/>
        </w:rPr>
        <w:t>não são planejadas, mas estas sim surgem em reação a algum comportamento do entrevistado, como por exemplo quando o sujeito traz uma história de vida sua e o pesquisador interpela, buscando aprofundar o assunto.</w:t>
      </w:r>
    </w:p>
    <w:p w14:paraId="6DAA28A3"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Já foram supracitadas algumas das vantagens de utilizar a técnica de </w:t>
      </w:r>
      <w:r>
        <w:rPr>
          <w:rFonts w:ascii="Times New Roman" w:eastAsia="Times New Roman" w:hAnsi="Times New Roman" w:cs="Times New Roman"/>
          <w:i/>
        </w:rPr>
        <w:t xml:space="preserve">verbal </w:t>
      </w:r>
      <w:proofErr w:type="spellStart"/>
      <w:r>
        <w:rPr>
          <w:rFonts w:ascii="Times New Roman" w:eastAsia="Times New Roman" w:hAnsi="Times New Roman" w:cs="Times New Roman"/>
          <w:i/>
        </w:rPr>
        <w:t>probing</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em contraste ao </w:t>
      </w:r>
      <w:proofErr w:type="spellStart"/>
      <w:r>
        <w:rPr>
          <w:rFonts w:ascii="Times New Roman" w:eastAsia="Times New Roman" w:hAnsi="Times New Roman" w:cs="Times New Roman"/>
          <w:i/>
        </w:rPr>
        <w:t>thinking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aloud</w:t>
      </w:r>
      <w:proofErr w:type="spellEnd"/>
      <w:r>
        <w:rPr>
          <w:rFonts w:ascii="Times New Roman" w:eastAsia="Times New Roman" w:hAnsi="Times New Roman" w:cs="Times New Roman"/>
        </w:rPr>
        <w:t xml:space="preserve">, mas existem possíveis riscos e limitações. </w:t>
      </w:r>
      <w:proofErr w:type="spellStart"/>
      <w:r>
        <w:rPr>
          <w:rFonts w:ascii="Times New Roman" w:eastAsia="Times New Roman" w:hAnsi="Times New Roman" w:cs="Times New Roman"/>
        </w:rPr>
        <w:t>Farrall</w:t>
      </w:r>
      <w:proofErr w:type="spellEnd"/>
      <w:r>
        <w:rPr>
          <w:rFonts w:ascii="Times New Roman" w:eastAsia="Times New Roman" w:hAnsi="Times New Roman" w:cs="Times New Roman"/>
        </w:rPr>
        <w:t xml:space="preserve"> e </w:t>
      </w:r>
      <w:proofErr w:type="spellStart"/>
      <w:r>
        <w:rPr>
          <w:rFonts w:ascii="Times New Roman" w:eastAsia="Times New Roman" w:hAnsi="Times New Roman" w:cs="Times New Roman"/>
        </w:rPr>
        <w:t>Priede</w:t>
      </w:r>
      <w:proofErr w:type="spellEnd"/>
      <w:r>
        <w:rPr>
          <w:rFonts w:ascii="Times New Roman" w:eastAsia="Times New Roman" w:hAnsi="Times New Roman" w:cs="Times New Roman"/>
        </w:rPr>
        <w:t xml:space="preserve"> (2011) esclarecem que, apesar de o VP conseguir eliminar alguns dos ruídos naturais de uma entrevista livre, a sua utilização pode levar a vieses indesejados por parte do entrevistador. Uma vez que o TA consiste em um método mais estandardizado (no sentido que as instruções dadas pelo entrevistador são sempre as mesmas para cada questão), o VP pode ser mais indutivo de respostas desejadas, criando problemas artificiais que não surgiriam naturalmente. Nesse sentido, o fato das sondagens do VP serem feitas logo após a resposta do participante pode quebrar o seu ritmo de pensamento e conduzi-lo a uma reflexão em vez de outra, evidenciando o potencial efeito das opiniões e reflexões do próprio entrevistador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2005). Apesar disso, essa técnica tem grande valia para o processo, dado que o entrevistador tem muito mais controle da entrevista em si; o uso de interjeições imediatamente após uma resposta pode ajudar o sujeito respondente a </w:t>
      </w:r>
      <w:proofErr w:type="spellStart"/>
      <w:r>
        <w:rPr>
          <w:rFonts w:ascii="Times New Roman" w:eastAsia="Times New Roman" w:hAnsi="Times New Roman" w:cs="Times New Roman"/>
        </w:rPr>
        <w:t>acessar</w:t>
      </w:r>
      <w:proofErr w:type="spellEnd"/>
      <w:r>
        <w:rPr>
          <w:rFonts w:ascii="Times New Roman" w:eastAsia="Times New Roman" w:hAnsi="Times New Roman" w:cs="Times New Roman"/>
        </w:rPr>
        <w:t xml:space="preserve"> a memória de curto prazo com mais facilidade, o que pode eliciar respostas mais detalhadas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2005).</w:t>
      </w:r>
    </w:p>
    <w:p w14:paraId="33E5E0F6" w14:textId="77777777" w:rsidR="00FA6B71" w:rsidRDefault="00FA6B71">
      <w:pPr>
        <w:spacing w:line="360" w:lineRule="auto"/>
        <w:ind w:firstLine="720"/>
        <w:jc w:val="both"/>
        <w:rPr>
          <w:rFonts w:ascii="Times New Roman" w:eastAsia="Times New Roman" w:hAnsi="Times New Roman" w:cs="Times New Roman"/>
        </w:rPr>
      </w:pPr>
    </w:p>
    <w:p w14:paraId="14F41F00" w14:textId="2728B45C" w:rsidR="00FA6B71" w:rsidRDefault="00000000" w:rsidP="007B7C3D">
      <w:pPr>
        <w:pStyle w:val="Ttulo2"/>
      </w:pPr>
      <w:bookmarkStart w:id="6" w:name="_Toc210994443"/>
      <w:r>
        <w:t>1.</w:t>
      </w:r>
      <w:r w:rsidR="007B7C3D">
        <w:t>5</w:t>
      </w:r>
      <w:r>
        <w:t>. Objetivos</w:t>
      </w:r>
      <w:bookmarkEnd w:id="6"/>
    </w:p>
    <w:p w14:paraId="74561079"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O presente estudo valeu-se do trabalho de Rodríguez, </w:t>
      </w:r>
      <w:proofErr w:type="spellStart"/>
      <w:r>
        <w:rPr>
          <w:rFonts w:ascii="Times New Roman" w:eastAsia="Times New Roman" w:hAnsi="Times New Roman" w:cs="Times New Roman"/>
        </w:rPr>
        <w:t>Herrán</w:t>
      </w:r>
      <w:proofErr w:type="spellEnd"/>
      <w:r>
        <w:rPr>
          <w:rFonts w:ascii="Times New Roman" w:eastAsia="Times New Roman" w:hAnsi="Times New Roman" w:cs="Times New Roman"/>
        </w:rPr>
        <w:t>, Pérez-</w:t>
      </w:r>
      <w:proofErr w:type="spellStart"/>
      <w:r>
        <w:rPr>
          <w:rFonts w:ascii="Times New Roman" w:eastAsia="Times New Roman" w:hAnsi="Times New Roman" w:cs="Times New Roman"/>
        </w:rPr>
        <w:t>Bonet</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Sánchez-Huete</w:t>
      </w:r>
      <w:proofErr w:type="spellEnd"/>
      <w:r>
        <w:rPr>
          <w:rFonts w:ascii="Times New Roman" w:eastAsia="Times New Roman" w:hAnsi="Times New Roman" w:cs="Times New Roman"/>
        </w:rPr>
        <w:t xml:space="preserve"> (2020) como principal referência. Ambos instrumentos desenvolvidos neste estudo (DEQ4-T e DEAS-T) foram combinados e configurados para criar um instrumento </w:t>
      </w:r>
      <w:r>
        <w:rPr>
          <w:rFonts w:ascii="Times New Roman" w:eastAsia="Times New Roman" w:hAnsi="Times New Roman" w:cs="Times New Roman"/>
          <w:i/>
        </w:rPr>
        <w:t>ad hoc</w:t>
      </w:r>
      <w:r>
        <w:rPr>
          <w:rFonts w:ascii="Times New Roman" w:eastAsia="Times New Roman" w:hAnsi="Times New Roman" w:cs="Times New Roman"/>
        </w:rPr>
        <w:t xml:space="preserve">, em escala </w:t>
      </w:r>
      <w:proofErr w:type="spellStart"/>
      <w:r>
        <w:rPr>
          <w:rFonts w:ascii="Times New Roman" w:eastAsia="Times New Roman" w:hAnsi="Times New Roman" w:cs="Times New Roman"/>
        </w:rPr>
        <w:t>Likert</w:t>
      </w:r>
      <w:proofErr w:type="spellEnd"/>
      <w:r>
        <w:rPr>
          <w:rFonts w:ascii="Times New Roman" w:eastAsia="Times New Roman" w:hAnsi="Times New Roman" w:cs="Times New Roman"/>
        </w:rPr>
        <w:t xml:space="preserve">. O objetivo geral do trabalho foi fazer uma pilotagem do instrumento, aproveitando-se de um plano de investigação qualitativo que visa refinar e aperfeiçoar instrumentos. Não obstante, este plano investigativo também pretende aprofundar o conhecimento subjacente sobre o tópico tratado no instrumento </w:t>
      </w:r>
      <w:r>
        <w:rPr>
          <w:rFonts w:ascii="Times New Roman" w:eastAsia="Times New Roman" w:hAnsi="Times New Roman" w:cs="Times New Roman"/>
        </w:rPr>
        <w:lastRenderedPageBreak/>
        <w:t>(</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1999), assumindo-se que uma das formas mais significativas de se identificar se um questionário é válido ou não, de partida, é se </w:t>
      </w:r>
      <w:proofErr w:type="gramStart"/>
      <w:r>
        <w:rPr>
          <w:rFonts w:ascii="Times New Roman" w:eastAsia="Times New Roman" w:hAnsi="Times New Roman" w:cs="Times New Roman"/>
        </w:rPr>
        <w:t>ele comunicam</w:t>
      </w:r>
      <w:proofErr w:type="gramEnd"/>
      <w:r>
        <w:rPr>
          <w:rFonts w:ascii="Times New Roman" w:eastAsia="Times New Roman" w:hAnsi="Times New Roman" w:cs="Times New Roman"/>
        </w:rPr>
        <w:t xml:space="preserve"> com as expectativas e conceitos da população em questão.</w:t>
      </w:r>
    </w:p>
    <w:p w14:paraId="24C2EB1E"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Dessa forma, os objetivos subsequentes deste estudo dialogam com os de Rodríguez, </w:t>
      </w:r>
      <w:proofErr w:type="spellStart"/>
      <w:r>
        <w:rPr>
          <w:rFonts w:ascii="Times New Roman" w:eastAsia="Times New Roman" w:hAnsi="Times New Roman" w:cs="Times New Roman"/>
        </w:rPr>
        <w:t>Herrán</w:t>
      </w:r>
      <w:proofErr w:type="spellEnd"/>
      <w:r>
        <w:rPr>
          <w:rFonts w:ascii="Times New Roman" w:eastAsia="Times New Roman" w:hAnsi="Times New Roman" w:cs="Times New Roman"/>
        </w:rPr>
        <w:t>, Pérez-</w:t>
      </w:r>
      <w:proofErr w:type="spellStart"/>
      <w:r>
        <w:rPr>
          <w:rFonts w:ascii="Times New Roman" w:eastAsia="Times New Roman" w:hAnsi="Times New Roman" w:cs="Times New Roman"/>
        </w:rPr>
        <w:t>Bonet</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Sánchez-Huete</w:t>
      </w:r>
      <w:proofErr w:type="spellEnd"/>
      <w:r>
        <w:rPr>
          <w:rFonts w:ascii="Times New Roman" w:eastAsia="Times New Roman" w:hAnsi="Times New Roman" w:cs="Times New Roman"/>
        </w:rPr>
        <w:t xml:space="preserve"> (2020), buscando-se identificar se os professores de crianças pequenas </w:t>
      </w:r>
      <w:proofErr w:type="gramStart"/>
      <w:r>
        <w:rPr>
          <w:rFonts w:ascii="Times New Roman" w:eastAsia="Times New Roman" w:hAnsi="Times New Roman" w:cs="Times New Roman"/>
        </w:rPr>
        <w:t>sentem-se</w:t>
      </w:r>
      <w:proofErr w:type="gramEnd"/>
      <w:r>
        <w:rPr>
          <w:rFonts w:ascii="Times New Roman" w:eastAsia="Times New Roman" w:hAnsi="Times New Roman" w:cs="Times New Roman"/>
        </w:rPr>
        <w:t xml:space="preserve"> capazes de oferecer respostas educativas e conversar sobre a morte com seus alunos, se conseguem pensar essas temáticas como parte integrante do ensino e seu nível de consciência pessoal sobre o fenômeno da morte.</w:t>
      </w:r>
    </w:p>
    <w:p w14:paraId="64C2ACCC"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Na Tabela 1, estão listados os objetivos gerais que o presente estudo busca alcançar:</w:t>
      </w:r>
    </w:p>
    <w:p w14:paraId="1B6BF237" w14:textId="77777777" w:rsidR="00FA6B71" w:rsidRDefault="00FA6B71">
      <w:pPr>
        <w:spacing w:line="360" w:lineRule="auto"/>
        <w:jc w:val="both"/>
        <w:rPr>
          <w:rFonts w:ascii="Times New Roman" w:eastAsia="Times New Roman" w:hAnsi="Times New Roman" w:cs="Times New Roman"/>
        </w:rPr>
      </w:pPr>
    </w:p>
    <w:p w14:paraId="1737F53C" w14:textId="77777777" w:rsidR="00FA6B71" w:rsidRDefault="0000000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Tabela 1</w:t>
      </w:r>
    </w:p>
    <w:p w14:paraId="58C7BCB0" w14:textId="77777777" w:rsidR="00FA6B71" w:rsidRDefault="00000000">
      <w:pPr>
        <w:spacing w:line="360" w:lineRule="auto"/>
        <w:jc w:val="both"/>
        <w:rPr>
          <w:rFonts w:ascii="Times New Roman" w:eastAsia="Times New Roman" w:hAnsi="Times New Roman" w:cs="Times New Roman"/>
          <w:i/>
        </w:rPr>
      </w:pPr>
      <w:r>
        <w:rPr>
          <w:rFonts w:ascii="Times New Roman" w:eastAsia="Times New Roman" w:hAnsi="Times New Roman" w:cs="Times New Roman"/>
          <w:i/>
        </w:rPr>
        <w:t>Objetivos do estudo</w:t>
      </w:r>
    </w:p>
    <w:p w14:paraId="019E8721" w14:textId="77777777" w:rsidR="00FA6B71" w:rsidRDefault="00FA6B71">
      <w:pPr>
        <w:spacing w:line="360" w:lineRule="auto"/>
        <w:jc w:val="both"/>
        <w:rPr>
          <w:rFonts w:ascii="Times New Roman" w:eastAsia="Times New Roman" w:hAnsi="Times New Roman" w:cs="Times New Roman"/>
          <w:i/>
        </w:rPr>
      </w:pPr>
    </w:p>
    <w:sdt>
      <w:sdtPr>
        <w:tag w:val="goog_rdk_0"/>
        <w:id w:val="-205567653"/>
        <w:lock w:val="contentLocked"/>
      </w:sdtPr>
      <w:sdtContent>
        <w:tbl>
          <w:tblPr>
            <w:tblStyle w:val="a"/>
            <w:tblW w:w="8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300"/>
          </w:tblGrid>
          <w:tr w:rsidR="00FA6B71" w14:paraId="177BF328" w14:textId="77777777">
            <w:tc>
              <w:tcPr>
                <w:tcW w:w="8300" w:type="dxa"/>
                <w:tcMar>
                  <w:top w:w="100" w:type="dxa"/>
                  <w:left w:w="100" w:type="dxa"/>
                  <w:bottom w:w="100" w:type="dxa"/>
                  <w:right w:w="100" w:type="dxa"/>
                </w:tcMar>
              </w:tcPr>
              <w:p w14:paraId="39B2B2A3" w14:textId="77777777" w:rsidR="00FA6B71" w:rsidRDefault="00000000">
                <w:pPr>
                  <w:widowControl w:val="0"/>
                  <w:numPr>
                    <w:ilvl w:val="0"/>
                    <w:numId w:val="1"/>
                  </w:numPr>
                  <w:jc w:val="center"/>
                  <w:rPr>
                    <w:rFonts w:ascii="Times New Roman" w:eastAsia="Times New Roman" w:hAnsi="Times New Roman" w:cs="Times New Roman"/>
                  </w:rPr>
                </w:pPr>
                <w:r>
                  <w:rPr>
                    <w:rFonts w:ascii="Times New Roman" w:eastAsia="Times New Roman" w:hAnsi="Times New Roman" w:cs="Times New Roman"/>
                  </w:rPr>
                  <w:t>Explorar sobre as necessidades na formação dos professores em relação à abordagem da morte e luto com crianças de 6 a 10 anos.</w:t>
                </w:r>
              </w:p>
            </w:tc>
          </w:tr>
          <w:tr w:rsidR="00FA6B71" w14:paraId="77F98804" w14:textId="77777777">
            <w:tc>
              <w:tcPr>
                <w:tcW w:w="8300" w:type="dxa"/>
                <w:tcMar>
                  <w:top w:w="100" w:type="dxa"/>
                  <w:left w:w="100" w:type="dxa"/>
                  <w:bottom w:w="100" w:type="dxa"/>
                  <w:right w:w="100" w:type="dxa"/>
                </w:tcMar>
              </w:tcPr>
              <w:p w14:paraId="092BFF9B" w14:textId="77777777" w:rsidR="00FA6B71" w:rsidRDefault="00000000">
                <w:pPr>
                  <w:widowControl w:val="0"/>
                  <w:numPr>
                    <w:ilvl w:val="0"/>
                    <w:numId w:val="1"/>
                  </w:numPr>
                  <w:jc w:val="center"/>
                  <w:rPr>
                    <w:rFonts w:ascii="Times New Roman" w:eastAsia="Times New Roman" w:hAnsi="Times New Roman" w:cs="Times New Roman"/>
                  </w:rPr>
                </w:pPr>
                <w:r>
                  <w:rPr>
                    <w:rFonts w:ascii="Times New Roman" w:eastAsia="Times New Roman" w:hAnsi="Times New Roman" w:cs="Times New Roman"/>
                  </w:rPr>
                  <w:t>Identificar as opiniões dos professores em relação à adesão da educação para a morte como parte do projeto curricular escolar.</w:t>
                </w:r>
              </w:p>
            </w:tc>
          </w:tr>
          <w:tr w:rsidR="00FA6B71" w14:paraId="55743A8E" w14:textId="77777777">
            <w:tc>
              <w:tcPr>
                <w:tcW w:w="8300" w:type="dxa"/>
                <w:tcMar>
                  <w:top w:w="100" w:type="dxa"/>
                  <w:left w:w="100" w:type="dxa"/>
                  <w:bottom w:w="100" w:type="dxa"/>
                  <w:right w:w="100" w:type="dxa"/>
                </w:tcMar>
              </w:tcPr>
              <w:p w14:paraId="3AE3EFD3" w14:textId="77777777" w:rsidR="00FA6B71" w:rsidRDefault="00000000">
                <w:pPr>
                  <w:numPr>
                    <w:ilvl w:val="0"/>
                    <w:numId w:val="1"/>
                  </w:numPr>
                  <w:jc w:val="center"/>
                  <w:rPr>
                    <w:rFonts w:ascii="Times New Roman" w:eastAsia="Times New Roman" w:hAnsi="Times New Roman" w:cs="Times New Roman"/>
                  </w:rPr>
                </w:pPr>
                <w:r>
                  <w:rPr>
                    <w:rFonts w:ascii="Times New Roman" w:eastAsia="Times New Roman" w:hAnsi="Times New Roman" w:cs="Times New Roman"/>
                  </w:rPr>
                  <w:t>Compreender as reflexões dos professores acerca da morte e sua função educativa.</w:t>
                </w:r>
              </w:p>
            </w:tc>
          </w:tr>
          <w:tr w:rsidR="00FA6B71" w14:paraId="38B85D84" w14:textId="77777777">
            <w:tc>
              <w:tcPr>
                <w:tcW w:w="8300" w:type="dxa"/>
                <w:tcMar>
                  <w:top w:w="100" w:type="dxa"/>
                  <w:left w:w="100" w:type="dxa"/>
                  <w:bottom w:w="100" w:type="dxa"/>
                  <w:right w:w="100" w:type="dxa"/>
                </w:tcMar>
              </w:tcPr>
              <w:p w14:paraId="66F74FAC" w14:textId="77777777" w:rsidR="00FA6B71" w:rsidRDefault="00000000">
                <w:pPr>
                  <w:widowControl w:val="0"/>
                  <w:numPr>
                    <w:ilvl w:val="0"/>
                    <w:numId w:val="1"/>
                  </w:numPr>
                  <w:jc w:val="center"/>
                  <w:rPr>
                    <w:rFonts w:ascii="Times New Roman" w:eastAsia="Times New Roman" w:hAnsi="Times New Roman" w:cs="Times New Roman"/>
                  </w:rPr>
                </w:pPr>
                <w:r>
                  <w:rPr>
                    <w:rFonts w:ascii="Times New Roman" w:eastAsia="Times New Roman" w:hAnsi="Times New Roman" w:cs="Times New Roman"/>
                  </w:rPr>
                  <w:t>Verificar a aplicabilidade (pilotagem) do questionário adaptado de Rodríguez, Herrán, Pérez-Bonet, &amp; Sánchez-Huete (2020), para professores do 1ºCEB em escolas do distrito do Porto.</w:t>
                </w:r>
              </w:p>
            </w:tc>
          </w:tr>
        </w:tbl>
      </w:sdtContent>
    </w:sdt>
    <w:p w14:paraId="13E8573D" w14:textId="77777777" w:rsidR="00FA6B71" w:rsidRDefault="00FA6B71">
      <w:pPr>
        <w:spacing w:line="360" w:lineRule="auto"/>
        <w:rPr>
          <w:rFonts w:ascii="Times New Roman" w:eastAsia="Times New Roman" w:hAnsi="Times New Roman" w:cs="Times New Roman"/>
        </w:rPr>
      </w:pPr>
    </w:p>
    <w:p w14:paraId="5367812C" w14:textId="77777777" w:rsidR="00FA6B71" w:rsidRDefault="00FA6B71">
      <w:pPr>
        <w:spacing w:line="360" w:lineRule="auto"/>
        <w:ind w:firstLine="720"/>
        <w:jc w:val="both"/>
        <w:rPr>
          <w:rFonts w:ascii="Times New Roman" w:eastAsia="Times New Roman" w:hAnsi="Times New Roman" w:cs="Times New Roman"/>
          <w:sz w:val="20"/>
          <w:szCs w:val="20"/>
        </w:rPr>
      </w:pPr>
    </w:p>
    <w:p w14:paraId="44D34FCC" w14:textId="77777777" w:rsidR="00FA6B71" w:rsidRDefault="00FA6B71">
      <w:pPr>
        <w:spacing w:line="360" w:lineRule="auto"/>
        <w:jc w:val="both"/>
        <w:rPr>
          <w:rFonts w:ascii="Times New Roman" w:eastAsia="Times New Roman" w:hAnsi="Times New Roman" w:cs="Times New Roman"/>
          <w:sz w:val="20"/>
          <w:szCs w:val="20"/>
        </w:rPr>
      </w:pPr>
    </w:p>
    <w:p w14:paraId="79A924A4" w14:textId="77777777" w:rsidR="00FA6B71" w:rsidRDefault="00000000" w:rsidP="007B7C3D">
      <w:pPr>
        <w:pStyle w:val="Ttulo1"/>
        <w:numPr>
          <w:ilvl w:val="0"/>
          <w:numId w:val="0"/>
        </w:numPr>
        <w:ind w:left="720"/>
      </w:pPr>
      <w:bookmarkStart w:id="7" w:name="_Toc210994444"/>
      <w:r>
        <w:t>2. Método</w:t>
      </w:r>
      <w:bookmarkEnd w:id="7"/>
    </w:p>
    <w:p w14:paraId="68EF981E" w14:textId="77777777" w:rsidR="00FA6B71" w:rsidRDefault="00FA6B71">
      <w:pPr>
        <w:spacing w:line="360" w:lineRule="auto"/>
        <w:jc w:val="both"/>
        <w:rPr>
          <w:rFonts w:ascii="Times New Roman" w:eastAsia="Times New Roman" w:hAnsi="Times New Roman" w:cs="Times New Roman"/>
          <w:b/>
        </w:rPr>
      </w:pPr>
    </w:p>
    <w:p w14:paraId="4AABB082" w14:textId="77777777" w:rsidR="00FA6B71" w:rsidRDefault="00000000" w:rsidP="007B7C3D">
      <w:pPr>
        <w:pStyle w:val="Ttulo2"/>
      </w:pPr>
      <w:bookmarkStart w:id="8" w:name="_Toc210994445"/>
      <w:r>
        <w:t>2.1.</w:t>
      </w:r>
      <w:r>
        <w:rPr>
          <w:i/>
        </w:rPr>
        <w:t xml:space="preserve"> </w:t>
      </w:r>
      <w:r>
        <w:t>Participantes</w:t>
      </w:r>
      <w:bookmarkEnd w:id="8"/>
    </w:p>
    <w:p w14:paraId="379F3D80"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No presente estudo, participaram 8 professores do 1º Ciclo de Ensino Básico que lecionam no distrito do Porto. Foram selecionados a partir de um procedimento de amostragem não probabilística intencional de conveniência, caracterizado pelo método de </w:t>
      </w:r>
      <w:proofErr w:type="spellStart"/>
      <w:r>
        <w:rPr>
          <w:rFonts w:ascii="Times New Roman" w:eastAsia="Times New Roman" w:hAnsi="Times New Roman" w:cs="Times New Roman"/>
          <w:i/>
        </w:rPr>
        <w:t>Snowball</w:t>
      </w:r>
      <w:proofErr w:type="spellEnd"/>
      <w:r>
        <w:rPr>
          <w:rFonts w:ascii="Times New Roman" w:eastAsia="Times New Roman" w:hAnsi="Times New Roman" w:cs="Times New Roman"/>
        </w:rPr>
        <w:t xml:space="preserve">: assim sendo, os participantes iniciais foram indicando sucessivamente os contactos dos próximos participantes por critérios de proximidade. Os critérios de </w:t>
      </w:r>
      <w:r>
        <w:rPr>
          <w:rFonts w:ascii="Times New Roman" w:eastAsia="Times New Roman" w:hAnsi="Times New Roman" w:cs="Times New Roman"/>
        </w:rPr>
        <w:lastRenderedPageBreak/>
        <w:t>inclusão adotados pelo estudo foram: (i) ter mais de 18 anos; (</w:t>
      </w:r>
      <w:proofErr w:type="spellStart"/>
      <w:r>
        <w:rPr>
          <w:rFonts w:ascii="Times New Roman" w:eastAsia="Times New Roman" w:hAnsi="Times New Roman" w:cs="Times New Roman"/>
        </w:rPr>
        <w:t>ii</w:t>
      </w:r>
      <w:proofErr w:type="spellEnd"/>
      <w:r>
        <w:rPr>
          <w:rFonts w:ascii="Times New Roman" w:eastAsia="Times New Roman" w:hAnsi="Times New Roman" w:cs="Times New Roman"/>
        </w:rPr>
        <w:t>) ser professor do 1º CEB; (</w:t>
      </w:r>
      <w:proofErr w:type="spellStart"/>
      <w:r>
        <w:rPr>
          <w:rFonts w:ascii="Times New Roman" w:eastAsia="Times New Roman" w:hAnsi="Times New Roman" w:cs="Times New Roman"/>
        </w:rPr>
        <w:t>iii</w:t>
      </w:r>
      <w:proofErr w:type="spellEnd"/>
      <w:r>
        <w:rPr>
          <w:rFonts w:ascii="Times New Roman" w:eastAsia="Times New Roman" w:hAnsi="Times New Roman" w:cs="Times New Roman"/>
        </w:rPr>
        <w:t>) ser falante da língua portuguesa; (</w:t>
      </w:r>
      <w:proofErr w:type="spellStart"/>
      <w:r>
        <w:rPr>
          <w:rFonts w:ascii="Times New Roman" w:eastAsia="Times New Roman" w:hAnsi="Times New Roman" w:cs="Times New Roman"/>
        </w:rPr>
        <w:t>iv</w:t>
      </w:r>
      <w:proofErr w:type="spellEnd"/>
      <w:r>
        <w:rPr>
          <w:rFonts w:ascii="Times New Roman" w:eastAsia="Times New Roman" w:hAnsi="Times New Roman" w:cs="Times New Roman"/>
        </w:rPr>
        <w:t>) estar associado a uma escola/agrupamento pertencente ao distrito do Porto.</w:t>
      </w:r>
    </w:p>
    <w:p w14:paraId="46263874" w14:textId="77777777" w:rsidR="00FA6B71" w:rsidRDefault="00FA6B71">
      <w:pPr>
        <w:spacing w:line="360" w:lineRule="auto"/>
        <w:jc w:val="both"/>
        <w:rPr>
          <w:rFonts w:ascii="Times New Roman" w:eastAsia="Times New Roman" w:hAnsi="Times New Roman" w:cs="Times New Roman"/>
        </w:rPr>
      </w:pPr>
    </w:p>
    <w:p w14:paraId="43509062" w14:textId="77777777" w:rsidR="00FA6B71" w:rsidRDefault="00FA6B71">
      <w:pPr>
        <w:spacing w:line="360" w:lineRule="auto"/>
        <w:jc w:val="both"/>
        <w:rPr>
          <w:rFonts w:ascii="Times New Roman" w:eastAsia="Times New Roman" w:hAnsi="Times New Roman" w:cs="Times New Roman"/>
        </w:rPr>
      </w:pPr>
    </w:p>
    <w:p w14:paraId="04BFDC11" w14:textId="77777777" w:rsidR="00FA6B71" w:rsidRDefault="0000000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Tabela 2</w:t>
      </w:r>
    </w:p>
    <w:p w14:paraId="4F6A3132"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i/>
        </w:rPr>
        <w:t>Caracterização das participantes das entrevistas cognitivas</w:t>
      </w:r>
    </w:p>
    <w:sdt>
      <w:sdtPr>
        <w:tag w:val="goog_rdk_1"/>
        <w:id w:val="1203156410"/>
        <w:lock w:val="contentLocked"/>
      </w:sdtPr>
      <w:sdtContent>
        <w:tbl>
          <w:tblPr>
            <w:tblStyle w:val="a0"/>
            <w:tblW w:w="8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0"/>
            <w:gridCol w:w="1660"/>
            <w:gridCol w:w="1660"/>
            <w:gridCol w:w="1660"/>
            <w:gridCol w:w="1660"/>
          </w:tblGrid>
          <w:tr w:rsidR="00FA6B71" w14:paraId="066B86FD" w14:textId="77777777">
            <w:tc>
              <w:tcPr>
                <w:tcW w:w="1660" w:type="dxa"/>
                <w:tcBorders>
                  <w:top w:val="single" w:sz="6" w:space="0" w:color="D0CECE"/>
                  <w:left w:val="nil"/>
                  <w:bottom w:val="single" w:sz="6" w:space="0" w:color="D0CECE"/>
                  <w:right w:val="nil"/>
                </w:tcBorders>
                <w:shd w:val="clear" w:color="auto" w:fill="FFFFFF"/>
                <w:tcMar>
                  <w:top w:w="100" w:type="dxa"/>
                  <w:left w:w="100" w:type="dxa"/>
                  <w:bottom w:w="100" w:type="dxa"/>
                  <w:right w:w="100" w:type="dxa"/>
                </w:tcMar>
              </w:tcPr>
              <w:p w14:paraId="37EE2DC5" w14:textId="77777777" w:rsidR="00FA6B71" w:rsidRDefault="00000000">
                <w:pPr>
                  <w:spacing w:before="240" w:after="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Participante</w:t>
                </w:r>
              </w:p>
            </w:tc>
            <w:tc>
              <w:tcPr>
                <w:tcW w:w="1660" w:type="dxa"/>
                <w:tcBorders>
                  <w:top w:val="single" w:sz="6" w:space="0" w:color="D0CECE"/>
                  <w:left w:val="nil"/>
                  <w:bottom w:val="single" w:sz="6" w:space="0" w:color="D0CECE"/>
                  <w:right w:val="nil"/>
                </w:tcBorders>
                <w:shd w:val="clear" w:color="auto" w:fill="FFFFFF"/>
                <w:tcMar>
                  <w:top w:w="100" w:type="dxa"/>
                  <w:left w:w="100" w:type="dxa"/>
                  <w:bottom w:w="100" w:type="dxa"/>
                  <w:right w:w="100" w:type="dxa"/>
                </w:tcMar>
              </w:tcPr>
              <w:p w14:paraId="475EB9E7" w14:textId="77777777" w:rsidR="00FA6B71" w:rsidRDefault="00000000">
                <w:pPr>
                  <w:spacing w:before="240" w:after="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Idade</w:t>
                </w:r>
              </w:p>
            </w:tc>
            <w:tc>
              <w:tcPr>
                <w:tcW w:w="1660" w:type="dxa"/>
                <w:tcBorders>
                  <w:top w:val="single" w:sz="6" w:space="0" w:color="D0CECE"/>
                  <w:left w:val="nil"/>
                  <w:bottom w:val="single" w:sz="6" w:space="0" w:color="D0CECE"/>
                  <w:right w:val="nil"/>
                </w:tcBorders>
                <w:shd w:val="clear" w:color="auto" w:fill="FFFFFF"/>
                <w:tcMar>
                  <w:top w:w="20" w:type="dxa"/>
                  <w:left w:w="20" w:type="dxa"/>
                  <w:bottom w:w="20" w:type="dxa"/>
                  <w:right w:w="20" w:type="dxa"/>
                </w:tcMar>
              </w:tcPr>
              <w:p w14:paraId="180EBCDF" w14:textId="77777777" w:rsidR="00FA6B71" w:rsidRDefault="00000000">
                <w:pPr>
                  <w:spacing w:before="240" w:after="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Nacionalidade</w:t>
                </w:r>
              </w:p>
            </w:tc>
            <w:tc>
              <w:tcPr>
                <w:tcW w:w="1660" w:type="dxa"/>
                <w:tcBorders>
                  <w:top w:val="single" w:sz="6" w:space="0" w:color="D0CECE"/>
                  <w:left w:val="nil"/>
                  <w:bottom w:val="single" w:sz="6" w:space="0" w:color="D0CECE"/>
                  <w:right w:val="nil"/>
                </w:tcBorders>
                <w:shd w:val="clear" w:color="auto" w:fill="FFFFFF"/>
                <w:tcMar>
                  <w:top w:w="20" w:type="dxa"/>
                  <w:left w:w="20" w:type="dxa"/>
                  <w:bottom w:w="20" w:type="dxa"/>
                  <w:right w:w="20" w:type="dxa"/>
                </w:tcMar>
              </w:tcPr>
              <w:p w14:paraId="08706459" w14:textId="77777777" w:rsidR="00FA6B71" w:rsidRDefault="00000000">
                <w:pPr>
                  <w:spacing w:before="240" w:after="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Anos de experiência docente</w:t>
                </w:r>
              </w:p>
            </w:tc>
            <w:tc>
              <w:tcPr>
                <w:tcW w:w="1660" w:type="dxa"/>
                <w:tcBorders>
                  <w:top w:val="single" w:sz="6" w:space="0" w:color="D0CECE"/>
                  <w:left w:val="nil"/>
                  <w:bottom w:val="single" w:sz="6" w:space="0" w:color="D0CECE"/>
                  <w:right w:val="nil"/>
                </w:tcBorders>
                <w:shd w:val="clear" w:color="auto" w:fill="FFFFFF"/>
                <w:tcMar>
                  <w:top w:w="20" w:type="dxa"/>
                  <w:left w:w="20" w:type="dxa"/>
                  <w:bottom w:w="20" w:type="dxa"/>
                  <w:right w:w="20" w:type="dxa"/>
                </w:tcMar>
              </w:tcPr>
              <w:p w14:paraId="5AC659AF" w14:textId="77777777" w:rsidR="00FA6B71" w:rsidRDefault="00000000">
                <w:pPr>
                  <w:spacing w:before="240" w:after="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Concelho em que atua</w:t>
                </w:r>
              </w:p>
            </w:tc>
          </w:tr>
          <w:tr w:rsidR="00FA6B71" w14:paraId="714A999D" w14:textId="77777777">
            <w:trPr>
              <w:trHeight w:val="719"/>
            </w:trPr>
            <w:tc>
              <w:tcPr>
                <w:tcW w:w="1660" w:type="dxa"/>
                <w:tcBorders>
                  <w:top w:val="nil"/>
                  <w:left w:val="nil"/>
                  <w:bottom w:val="nil"/>
                  <w:right w:val="nil"/>
                </w:tcBorders>
                <w:shd w:val="clear" w:color="auto" w:fill="E7E6E6"/>
                <w:tcMar>
                  <w:top w:w="100" w:type="dxa"/>
                  <w:left w:w="100" w:type="dxa"/>
                  <w:bottom w:w="100" w:type="dxa"/>
                  <w:right w:w="100" w:type="dxa"/>
                </w:tcMar>
              </w:tcPr>
              <w:p w14:paraId="6626476A" w14:textId="77777777" w:rsidR="00FA6B71" w:rsidRDefault="00000000">
                <w:pPr>
                  <w:spacing w:before="240" w:after="24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P1</w:t>
                </w:r>
              </w:p>
            </w:tc>
            <w:tc>
              <w:tcPr>
                <w:tcW w:w="1660" w:type="dxa"/>
                <w:tcBorders>
                  <w:top w:val="nil"/>
                  <w:left w:val="nil"/>
                  <w:bottom w:val="nil"/>
                  <w:right w:val="nil"/>
                </w:tcBorders>
                <w:shd w:val="clear" w:color="auto" w:fill="E7E6E6"/>
                <w:tcMar>
                  <w:top w:w="100" w:type="dxa"/>
                  <w:left w:w="100" w:type="dxa"/>
                  <w:bottom w:w="100" w:type="dxa"/>
                  <w:right w:w="100" w:type="dxa"/>
                </w:tcMar>
              </w:tcPr>
              <w:p w14:paraId="658E8D7D"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1660" w:type="dxa"/>
                <w:tcBorders>
                  <w:top w:val="nil"/>
                  <w:left w:val="nil"/>
                  <w:bottom w:val="nil"/>
                  <w:right w:val="nil"/>
                </w:tcBorders>
                <w:shd w:val="clear" w:color="auto" w:fill="E7E6E6"/>
                <w:tcMar>
                  <w:top w:w="20" w:type="dxa"/>
                  <w:left w:w="20" w:type="dxa"/>
                  <w:bottom w:w="20" w:type="dxa"/>
                  <w:right w:w="20" w:type="dxa"/>
                </w:tcMar>
              </w:tcPr>
              <w:p w14:paraId="28D6E867"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Portuguesa</w:t>
                </w:r>
              </w:p>
            </w:tc>
            <w:tc>
              <w:tcPr>
                <w:tcW w:w="1660" w:type="dxa"/>
                <w:tcBorders>
                  <w:top w:val="nil"/>
                  <w:left w:val="nil"/>
                  <w:bottom w:val="nil"/>
                  <w:right w:val="nil"/>
                </w:tcBorders>
                <w:shd w:val="clear" w:color="auto" w:fill="E7E6E6"/>
                <w:tcMar>
                  <w:top w:w="20" w:type="dxa"/>
                  <w:left w:w="20" w:type="dxa"/>
                  <w:bottom w:w="20" w:type="dxa"/>
                  <w:right w:w="20" w:type="dxa"/>
                </w:tcMar>
              </w:tcPr>
              <w:p w14:paraId="579E71C9"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660" w:type="dxa"/>
                <w:tcBorders>
                  <w:top w:val="nil"/>
                  <w:left w:val="nil"/>
                  <w:bottom w:val="nil"/>
                  <w:right w:val="nil"/>
                </w:tcBorders>
                <w:shd w:val="clear" w:color="auto" w:fill="E7E6E6"/>
                <w:tcMar>
                  <w:top w:w="20" w:type="dxa"/>
                  <w:left w:w="20" w:type="dxa"/>
                  <w:bottom w:w="20" w:type="dxa"/>
                  <w:right w:w="20" w:type="dxa"/>
                </w:tcMar>
              </w:tcPr>
              <w:p w14:paraId="748018F6"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Valongo</w:t>
                </w:r>
              </w:p>
            </w:tc>
          </w:tr>
          <w:tr w:rsidR="00FA6B71" w14:paraId="27E3E61F" w14:textId="77777777">
            <w:trPr>
              <w:trHeight w:val="584"/>
            </w:trPr>
            <w:tc>
              <w:tcPr>
                <w:tcW w:w="1660" w:type="dxa"/>
                <w:tcBorders>
                  <w:top w:val="nil"/>
                  <w:left w:val="nil"/>
                  <w:bottom w:val="nil"/>
                  <w:right w:val="nil"/>
                </w:tcBorders>
                <w:shd w:val="clear" w:color="auto" w:fill="FFFFFF"/>
                <w:tcMar>
                  <w:top w:w="100" w:type="dxa"/>
                  <w:left w:w="100" w:type="dxa"/>
                  <w:bottom w:w="100" w:type="dxa"/>
                  <w:right w:w="100" w:type="dxa"/>
                </w:tcMar>
              </w:tcPr>
              <w:p w14:paraId="55F40CCD" w14:textId="77777777" w:rsidR="00FA6B71" w:rsidRDefault="00000000">
                <w:pPr>
                  <w:spacing w:before="240" w:after="24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P2</w:t>
                </w:r>
              </w:p>
            </w:tc>
            <w:tc>
              <w:tcPr>
                <w:tcW w:w="1660" w:type="dxa"/>
                <w:tcBorders>
                  <w:top w:val="nil"/>
                  <w:left w:val="nil"/>
                  <w:bottom w:val="nil"/>
                  <w:right w:val="nil"/>
                </w:tcBorders>
                <w:shd w:val="clear" w:color="auto" w:fill="FFFFFF"/>
                <w:tcMar>
                  <w:top w:w="100" w:type="dxa"/>
                  <w:left w:w="100" w:type="dxa"/>
                  <w:bottom w:w="100" w:type="dxa"/>
                  <w:right w:w="100" w:type="dxa"/>
                </w:tcMar>
              </w:tcPr>
              <w:p w14:paraId="0E9BFC8D"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660" w:type="dxa"/>
                <w:tcBorders>
                  <w:top w:val="nil"/>
                  <w:left w:val="nil"/>
                  <w:bottom w:val="nil"/>
                  <w:right w:val="nil"/>
                </w:tcBorders>
                <w:shd w:val="clear" w:color="auto" w:fill="FFFFFF"/>
                <w:tcMar>
                  <w:top w:w="20" w:type="dxa"/>
                  <w:left w:w="20" w:type="dxa"/>
                  <w:bottom w:w="20" w:type="dxa"/>
                  <w:right w:w="20" w:type="dxa"/>
                </w:tcMar>
              </w:tcPr>
              <w:p w14:paraId="11346C2A"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Portuguesa</w:t>
                </w:r>
              </w:p>
            </w:tc>
            <w:tc>
              <w:tcPr>
                <w:tcW w:w="1660" w:type="dxa"/>
                <w:tcBorders>
                  <w:top w:val="nil"/>
                  <w:left w:val="nil"/>
                  <w:bottom w:val="nil"/>
                  <w:right w:val="nil"/>
                </w:tcBorders>
                <w:shd w:val="clear" w:color="auto" w:fill="FFFFFF"/>
                <w:tcMar>
                  <w:top w:w="20" w:type="dxa"/>
                  <w:left w:w="20" w:type="dxa"/>
                  <w:bottom w:w="20" w:type="dxa"/>
                  <w:right w:w="20" w:type="dxa"/>
                </w:tcMar>
              </w:tcPr>
              <w:p w14:paraId="232650EA"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1660" w:type="dxa"/>
                <w:tcBorders>
                  <w:top w:val="nil"/>
                  <w:left w:val="nil"/>
                  <w:bottom w:val="nil"/>
                  <w:right w:val="nil"/>
                </w:tcBorders>
                <w:shd w:val="clear" w:color="auto" w:fill="FFFFFF"/>
                <w:tcMar>
                  <w:top w:w="20" w:type="dxa"/>
                  <w:left w:w="20" w:type="dxa"/>
                  <w:bottom w:w="20" w:type="dxa"/>
                  <w:right w:w="20" w:type="dxa"/>
                </w:tcMar>
              </w:tcPr>
              <w:p w14:paraId="0FFAE9B1"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Valongo</w:t>
                </w:r>
              </w:p>
            </w:tc>
          </w:tr>
          <w:tr w:rsidR="00FA6B71" w14:paraId="28B65905" w14:textId="77777777">
            <w:tc>
              <w:tcPr>
                <w:tcW w:w="1660" w:type="dxa"/>
                <w:tcBorders>
                  <w:top w:val="nil"/>
                  <w:left w:val="nil"/>
                  <w:bottom w:val="nil"/>
                  <w:right w:val="nil"/>
                </w:tcBorders>
                <w:shd w:val="clear" w:color="auto" w:fill="E7E6E6"/>
                <w:tcMar>
                  <w:top w:w="100" w:type="dxa"/>
                  <w:left w:w="100" w:type="dxa"/>
                  <w:bottom w:w="100" w:type="dxa"/>
                  <w:right w:w="100" w:type="dxa"/>
                </w:tcMar>
              </w:tcPr>
              <w:p w14:paraId="6CFFFD4A" w14:textId="77777777" w:rsidR="00FA6B71" w:rsidRDefault="00000000">
                <w:pPr>
                  <w:spacing w:before="240" w:after="24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P3</w:t>
                </w:r>
              </w:p>
            </w:tc>
            <w:tc>
              <w:tcPr>
                <w:tcW w:w="1660" w:type="dxa"/>
                <w:tcBorders>
                  <w:top w:val="nil"/>
                  <w:left w:val="nil"/>
                  <w:bottom w:val="nil"/>
                  <w:right w:val="nil"/>
                </w:tcBorders>
                <w:shd w:val="clear" w:color="auto" w:fill="E7E6E6"/>
                <w:tcMar>
                  <w:top w:w="100" w:type="dxa"/>
                  <w:left w:w="100" w:type="dxa"/>
                  <w:bottom w:w="100" w:type="dxa"/>
                  <w:right w:w="100" w:type="dxa"/>
                </w:tcMar>
              </w:tcPr>
              <w:p w14:paraId="33A4EB68"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1660" w:type="dxa"/>
                <w:tcBorders>
                  <w:top w:val="nil"/>
                  <w:left w:val="nil"/>
                  <w:bottom w:val="nil"/>
                  <w:right w:val="nil"/>
                </w:tcBorders>
                <w:shd w:val="clear" w:color="auto" w:fill="E7E6E6"/>
                <w:tcMar>
                  <w:top w:w="20" w:type="dxa"/>
                  <w:left w:w="20" w:type="dxa"/>
                  <w:bottom w:w="20" w:type="dxa"/>
                  <w:right w:w="20" w:type="dxa"/>
                </w:tcMar>
              </w:tcPr>
              <w:p w14:paraId="58E7C16F"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Portuguesa</w:t>
                </w:r>
              </w:p>
            </w:tc>
            <w:tc>
              <w:tcPr>
                <w:tcW w:w="1660" w:type="dxa"/>
                <w:tcBorders>
                  <w:top w:val="nil"/>
                  <w:left w:val="nil"/>
                  <w:bottom w:val="nil"/>
                  <w:right w:val="nil"/>
                </w:tcBorders>
                <w:shd w:val="clear" w:color="auto" w:fill="E7E6E6"/>
                <w:tcMar>
                  <w:top w:w="20" w:type="dxa"/>
                  <w:left w:w="20" w:type="dxa"/>
                  <w:bottom w:w="20" w:type="dxa"/>
                  <w:right w:w="20" w:type="dxa"/>
                </w:tcMar>
              </w:tcPr>
              <w:p w14:paraId="4DF49232"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660" w:type="dxa"/>
                <w:tcBorders>
                  <w:top w:val="nil"/>
                  <w:left w:val="nil"/>
                  <w:bottom w:val="nil"/>
                  <w:right w:val="nil"/>
                </w:tcBorders>
                <w:shd w:val="clear" w:color="auto" w:fill="E7E6E6"/>
                <w:tcMar>
                  <w:top w:w="20" w:type="dxa"/>
                  <w:left w:w="20" w:type="dxa"/>
                  <w:bottom w:w="20" w:type="dxa"/>
                  <w:right w:w="20" w:type="dxa"/>
                </w:tcMar>
              </w:tcPr>
              <w:p w14:paraId="3A995DF5"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Valongo</w:t>
                </w:r>
              </w:p>
            </w:tc>
          </w:tr>
          <w:tr w:rsidR="00FA6B71" w14:paraId="46D416F0" w14:textId="77777777">
            <w:tc>
              <w:tcPr>
                <w:tcW w:w="1660" w:type="dxa"/>
                <w:tcBorders>
                  <w:top w:val="nil"/>
                  <w:left w:val="nil"/>
                  <w:bottom w:val="nil"/>
                  <w:right w:val="nil"/>
                </w:tcBorders>
                <w:shd w:val="clear" w:color="auto" w:fill="FFFFFF"/>
                <w:tcMar>
                  <w:top w:w="100" w:type="dxa"/>
                  <w:left w:w="100" w:type="dxa"/>
                  <w:bottom w:w="100" w:type="dxa"/>
                  <w:right w:w="100" w:type="dxa"/>
                </w:tcMar>
              </w:tcPr>
              <w:p w14:paraId="7681E68F" w14:textId="77777777" w:rsidR="00FA6B71" w:rsidRDefault="00000000">
                <w:pPr>
                  <w:spacing w:before="240" w:after="24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P4</w:t>
                </w:r>
              </w:p>
            </w:tc>
            <w:tc>
              <w:tcPr>
                <w:tcW w:w="1660" w:type="dxa"/>
                <w:tcBorders>
                  <w:top w:val="nil"/>
                  <w:left w:val="nil"/>
                  <w:bottom w:val="nil"/>
                  <w:right w:val="nil"/>
                </w:tcBorders>
                <w:shd w:val="clear" w:color="auto" w:fill="FFFFFF"/>
                <w:tcMar>
                  <w:top w:w="100" w:type="dxa"/>
                  <w:left w:w="100" w:type="dxa"/>
                  <w:bottom w:w="100" w:type="dxa"/>
                  <w:right w:w="100" w:type="dxa"/>
                </w:tcMar>
              </w:tcPr>
              <w:p w14:paraId="707702AB"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1660" w:type="dxa"/>
                <w:tcBorders>
                  <w:top w:val="nil"/>
                  <w:left w:val="nil"/>
                  <w:bottom w:val="nil"/>
                  <w:right w:val="nil"/>
                </w:tcBorders>
                <w:shd w:val="clear" w:color="auto" w:fill="FFFFFF"/>
                <w:tcMar>
                  <w:top w:w="20" w:type="dxa"/>
                  <w:left w:w="20" w:type="dxa"/>
                  <w:bottom w:w="20" w:type="dxa"/>
                  <w:right w:w="20" w:type="dxa"/>
                </w:tcMar>
              </w:tcPr>
              <w:p w14:paraId="20AE4ABE"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Portuguesa</w:t>
                </w:r>
              </w:p>
            </w:tc>
            <w:tc>
              <w:tcPr>
                <w:tcW w:w="1660" w:type="dxa"/>
                <w:tcBorders>
                  <w:top w:val="nil"/>
                  <w:left w:val="nil"/>
                  <w:bottom w:val="nil"/>
                  <w:right w:val="nil"/>
                </w:tcBorders>
                <w:shd w:val="clear" w:color="auto" w:fill="FFFFFF"/>
                <w:tcMar>
                  <w:top w:w="20" w:type="dxa"/>
                  <w:left w:w="20" w:type="dxa"/>
                  <w:bottom w:w="20" w:type="dxa"/>
                  <w:right w:w="20" w:type="dxa"/>
                </w:tcMar>
              </w:tcPr>
              <w:p w14:paraId="59760ECC"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660" w:type="dxa"/>
                <w:tcBorders>
                  <w:top w:val="nil"/>
                  <w:left w:val="nil"/>
                  <w:bottom w:val="nil"/>
                  <w:right w:val="nil"/>
                </w:tcBorders>
                <w:shd w:val="clear" w:color="auto" w:fill="FFFFFF"/>
                <w:tcMar>
                  <w:top w:w="20" w:type="dxa"/>
                  <w:left w:w="20" w:type="dxa"/>
                  <w:bottom w:w="20" w:type="dxa"/>
                  <w:right w:w="20" w:type="dxa"/>
                </w:tcMar>
              </w:tcPr>
              <w:p w14:paraId="212295A8"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Lousada</w:t>
                </w:r>
              </w:p>
            </w:tc>
          </w:tr>
          <w:tr w:rsidR="00FA6B71" w14:paraId="39797A1E" w14:textId="77777777">
            <w:tc>
              <w:tcPr>
                <w:tcW w:w="1660" w:type="dxa"/>
                <w:tcBorders>
                  <w:top w:val="nil"/>
                  <w:left w:val="nil"/>
                  <w:bottom w:val="nil"/>
                  <w:right w:val="nil"/>
                </w:tcBorders>
                <w:shd w:val="clear" w:color="auto" w:fill="E7E6E6"/>
                <w:tcMar>
                  <w:top w:w="100" w:type="dxa"/>
                  <w:left w:w="100" w:type="dxa"/>
                  <w:bottom w:w="100" w:type="dxa"/>
                  <w:right w:w="100" w:type="dxa"/>
                </w:tcMar>
              </w:tcPr>
              <w:p w14:paraId="5180C4E9" w14:textId="77777777" w:rsidR="00FA6B71" w:rsidRDefault="00000000">
                <w:pPr>
                  <w:spacing w:before="240" w:after="24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P5</w:t>
                </w:r>
              </w:p>
            </w:tc>
            <w:tc>
              <w:tcPr>
                <w:tcW w:w="1660" w:type="dxa"/>
                <w:tcBorders>
                  <w:top w:val="nil"/>
                  <w:left w:val="nil"/>
                  <w:bottom w:val="nil"/>
                  <w:right w:val="nil"/>
                </w:tcBorders>
                <w:shd w:val="clear" w:color="auto" w:fill="E7E6E6"/>
                <w:tcMar>
                  <w:top w:w="100" w:type="dxa"/>
                  <w:left w:w="100" w:type="dxa"/>
                  <w:bottom w:w="100" w:type="dxa"/>
                  <w:right w:w="100" w:type="dxa"/>
                </w:tcMar>
              </w:tcPr>
              <w:p w14:paraId="540F02AC"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1660" w:type="dxa"/>
                <w:tcBorders>
                  <w:top w:val="nil"/>
                  <w:left w:val="nil"/>
                  <w:bottom w:val="nil"/>
                  <w:right w:val="nil"/>
                </w:tcBorders>
                <w:shd w:val="clear" w:color="auto" w:fill="E7E6E6"/>
                <w:tcMar>
                  <w:top w:w="20" w:type="dxa"/>
                  <w:left w:w="20" w:type="dxa"/>
                  <w:bottom w:w="20" w:type="dxa"/>
                  <w:right w:w="20" w:type="dxa"/>
                </w:tcMar>
              </w:tcPr>
              <w:p w14:paraId="5EE66D21"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Portuguesa</w:t>
                </w:r>
              </w:p>
            </w:tc>
            <w:tc>
              <w:tcPr>
                <w:tcW w:w="1660" w:type="dxa"/>
                <w:tcBorders>
                  <w:top w:val="nil"/>
                  <w:left w:val="nil"/>
                  <w:bottom w:val="nil"/>
                  <w:right w:val="nil"/>
                </w:tcBorders>
                <w:shd w:val="clear" w:color="auto" w:fill="E7E6E6"/>
                <w:tcMar>
                  <w:top w:w="20" w:type="dxa"/>
                  <w:left w:w="20" w:type="dxa"/>
                  <w:bottom w:w="20" w:type="dxa"/>
                  <w:right w:w="20" w:type="dxa"/>
                </w:tcMar>
              </w:tcPr>
              <w:p w14:paraId="48F5735D"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660" w:type="dxa"/>
                <w:tcBorders>
                  <w:top w:val="nil"/>
                  <w:left w:val="nil"/>
                  <w:bottom w:val="nil"/>
                  <w:right w:val="nil"/>
                </w:tcBorders>
                <w:shd w:val="clear" w:color="auto" w:fill="E7E6E6"/>
                <w:tcMar>
                  <w:top w:w="20" w:type="dxa"/>
                  <w:left w:w="20" w:type="dxa"/>
                  <w:bottom w:w="20" w:type="dxa"/>
                  <w:right w:w="20" w:type="dxa"/>
                </w:tcMar>
              </w:tcPr>
              <w:p w14:paraId="0B57919A"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Lousada</w:t>
                </w:r>
              </w:p>
            </w:tc>
          </w:tr>
          <w:tr w:rsidR="00FA6B71" w14:paraId="0D8C3289" w14:textId="77777777">
            <w:tc>
              <w:tcPr>
                <w:tcW w:w="1660" w:type="dxa"/>
                <w:tcBorders>
                  <w:top w:val="nil"/>
                  <w:left w:val="nil"/>
                  <w:bottom w:val="nil"/>
                  <w:right w:val="nil"/>
                </w:tcBorders>
                <w:shd w:val="clear" w:color="auto" w:fill="FFFFFF"/>
                <w:tcMar>
                  <w:top w:w="100" w:type="dxa"/>
                  <w:left w:w="100" w:type="dxa"/>
                  <w:bottom w:w="100" w:type="dxa"/>
                  <w:right w:w="100" w:type="dxa"/>
                </w:tcMar>
              </w:tcPr>
              <w:p w14:paraId="044E9B15" w14:textId="77777777" w:rsidR="00FA6B71" w:rsidRDefault="00000000">
                <w:pPr>
                  <w:spacing w:before="240" w:after="24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P6</w:t>
                </w:r>
              </w:p>
            </w:tc>
            <w:tc>
              <w:tcPr>
                <w:tcW w:w="1660" w:type="dxa"/>
                <w:tcBorders>
                  <w:top w:val="nil"/>
                  <w:left w:val="nil"/>
                  <w:bottom w:val="nil"/>
                  <w:right w:val="nil"/>
                </w:tcBorders>
                <w:shd w:val="clear" w:color="auto" w:fill="FFFFFF"/>
                <w:tcMar>
                  <w:top w:w="100" w:type="dxa"/>
                  <w:left w:w="100" w:type="dxa"/>
                  <w:bottom w:w="100" w:type="dxa"/>
                  <w:right w:w="100" w:type="dxa"/>
                </w:tcMar>
              </w:tcPr>
              <w:p w14:paraId="56A0215C"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1660" w:type="dxa"/>
                <w:tcBorders>
                  <w:top w:val="nil"/>
                  <w:left w:val="nil"/>
                  <w:bottom w:val="nil"/>
                  <w:right w:val="nil"/>
                </w:tcBorders>
                <w:shd w:val="clear" w:color="auto" w:fill="FFFFFF"/>
                <w:tcMar>
                  <w:top w:w="20" w:type="dxa"/>
                  <w:left w:w="20" w:type="dxa"/>
                  <w:bottom w:w="20" w:type="dxa"/>
                  <w:right w:w="20" w:type="dxa"/>
                </w:tcMar>
              </w:tcPr>
              <w:p w14:paraId="582CB11E"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Brasileira</w:t>
                </w:r>
              </w:p>
            </w:tc>
            <w:tc>
              <w:tcPr>
                <w:tcW w:w="1660" w:type="dxa"/>
                <w:tcBorders>
                  <w:top w:val="nil"/>
                  <w:left w:val="nil"/>
                  <w:bottom w:val="nil"/>
                  <w:right w:val="nil"/>
                </w:tcBorders>
                <w:shd w:val="clear" w:color="auto" w:fill="FFFFFF"/>
                <w:tcMar>
                  <w:top w:w="20" w:type="dxa"/>
                  <w:left w:w="20" w:type="dxa"/>
                  <w:bottom w:w="20" w:type="dxa"/>
                  <w:right w:w="20" w:type="dxa"/>
                </w:tcMar>
              </w:tcPr>
              <w:p w14:paraId="4593BEEA"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tcBorders>
                  <w:top w:val="nil"/>
                  <w:left w:val="nil"/>
                  <w:bottom w:val="nil"/>
                  <w:right w:val="nil"/>
                </w:tcBorders>
                <w:shd w:val="clear" w:color="auto" w:fill="FFFFFF"/>
                <w:tcMar>
                  <w:top w:w="20" w:type="dxa"/>
                  <w:left w:w="20" w:type="dxa"/>
                  <w:bottom w:w="20" w:type="dxa"/>
                  <w:right w:w="20" w:type="dxa"/>
                </w:tcMar>
              </w:tcPr>
              <w:p w14:paraId="500FE9E1"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Valongo</w:t>
                </w:r>
              </w:p>
            </w:tc>
          </w:tr>
          <w:tr w:rsidR="00FA6B71" w14:paraId="3F60145C" w14:textId="77777777">
            <w:tc>
              <w:tcPr>
                <w:tcW w:w="1660" w:type="dxa"/>
                <w:tcBorders>
                  <w:top w:val="nil"/>
                  <w:left w:val="nil"/>
                  <w:bottom w:val="single" w:sz="6" w:space="0" w:color="D0CECE"/>
                  <w:right w:val="nil"/>
                </w:tcBorders>
                <w:shd w:val="clear" w:color="auto" w:fill="E7E6E6"/>
                <w:tcMar>
                  <w:top w:w="100" w:type="dxa"/>
                  <w:left w:w="100" w:type="dxa"/>
                  <w:bottom w:w="100" w:type="dxa"/>
                  <w:right w:w="100" w:type="dxa"/>
                </w:tcMar>
              </w:tcPr>
              <w:p w14:paraId="567B646C" w14:textId="77777777" w:rsidR="00FA6B71" w:rsidRDefault="00000000">
                <w:pPr>
                  <w:spacing w:before="240" w:after="24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P7</w:t>
                </w:r>
              </w:p>
            </w:tc>
            <w:tc>
              <w:tcPr>
                <w:tcW w:w="1660" w:type="dxa"/>
                <w:tcBorders>
                  <w:top w:val="nil"/>
                  <w:left w:val="nil"/>
                  <w:bottom w:val="single" w:sz="6" w:space="0" w:color="D0CECE"/>
                  <w:right w:val="nil"/>
                </w:tcBorders>
                <w:shd w:val="clear" w:color="auto" w:fill="E7E6E6"/>
                <w:tcMar>
                  <w:top w:w="100" w:type="dxa"/>
                  <w:left w:w="100" w:type="dxa"/>
                  <w:bottom w:w="100" w:type="dxa"/>
                  <w:right w:w="100" w:type="dxa"/>
                </w:tcMar>
              </w:tcPr>
              <w:p w14:paraId="56C854FB"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1660" w:type="dxa"/>
                <w:tcBorders>
                  <w:top w:val="nil"/>
                  <w:left w:val="nil"/>
                  <w:bottom w:val="single" w:sz="6" w:space="0" w:color="D0CECE"/>
                  <w:right w:val="nil"/>
                </w:tcBorders>
                <w:shd w:val="clear" w:color="auto" w:fill="E7E6E6"/>
                <w:tcMar>
                  <w:top w:w="20" w:type="dxa"/>
                  <w:left w:w="20" w:type="dxa"/>
                  <w:bottom w:w="20" w:type="dxa"/>
                  <w:right w:w="20" w:type="dxa"/>
                </w:tcMar>
              </w:tcPr>
              <w:p w14:paraId="5E71018A"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Portuguesa</w:t>
                </w:r>
              </w:p>
            </w:tc>
            <w:tc>
              <w:tcPr>
                <w:tcW w:w="1660" w:type="dxa"/>
                <w:tcBorders>
                  <w:top w:val="nil"/>
                  <w:left w:val="nil"/>
                  <w:bottom w:val="single" w:sz="6" w:space="0" w:color="D0CECE"/>
                  <w:right w:val="nil"/>
                </w:tcBorders>
                <w:shd w:val="clear" w:color="auto" w:fill="E7E6E6"/>
                <w:tcMar>
                  <w:top w:w="20" w:type="dxa"/>
                  <w:left w:w="20" w:type="dxa"/>
                  <w:bottom w:w="20" w:type="dxa"/>
                  <w:right w:w="20" w:type="dxa"/>
                </w:tcMar>
              </w:tcPr>
              <w:p w14:paraId="3054FB9A"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1660" w:type="dxa"/>
                <w:tcBorders>
                  <w:top w:val="nil"/>
                  <w:left w:val="nil"/>
                  <w:bottom w:val="single" w:sz="6" w:space="0" w:color="D0CECE"/>
                  <w:right w:val="nil"/>
                </w:tcBorders>
                <w:shd w:val="clear" w:color="auto" w:fill="E7E6E6"/>
                <w:tcMar>
                  <w:top w:w="20" w:type="dxa"/>
                  <w:left w:w="20" w:type="dxa"/>
                  <w:bottom w:w="20" w:type="dxa"/>
                  <w:right w:w="20" w:type="dxa"/>
                </w:tcMar>
              </w:tcPr>
              <w:p w14:paraId="47450F13"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Vila Nova de Gaia</w:t>
                </w:r>
              </w:p>
            </w:tc>
          </w:tr>
          <w:tr w:rsidR="00FA6B71" w14:paraId="773B6C56" w14:textId="77777777">
            <w:tc>
              <w:tcPr>
                <w:tcW w:w="1660" w:type="dxa"/>
                <w:tcBorders>
                  <w:top w:val="nil"/>
                  <w:left w:val="nil"/>
                  <w:bottom w:val="nil"/>
                  <w:right w:val="nil"/>
                </w:tcBorders>
                <w:shd w:val="clear" w:color="auto" w:fill="FFFFFF"/>
                <w:tcMar>
                  <w:top w:w="100" w:type="dxa"/>
                  <w:left w:w="100" w:type="dxa"/>
                  <w:bottom w:w="100" w:type="dxa"/>
                  <w:right w:w="100" w:type="dxa"/>
                </w:tcMar>
              </w:tcPr>
              <w:p w14:paraId="63F9D9B2" w14:textId="77777777" w:rsidR="00FA6B71" w:rsidRDefault="00000000">
                <w:pPr>
                  <w:spacing w:before="240" w:after="24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P8</w:t>
                </w:r>
              </w:p>
            </w:tc>
            <w:tc>
              <w:tcPr>
                <w:tcW w:w="1660" w:type="dxa"/>
                <w:tcBorders>
                  <w:top w:val="nil"/>
                  <w:left w:val="nil"/>
                  <w:bottom w:val="nil"/>
                  <w:right w:val="nil"/>
                </w:tcBorders>
                <w:shd w:val="clear" w:color="auto" w:fill="FFFFFF"/>
                <w:tcMar>
                  <w:top w:w="100" w:type="dxa"/>
                  <w:left w:w="100" w:type="dxa"/>
                  <w:bottom w:w="100" w:type="dxa"/>
                  <w:right w:w="100" w:type="dxa"/>
                </w:tcMar>
              </w:tcPr>
              <w:p w14:paraId="03217E6C"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1660" w:type="dxa"/>
                <w:tcBorders>
                  <w:top w:val="nil"/>
                  <w:left w:val="nil"/>
                  <w:bottom w:val="nil"/>
                  <w:right w:val="nil"/>
                </w:tcBorders>
                <w:shd w:val="clear" w:color="auto" w:fill="FFFFFF"/>
                <w:tcMar>
                  <w:top w:w="20" w:type="dxa"/>
                  <w:left w:w="20" w:type="dxa"/>
                  <w:bottom w:w="20" w:type="dxa"/>
                  <w:right w:w="20" w:type="dxa"/>
                </w:tcMar>
              </w:tcPr>
              <w:p w14:paraId="36FBB945"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Portuguesa</w:t>
                </w:r>
              </w:p>
            </w:tc>
            <w:tc>
              <w:tcPr>
                <w:tcW w:w="1660" w:type="dxa"/>
                <w:tcBorders>
                  <w:top w:val="nil"/>
                  <w:left w:val="nil"/>
                  <w:bottom w:val="nil"/>
                  <w:right w:val="nil"/>
                </w:tcBorders>
                <w:shd w:val="clear" w:color="auto" w:fill="FFFFFF"/>
                <w:tcMar>
                  <w:top w:w="20" w:type="dxa"/>
                  <w:left w:w="20" w:type="dxa"/>
                  <w:bottom w:w="20" w:type="dxa"/>
                  <w:right w:w="20" w:type="dxa"/>
                </w:tcMar>
              </w:tcPr>
              <w:p w14:paraId="71FF6335"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660" w:type="dxa"/>
                <w:tcBorders>
                  <w:top w:val="nil"/>
                  <w:left w:val="nil"/>
                  <w:bottom w:val="nil"/>
                  <w:right w:val="nil"/>
                </w:tcBorders>
                <w:shd w:val="clear" w:color="auto" w:fill="FFFFFF"/>
                <w:tcMar>
                  <w:top w:w="20" w:type="dxa"/>
                  <w:left w:w="20" w:type="dxa"/>
                  <w:bottom w:w="20" w:type="dxa"/>
                  <w:right w:w="20" w:type="dxa"/>
                </w:tcMar>
              </w:tcPr>
              <w:p w14:paraId="6D8DE29C"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Vila do Conde</w:t>
                </w:r>
              </w:p>
            </w:tc>
          </w:tr>
        </w:tbl>
      </w:sdtContent>
    </w:sdt>
    <w:p w14:paraId="3DB80E36" w14:textId="77777777" w:rsidR="00FA6B71" w:rsidRDefault="00FA6B71">
      <w:pPr>
        <w:spacing w:line="360" w:lineRule="auto"/>
        <w:jc w:val="both"/>
        <w:rPr>
          <w:rFonts w:ascii="Times New Roman" w:eastAsia="Times New Roman" w:hAnsi="Times New Roman" w:cs="Times New Roman"/>
        </w:rPr>
      </w:pPr>
    </w:p>
    <w:p w14:paraId="590607E8" w14:textId="77777777" w:rsidR="00FA6B71" w:rsidRDefault="00FA6B71">
      <w:pPr>
        <w:spacing w:line="360" w:lineRule="auto"/>
        <w:jc w:val="both"/>
        <w:rPr>
          <w:rFonts w:ascii="Times New Roman" w:eastAsia="Times New Roman" w:hAnsi="Times New Roman" w:cs="Times New Roman"/>
          <w:i/>
        </w:rPr>
      </w:pPr>
    </w:p>
    <w:p w14:paraId="576A2466"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ab/>
        <w:t xml:space="preserve">O recrutamento deu-se através do envio de diversos e-mails direcionados aos agrupamentos de escolas de todo o distrito do Porto e envio de mensagens e </w:t>
      </w:r>
      <w:proofErr w:type="spellStart"/>
      <w:r>
        <w:rPr>
          <w:rFonts w:ascii="Times New Roman" w:eastAsia="Times New Roman" w:hAnsi="Times New Roman" w:cs="Times New Roman"/>
        </w:rPr>
        <w:t>flyers</w:t>
      </w:r>
      <w:proofErr w:type="spellEnd"/>
      <w:r>
        <w:rPr>
          <w:rFonts w:ascii="Times New Roman" w:eastAsia="Times New Roman" w:hAnsi="Times New Roman" w:cs="Times New Roman"/>
        </w:rPr>
        <w:t xml:space="preserve">-convite em redes sociais (Instagram, Facebook,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etc.). Vale ressaltar que, como o processo decorreu durante o período próximo ao final das atividades escolares, resultou em baixa disponibilidade das escolas para participar do estudo. Com efeito, obteve-se mais adesão de concelhos mais afastados do centro do Porto, provavelmente devido a uma menor incidência de pesquisas do tipo nesses agrupamentos.</w:t>
      </w:r>
    </w:p>
    <w:p w14:paraId="1E034415" w14:textId="77777777" w:rsidR="00FA6B71" w:rsidRDefault="00FA6B71">
      <w:pPr>
        <w:spacing w:line="360" w:lineRule="auto"/>
        <w:ind w:firstLine="720"/>
        <w:jc w:val="both"/>
        <w:rPr>
          <w:rFonts w:ascii="Times New Roman" w:eastAsia="Times New Roman" w:hAnsi="Times New Roman" w:cs="Times New Roman"/>
        </w:rPr>
      </w:pPr>
    </w:p>
    <w:p w14:paraId="7E57AA19" w14:textId="77777777" w:rsidR="00FA6B71" w:rsidRDefault="00000000" w:rsidP="007B7C3D">
      <w:pPr>
        <w:pStyle w:val="Ttulo2"/>
      </w:pPr>
      <w:bookmarkStart w:id="9" w:name="_Toc210994446"/>
      <w:r>
        <w:t>2.2. Procedimentos</w:t>
      </w:r>
      <w:bookmarkEnd w:id="9"/>
    </w:p>
    <w:p w14:paraId="0425846F"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recolha de dados foi realizada no formato online, utilizando-se da plataforma Google </w:t>
      </w:r>
      <w:proofErr w:type="spellStart"/>
      <w:r>
        <w:rPr>
          <w:rFonts w:ascii="Times New Roman" w:eastAsia="Times New Roman" w:hAnsi="Times New Roman" w:cs="Times New Roman"/>
        </w:rPr>
        <w:t>Meet</w:t>
      </w:r>
      <w:proofErr w:type="spellEnd"/>
      <w:r>
        <w:rPr>
          <w:rFonts w:ascii="Times New Roman" w:eastAsia="Times New Roman" w:hAnsi="Times New Roman" w:cs="Times New Roman"/>
        </w:rPr>
        <w:t xml:space="preserve"> para a condução das entrevistas cognitivas. De forma a reiterar o compromisso com a confidencialidade e anonimato dos dados, previamente à condução da entrevista, foi solicitado que esta fosse gravada para fins de análise de dados, como já havia sido exposto nos documentos de consentimento informado. Foram conduzidas entrevistas individuais com duração entre 30 e 50 minutos.</w:t>
      </w:r>
    </w:p>
    <w:p w14:paraId="2E5659D6" w14:textId="77777777" w:rsidR="00FA6B71" w:rsidRDefault="00000000">
      <w:pPr>
        <w:spacing w:line="360" w:lineRule="auto"/>
        <w:ind w:firstLine="720"/>
        <w:jc w:val="both"/>
        <w:rPr>
          <w:rFonts w:ascii="Times New Roman" w:eastAsia="Times New Roman" w:hAnsi="Times New Roman" w:cs="Times New Roman"/>
          <w:b/>
        </w:rPr>
      </w:pPr>
      <w:r>
        <w:rPr>
          <w:rFonts w:ascii="Times New Roman" w:eastAsia="Times New Roman" w:hAnsi="Times New Roman" w:cs="Times New Roman"/>
        </w:rPr>
        <w:t>Foi explicado brevemente os objetivos gerais da pesquisa, bem como sobre o funcionamento de uma entrevista cognitiva: (i) colocação do item do questionário a ser respondida de forma direta (</w:t>
      </w:r>
      <w:proofErr w:type="spellStart"/>
      <w:r>
        <w:rPr>
          <w:rFonts w:ascii="Times New Roman" w:eastAsia="Times New Roman" w:hAnsi="Times New Roman" w:cs="Times New Roman"/>
        </w:rPr>
        <w:t>ii</w:t>
      </w:r>
      <w:proofErr w:type="spellEnd"/>
      <w:r>
        <w:rPr>
          <w:rFonts w:ascii="Times New Roman" w:eastAsia="Times New Roman" w:hAnsi="Times New Roman" w:cs="Times New Roman"/>
        </w:rPr>
        <w:t>) colocação de perguntas de sondagem para aprofundamento da resposta (</w:t>
      </w:r>
      <w:proofErr w:type="spellStart"/>
      <w:r>
        <w:rPr>
          <w:rFonts w:ascii="Times New Roman" w:eastAsia="Times New Roman" w:hAnsi="Times New Roman" w:cs="Times New Roman"/>
        </w:rPr>
        <w:t>iii</w:t>
      </w:r>
      <w:proofErr w:type="spellEnd"/>
      <w:r>
        <w:rPr>
          <w:rFonts w:ascii="Times New Roman" w:eastAsia="Times New Roman" w:hAnsi="Times New Roman" w:cs="Times New Roman"/>
        </w:rPr>
        <w:t xml:space="preserve">) breve discussão sobre a compreensão do item do inquérito. Assim, as entrevistas decorreram, tendo como primeiro estímulo o questionário modificado </w:t>
      </w:r>
      <w:proofErr w:type="spellStart"/>
      <w:r>
        <w:rPr>
          <w:rFonts w:ascii="Times New Roman" w:eastAsia="Times New Roman" w:hAnsi="Times New Roman" w:cs="Times New Roman"/>
          <w:i/>
        </w:rPr>
        <w:t>ad-hoc</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derivado da escala DEAS-T e sendo de seguida colocadas pequenas questões ao participante. Os arquivos de </w:t>
      </w:r>
      <w:proofErr w:type="spellStart"/>
      <w:r>
        <w:rPr>
          <w:rFonts w:ascii="Times New Roman" w:eastAsia="Times New Roman" w:hAnsi="Times New Roman" w:cs="Times New Roman"/>
        </w:rPr>
        <w:t>mídia</w:t>
      </w:r>
      <w:proofErr w:type="spellEnd"/>
      <w:r>
        <w:rPr>
          <w:rFonts w:ascii="Times New Roman" w:eastAsia="Times New Roman" w:hAnsi="Times New Roman" w:cs="Times New Roman"/>
        </w:rPr>
        <w:t xml:space="preserve"> audiovisual foram eliminados ao fim da realização deste trabalho. </w:t>
      </w:r>
    </w:p>
    <w:p w14:paraId="41C13378"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b/>
          <w:i/>
        </w:rPr>
        <w:tab/>
      </w:r>
      <w:r>
        <w:rPr>
          <w:rFonts w:ascii="Times New Roman" w:eastAsia="Times New Roman" w:hAnsi="Times New Roman" w:cs="Times New Roman"/>
        </w:rPr>
        <w:t>Utilizou-se para este trabalho uma versão modificada do questionário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Attitude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Scale-Teachers</w:t>
      </w:r>
      <w:proofErr w:type="spellEnd"/>
      <w:r>
        <w:rPr>
          <w:rFonts w:ascii="Times New Roman" w:eastAsia="Times New Roman" w:hAnsi="Times New Roman" w:cs="Times New Roman"/>
        </w:rPr>
        <w:t xml:space="preserve">" (DEAS-T) desenhado por Rodríguez e colaboradores  (2020), instrumento validado para analisar as opiniões de professores sobre como o tópico da morte e luto é tratado dentro das escolas e na sociedade, o que inclui sua </w:t>
      </w:r>
      <w:proofErr w:type="spellStart"/>
      <w:r>
        <w:rPr>
          <w:rFonts w:ascii="Times New Roman" w:eastAsia="Times New Roman" w:hAnsi="Times New Roman" w:cs="Times New Roman"/>
        </w:rPr>
        <w:t>percepção</w:t>
      </w:r>
      <w:proofErr w:type="spellEnd"/>
      <w:r>
        <w:rPr>
          <w:rFonts w:ascii="Times New Roman" w:eastAsia="Times New Roman" w:hAnsi="Times New Roman" w:cs="Times New Roman"/>
        </w:rPr>
        <w:t xml:space="preserve"> sobre a capacidade da escola e do professor em orientar os alunos sobre a morte e sobre a natureza da abordagem empregada (religiosa ou não-religiosa; curricular ou não-curricular). Também </w:t>
      </w:r>
      <w:proofErr w:type="gramStart"/>
      <w:r>
        <w:rPr>
          <w:rFonts w:ascii="Times New Roman" w:eastAsia="Times New Roman" w:hAnsi="Times New Roman" w:cs="Times New Roman"/>
        </w:rPr>
        <w:t>utilizou-se</w:t>
      </w:r>
      <w:proofErr w:type="gramEnd"/>
      <w:r>
        <w:rPr>
          <w:rFonts w:ascii="Times New Roman" w:eastAsia="Times New Roman" w:hAnsi="Times New Roman" w:cs="Times New Roman"/>
        </w:rPr>
        <w:t xml:space="preserve"> uma versão modificada do questionário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Questionnaire-Teachers</w:t>
      </w:r>
      <w:proofErr w:type="spellEnd"/>
      <w:r>
        <w:rPr>
          <w:rFonts w:ascii="Times New Roman" w:eastAsia="Times New Roman" w:hAnsi="Times New Roman" w:cs="Times New Roman"/>
        </w:rPr>
        <w:t xml:space="preserve">” (DEQ-T), presente no mesmo estudo, que analisa as opiniões de professores sobre como o tópico da morte é tratado em escolas e na sociedade. Os questionários foram modificados de maneira a comportar os objetivos do presente estudo e isso foi feito com os seguintes passos: (1) foi feita </w:t>
      </w:r>
      <w:r>
        <w:rPr>
          <w:rFonts w:ascii="Times New Roman" w:eastAsia="Times New Roman" w:hAnsi="Times New Roman" w:cs="Times New Roman"/>
        </w:rPr>
        <w:lastRenderedPageBreak/>
        <w:t xml:space="preserve">uma tradução do espanhol para o português, tentando conservar ao máximo o sentido original dos itens; (2) a seguir foram eliminadas questões que não forma de organização do sistema educativo português; (3) foram selecionados itens relevantes da escala DEAS-T para compor o 1º Bloco de questões (4) foram selecionados itens relevantes do questionário DEQ-T para compor o 2º Bloco de questões (5) por fim, as questões foram transformadas em duas escalas </w:t>
      </w:r>
      <w:proofErr w:type="spellStart"/>
      <w:r>
        <w:rPr>
          <w:rFonts w:ascii="Times New Roman" w:eastAsia="Times New Roman" w:hAnsi="Times New Roman" w:cs="Times New Roman"/>
        </w:rPr>
        <w:t>Likert</w:t>
      </w:r>
      <w:proofErr w:type="spellEnd"/>
      <w:r>
        <w:rPr>
          <w:rFonts w:ascii="Times New Roman" w:eastAsia="Times New Roman" w:hAnsi="Times New Roman" w:cs="Times New Roman"/>
        </w:rPr>
        <w:t xml:space="preserve"> (1-5). </w:t>
      </w:r>
    </w:p>
    <w:p w14:paraId="2BE05C6F"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A utilização desse questionário foi realizada para o presente trabalho com a aprovação do principal autor, via solicitação por e-mail. Foram descritos os objetivos centrais e o escopo deste trabalho de pesquisa, bem como as medidas a serem utilizadas. Também foi explicado sobre a necessidade de tradução do questionário para o português e as modificações que seriam feitas em função da necessidade de adaptar à população portuguesa, uma vez que o estudo original foi pensado para a população espanhola.</w:t>
      </w:r>
    </w:p>
    <w:p w14:paraId="5946DFFF" w14:textId="77777777" w:rsidR="00FA6B71" w:rsidRDefault="00FA6B71">
      <w:pPr>
        <w:spacing w:line="360" w:lineRule="auto"/>
        <w:jc w:val="both"/>
        <w:rPr>
          <w:rFonts w:ascii="Times New Roman" w:eastAsia="Times New Roman" w:hAnsi="Times New Roman" w:cs="Times New Roman"/>
        </w:rPr>
      </w:pPr>
    </w:p>
    <w:p w14:paraId="0F0C1308" w14:textId="77777777" w:rsidR="00FA6B71" w:rsidRDefault="00000000" w:rsidP="007B7C3D">
      <w:pPr>
        <w:pStyle w:val="Ttulo2"/>
      </w:pPr>
      <w:bookmarkStart w:id="10" w:name="_Toc210994447"/>
      <w:r>
        <w:t>2.4. Medidas</w:t>
      </w:r>
      <w:bookmarkEnd w:id="10"/>
    </w:p>
    <w:p w14:paraId="5D42C1C4"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O questionário deste trabalho inclui itens baseados em </w:t>
      </w:r>
      <w:proofErr w:type="spellStart"/>
      <w:r>
        <w:rPr>
          <w:rFonts w:ascii="Times New Roman" w:eastAsia="Times New Roman" w:hAnsi="Times New Roman" w:cs="Times New Roman"/>
        </w:rPr>
        <w:t>Likert</w:t>
      </w:r>
      <w:proofErr w:type="spellEnd"/>
      <w:r>
        <w:rPr>
          <w:rFonts w:ascii="Times New Roman" w:eastAsia="Times New Roman" w:hAnsi="Times New Roman" w:cs="Times New Roman"/>
        </w:rPr>
        <w:t xml:space="preserve"> para medir as seguintes dimensões: </w:t>
      </w:r>
      <w:r>
        <w:rPr>
          <w:rFonts w:ascii="Times New Roman" w:eastAsia="Times New Roman" w:hAnsi="Times New Roman" w:cs="Times New Roman"/>
          <w:i/>
        </w:rPr>
        <w:t>Necessidades na formação, Integração da temática no ensino escolar e Capacidade dos educadores em refletir sobre a morte</w:t>
      </w:r>
      <w:r>
        <w:rPr>
          <w:rFonts w:ascii="Times New Roman" w:eastAsia="Times New Roman" w:hAnsi="Times New Roman" w:cs="Times New Roman"/>
        </w:rPr>
        <w:t xml:space="preserve"> – que refletem também os objetivos desta pesquisa. </w:t>
      </w:r>
    </w:p>
    <w:p w14:paraId="65106E51"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Foram utilizadas duas escalas: </w:t>
      </w:r>
      <w:r>
        <w:rPr>
          <w:rFonts w:ascii="Times New Roman" w:eastAsia="Times New Roman" w:hAnsi="Times New Roman" w:cs="Times New Roman"/>
          <w:b/>
        </w:rPr>
        <w:t xml:space="preserve">1º Bloco </w:t>
      </w:r>
      <w:r>
        <w:rPr>
          <w:rFonts w:ascii="Times New Roman" w:eastAsia="Times New Roman" w:hAnsi="Times New Roman" w:cs="Times New Roman"/>
        </w:rPr>
        <w:t xml:space="preserve">(baseado na escala DEAS-T): Escala </w:t>
      </w:r>
      <w:proofErr w:type="spellStart"/>
      <w:r>
        <w:rPr>
          <w:rFonts w:ascii="Times New Roman" w:eastAsia="Times New Roman" w:hAnsi="Times New Roman" w:cs="Times New Roman"/>
        </w:rPr>
        <w:t>Likert</w:t>
      </w:r>
      <w:proofErr w:type="spellEnd"/>
      <w:r>
        <w:rPr>
          <w:rFonts w:ascii="Times New Roman" w:eastAsia="Times New Roman" w:hAnsi="Times New Roman" w:cs="Times New Roman"/>
        </w:rPr>
        <w:t xml:space="preserve"> (1-5) contendo 7 itens (1- concordo totalmente; 2- concordo; 3- não concordo, nem discordo; 4- discordo; 5- discordo totalmente); </w:t>
      </w:r>
      <w:r>
        <w:rPr>
          <w:rFonts w:ascii="Times New Roman" w:eastAsia="Times New Roman" w:hAnsi="Times New Roman" w:cs="Times New Roman"/>
          <w:b/>
        </w:rPr>
        <w:t xml:space="preserve">2º Bloco </w:t>
      </w:r>
      <w:r>
        <w:rPr>
          <w:rFonts w:ascii="Times New Roman" w:eastAsia="Times New Roman" w:hAnsi="Times New Roman" w:cs="Times New Roman"/>
        </w:rPr>
        <w:t xml:space="preserve">(baseado no questionário DEQ-T): Escala </w:t>
      </w:r>
      <w:proofErr w:type="spellStart"/>
      <w:r>
        <w:rPr>
          <w:rFonts w:ascii="Times New Roman" w:eastAsia="Times New Roman" w:hAnsi="Times New Roman" w:cs="Times New Roman"/>
        </w:rPr>
        <w:t>Likert</w:t>
      </w:r>
      <w:proofErr w:type="spellEnd"/>
      <w:r>
        <w:rPr>
          <w:rFonts w:ascii="Times New Roman" w:eastAsia="Times New Roman" w:hAnsi="Times New Roman" w:cs="Times New Roman"/>
        </w:rPr>
        <w:t xml:space="preserve"> (1-5) contendo 5 itens (1- muito capaz; 2- capaz; 3- moderadamente capaz; 4- pouco capaz; 5- nada capaz). </w:t>
      </w:r>
    </w:p>
    <w:p w14:paraId="42650BC4"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Essas dimensões são derivadas das medidas dos questionários em que o presente trabalho se apoia e alinham-se aos objetivos desta pesquisa. As falas dos participantes, na análise das entrevistas foram interpretadas tendo como base essas três dimensões/subescalas.</w:t>
      </w:r>
    </w:p>
    <w:p w14:paraId="39813F16" w14:textId="77777777" w:rsidR="00FA6B71" w:rsidRDefault="00FA6B71">
      <w:pPr>
        <w:spacing w:line="276" w:lineRule="auto"/>
        <w:rPr>
          <w:rFonts w:ascii="Arial" w:eastAsia="Arial" w:hAnsi="Arial" w:cs="Arial"/>
          <w:b/>
          <w:sz w:val="22"/>
          <w:szCs w:val="22"/>
        </w:rPr>
      </w:pPr>
    </w:p>
    <w:p w14:paraId="2E5E0383" w14:textId="77777777" w:rsidR="00FA6B71" w:rsidRDefault="0000000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2.5. Análise de dados</w:t>
      </w:r>
    </w:p>
    <w:p w14:paraId="67B98E3B" w14:textId="77777777" w:rsidR="00FA6B71" w:rsidRDefault="00000000">
      <w:pPr>
        <w:spacing w:line="360" w:lineRule="auto"/>
        <w:ind w:firstLine="720"/>
        <w:jc w:val="both"/>
        <w:rPr>
          <w:rFonts w:ascii="Times New Roman" w:eastAsia="Times New Roman" w:hAnsi="Times New Roman" w:cs="Times New Roman"/>
          <w:b/>
        </w:rPr>
      </w:pPr>
      <w:r>
        <w:rPr>
          <w:rFonts w:ascii="Times New Roman" w:eastAsia="Times New Roman" w:hAnsi="Times New Roman" w:cs="Times New Roman"/>
        </w:rPr>
        <w:t xml:space="preserve">As entrevistas realizadas no âmbito desta investigação foram transcritas com o apoio do software Notta.ai. No total, o material obtido correspondeu a aproximadamente seis horas de gravação, que foram integralmente convertidas em texto. Em seguida, foi feita uma revisão manual das transcrições, de modo a corrigir </w:t>
      </w:r>
      <w:r>
        <w:rPr>
          <w:rFonts w:ascii="Times New Roman" w:eastAsia="Times New Roman" w:hAnsi="Times New Roman" w:cs="Times New Roman"/>
        </w:rPr>
        <w:lastRenderedPageBreak/>
        <w:t>possíveis imprecisões e a garantir a correspondência entre fala e registo escrito. Após essa etapa, o conteúdo foi sintetizado, possibilitando a organização e análise das informações mais relevantes para os objetivos da pesquisa.</w:t>
      </w:r>
    </w:p>
    <w:p w14:paraId="54925EE0"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Procedeu-se a uma etapa de exploração através de uma leitura integral das transcrições das entrevistas. Esta fase corresponde ao que </w:t>
      </w:r>
      <w:proofErr w:type="spellStart"/>
      <w:r>
        <w:rPr>
          <w:rFonts w:ascii="Times New Roman" w:eastAsia="Times New Roman" w:hAnsi="Times New Roman" w:cs="Times New Roman"/>
        </w:rPr>
        <w:t>Bardin</w:t>
      </w:r>
      <w:proofErr w:type="spellEnd"/>
      <w:r>
        <w:rPr>
          <w:rFonts w:ascii="Times New Roman" w:eastAsia="Times New Roman" w:hAnsi="Times New Roman" w:cs="Times New Roman"/>
        </w:rPr>
        <w:t xml:space="preserve"> (2011) denomina de “leitura flutuante”, caracterizada por uma aproximação livre e global ao material. O objetivo desta leitura foi captar as impressões gerais, reconhecer o teor do discurso dos participantes e identificar temas recorrentes que emergiram de forma espontânea. A articulação metodológica com a da entrevista cognitiva possibilitou um movimento progressivo da leitura exploratória para a análise estruturada dos dados. </w:t>
      </w:r>
    </w:p>
    <w:p w14:paraId="0E4E915E"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A codificação das entrevistas seguiu os princípios da análise de conteúdo proposta por </w:t>
      </w:r>
      <w:proofErr w:type="spellStart"/>
      <w:r>
        <w:rPr>
          <w:rFonts w:ascii="Times New Roman" w:eastAsia="Times New Roman" w:hAnsi="Times New Roman" w:cs="Times New Roman"/>
        </w:rPr>
        <w:t>Bardin</w:t>
      </w:r>
      <w:proofErr w:type="spellEnd"/>
      <w:r>
        <w:rPr>
          <w:rFonts w:ascii="Times New Roman" w:eastAsia="Times New Roman" w:hAnsi="Times New Roman" w:cs="Times New Roman"/>
        </w:rPr>
        <w:t xml:space="preserve"> (2011), que privilegia a identificação de regularidades e significados emergentes a partir do corpus. Após a leitura flutuante inicial, procedeu-se à categorização dos excertos relevantes, de modo a agrupar elementos de sentido semelhantes. Este processo permitiu que as dimensões analíticas fossem confirmadas e operacionalizadas — “</w:t>
      </w:r>
      <w:r>
        <w:rPr>
          <w:rFonts w:ascii="Times New Roman" w:eastAsia="Times New Roman" w:hAnsi="Times New Roman" w:cs="Times New Roman"/>
          <w:i/>
        </w:rPr>
        <w:t>Necessidades na formação</w:t>
      </w:r>
      <w:r>
        <w:rPr>
          <w:rFonts w:ascii="Times New Roman" w:eastAsia="Times New Roman" w:hAnsi="Times New Roman" w:cs="Times New Roman"/>
        </w:rPr>
        <w:t>”, “</w:t>
      </w:r>
      <w:r>
        <w:rPr>
          <w:rFonts w:ascii="Times New Roman" w:eastAsia="Times New Roman" w:hAnsi="Times New Roman" w:cs="Times New Roman"/>
          <w:i/>
        </w:rPr>
        <w:t>Integração da temática no ensino escolar</w:t>
      </w:r>
      <w:r>
        <w:rPr>
          <w:rFonts w:ascii="Times New Roman" w:eastAsia="Times New Roman" w:hAnsi="Times New Roman" w:cs="Times New Roman"/>
        </w:rPr>
        <w:t>” e “</w:t>
      </w:r>
      <w:r>
        <w:rPr>
          <w:rFonts w:ascii="Times New Roman" w:eastAsia="Times New Roman" w:hAnsi="Times New Roman" w:cs="Times New Roman"/>
          <w:i/>
        </w:rPr>
        <w:t>Capacidade dos educadores em refletir sobre a morte</w:t>
      </w:r>
      <w:r>
        <w:rPr>
          <w:rFonts w:ascii="Times New Roman" w:eastAsia="Times New Roman" w:hAnsi="Times New Roman" w:cs="Times New Roman"/>
        </w:rPr>
        <w:t>”. A escolha destas categorias não foi arbitrária, mas baseadas tanto nos referenciais (</w:t>
      </w:r>
      <w:proofErr w:type="spellStart"/>
      <w:r>
        <w:rPr>
          <w:rFonts w:ascii="Times New Roman" w:eastAsia="Times New Roman" w:hAnsi="Times New Roman" w:cs="Times New Roman"/>
        </w:rPr>
        <w:t>Lively-Endicott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Naimi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Hudson</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Schonfeld</w:t>
      </w:r>
      <w:proofErr w:type="spellEnd"/>
      <w:r>
        <w:rPr>
          <w:rFonts w:ascii="Times New Roman" w:eastAsia="Times New Roman" w:hAnsi="Times New Roman" w:cs="Times New Roman"/>
        </w:rPr>
        <w:t xml:space="preserve">, 2023; </w:t>
      </w:r>
      <w:proofErr w:type="spellStart"/>
      <w:r>
        <w:rPr>
          <w:rFonts w:ascii="Times New Roman" w:eastAsia="Times New Roman" w:hAnsi="Times New Roman" w:cs="Times New Roman"/>
        </w:rPr>
        <w:t>Levkovich</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Elyoseph</w:t>
      </w:r>
      <w:proofErr w:type="spellEnd"/>
      <w:r>
        <w:rPr>
          <w:rFonts w:ascii="Times New Roman" w:eastAsia="Times New Roman" w:hAnsi="Times New Roman" w:cs="Times New Roman"/>
        </w:rPr>
        <w:t xml:space="preserve">, 2023; </w:t>
      </w:r>
      <w:proofErr w:type="spellStart"/>
      <w:r>
        <w:rPr>
          <w:rFonts w:ascii="Times New Roman" w:eastAsia="Times New Roman" w:hAnsi="Times New Roman" w:cs="Times New Roman"/>
        </w:rPr>
        <w:t>Duncan</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2020;McGovern</w:t>
      </w:r>
      <w:proofErr w:type="gram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Murray</w:t>
      </w:r>
      <w:proofErr w:type="spellEnd"/>
      <w:r>
        <w:rPr>
          <w:rFonts w:ascii="Times New Roman" w:eastAsia="Times New Roman" w:hAnsi="Times New Roman" w:cs="Times New Roman"/>
        </w:rPr>
        <w:t xml:space="preserve">, 2000) quanto nas falas dos participantes, assegurando que a análise permanecesse fiel às suas experiências. Em seguida, procedeu-se à segmentação do texto em excertos significativos, os quais foram agrupados a partir de semelhanças de sentido. Este movimento permitiu a criação de códigos iniciais, ainda abertos e descritivos, que, através de sucessivas revisões comparativas, foram sendo refinados e organizados em categorias mais consistentes. A partir da saturação e recorrência dos temas, estas categorias foram consolidadas em dimensões analíticas, articulando o discurso empírico com o referencial teórico. Dessa forma, a codificação constituiu um processo iterativo, que avançou da exploração ampla dos dados para a sistematização de eixos de análise capazes de refletir as experiências e </w:t>
      </w:r>
      <w:proofErr w:type="spellStart"/>
      <w:r>
        <w:rPr>
          <w:rFonts w:ascii="Times New Roman" w:eastAsia="Times New Roman" w:hAnsi="Times New Roman" w:cs="Times New Roman"/>
        </w:rPr>
        <w:t>percepções</w:t>
      </w:r>
      <w:proofErr w:type="spellEnd"/>
      <w:r>
        <w:rPr>
          <w:rFonts w:ascii="Times New Roman" w:eastAsia="Times New Roman" w:hAnsi="Times New Roman" w:cs="Times New Roman"/>
        </w:rPr>
        <w:t xml:space="preserve"> dos participantes.</w:t>
      </w:r>
    </w:p>
    <w:p w14:paraId="772B7C64" w14:textId="77777777" w:rsidR="00FA6B71" w:rsidRDefault="00000000">
      <w:pPr>
        <w:spacing w:line="360" w:lineRule="auto"/>
        <w:ind w:firstLine="720"/>
        <w:jc w:val="both"/>
        <w:rPr>
          <w:rFonts w:ascii="Times New Roman" w:eastAsia="Times New Roman" w:hAnsi="Times New Roman" w:cs="Times New Roman"/>
          <w:b/>
        </w:rPr>
      </w:pPr>
      <w:r>
        <w:rPr>
          <w:rFonts w:ascii="Times New Roman" w:eastAsia="Times New Roman" w:hAnsi="Times New Roman" w:cs="Times New Roman"/>
        </w:rPr>
        <w:t xml:space="preserve">Em sequência, conforme descrito por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(1999, 2005), a análise dos dados de uma Entrevista Cognitiva pode ser feita por uma variedade de métodos. Contudo, de forma geral, os dados de cada pergunta são anotados e codificados a partir dos quatro parâmetros no modelo geral de processamento das respostas: (1) compreensão da </w:t>
      </w:r>
      <w:r>
        <w:rPr>
          <w:rFonts w:ascii="Times New Roman" w:eastAsia="Times New Roman" w:hAnsi="Times New Roman" w:cs="Times New Roman"/>
        </w:rPr>
        <w:lastRenderedPageBreak/>
        <w:t xml:space="preserve">resposta; (2) recuperação da memória de informações relevantes; (3) processo de decisão; (4) processo de resposta. O primeiro refere-se à forma como o respondente interpreta a pergunta e os termos nela utilizados. O segundo avalia as informações que o participante </w:t>
      </w:r>
      <w:proofErr w:type="spellStart"/>
      <w:r>
        <w:rPr>
          <w:rFonts w:ascii="Times New Roman" w:eastAsia="Times New Roman" w:hAnsi="Times New Roman" w:cs="Times New Roman"/>
        </w:rPr>
        <w:t>acessa</w:t>
      </w:r>
      <w:proofErr w:type="spellEnd"/>
      <w:r>
        <w:rPr>
          <w:rFonts w:ascii="Times New Roman" w:eastAsia="Times New Roman" w:hAnsi="Times New Roman" w:cs="Times New Roman"/>
        </w:rPr>
        <w:t xml:space="preserve"> e as estratégias utilizadas para recordar eventos ou experiências relevantes. O terceiro diz respeito ao processo de selecionar e estruturar a resposta, ponderando fatores como clareza, esforço cognitivo e possíveis influências de desejabilidade social. Por fim, o quarto parâmetro examina como o respondente transforma o julgamento interno que elaborou em uma resposta compatível com o formato do questionário, o que pode envolver dificuldades de mapeamento quando o enunciado não oferece opções claras ou suficientemente distintas.</w:t>
      </w:r>
    </w:p>
    <w:p w14:paraId="5A4FFFD6" w14:textId="77777777" w:rsidR="00FA6B71" w:rsidRDefault="00FA6B71">
      <w:pPr>
        <w:spacing w:line="360" w:lineRule="auto"/>
        <w:jc w:val="both"/>
        <w:rPr>
          <w:rFonts w:ascii="Times New Roman" w:eastAsia="Times New Roman" w:hAnsi="Times New Roman" w:cs="Times New Roman"/>
        </w:rPr>
      </w:pPr>
    </w:p>
    <w:p w14:paraId="3F1305EB" w14:textId="1B8484AE" w:rsidR="00117F81" w:rsidRPr="00117F81" w:rsidRDefault="00000000" w:rsidP="007B7C3D">
      <w:pPr>
        <w:pStyle w:val="Ttulo1"/>
        <w:numPr>
          <w:ilvl w:val="0"/>
          <w:numId w:val="5"/>
        </w:numPr>
      </w:pPr>
      <w:bookmarkStart w:id="11" w:name="_Toc210994448"/>
      <w:r w:rsidRPr="00117F81">
        <w:t>Resultados</w:t>
      </w:r>
      <w:bookmarkEnd w:id="11"/>
    </w:p>
    <w:p w14:paraId="0C67FCC1" w14:textId="77777777" w:rsidR="00117F81" w:rsidRPr="00117F81" w:rsidRDefault="00117F81" w:rsidP="00117F81">
      <w:pPr>
        <w:pStyle w:val="PargrafodaLista"/>
        <w:spacing w:line="360" w:lineRule="auto"/>
        <w:rPr>
          <w:rFonts w:ascii="Times New Roman" w:eastAsia="Times New Roman" w:hAnsi="Times New Roman" w:cs="Times New Roman"/>
          <w:b/>
        </w:rPr>
      </w:pPr>
    </w:p>
    <w:p w14:paraId="628A8C35"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Nesta seção serão apresentados os resultados relativos às </w:t>
      </w:r>
      <w:proofErr w:type="spellStart"/>
      <w:r>
        <w:rPr>
          <w:rFonts w:ascii="Times New Roman" w:eastAsia="Times New Roman" w:hAnsi="Times New Roman" w:cs="Times New Roman"/>
        </w:rPr>
        <w:t>perspectivas</w:t>
      </w:r>
      <w:proofErr w:type="spellEnd"/>
      <w:r>
        <w:rPr>
          <w:rFonts w:ascii="Times New Roman" w:eastAsia="Times New Roman" w:hAnsi="Times New Roman" w:cs="Times New Roman"/>
        </w:rPr>
        <w:t xml:space="preserve"> dos professores acerca da educação para a morte. Começamos por destacar as suas opiniões relativamente às necessidades de formação, de seguida as ideias acerca da possibilidade </w:t>
      </w:r>
      <w:proofErr w:type="gramStart"/>
      <w:r>
        <w:rPr>
          <w:rFonts w:ascii="Times New Roman" w:eastAsia="Times New Roman" w:hAnsi="Times New Roman" w:cs="Times New Roman"/>
        </w:rPr>
        <w:t>da</w:t>
      </w:r>
      <w:proofErr w:type="gramEnd"/>
      <w:r>
        <w:rPr>
          <w:rFonts w:ascii="Times New Roman" w:eastAsia="Times New Roman" w:hAnsi="Times New Roman" w:cs="Times New Roman"/>
        </w:rPr>
        <w:t xml:space="preserve"> educação para a morte ser integrada no currículo. Na terceira parte, destaca-se as suas respostas relativamente à sua capacidade para lidar com a sua morte. Ao longo da descrição dos resultados serão utilizadas falas destacadas dos participantes que melhor ilustram os objetivos desta pesquisa, assim como, suplementarmente, os trechos que emergiram e mostraram de grande valia para a temática.</w:t>
      </w:r>
    </w:p>
    <w:p w14:paraId="7831B89F"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Por fim, foi feita uma avaliação geral do questionário, tendo como base parâmetros de análise da entrevista cognitiva. Os resultados serão apresentados sumariamente de forma a destacar os principais pontos de melhoria, bem como as principais dificuldades sentidas pelos participantes durante a realização das entrevistas.</w:t>
      </w:r>
    </w:p>
    <w:p w14:paraId="2684B721" w14:textId="77777777" w:rsidR="00FA6B71" w:rsidRDefault="00FA6B71">
      <w:pPr>
        <w:spacing w:line="360" w:lineRule="auto"/>
        <w:jc w:val="both"/>
        <w:rPr>
          <w:rFonts w:ascii="Times New Roman" w:eastAsia="Times New Roman" w:hAnsi="Times New Roman" w:cs="Times New Roman"/>
        </w:rPr>
      </w:pPr>
    </w:p>
    <w:p w14:paraId="4C724122" w14:textId="77777777" w:rsidR="00FA6B71" w:rsidRDefault="00000000" w:rsidP="007B7C3D">
      <w:pPr>
        <w:pStyle w:val="Ttulo2"/>
      </w:pPr>
      <w:bookmarkStart w:id="12" w:name="_Toc210994449"/>
      <w:r>
        <w:t>3.1 - “Necessidades na formação”</w:t>
      </w:r>
      <w:bookmarkEnd w:id="12"/>
    </w:p>
    <w:p w14:paraId="56398E84"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b/>
          <w:i/>
        </w:rPr>
        <w:tab/>
      </w:r>
      <w:r>
        <w:rPr>
          <w:rFonts w:ascii="Times New Roman" w:eastAsia="Times New Roman" w:hAnsi="Times New Roman" w:cs="Times New Roman"/>
        </w:rPr>
        <w:t xml:space="preserve">A dimensão </w:t>
      </w:r>
      <w:r>
        <w:rPr>
          <w:rFonts w:ascii="Times New Roman" w:eastAsia="Times New Roman" w:hAnsi="Times New Roman" w:cs="Times New Roman"/>
          <w:i/>
        </w:rPr>
        <w:t>Necessidades na formação</w:t>
      </w:r>
      <w:r>
        <w:rPr>
          <w:rFonts w:ascii="Times New Roman" w:eastAsia="Times New Roman" w:hAnsi="Times New Roman" w:cs="Times New Roman"/>
        </w:rPr>
        <w:t xml:space="preserve">, integra as demandas principais dos professores em relação à abordagem da morte com seus alunos. Todas falas apresentadas nesta subseção (e como também serão nas próximas), foram extraídas aquando da apresentação dos primeiros quatro itens do questionário, que se debruçavam sobre as necessidades. Tais necessidades compreendem, portanto, de forma ampla, os recursos estratégicos e didáticos, o processo de intervenção e apoio técnico em caso de necessidade e a pertinência do tema para alunos da faixa etária estabelecida. </w:t>
      </w:r>
    </w:p>
    <w:p w14:paraId="791D3DA2" w14:textId="77777777" w:rsidR="00FA6B71" w:rsidRDefault="00000000">
      <w:pPr>
        <w:spacing w:line="360" w:lineRule="auto"/>
        <w:jc w:val="both"/>
        <w:rPr>
          <w:rFonts w:ascii="Times New Roman" w:eastAsia="Times New Roman" w:hAnsi="Times New Roman" w:cs="Times New Roman"/>
          <w:i/>
        </w:rPr>
      </w:pPr>
      <w:r>
        <w:rPr>
          <w:rFonts w:ascii="Times New Roman" w:eastAsia="Times New Roman" w:hAnsi="Times New Roman" w:cs="Times New Roman"/>
        </w:rPr>
        <w:lastRenderedPageBreak/>
        <w:tab/>
        <w:t xml:space="preserve">Os professores relacionam a importância de refletir sobre suas próprias vivências e </w:t>
      </w:r>
      <w:proofErr w:type="spellStart"/>
      <w:r>
        <w:rPr>
          <w:rFonts w:ascii="Times New Roman" w:eastAsia="Times New Roman" w:hAnsi="Times New Roman" w:cs="Times New Roman"/>
        </w:rPr>
        <w:t>percepções</w:t>
      </w:r>
      <w:proofErr w:type="spellEnd"/>
      <w:r>
        <w:rPr>
          <w:rFonts w:ascii="Times New Roman" w:eastAsia="Times New Roman" w:hAnsi="Times New Roman" w:cs="Times New Roman"/>
        </w:rPr>
        <w:t xml:space="preserve"> como parte fundamental das necessidades de formação (</w:t>
      </w:r>
      <w:r>
        <w:rPr>
          <w:rFonts w:ascii="Times New Roman" w:eastAsia="Times New Roman" w:hAnsi="Times New Roman" w:cs="Times New Roman"/>
          <w:i/>
        </w:rPr>
        <w:t xml:space="preserve">“Eu imagino uma formação bem prática, muito ligada à comunicação: como responder a perguntas difíceis, como falar de forma correta a cada idade, e também como lidar com o que mesmo a gente sente. Porque o professor também sente, também se fragiliza e sofre mortes. E muitas vezes precisamos tanto de apoio como os alunos.” - </w:t>
      </w:r>
      <w:r>
        <w:rPr>
          <w:rFonts w:ascii="Times New Roman" w:eastAsia="Times New Roman" w:hAnsi="Times New Roman" w:cs="Times New Roman"/>
        </w:rPr>
        <w:t>P1). Em quase todas entrevistas, conversou-se sobre a necessidade do acesso e conhecimento sobre materiais didáticos que guiem e complemente a atitude do professor (</w:t>
      </w:r>
      <w:r>
        <w:rPr>
          <w:rFonts w:ascii="Times New Roman" w:eastAsia="Times New Roman" w:hAnsi="Times New Roman" w:cs="Times New Roman"/>
          <w:i/>
        </w:rPr>
        <w:t xml:space="preserve">“Se tivesse formação, conseguia materiais e ideias que me dariam mais segurança. Penso, por exemplo, em livros, histórias, vídeos, atividade artísticas. Recursos que ajudem as crianças a falar dos sentimentos e a perceber que não estão sozinhas.” - </w:t>
      </w:r>
      <w:r>
        <w:rPr>
          <w:rFonts w:ascii="Times New Roman" w:eastAsia="Times New Roman" w:hAnsi="Times New Roman" w:cs="Times New Roman"/>
        </w:rPr>
        <w:t>P3).</w:t>
      </w:r>
    </w:p>
    <w:p w14:paraId="71D26E54" w14:textId="248B8C80"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Ficou evidente a </w:t>
      </w:r>
      <w:proofErr w:type="spellStart"/>
      <w:r>
        <w:rPr>
          <w:rFonts w:ascii="Times New Roman" w:eastAsia="Times New Roman" w:hAnsi="Times New Roman" w:cs="Times New Roman"/>
        </w:rPr>
        <w:t>percepção</w:t>
      </w:r>
      <w:proofErr w:type="spellEnd"/>
      <w:r>
        <w:rPr>
          <w:rFonts w:ascii="Times New Roman" w:eastAsia="Times New Roman" w:hAnsi="Times New Roman" w:cs="Times New Roman"/>
        </w:rPr>
        <w:t xml:space="preserve"> de défice na formação dos professores em relação às temáticas da morte e luto infantil, uma vez que esses assuntos costumam se apresentar no cotidiano escolar como tantos outros (“</w:t>
      </w:r>
      <w:r>
        <w:rPr>
          <w:rFonts w:ascii="Times New Roman" w:eastAsia="Times New Roman" w:hAnsi="Times New Roman" w:cs="Times New Roman"/>
          <w:i/>
        </w:rPr>
        <w:t>Sabe que nunca recebi nenhuma formação específica sobre isso? Nós temos muitas formações, “</w:t>
      </w:r>
      <w:proofErr w:type="spellStart"/>
      <w:r>
        <w:rPr>
          <w:rFonts w:ascii="Times New Roman" w:eastAsia="Times New Roman" w:hAnsi="Times New Roman" w:cs="Times New Roman"/>
          <w:i/>
        </w:rPr>
        <w:t>né</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bullying</w:t>
      </w:r>
      <w:proofErr w:type="spellEnd"/>
      <w:r>
        <w:rPr>
          <w:rFonts w:ascii="Times New Roman" w:eastAsia="Times New Roman" w:hAnsi="Times New Roman" w:cs="Times New Roman"/>
          <w:i/>
        </w:rPr>
        <w:t>, inclusão, dificuldades de aprendizagem</w:t>
      </w:r>
      <w:proofErr w:type="gramStart"/>
      <w:r>
        <w:rPr>
          <w:rFonts w:ascii="Times New Roman" w:eastAsia="Times New Roman" w:hAnsi="Times New Roman" w:cs="Times New Roman"/>
          <w:i/>
        </w:rPr>
        <w:t>…</w:t>
      </w:r>
      <w:proofErr w:type="gramEnd"/>
      <w:r>
        <w:rPr>
          <w:rFonts w:ascii="Times New Roman" w:eastAsia="Times New Roman" w:hAnsi="Times New Roman" w:cs="Times New Roman"/>
          <w:i/>
        </w:rPr>
        <w:t xml:space="preserve"> mas sobre a morte, nunca vi nada específico. E assusta-me, porque é um assunto comum.” - </w:t>
      </w:r>
      <w:r>
        <w:rPr>
          <w:rFonts w:ascii="Times New Roman" w:eastAsia="Times New Roman" w:hAnsi="Times New Roman" w:cs="Times New Roman"/>
        </w:rPr>
        <w:t>P3). No entanto, sobressaíram dúvidas quanto à necessidade de formação específica sobre o tema em contraste com a uma abordagem mais natural (“</w:t>
      </w:r>
      <w:r>
        <w:rPr>
          <w:rFonts w:ascii="Times New Roman" w:eastAsia="Times New Roman" w:hAnsi="Times New Roman" w:cs="Times New Roman"/>
          <w:i/>
        </w:rPr>
        <w:t>Eu entendo “abordar” como falar diretamente disso na aula… e não sei se é muito apropriado, depende muito da turma, (...) talvez pudesse, sei lá, umas palestras, alguém a explicar como falar com as crianças</w:t>
      </w:r>
      <w:proofErr w:type="gramStart"/>
      <w:r>
        <w:rPr>
          <w:rFonts w:ascii="Times New Roman" w:eastAsia="Times New Roman" w:hAnsi="Times New Roman" w:cs="Times New Roman"/>
          <w:i/>
        </w:rPr>
        <w:t>…</w:t>
      </w:r>
      <w:proofErr w:type="gramEnd"/>
      <w:r>
        <w:rPr>
          <w:rFonts w:ascii="Times New Roman" w:eastAsia="Times New Roman" w:hAnsi="Times New Roman" w:cs="Times New Roman"/>
          <w:i/>
        </w:rPr>
        <w:t xml:space="preserve"> mas, honestamente, não sei se os professores iam usar muito.” - </w:t>
      </w:r>
      <w:r>
        <w:rPr>
          <w:rFonts w:ascii="Times New Roman" w:eastAsia="Times New Roman" w:hAnsi="Times New Roman" w:cs="Times New Roman"/>
        </w:rPr>
        <w:t>P2). Foi evidenciada na maioria das entrevistas, uma preocupação com o enfoque religioso da abordagem do assunto dentro do contexto escolar (</w:t>
      </w:r>
      <w:r>
        <w:rPr>
          <w:rFonts w:ascii="Times New Roman" w:eastAsia="Times New Roman" w:hAnsi="Times New Roman" w:cs="Times New Roman"/>
          <w:i/>
        </w:rPr>
        <w:t xml:space="preserve">Se tivesse formação, eu conseguiria mediar melhor entre o que a criança sente e o que os pais acreditam. Já aconteceu de um aluno dizer que “a avó virou estrelinha”, mas a mãe, evangélica, corrigir dizendo que “estrelinha não existe”. A criança ficou confusa. - </w:t>
      </w:r>
      <w:r>
        <w:rPr>
          <w:rFonts w:ascii="Times New Roman" w:eastAsia="Times New Roman" w:hAnsi="Times New Roman" w:cs="Times New Roman"/>
        </w:rPr>
        <w:t>P4). Foi destacado a temática da religião enquanto um viés que pode ser ultrapassado por meio da organização, formação e apoio dos professores.  (“</w:t>
      </w:r>
      <w:r>
        <w:rPr>
          <w:rFonts w:ascii="Times New Roman" w:eastAsia="Times New Roman" w:hAnsi="Times New Roman" w:cs="Times New Roman"/>
          <w:i/>
        </w:rPr>
        <w:t xml:space="preserve">O preparo vai garantir que a isso seja passado para as crianças de uma forma consistente. Sem que existam vieses de cada professora e da sua própria religião, ou insinuações próprias dos professores (...) (as crianças) conversam entre si mesmos, por exemplo: “Sei lá quem morreu, mas ela virou uma estrelinha. “Tá no céu com a sua </w:t>
      </w:r>
      <w:proofErr w:type="spellStart"/>
      <w:r>
        <w:rPr>
          <w:rFonts w:ascii="Times New Roman" w:eastAsia="Times New Roman" w:hAnsi="Times New Roman" w:cs="Times New Roman"/>
          <w:i/>
        </w:rPr>
        <w:t>vó</w:t>
      </w:r>
      <w:proofErr w:type="spellEnd"/>
      <w:r>
        <w:rPr>
          <w:rFonts w:ascii="Times New Roman" w:eastAsia="Times New Roman" w:hAnsi="Times New Roman" w:cs="Times New Roman"/>
          <w:i/>
        </w:rPr>
        <w:t xml:space="preserve">.” “Ah, mas eu não acredito nisso. Ah, mas eu acredito naquilo.” E então, </w:t>
      </w:r>
      <w:r>
        <w:rPr>
          <w:rFonts w:ascii="Times New Roman" w:eastAsia="Times New Roman" w:hAnsi="Times New Roman" w:cs="Times New Roman"/>
          <w:i/>
        </w:rPr>
        <w:lastRenderedPageBreak/>
        <w:t xml:space="preserve">você tem que ter o preparo do professor, para que o que seja passado não seja falso ou tendencioso.” - </w:t>
      </w:r>
      <w:r>
        <w:rPr>
          <w:rFonts w:ascii="Times New Roman" w:eastAsia="Times New Roman" w:hAnsi="Times New Roman" w:cs="Times New Roman"/>
        </w:rPr>
        <w:t>P6).</w:t>
      </w:r>
    </w:p>
    <w:p w14:paraId="30DF7DBC"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Por outro lado, através de vivências relatadas, os professores apontaram para a necessidade do desenvolvimento de uma espécie de “sensibilidade” para lidar com a temática da morte com crianças. Em algumas entrevistas, o desenvolvimento dessa sensibilidade foi referido como mais importante do que uma formação teórica acerca da morte (</w:t>
      </w:r>
      <w:r>
        <w:rPr>
          <w:rFonts w:ascii="Times New Roman" w:eastAsia="Times New Roman" w:hAnsi="Times New Roman" w:cs="Times New Roman"/>
          <w:i/>
        </w:rPr>
        <w:t>“Lembro-me de um menino que perdeu o pai num acidente. Foi muito duro. E eu só o abraçava e abraçava, deixava-o falar o que pensava. Penso que os professores precisam ainda mais de sensibilidade do que de cursos.” -</w:t>
      </w:r>
      <w:r>
        <w:rPr>
          <w:rFonts w:ascii="Times New Roman" w:eastAsia="Times New Roman" w:hAnsi="Times New Roman" w:cs="Times New Roman"/>
        </w:rPr>
        <w:t xml:space="preserve"> P7, </w:t>
      </w:r>
      <w:r>
        <w:rPr>
          <w:rFonts w:ascii="Times New Roman" w:eastAsia="Times New Roman" w:hAnsi="Times New Roman" w:cs="Times New Roman"/>
          <w:i/>
        </w:rPr>
        <w:t>“O que a gente faz é dar carinho, dar espaço… deixar a criança em paz. Não tem livro que ensina isso.” -</w:t>
      </w:r>
      <w:r>
        <w:rPr>
          <w:rFonts w:ascii="Times New Roman" w:eastAsia="Times New Roman" w:hAnsi="Times New Roman" w:cs="Times New Roman"/>
        </w:rPr>
        <w:t xml:space="preserve"> P2).</w:t>
      </w:r>
    </w:p>
    <w:p w14:paraId="08E75A76" w14:textId="77777777" w:rsidR="00FA6B71" w:rsidRDefault="00FA6B71">
      <w:pPr>
        <w:spacing w:line="360" w:lineRule="auto"/>
        <w:jc w:val="both"/>
        <w:rPr>
          <w:rFonts w:ascii="Times New Roman" w:eastAsia="Times New Roman" w:hAnsi="Times New Roman" w:cs="Times New Roman"/>
        </w:rPr>
      </w:pPr>
    </w:p>
    <w:p w14:paraId="2E860715" w14:textId="77777777" w:rsidR="00FA6B71" w:rsidRDefault="00000000" w:rsidP="007B7C3D">
      <w:pPr>
        <w:pStyle w:val="Ttulo2"/>
      </w:pPr>
      <w:bookmarkStart w:id="13" w:name="_Toc210994450"/>
      <w:r>
        <w:t>3.2 - “Integração da temática no ensino escolar”</w:t>
      </w:r>
      <w:bookmarkEnd w:id="13"/>
    </w:p>
    <w:p w14:paraId="66CA7C87"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A dimensão da </w:t>
      </w:r>
      <w:r>
        <w:rPr>
          <w:rFonts w:ascii="Times New Roman" w:eastAsia="Times New Roman" w:hAnsi="Times New Roman" w:cs="Times New Roman"/>
          <w:i/>
        </w:rPr>
        <w:t xml:space="preserve">Integração da temática no ensino escolar </w:t>
      </w:r>
      <w:r>
        <w:rPr>
          <w:rFonts w:ascii="Times New Roman" w:eastAsia="Times New Roman" w:hAnsi="Times New Roman" w:cs="Times New Roman"/>
        </w:rPr>
        <w:t xml:space="preserve">foi avaliada nos itens 1, 8, 9, 10 e 11. Aqui buscou-se explorar as opiniões dos professores quanto à inclusão da temática da morte dentro do contexto educacional, tanto no campo das atitudes individuais como na possibilidade de integração desse tópico no currículo escolar. Aqui, buscou-se englobar todas as </w:t>
      </w:r>
      <w:proofErr w:type="spellStart"/>
      <w:r>
        <w:rPr>
          <w:rFonts w:ascii="Times New Roman" w:eastAsia="Times New Roman" w:hAnsi="Times New Roman" w:cs="Times New Roman"/>
        </w:rPr>
        <w:t>perspectivas</w:t>
      </w:r>
      <w:proofErr w:type="spellEnd"/>
      <w:r>
        <w:rPr>
          <w:rFonts w:ascii="Times New Roman" w:eastAsia="Times New Roman" w:hAnsi="Times New Roman" w:cs="Times New Roman"/>
        </w:rPr>
        <w:t xml:space="preserve"> dos professores acerca das suas atitudes perante o luto infantil e o conceito de morte, as respostas aos questionamentos dos alunos e suas responsabilidades e atribuições enquanto educador ao lidar com a morte.</w:t>
      </w:r>
    </w:p>
    <w:p w14:paraId="01184753"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Via de regra, os professores relataram sentimentos de “receio” e “incerteza” sobre como abordar a temática com crianças pequenas (“</w:t>
      </w:r>
      <w:r>
        <w:rPr>
          <w:rFonts w:ascii="Times New Roman" w:eastAsia="Times New Roman" w:hAnsi="Times New Roman" w:cs="Times New Roman"/>
          <w:i/>
        </w:rPr>
        <w:t xml:space="preserve">Eu consigo ouvir, dar espaço. Mas também sei que há limites. O maior desafio é não saber até onde ir, e o receio de dizer algo de mal.” - </w:t>
      </w:r>
      <w:r>
        <w:rPr>
          <w:rFonts w:ascii="Times New Roman" w:eastAsia="Times New Roman" w:hAnsi="Times New Roman" w:cs="Times New Roman"/>
        </w:rPr>
        <w:t>P3; “</w:t>
      </w:r>
      <w:r>
        <w:rPr>
          <w:rFonts w:ascii="Times New Roman" w:eastAsia="Times New Roman" w:hAnsi="Times New Roman" w:cs="Times New Roman"/>
          <w:i/>
        </w:rPr>
        <w:t xml:space="preserve">Eu tenho medo de falar algo que machuque, mesmo sem intenção. Outro desafio é lidar com que cada criança reage de um jeito, e nem sempre sabemos o histórico familiar por completo.” - </w:t>
      </w:r>
      <w:r>
        <w:rPr>
          <w:rFonts w:ascii="Times New Roman" w:eastAsia="Times New Roman" w:hAnsi="Times New Roman" w:cs="Times New Roman"/>
        </w:rPr>
        <w:t>P5). A ideia de “integrar” ou “incluir” a temática no próprio ensino demonstrou-se, muitas vezes, uma conceitualização muito abstrata – como algo que escapa ao campo da educação (</w:t>
      </w:r>
    </w:p>
    <w:p w14:paraId="1B74ED6F"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No sentido da morte enquanto algo mesmo que presente no discurso de alunos e professores, mas tratada com distanciamento, relatam não saber o que fazer em situações difíceis e revelam não compreender a extensão do próprio papel nessa questão (“</w:t>
      </w:r>
      <w:r>
        <w:rPr>
          <w:rFonts w:ascii="Times New Roman" w:eastAsia="Times New Roman" w:hAnsi="Times New Roman" w:cs="Times New Roman"/>
          <w:i/>
        </w:rPr>
        <w:t xml:space="preserve">Não sei como apoiar sem ultrapassar o meu papel. (...) É claro, lidar com a minha própria emoção. Já passei por isso, um aluno perdeu o avô com quem vivia. Ele voltou à escola muito triste, e a turma ficou sem saber como reagir. Fiz algumas rodas de </w:t>
      </w:r>
      <w:r>
        <w:rPr>
          <w:rFonts w:ascii="Times New Roman" w:eastAsia="Times New Roman" w:hAnsi="Times New Roman" w:cs="Times New Roman"/>
          <w:i/>
        </w:rPr>
        <w:lastRenderedPageBreak/>
        <w:t xml:space="preserve">conversa, mas senti-me a improvisar.” - </w:t>
      </w:r>
      <w:r>
        <w:rPr>
          <w:rFonts w:ascii="Times New Roman" w:eastAsia="Times New Roman" w:hAnsi="Times New Roman" w:cs="Times New Roman"/>
        </w:rPr>
        <w:t xml:space="preserve">P1).  Muitos professores identificaram relutância em tratar dos assuntos com alunos quando estes demonstram-se muito dolorosos ou complexos; nesse </w:t>
      </w:r>
      <w:proofErr w:type="spellStart"/>
      <w:r>
        <w:rPr>
          <w:rFonts w:ascii="Times New Roman" w:eastAsia="Times New Roman" w:hAnsi="Times New Roman" w:cs="Times New Roman"/>
        </w:rPr>
        <w:t>aspecto</w:t>
      </w:r>
      <w:proofErr w:type="spellEnd"/>
      <w:r>
        <w:rPr>
          <w:rFonts w:ascii="Times New Roman" w:eastAsia="Times New Roman" w:hAnsi="Times New Roman" w:cs="Times New Roman"/>
        </w:rPr>
        <w:t>, emaranham-se as vivências das mortes e perdas do educador com as dos alunos – o “sentir demais a dor do outro” surge como um obstáculo (“</w:t>
      </w:r>
      <w:r>
        <w:rPr>
          <w:rFonts w:ascii="Times New Roman" w:eastAsia="Times New Roman" w:hAnsi="Times New Roman" w:cs="Times New Roman"/>
          <w:i/>
        </w:rPr>
        <w:t xml:space="preserve">Já me aconteceu com um miúdo de 7 anos. Rezava todos os dias para que ele chegasse bem à escola, para que não tivesse de o confortar. E agora, pensando bem, tinha passado pouco tempo desde que perdera o meu padrinho. Então ele chorava de um lado pela mãe e eu chorava pelo meu padrinho. Sou muito emotiva e não sei lidar com a dor de uma criança, começaria a chorar com ela.” - </w:t>
      </w:r>
      <w:r>
        <w:rPr>
          <w:rFonts w:ascii="Times New Roman" w:eastAsia="Times New Roman" w:hAnsi="Times New Roman" w:cs="Times New Roman"/>
        </w:rPr>
        <w:t>P8). Por outro lado, as experiências pessoais podem ser também facilitadoras de maior proximidade e sensibilidade para com os alunos (“</w:t>
      </w:r>
      <w:r>
        <w:rPr>
          <w:rFonts w:ascii="Times New Roman" w:eastAsia="Times New Roman" w:hAnsi="Times New Roman" w:cs="Times New Roman"/>
          <w:i/>
        </w:rPr>
        <w:t xml:space="preserve">Lembro-me de uma situação em que perdi um amigo próximo em plena pandemia. Isso abalou-me imenso, mas também me fez estar mais atenta aos sinais de tristeza dos alunos. Passei a dar ainda mais valor ao bem-estar deles.” - </w:t>
      </w:r>
      <w:r>
        <w:rPr>
          <w:rFonts w:ascii="Times New Roman" w:eastAsia="Times New Roman" w:hAnsi="Times New Roman" w:cs="Times New Roman"/>
        </w:rPr>
        <w:t>P3).</w:t>
      </w:r>
    </w:p>
    <w:p w14:paraId="6FC56A3A"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Quando perguntados sobre a capacidade de identificar quando alguma questão foge ao escopo do educador e se faz necessária uma intervenção especializada, os professores foram uníssonos na identificação das figuras do psicólogo e a associação com a família (“</w:t>
      </w:r>
      <w:r>
        <w:rPr>
          <w:rFonts w:ascii="Times New Roman" w:eastAsia="Times New Roman" w:hAnsi="Times New Roman" w:cs="Times New Roman"/>
          <w:i/>
        </w:rPr>
        <w:t>Acho que essa é uma grande responsabilidade: saber até onde vamos. Já encaminhei alunos para a psicóloga quando percebi sinais de tristeza prolongada. E digo mais, às vezes, os pais são os que mais precisam ser chamados. Porque a criança até fala, mas os adultos não deixam. Já conversei com pais que diziam “não quero que fale disso na escola”, e a criança ficava curiosa” -</w:t>
      </w:r>
      <w:r>
        <w:rPr>
          <w:rFonts w:ascii="Times New Roman" w:eastAsia="Times New Roman" w:hAnsi="Times New Roman" w:cs="Times New Roman"/>
        </w:rPr>
        <w:t xml:space="preserve"> P4). Muitos professores apontaram “sinais” que identificam a demanda dos alunos por cuidado especializado (</w:t>
      </w:r>
      <w:r>
        <w:rPr>
          <w:rFonts w:ascii="Times New Roman" w:eastAsia="Times New Roman" w:hAnsi="Times New Roman" w:cs="Times New Roman"/>
          <w:i/>
        </w:rPr>
        <w:t xml:space="preserve">“Quando se percebe que a tristeza se prolonga, que há mudanças muito grandes no comportamento, sinais de que a criança não está a conseguir seguir em frente, aí é claro que não basta o professor, percebe? - </w:t>
      </w:r>
      <w:r>
        <w:rPr>
          <w:rFonts w:ascii="Times New Roman" w:eastAsia="Times New Roman" w:hAnsi="Times New Roman" w:cs="Times New Roman"/>
        </w:rPr>
        <w:t>P8).</w:t>
      </w:r>
    </w:p>
    <w:p w14:paraId="0389338A"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Uma questão levantada pelo questionário foi a sobre quando as crianças indagam os adultos sobre a morte, sua natureza e razão; destacadamente, os professores demonstraram-se incertos sobre tratar dessa questão, principalmente quando está relacionada a um acontecimento real (</w:t>
      </w:r>
      <w:r>
        <w:rPr>
          <w:rFonts w:ascii="Times New Roman" w:eastAsia="Times New Roman" w:hAnsi="Times New Roman" w:cs="Times New Roman"/>
          <w:i/>
        </w:rPr>
        <w:t>“Quando é só falar sobre a morte, tudo bem. Consigo usar as ferramentas que conheço para falar com a criança, mesmo que seja pequenina. Agora, quando já é uma morte real, que aconteceu mesmo, aí sinto-me insegura… bloqueio e não sei o que dizer, o que responder.” -</w:t>
      </w:r>
      <w:r>
        <w:rPr>
          <w:rFonts w:ascii="Times New Roman" w:eastAsia="Times New Roman" w:hAnsi="Times New Roman" w:cs="Times New Roman"/>
        </w:rPr>
        <w:t xml:space="preserve"> P7). Entretanto, a maioria dos professores soube oferecer algum tipo de resposta educativa que acreditam </w:t>
      </w:r>
      <w:r>
        <w:rPr>
          <w:rFonts w:ascii="Times New Roman" w:eastAsia="Times New Roman" w:hAnsi="Times New Roman" w:cs="Times New Roman"/>
        </w:rPr>
        <w:lastRenderedPageBreak/>
        <w:t>ser mais adequada (</w:t>
      </w:r>
      <w:r>
        <w:rPr>
          <w:rFonts w:ascii="Times New Roman" w:eastAsia="Times New Roman" w:hAnsi="Times New Roman" w:cs="Times New Roman"/>
          <w:i/>
        </w:rPr>
        <w:t xml:space="preserve">“Um menino perguntou-me: “Professor, quando a gente morre, vai para onde?” e aquilo apanhou-me desprevenido. Respondi que cada família tem a sua crença sobre para onde vai (...) Para mim, uma resposta educativa é não fechar a conversa, não impor nada, mas abrir espaço para pensar. </w:t>
      </w:r>
      <w:r>
        <w:rPr>
          <w:rFonts w:ascii="Times New Roman" w:eastAsia="Times New Roman" w:hAnsi="Times New Roman" w:cs="Times New Roman"/>
        </w:rPr>
        <w:t>- P1).</w:t>
      </w:r>
    </w:p>
    <w:p w14:paraId="418AE5C3"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Quanto à formulação da educação sobre a morte enquanto assunto integrante do currículo escolar, os professores foram, muitas vezes, relutantes e incertos sobre a intenção (“</w:t>
      </w:r>
      <w:r>
        <w:rPr>
          <w:rFonts w:ascii="Times New Roman" w:eastAsia="Times New Roman" w:hAnsi="Times New Roman" w:cs="Times New Roman"/>
          <w:i/>
        </w:rPr>
        <w:t xml:space="preserve">Incluir no currículo? Nunca fiz isso. Acho que não cabe muito. Só falo quando acontece alguma coisa” </w:t>
      </w:r>
      <w:r>
        <w:rPr>
          <w:rFonts w:ascii="Times New Roman" w:eastAsia="Times New Roman" w:hAnsi="Times New Roman" w:cs="Times New Roman"/>
        </w:rPr>
        <w:t xml:space="preserve">- P7). Todavia, quando perguntados sobre como pensariam essa inclusão com um propósito curricular, emergiram algumas </w:t>
      </w:r>
      <w:proofErr w:type="spellStart"/>
      <w:r>
        <w:rPr>
          <w:rFonts w:ascii="Times New Roman" w:eastAsia="Times New Roman" w:hAnsi="Times New Roman" w:cs="Times New Roman"/>
        </w:rPr>
        <w:t>perspectivas</w:t>
      </w:r>
      <w:proofErr w:type="spellEnd"/>
      <w:r>
        <w:rPr>
          <w:rFonts w:ascii="Times New Roman" w:eastAsia="Times New Roman" w:hAnsi="Times New Roman" w:cs="Times New Roman"/>
        </w:rPr>
        <w:t xml:space="preserve"> sobre como trabalhar a temática (“</w:t>
      </w:r>
      <w:r>
        <w:rPr>
          <w:rFonts w:ascii="Times New Roman" w:eastAsia="Times New Roman" w:hAnsi="Times New Roman" w:cs="Times New Roman"/>
          <w:i/>
        </w:rPr>
        <w:t xml:space="preserve">Incluir o tema da morte no currículo, para mim, seria tratá-lo de forma intencional (...) Não só quando surge por acaso, mas mesmo planeado. Um exemplo seria trabalhar um livro infantil ou, mais pra frente, quando eles têm Ciências, falar do ciclo da vida. Mas confesso que nunca fiz de forma estruturada, só em momentos pontuais - </w:t>
      </w:r>
      <w:r>
        <w:rPr>
          <w:rFonts w:ascii="Times New Roman" w:eastAsia="Times New Roman" w:hAnsi="Times New Roman" w:cs="Times New Roman"/>
        </w:rPr>
        <w:t>P1), mas também fica claro como a ideia pode ser geradora de insegurança por parte dos professores (“</w:t>
      </w:r>
      <w:r>
        <w:rPr>
          <w:rFonts w:ascii="Times New Roman" w:eastAsia="Times New Roman" w:hAnsi="Times New Roman" w:cs="Times New Roman"/>
          <w:i/>
        </w:rPr>
        <w:t xml:space="preserve">No meu ensino, sim, inclusive queria fazer. É um momento que existe essa troca de experiência entre as crianças, mas eu não me sinto confiante em fazer esse tipo de coisa com uma turma inteira. É exatamente por essa insegurança.” </w:t>
      </w:r>
      <w:r>
        <w:rPr>
          <w:rFonts w:ascii="Times New Roman" w:eastAsia="Times New Roman" w:hAnsi="Times New Roman" w:cs="Times New Roman"/>
        </w:rPr>
        <w:t>- P6). Verifica-se que, para os professores, uma inclusão desse tipo não seria viável sem que houvesse um bom preparo que estruturasse suas práticas (“</w:t>
      </w:r>
      <w:r>
        <w:rPr>
          <w:rFonts w:ascii="Times New Roman" w:eastAsia="Times New Roman" w:hAnsi="Times New Roman" w:cs="Times New Roman"/>
          <w:i/>
        </w:rPr>
        <w:t xml:space="preserve">Você tem que ter o preparo do professor, para que o que seja passado não seja falso ou tendencioso e que seja completo, até porque tem muita gente que aprende junto com a formação do professor. Então, muito disso eu, com certeza, aprenderia numa formação sobre como falar da morte. É uma coisa que me faria sentir mais segura em passar isso para os alunos.” - </w:t>
      </w:r>
      <w:r>
        <w:rPr>
          <w:rFonts w:ascii="Times New Roman" w:eastAsia="Times New Roman" w:hAnsi="Times New Roman" w:cs="Times New Roman"/>
        </w:rPr>
        <w:t>P6). Um entrave mencionado, mais de uma vez, diz respeito às possíveis complicações com as crenças pessoais dos familiares (“</w:t>
      </w:r>
      <w:r>
        <w:rPr>
          <w:rFonts w:ascii="Times New Roman" w:eastAsia="Times New Roman" w:hAnsi="Times New Roman" w:cs="Times New Roman"/>
          <w:i/>
        </w:rPr>
        <w:t xml:space="preserve">No entanto, sinto que há sempre o risco de os pais não aceitarem. A religião aqui pesa: alguns pais agradecem quando a morte é falada como “vida eterna”, outros reclamam se isso é sequer mencionado. É um equilíbrio difícil.” - </w:t>
      </w:r>
      <w:r>
        <w:rPr>
          <w:rFonts w:ascii="Times New Roman" w:eastAsia="Times New Roman" w:hAnsi="Times New Roman" w:cs="Times New Roman"/>
        </w:rPr>
        <w:t>P4).</w:t>
      </w:r>
    </w:p>
    <w:p w14:paraId="089D3F43"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Muitos professores demonstraram-se contrários a uma orientação curricular do assunto, apesar de serem favoráveis à inclusão dentro do ensino (“</w:t>
      </w:r>
      <w:r>
        <w:rPr>
          <w:rFonts w:ascii="Times New Roman" w:eastAsia="Times New Roman" w:hAnsi="Times New Roman" w:cs="Times New Roman"/>
          <w:i/>
        </w:rPr>
        <w:t xml:space="preserve">Eu acho que é uma coisa mais circunstancial. Então eu diria que, sim, é apropriado, mas eu não acho que a abordagem tem que ser pautada pelo currículo, do tipo “Hoje é dia de falar sobre a morte”. - </w:t>
      </w:r>
      <w:r>
        <w:rPr>
          <w:rFonts w:ascii="Times New Roman" w:eastAsia="Times New Roman" w:hAnsi="Times New Roman" w:cs="Times New Roman"/>
        </w:rPr>
        <w:t xml:space="preserve">P6); nesse sentido, uma das dificuldades estaria na </w:t>
      </w:r>
      <w:proofErr w:type="spellStart"/>
      <w:r>
        <w:rPr>
          <w:rFonts w:ascii="Times New Roman" w:eastAsia="Times New Roman" w:hAnsi="Times New Roman" w:cs="Times New Roman"/>
        </w:rPr>
        <w:t>autopercepção</w:t>
      </w:r>
      <w:proofErr w:type="spellEnd"/>
      <w:r>
        <w:rPr>
          <w:rFonts w:ascii="Times New Roman" w:eastAsia="Times New Roman" w:hAnsi="Times New Roman" w:cs="Times New Roman"/>
        </w:rPr>
        <w:t xml:space="preserve"> da capacidade para lidar com o assunto com alunos, bem como a clareza conceitual sobre </w:t>
      </w:r>
      <w:r>
        <w:rPr>
          <w:rFonts w:ascii="Times New Roman" w:eastAsia="Times New Roman" w:hAnsi="Times New Roman" w:cs="Times New Roman"/>
        </w:rPr>
        <w:lastRenderedPageBreak/>
        <w:t>o que é trabalhar a morte em sala de aula (“</w:t>
      </w:r>
      <w:r>
        <w:rPr>
          <w:rFonts w:ascii="Times New Roman" w:eastAsia="Times New Roman" w:hAnsi="Times New Roman" w:cs="Times New Roman"/>
          <w:i/>
        </w:rPr>
        <w:t xml:space="preserve">Eu não entendo muito sobre essa abordagem e não entendo como seria trabalhado também esse tema. Me sinto ainda totalmente nula, no sentido de conhecimento para conseguir fazer essa abordagem. Eu sou muito emocional também. - </w:t>
      </w:r>
      <w:r>
        <w:rPr>
          <w:rFonts w:ascii="Times New Roman" w:eastAsia="Times New Roman" w:hAnsi="Times New Roman" w:cs="Times New Roman"/>
        </w:rPr>
        <w:t>P7).</w:t>
      </w:r>
    </w:p>
    <w:p w14:paraId="1390A384" w14:textId="77777777" w:rsidR="00FA6B71" w:rsidRDefault="00FA6B71">
      <w:pPr>
        <w:spacing w:line="360" w:lineRule="auto"/>
        <w:ind w:firstLine="720"/>
        <w:jc w:val="both"/>
        <w:rPr>
          <w:rFonts w:ascii="Times New Roman" w:eastAsia="Times New Roman" w:hAnsi="Times New Roman" w:cs="Times New Roman"/>
          <w:i/>
        </w:rPr>
      </w:pPr>
    </w:p>
    <w:p w14:paraId="2EDDBEF1" w14:textId="77777777" w:rsidR="00FA6B71" w:rsidRDefault="00FA6B71">
      <w:pPr>
        <w:spacing w:line="360" w:lineRule="auto"/>
        <w:jc w:val="both"/>
        <w:rPr>
          <w:rFonts w:ascii="Times New Roman" w:eastAsia="Times New Roman" w:hAnsi="Times New Roman" w:cs="Times New Roman"/>
          <w:i/>
        </w:rPr>
      </w:pPr>
    </w:p>
    <w:p w14:paraId="0BF3020A" w14:textId="77777777" w:rsidR="00FA6B71" w:rsidRDefault="00000000" w:rsidP="007B7C3D">
      <w:pPr>
        <w:pStyle w:val="Ttulo2"/>
      </w:pPr>
      <w:bookmarkStart w:id="14" w:name="_Toc210994451"/>
      <w:r>
        <w:t>3.3 - “Capacidade dos educadores em refletir sobre a morte”</w:t>
      </w:r>
      <w:bookmarkEnd w:id="14"/>
    </w:p>
    <w:p w14:paraId="04A1EEFC"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Os professores foram também questionados relativamente à </w:t>
      </w:r>
      <w:r>
        <w:rPr>
          <w:rFonts w:ascii="Times New Roman" w:eastAsia="Times New Roman" w:hAnsi="Times New Roman" w:cs="Times New Roman"/>
          <w:i/>
        </w:rPr>
        <w:t xml:space="preserve">Capacidade dos educadores em refletir sobre a morte. </w:t>
      </w:r>
      <w:r>
        <w:rPr>
          <w:rFonts w:ascii="Times New Roman" w:eastAsia="Times New Roman" w:hAnsi="Times New Roman" w:cs="Times New Roman"/>
        </w:rPr>
        <w:t xml:space="preserve">Especificamente, o que se buscou avaliar dentro dessas questões foi a </w:t>
      </w:r>
      <w:proofErr w:type="spellStart"/>
      <w:r>
        <w:rPr>
          <w:rFonts w:ascii="Times New Roman" w:eastAsia="Times New Roman" w:hAnsi="Times New Roman" w:cs="Times New Roman"/>
        </w:rPr>
        <w:t>percepção</w:t>
      </w:r>
      <w:proofErr w:type="spellEnd"/>
      <w:r>
        <w:rPr>
          <w:rFonts w:ascii="Times New Roman" w:eastAsia="Times New Roman" w:hAnsi="Times New Roman" w:cs="Times New Roman"/>
        </w:rPr>
        <w:t xml:space="preserve"> que os professores têm acerca das suas capacidades em elaborar a morte enquanto conceito. Por um lado, enfatiza-se a importância em avaliar essa </w:t>
      </w:r>
      <w:proofErr w:type="spellStart"/>
      <w:r>
        <w:rPr>
          <w:rFonts w:ascii="Times New Roman" w:eastAsia="Times New Roman" w:hAnsi="Times New Roman" w:cs="Times New Roman"/>
        </w:rPr>
        <w:t>percepção</w:t>
      </w:r>
      <w:proofErr w:type="spellEnd"/>
      <w:r>
        <w:rPr>
          <w:rFonts w:ascii="Times New Roman" w:eastAsia="Times New Roman" w:hAnsi="Times New Roman" w:cs="Times New Roman"/>
        </w:rPr>
        <w:t xml:space="preserve"> a partir de um ângulo pessoal, ou seja, como os professores refletem sobre a própria morte; por outro lado, explorou-se sobre como a conceptualização da morte influencia a prática didática. Dessa forma, perguntou-se sobre a assimilação da morte e seu papel no direcionamento de um projeto de vida, na vida diária e na função como educador.</w:t>
      </w:r>
    </w:p>
    <w:p w14:paraId="5359F99C"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Quando questionados os professores sobre como pensar sobre a morte influencia sua vida diária e projeto de vida, sobressaiu-se o termo “tempo” (principalmente no sentido de “valorização”), em praticamente todas as entrevistas (</w:t>
      </w:r>
      <w:r>
        <w:rPr>
          <w:rFonts w:ascii="Times New Roman" w:eastAsia="Times New Roman" w:hAnsi="Times New Roman" w:cs="Times New Roman"/>
          <w:i/>
        </w:rPr>
        <w:t xml:space="preserve">“Claro, quando a gente chega à minha idade, pensa mais nisso. Já perdi muitos amigos, colegas… E isso faz-me valorizar mais o tempo que tenho, com a família, com os netos. E sim, acho que vai mudando ao longo da vida. Quando era jovem não pensava nisso. Agora, todos os dias penso. - </w:t>
      </w:r>
      <w:r>
        <w:rPr>
          <w:rFonts w:ascii="Times New Roman" w:eastAsia="Times New Roman" w:hAnsi="Times New Roman" w:cs="Times New Roman"/>
        </w:rPr>
        <w:t>P2; “</w:t>
      </w:r>
      <w:r>
        <w:rPr>
          <w:rFonts w:ascii="Times New Roman" w:eastAsia="Times New Roman" w:hAnsi="Times New Roman" w:cs="Times New Roman"/>
          <w:i/>
        </w:rPr>
        <w:t xml:space="preserve">Acredito que essa influência muda ao longo da vida. Aos 20, achamos que temos tempo infinito. Aos 30, já pensamos mais em projetos, em filhos, em estabilidade. A consciência da morte dá-nos outra perspetiva.” </w:t>
      </w:r>
      <w:r>
        <w:rPr>
          <w:rFonts w:ascii="Times New Roman" w:eastAsia="Times New Roman" w:hAnsi="Times New Roman" w:cs="Times New Roman"/>
        </w:rPr>
        <w:t xml:space="preserve">- P3). </w:t>
      </w:r>
    </w:p>
    <w:p w14:paraId="3DC9BB20"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Alternativamente, quando questionados sobre a função educacional da reflexão sobre a própria morte, os professores narram que as experiências do diálogo e a troca com os alunos transforma também a sua própria </w:t>
      </w:r>
      <w:proofErr w:type="spellStart"/>
      <w:r>
        <w:rPr>
          <w:rFonts w:ascii="Times New Roman" w:eastAsia="Times New Roman" w:hAnsi="Times New Roman" w:cs="Times New Roman"/>
        </w:rPr>
        <w:t>percepção</w:t>
      </w:r>
      <w:proofErr w:type="spellEnd"/>
      <w:r>
        <w:rPr>
          <w:rFonts w:ascii="Times New Roman" w:eastAsia="Times New Roman" w:hAnsi="Times New Roman" w:cs="Times New Roman"/>
        </w:rPr>
        <w:t xml:space="preserve"> sobre o assunto (“</w:t>
      </w:r>
      <w:r>
        <w:rPr>
          <w:rFonts w:ascii="Times New Roman" w:eastAsia="Times New Roman" w:hAnsi="Times New Roman" w:cs="Times New Roman"/>
          <w:i/>
        </w:rPr>
        <w:t>Todos os dias acabo por passar por alguma situação em que a experiência com os alunos mexe com a forma como eu ensino e como me comporto diante deles. Eles estão sempre a trazer coisas novas, de maneiras inesperadas, e eu ouço</w:t>
      </w:r>
      <w:proofErr w:type="gramStart"/>
      <w:r>
        <w:rPr>
          <w:rFonts w:ascii="Times New Roman" w:eastAsia="Times New Roman" w:hAnsi="Times New Roman" w:cs="Times New Roman"/>
          <w:i/>
        </w:rPr>
        <w:t>… Lá</w:t>
      </w:r>
      <w:proofErr w:type="gramEnd"/>
      <w:r>
        <w:rPr>
          <w:rFonts w:ascii="Times New Roman" w:eastAsia="Times New Roman" w:hAnsi="Times New Roman" w:cs="Times New Roman"/>
          <w:i/>
        </w:rPr>
        <w:t xml:space="preserve"> está, muitas vezes acolho, outras nem tanto, e tento mudar a minha perceção sobre o que eles pensam.</w:t>
      </w:r>
      <w:r>
        <w:rPr>
          <w:rFonts w:ascii="Times New Roman" w:eastAsia="Times New Roman" w:hAnsi="Times New Roman" w:cs="Times New Roman"/>
        </w:rPr>
        <w:t xml:space="preserve">” - P7); outros professores afirmam não perceber a especificidade da função dessa consciência </w:t>
      </w:r>
      <w:r>
        <w:rPr>
          <w:rFonts w:ascii="Times New Roman" w:eastAsia="Times New Roman" w:hAnsi="Times New Roman" w:cs="Times New Roman"/>
        </w:rPr>
        <w:lastRenderedPageBreak/>
        <w:t>no “ser educador” (“</w:t>
      </w:r>
      <w:r>
        <w:rPr>
          <w:rFonts w:ascii="Times New Roman" w:eastAsia="Times New Roman" w:hAnsi="Times New Roman" w:cs="Times New Roman"/>
          <w:i/>
        </w:rPr>
        <w:t xml:space="preserve">Não é exclusiva do ser professor. Claro, lá está, ser professor é trabalhar com pessoas, com vidas em formação, e essa sensibilidade pode reforçar a forma como nos relacionamos com os alunos. Mas não sei se, diretamente, a consciência da morte faz de mim melhor professora.” - </w:t>
      </w:r>
      <w:r>
        <w:rPr>
          <w:rFonts w:ascii="Times New Roman" w:eastAsia="Times New Roman" w:hAnsi="Times New Roman" w:cs="Times New Roman"/>
        </w:rPr>
        <w:t>P8).</w:t>
      </w:r>
    </w:p>
    <w:p w14:paraId="7F1C9236"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Quando perguntados sobre a sua capacidade de refletir sobre a morte, num tom mais generalista, os professores foram capazes de identificar a importância disso para a temática geral abordada durante a entrevista (</w:t>
      </w:r>
      <w:r>
        <w:rPr>
          <w:rFonts w:ascii="Times New Roman" w:eastAsia="Times New Roman" w:hAnsi="Times New Roman" w:cs="Times New Roman"/>
          <w:i/>
        </w:rPr>
        <w:t xml:space="preserve">“Vejo a ligação com as outras perguntas, se não consigo refletir sobre a minha própria morte, como vou ajudar as crianças a refletirem sobre a delas? </w:t>
      </w:r>
      <w:r>
        <w:rPr>
          <w:rFonts w:ascii="Times New Roman" w:eastAsia="Times New Roman" w:hAnsi="Times New Roman" w:cs="Times New Roman"/>
        </w:rPr>
        <w:t xml:space="preserve">- P1). Nesse </w:t>
      </w:r>
      <w:proofErr w:type="spellStart"/>
      <w:r>
        <w:rPr>
          <w:rFonts w:ascii="Times New Roman" w:eastAsia="Times New Roman" w:hAnsi="Times New Roman" w:cs="Times New Roman"/>
        </w:rPr>
        <w:t>aspecto</w:t>
      </w:r>
      <w:proofErr w:type="spellEnd"/>
      <w:r>
        <w:rPr>
          <w:rFonts w:ascii="Times New Roman" w:eastAsia="Times New Roman" w:hAnsi="Times New Roman" w:cs="Times New Roman"/>
        </w:rPr>
        <w:t>, a reflexão sobre o morrer passa por uma conceitualização abstrata que pode ser diferente de pessoa para pessoa, a partir das crenças próprias (</w:t>
      </w:r>
      <w:r>
        <w:rPr>
          <w:rFonts w:ascii="Times New Roman" w:eastAsia="Times New Roman" w:hAnsi="Times New Roman" w:cs="Times New Roman"/>
          <w:i/>
        </w:rPr>
        <w:t xml:space="preserve">“Faço isso com alguma frequência. Não me assusta pensar na minha própria morte, porque a fé dá-me conforto. Para mim, não é um ponto final, mas uma passagem.” - </w:t>
      </w:r>
      <w:r>
        <w:rPr>
          <w:rFonts w:ascii="Times New Roman" w:eastAsia="Times New Roman" w:hAnsi="Times New Roman" w:cs="Times New Roman"/>
        </w:rPr>
        <w:t>P4).</w:t>
      </w:r>
    </w:p>
    <w:p w14:paraId="06222EC9" w14:textId="77777777" w:rsidR="00FA6B71" w:rsidRDefault="00FA6B71">
      <w:pPr>
        <w:spacing w:line="360" w:lineRule="auto"/>
        <w:jc w:val="both"/>
        <w:rPr>
          <w:rFonts w:ascii="Times New Roman" w:eastAsia="Times New Roman" w:hAnsi="Times New Roman" w:cs="Times New Roman"/>
        </w:rPr>
      </w:pPr>
    </w:p>
    <w:p w14:paraId="68699096" w14:textId="77777777" w:rsidR="00FA6B71" w:rsidRDefault="00000000" w:rsidP="007B7C3D">
      <w:pPr>
        <w:pStyle w:val="Ttulo2"/>
      </w:pPr>
      <w:bookmarkStart w:id="15" w:name="_Toc210994452"/>
      <w:r>
        <w:t>3.4 - Avaliação geral do questionário</w:t>
      </w:r>
      <w:bookmarkEnd w:id="15"/>
    </w:p>
    <w:p w14:paraId="57A2B33B" w14:textId="3145072B" w:rsidR="00FA6B71" w:rsidRDefault="00000000" w:rsidP="00117F81">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Nesta subseção, estão dispostos alguns dos principais resultados referentes à pilotagem do questionário. Foram utilizados exemplos ilustrativos para evidenciar as limitações de coerência e formulação de alguns itens, bem como os problemas geradores de dificuldades de interpretação durante a aplicação. Assim, procedeu-se a um processo de revisão do instrumento, com destaque para pontos de melhoria identificados a partir das falas dos participantes, analisados segundo os parâmetros previamente delineados.</w:t>
      </w:r>
    </w:p>
    <w:p w14:paraId="17C2D07A" w14:textId="68CD841E"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De forma geral, observou-se que alguns itens apresentaram bom nível de compreensão pelos professores, como no caso do item 1 (“É apropriado abordar o tema da morte no 1ºCEB (6 a 10 anos).”), em que as respostas foram rápidas e coerentes com a formulação da pergunta, o que confirma a clareza do enunciado. Em contraste, verificou-se uma sobreposição semântica entre o item 2 e o item 3 (ver Tabela 3). Apesar dos enunciados terem sido formulados com a intenção de distinguir teoricamente os termos “formação para o tema da morte” e “formação para situações práticas de luto”, os participantes frequentemente os percebem como equivalentes, pedindo repetições ou respondendo de forma redundante. Essa proximidade dos termos na formulação do enunciado dificultou a evocação de respostas distintas e sugere a necessidade de maior diferenciação entre as duas categorias.</w:t>
      </w:r>
    </w:p>
    <w:p w14:paraId="27C49D55"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Outro ponto crítico foi identificado no item 4. A utilização do termo “recursos” mostrou-se ambígua, levando os participantes a associarem-no predominantemente a apoios externos, como serviços de psicologia escolar ou investimentos financeiros governamentais, em vez de o relacionarem com recursos pedagógicos ou didáticos. Essa ambiguidade da palavra colocada compromete a precisão da interpretação, indicando a necessidade de reformulação lexical para reduzir o risco de indução a interpretações divergentes.</w:t>
      </w:r>
    </w:p>
    <w:p w14:paraId="3CD48485"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 parâmetro de recuperação de memória, verificou-se que a formulação de determinados itens induziu os participantes a recorrerem a exemplos pessoais pouco relacionados ao objetivo central da questão. Como as perguntas de sondagem muitas vezes pediam exemplos de vida para esclarecer o que foi perguntado, os participantes foram constantemente levados a evocar memórias. Entretanto, a recuperação de memória frequentemente não </w:t>
      </w:r>
      <w:proofErr w:type="gramStart"/>
      <w:r>
        <w:rPr>
          <w:rFonts w:ascii="Times New Roman" w:eastAsia="Times New Roman" w:hAnsi="Times New Roman" w:cs="Times New Roman"/>
        </w:rPr>
        <w:t>relacionava-se</w:t>
      </w:r>
      <w:proofErr w:type="gramEnd"/>
      <w:r>
        <w:rPr>
          <w:rFonts w:ascii="Times New Roman" w:eastAsia="Times New Roman" w:hAnsi="Times New Roman" w:cs="Times New Roman"/>
        </w:rPr>
        <w:t xml:space="preserve"> o tema central da pergunta às respostas dos participantes. Esse resultado sugere que a formulação pode não ter delimitado adequadamente o foco esperado, abrindo espaço para respostas tangenciais. Apesar de amplamente ilustrativas, as experiências que os professores relataram pareciam evocar assuntos variados que estavam a ocorrer no seu cotidiano atual, que não estavam diretamente relacionados ao conteúdo do item. Tal questão aconteceu mais regularmente no item 5 (ver Tabela 3) em que o enunciado demonstra estar muito afastado do quotidiano e da realidade objetiva dos professores, o que dificultou uma resposta concreta. Apesar disso, a forma como o enunciado foi estruturado </w:t>
      </w:r>
      <w:proofErr w:type="spellStart"/>
      <w:r>
        <w:rPr>
          <w:rFonts w:ascii="Times New Roman" w:eastAsia="Times New Roman" w:hAnsi="Times New Roman" w:cs="Times New Roman"/>
        </w:rPr>
        <w:t>oportunizou</w:t>
      </w:r>
      <w:proofErr w:type="spellEnd"/>
      <w:r>
        <w:rPr>
          <w:rFonts w:ascii="Times New Roman" w:eastAsia="Times New Roman" w:hAnsi="Times New Roman" w:cs="Times New Roman"/>
        </w:rPr>
        <w:t xml:space="preserve"> que os professores recolhessem informações importantes para a temática central do questionário.</w:t>
      </w:r>
    </w:p>
    <w:p w14:paraId="3FECB676"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 segundo bloco do questionário (itens 8-12), que tratava da perceção das capacidades pessoais dos professores, o parâmetro mais deficitário foi o processo de decisão. Os itens demandavam uma reflexão </w:t>
      </w:r>
      <w:proofErr w:type="spellStart"/>
      <w:r>
        <w:rPr>
          <w:rFonts w:ascii="Times New Roman" w:eastAsia="Times New Roman" w:hAnsi="Times New Roman" w:cs="Times New Roman"/>
        </w:rPr>
        <w:t>autorreferida</w:t>
      </w:r>
      <w:proofErr w:type="spellEnd"/>
      <w:r>
        <w:rPr>
          <w:rFonts w:ascii="Times New Roman" w:eastAsia="Times New Roman" w:hAnsi="Times New Roman" w:cs="Times New Roman"/>
        </w:rPr>
        <w:t xml:space="preserve"> mais complexa e, em alguns casos, apresentaram enunciados cuja formulação pouco clara contribuiu para hesitações, respostas incompletas e maior tempo na elaboração de uma resposta. As respostas ao item 11 torna mais evidente esse problema, já que muitos participantes manifestaram dúvidas quanto ao significado de “incluir no currículo”. Essa expressão revelou-se demasiado ampla, originando interpretações divergentes e dificultando a produção de respostas consistentes. O sentido da inclusão do tema como tópico do currículo não foi formulado de forma compreensível e o tom da pergunta pode sugerir </w:t>
      </w:r>
      <w:r>
        <w:rPr>
          <w:rFonts w:ascii="Times New Roman" w:eastAsia="Times New Roman" w:hAnsi="Times New Roman" w:cs="Times New Roman"/>
        </w:rPr>
        <w:lastRenderedPageBreak/>
        <w:t>uma lacuna nas ações individuais dos professores em relação ao tema; o que não foi inicialmente pretendido.</w:t>
      </w:r>
    </w:p>
    <w:p w14:paraId="7720A607" w14:textId="77777777" w:rsidR="00FA6B71" w:rsidRDefault="00FA6B71">
      <w:pPr>
        <w:spacing w:line="360" w:lineRule="auto"/>
        <w:ind w:firstLine="720"/>
        <w:jc w:val="both"/>
        <w:rPr>
          <w:rFonts w:ascii="Times New Roman" w:eastAsia="Times New Roman" w:hAnsi="Times New Roman" w:cs="Times New Roman"/>
        </w:rPr>
      </w:pPr>
    </w:p>
    <w:p w14:paraId="3A8E6097" w14:textId="77777777" w:rsidR="00FA6B71" w:rsidRDefault="00000000">
      <w:pPr>
        <w:spacing w:line="360" w:lineRule="auto"/>
        <w:jc w:val="both"/>
        <w:rPr>
          <w:rFonts w:ascii="Times New Roman" w:eastAsia="Times New Roman" w:hAnsi="Times New Roman" w:cs="Times New Roman"/>
          <w:b/>
        </w:rPr>
      </w:pPr>
      <w:r>
        <w:rPr>
          <w:rFonts w:ascii="Times New Roman" w:eastAsia="Times New Roman" w:hAnsi="Times New Roman" w:cs="Times New Roman"/>
          <w:b/>
        </w:rPr>
        <w:t>Tabela 3</w:t>
      </w:r>
    </w:p>
    <w:p w14:paraId="031C590D" w14:textId="77777777"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i/>
        </w:rPr>
        <w:t>Problemas identificados na formulação dos itens do questionário</w:t>
      </w:r>
    </w:p>
    <w:sdt>
      <w:sdtPr>
        <w:tag w:val="goog_rdk_2"/>
        <w:id w:val="855637920"/>
        <w:lock w:val="contentLocked"/>
      </w:sdtPr>
      <w:sdtContent>
        <w:tbl>
          <w:tblPr>
            <w:tblStyle w:val="a1"/>
            <w:tblW w:w="8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5"/>
            <w:gridCol w:w="2075"/>
            <w:gridCol w:w="2075"/>
            <w:gridCol w:w="2075"/>
          </w:tblGrid>
          <w:tr w:rsidR="00FA6B71" w14:paraId="6DD9E048" w14:textId="77777777">
            <w:tc>
              <w:tcPr>
                <w:tcW w:w="2075" w:type="dxa"/>
                <w:tcBorders>
                  <w:top w:val="single" w:sz="6" w:space="0" w:color="D0CECE"/>
                  <w:left w:val="nil"/>
                  <w:bottom w:val="single" w:sz="6" w:space="0" w:color="D0CECE"/>
                  <w:right w:val="nil"/>
                </w:tcBorders>
                <w:shd w:val="clear" w:color="auto" w:fill="FFFFFF"/>
                <w:tcMar>
                  <w:top w:w="100" w:type="dxa"/>
                  <w:left w:w="100" w:type="dxa"/>
                  <w:bottom w:w="100" w:type="dxa"/>
                  <w:right w:w="100" w:type="dxa"/>
                </w:tcMar>
              </w:tcPr>
              <w:p w14:paraId="7190F32E" w14:textId="77777777" w:rsidR="00FA6B71" w:rsidRDefault="00000000">
                <w:pPr>
                  <w:spacing w:before="240" w:after="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Item</w:t>
                </w:r>
              </w:p>
            </w:tc>
            <w:tc>
              <w:tcPr>
                <w:tcW w:w="2075" w:type="dxa"/>
                <w:tcBorders>
                  <w:top w:val="single" w:sz="6" w:space="0" w:color="D0CECE"/>
                  <w:left w:val="nil"/>
                  <w:bottom w:val="single" w:sz="6" w:space="0" w:color="D0CECE"/>
                  <w:right w:val="nil"/>
                </w:tcBorders>
                <w:shd w:val="clear" w:color="auto" w:fill="FFFFFF"/>
                <w:tcMar>
                  <w:top w:w="100" w:type="dxa"/>
                  <w:left w:w="100" w:type="dxa"/>
                  <w:bottom w:w="100" w:type="dxa"/>
                  <w:right w:w="100" w:type="dxa"/>
                </w:tcMar>
              </w:tcPr>
              <w:p w14:paraId="60CE130A" w14:textId="77777777" w:rsidR="00FA6B71" w:rsidRDefault="00000000">
                <w:pPr>
                  <w:spacing w:before="240" w:after="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Formulação original</w:t>
                </w:r>
              </w:p>
            </w:tc>
            <w:tc>
              <w:tcPr>
                <w:tcW w:w="2075" w:type="dxa"/>
                <w:tcBorders>
                  <w:top w:val="single" w:sz="6" w:space="0" w:color="D0CECE"/>
                  <w:left w:val="nil"/>
                  <w:bottom w:val="single" w:sz="6" w:space="0" w:color="D0CECE"/>
                  <w:right w:val="nil"/>
                </w:tcBorders>
                <w:shd w:val="clear" w:color="auto" w:fill="FFFFFF"/>
                <w:tcMar>
                  <w:top w:w="20" w:type="dxa"/>
                  <w:left w:w="20" w:type="dxa"/>
                  <w:bottom w:w="20" w:type="dxa"/>
                  <w:right w:w="20" w:type="dxa"/>
                </w:tcMar>
              </w:tcPr>
              <w:p w14:paraId="5CBD439E" w14:textId="77777777" w:rsidR="00FA6B71" w:rsidRDefault="00000000">
                <w:pPr>
                  <w:spacing w:before="240" w:after="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Problema identificado</w:t>
                </w:r>
              </w:p>
            </w:tc>
            <w:tc>
              <w:tcPr>
                <w:tcW w:w="2075" w:type="dxa"/>
                <w:tcBorders>
                  <w:top w:val="single" w:sz="6" w:space="0" w:color="D0CECE"/>
                  <w:left w:val="nil"/>
                  <w:bottom w:val="single" w:sz="6" w:space="0" w:color="D0CECE"/>
                  <w:right w:val="nil"/>
                </w:tcBorders>
                <w:shd w:val="clear" w:color="auto" w:fill="FFFFFF"/>
                <w:tcMar>
                  <w:top w:w="20" w:type="dxa"/>
                  <w:left w:w="20" w:type="dxa"/>
                  <w:bottom w:w="20" w:type="dxa"/>
                  <w:right w:w="20" w:type="dxa"/>
                </w:tcMar>
              </w:tcPr>
              <w:p w14:paraId="63D7EE32" w14:textId="77777777" w:rsidR="00FA6B71" w:rsidRDefault="00000000">
                <w:pPr>
                  <w:spacing w:before="240" w:after="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Sugestão de melhoria</w:t>
                </w:r>
              </w:p>
            </w:tc>
          </w:tr>
          <w:tr w:rsidR="00FA6B71" w14:paraId="5106CD82" w14:textId="77777777">
            <w:trPr>
              <w:trHeight w:val="719"/>
            </w:trPr>
            <w:tc>
              <w:tcPr>
                <w:tcW w:w="2075" w:type="dxa"/>
                <w:tcBorders>
                  <w:top w:val="nil"/>
                  <w:left w:val="nil"/>
                  <w:bottom w:val="nil"/>
                  <w:right w:val="nil"/>
                </w:tcBorders>
                <w:shd w:val="clear" w:color="auto" w:fill="E7E6E6"/>
                <w:tcMar>
                  <w:top w:w="100" w:type="dxa"/>
                  <w:left w:w="100" w:type="dxa"/>
                  <w:bottom w:w="100" w:type="dxa"/>
                  <w:right w:w="100" w:type="dxa"/>
                </w:tcMar>
              </w:tcPr>
              <w:p w14:paraId="5A7E2E7A"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075" w:type="dxa"/>
                <w:tcBorders>
                  <w:top w:val="nil"/>
                  <w:left w:val="nil"/>
                  <w:bottom w:val="nil"/>
                  <w:right w:val="nil"/>
                </w:tcBorders>
                <w:shd w:val="clear" w:color="auto" w:fill="E7E6E6"/>
                <w:tcMar>
                  <w:top w:w="100" w:type="dxa"/>
                  <w:left w:w="100" w:type="dxa"/>
                  <w:bottom w:w="100" w:type="dxa"/>
                  <w:right w:w="100" w:type="dxa"/>
                </w:tcMar>
              </w:tcPr>
              <w:p w14:paraId="35C9F622"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“Como professores, deveríamos receber formação para lidar com o tema da morte com os nossos alunos.”</w:t>
                </w:r>
              </w:p>
            </w:tc>
            <w:tc>
              <w:tcPr>
                <w:tcW w:w="2075" w:type="dxa"/>
                <w:tcBorders>
                  <w:top w:val="nil"/>
                  <w:left w:val="nil"/>
                  <w:bottom w:val="nil"/>
                  <w:right w:val="nil"/>
                </w:tcBorders>
                <w:shd w:val="clear" w:color="auto" w:fill="E7E6E6"/>
                <w:tcMar>
                  <w:top w:w="20" w:type="dxa"/>
                  <w:left w:w="20" w:type="dxa"/>
                  <w:bottom w:w="20" w:type="dxa"/>
                  <w:right w:w="20" w:type="dxa"/>
                </w:tcMar>
              </w:tcPr>
              <w:p w14:paraId="1FF43AD7"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Sobreposição semântica com o item 3; participantes não distinguiram as categorias “morte” (conceito) e “luto” (situação prática).</w:t>
                </w:r>
              </w:p>
            </w:tc>
            <w:tc>
              <w:tcPr>
                <w:tcW w:w="2075" w:type="dxa"/>
                <w:tcBorders>
                  <w:top w:val="nil"/>
                  <w:left w:val="nil"/>
                  <w:bottom w:val="nil"/>
                  <w:right w:val="nil"/>
                </w:tcBorders>
                <w:shd w:val="clear" w:color="auto" w:fill="E7E6E6"/>
                <w:tcMar>
                  <w:top w:w="20" w:type="dxa"/>
                  <w:left w:w="20" w:type="dxa"/>
                  <w:bottom w:w="20" w:type="dxa"/>
                  <w:right w:w="20" w:type="dxa"/>
                </w:tcMar>
              </w:tcPr>
              <w:p w14:paraId="7781FE54"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Reformular para explicitar a diferença, por exemplo: “Considera importante receber formação para abordar o conceito de morte de forma pedagógica com os alunos?”</w:t>
                </w:r>
              </w:p>
            </w:tc>
          </w:tr>
          <w:tr w:rsidR="00FA6B71" w14:paraId="3EC65D57" w14:textId="77777777">
            <w:trPr>
              <w:trHeight w:val="584"/>
            </w:trPr>
            <w:tc>
              <w:tcPr>
                <w:tcW w:w="2075" w:type="dxa"/>
                <w:tcBorders>
                  <w:top w:val="nil"/>
                  <w:left w:val="nil"/>
                  <w:bottom w:val="nil"/>
                  <w:right w:val="nil"/>
                </w:tcBorders>
                <w:shd w:val="clear" w:color="auto" w:fill="FFFFFF"/>
                <w:tcMar>
                  <w:top w:w="100" w:type="dxa"/>
                  <w:left w:w="100" w:type="dxa"/>
                  <w:bottom w:w="100" w:type="dxa"/>
                  <w:right w:w="100" w:type="dxa"/>
                </w:tcMar>
              </w:tcPr>
              <w:p w14:paraId="0D06CAC6"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075" w:type="dxa"/>
                <w:tcBorders>
                  <w:top w:val="nil"/>
                  <w:left w:val="nil"/>
                  <w:bottom w:val="nil"/>
                  <w:right w:val="nil"/>
                </w:tcBorders>
                <w:shd w:val="clear" w:color="auto" w:fill="FFFFFF"/>
                <w:tcMar>
                  <w:top w:w="100" w:type="dxa"/>
                  <w:left w:w="100" w:type="dxa"/>
                  <w:bottom w:w="100" w:type="dxa"/>
                  <w:right w:w="100" w:type="dxa"/>
                </w:tcMar>
              </w:tcPr>
              <w:p w14:paraId="589DB989"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“Acredito que a formação em educação sobre a morte me capacitaria a intervir como educador em situações de luto.”</w:t>
                </w:r>
              </w:p>
            </w:tc>
            <w:tc>
              <w:tcPr>
                <w:tcW w:w="2075" w:type="dxa"/>
                <w:tcBorders>
                  <w:top w:val="nil"/>
                  <w:left w:val="nil"/>
                  <w:bottom w:val="nil"/>
                  <w:right w:val="nil"/>
                </w:tcBorders>
                <w:shd w:val="clear" w:color="auto" w:fill="FFFFFF"/>
                <w:tcMar>
                  <w:top w:w="20" w:type="dxa"/>
                  <w:left w:w="20" w:type="dxa"/>
                  <w:bottom w:w="20" w:type="dxa"/>
                  <w:right w:w="20" w:type="dxa"/>
                </w:tcMar>
              </w:tcPr>
              <w:p w14:paraId="35E3B209"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Ambiguidade e proximidade com o item 2; gerou respostas redundantes ou confusas.</w:t>
                </w:r>
              </w:p>
            </w:tc>
            <w:tc>
              <w:tcPr>
                <w:tcW w:w="2075" w:type="dxa"/>
                <w:tcBorders>
                  <w:top w:val="nil"/>
                  <w:left w:val="nil"/>
                  <w:bottom w:val="nil"/>
                  <w:right w:val="nil"/>
                </w:tcBorders>
                <w:shd w:val="clear" w:color="auto" w:fill="FFFFFF"/>
                <w:tcMar>
                  <w:top w:w="20" w:type="dxa"/>
                  <w:left w:w="20" w:type="dxa"/>
                  <w:bottom w:w="20" w:type="dxa"/>
                  <w:right w:w="20" w:type="dxa"/>
                </w:tcMar>
              </w:tcPr>
              <w:p w14:paraId="7B31C102"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Tornar mais específico: “Considera que uma formação em educação para a morte o capacitaria a apoiar alunos em situações concretas de luto?”</w:t>
                </w:r>
              </w:p>
            </w:tc>
          </w:tr>
          <w:tr w:rsidR="00FA6B71" w14:paraId="22229D4D" w14:textId="77777777">
            <w:tc>
              <w:tcPr>
                <w:tcW w:w="2075" w:type="dxa"/>
                <w:tcBorders>
                  <w:top w:val="nil"/>
                  <w:left w:val="nil"/>
                  <w:bottom w:val="nil"/>
                  <w:right w:val="nil"/>
                </w:tcBorders>
                <w:shd w:val="clear" w:color="auto" w:fill="E7E6E6"/>
                <w:tcMar>
                  <w:top w:w="100" w:type="dxa"/>
                  <w:left w:w="100" w:type="dxa"/>
                  <w:bottom w:w="100" w:type="dxa"/>
                  <w:right w:w="100" w:type="dxa"/>
                </w:tcMar>
              </w:tcPr>
              <w:p w14:paraId="5AF7B6EF"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075" w:type="dxa"/>
                <w:tcBorders>
                  <w:top w:val="nil"/>
                  <w:left w:val="nil"/>
                  <w:bottom w:val="nil"/>
                  <w:right w:val="nil"/>
                </w:tcBorders>
                <w:shd w:val="clear" w:color="auto" w:fill="E7E6E6"/>
                <w:tcMar>
                  <w:top w:w="100" w:type="dxa"/>
                  <w:left w:w="100" w:type="dxa"/>
                  <w:bottom w:w="100" w:type="dxa"/>
                  <w:right w:w="100" w:type="dxa"/>
                </w:tcMar>
              </w:tcPr>
              <w:p w14:paraId="6C31D0FA"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“Acredito que a formação em educação sobre a morte me forneceria recursos úteis para trabalhar o tema da morte na sala de aula.”</w:t>
                </w:r>
              </w:p>
            </w:tc>
            <w:tc>
              <w:tcPr>
                <w:tcW w:w="2075" w:type="dxa"/>
                <w:tcBorders>
                  <w:top w:val="nil"/>
                  <w:left w:val="nil"/>
                  <w:bottom w:val="nil"/>
                  <w:right w:val="nil"/>
                </w:tcBorders>
                <w:shd w:val="clear" w:color="auto" w:fill="E7E6E6"/>
                <w:tcMar>
                  <w:top w:w="20" w:type="dxa"/>
                  <w:left w:w="20" w:type="dxa"/>
                  <w:bottom w:w="20" w:type="dxa"/>
                  <w:right w:w="20" w:type="dxa"/>
                </w:tcMar>
              </w:tcPr>
              <w:p w14:paraId="4E2B0513"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Termo “recursos” interpretado como apoio psicológico ou financeiro, e não como recursos pedagógicos/didáticos.</w:t>
                </w:r>
              </w:p>
            </w:tc>
            <w:tc>
              <w:tcPr>
                <w:tcW w:w="2075" w:type="dxa"/>
                <w:tcBorders>
                  <w:top w:val="nil"/>
                  <w:left w:val="nil"/>
                  <w:bottom w:val="nil"/>
                  <w:right w:val="nil"/>
                </w:tcBorders>
                <w:shd w:val="clear" w:color="auto" w:fill="E7E6E6"/>
                <w:tcMar>
                  <w:top w:w="20" w:type="dxa"/>
                  <w:left w:w="20" w:type="dxa"/>
                  <w:bottom w:w="20" w:type="dxa"/>
                  <w:right w:w="20" w:type="dxa"/>
                </w:tcMar>
              </w:tcPr>
              <w:p w14:paraId="636E8649"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Substituir “recursos” por termos mais claros, como “estratégias pedagógicas” ou “materiais de apoio didático”.</w:t>
                </w:r>
              </w:p>
            </w:tc>
          </w:tr>
          <w:tr w:rsidR="00FA6B71" w14:paraId="5F1FCB0D" w14:textId="77777777">
            <w:tc>
              <w:tcPr>
                <w:tcW w:w="2075" w:type="dxa"/>
                <w:tcBorders>
                  <w:top w:val="nil"/>
                  <w:left w:val="nil"/>
                  <w:bottom w:val="nil"/>
                  <w:right w:val="nil"/>
                </w:tcBorders>
                <w:shd w:val="clear" w:color="auto" w:fill="FFFFFF"/>
                <w:tcMar>
                  <w:top w:w="100" w:type="dxa"/>
                  <w:left w:w="100" w:type="dxa"/>
                  <w:bottom w:w="100" w:type="dxa"/>
                  <w:right w:w="100" w:type="dxa"/>
                </w:tcMar>
              </w:tcPr>
              <w:p w14:paraId="24F95357"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075" w:type="dxa"/>
                <w:tcBorders>
                  <w:top w:val="nil"/>
                  <w:left w:val="nil"/>
                  <w:bottom w:val="nil"/>
                  <w:right w:val="nil"/>
                </w:tcBorders>
                <w:shd w:val="clear" w:color="auto" w:fill="FFFFFF"/>
                <w:tcMar>
                  <w:top w:w="100" w:type="dxa"/>
                  <w:left w:w="100" w:type="dxa"/>
                  <w:bottom w:w="100" w:type="dxa"/>
                  <w:right w:w="100" w:type="dxa"/>
                </w:tcMar>
              </w:tcPr>
              <w:p w14:paraId="0BFEE535"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“Saber que um dia vou morrer influencia a </w:t>
                </w:r>
                <w:r>
                  <w:rPr>
                    <w:rFonts w:ascii="Times New Roman" w:eastAsia="Times New Roman" w:hAnsi="Times New Roman" w:cs="Times New Roman"/>
                    <w:sz w:val="20"/>
                    <w:szCs w:val="20"/>
                  </w:rPr>
                  <w:lastRenderedPageBreak/>
                  <w:t>forma como valorizo a minha vida diária.”</w:t>
                </w:r>
              </w:p>
            </w:tc>
            <w:tc>
              <w:tcPr>
                <w:tcW w:w="2075" w:type="dxa"/>
                <w:tcBorders>
                  <w:top w:val="nil"/>
                  <w:left w:val="nil"/>
                  <w:bottom w:val="nil"/>
                  <w:right w:val="nil"/>
                </w:tcBorders>
                <w:shd w:val="clear" w:color="auto" w:fill="FFFFFF"/>
                <w:tcMar>
                  <w:top w:w="20" w:type="dxa"/>
                  <w:left w:w="20" w:type="dxa"/>
                  <w:bottom w:w="20" w:type="dxa"/>
                  <w:right w:w="20" w:type="dxa"/>
                </w:tcMar>
              </w:tcPr>
              <w:p w14:paraId="4CABE95C"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Formulação demasiado abstrata; induziu </w:t>
                </w:r>
                <w:r>
                  <w:rPr>
                    <w:rFonts w:ascii="Times New Roman" w:eastAsia="Times New Roman" w:hAnsi="Times New Roman" w:cs="Times New Roman"/>
                    <w:sz w:val="20"/>
                    <w:szCs w:val="20"/>
                  </w:rPr>
                  <w:lastRenderedPageBreak/>
                  <w:t>respostas tangenciais e pouco relacionadas ao objetivo central.</w:t>
                </w:r>
              </w:p>
            </w:tc>
            <w:tc>
              <w:tcPr>
                <w:tcW w:w="2075" w:type="dxa"/>
                <w:tcBorders>
                  <w:top w:val="nil"/>
                  <w:left w:val="nil"/>
                  <w:bottom w:val="nil"/>
                  <w:right w:val="nil"/>
                </w:tcBorders>
                <w:shd w:val="clear" w:color="auto" w:fill="FFFFFF"/>
                <w:tcMar>
                  <w:top w:w="20" w:type="dxa"/>
                  <w:left w:w="20" w:type="dxa"/>
                  <w:bottom w:w="20" w:type="dxa"/>
                  <w:right w:w="20" w:type="dxa"/>
                </w:tcMar>
              </w:tcPr>
              <w:p w14:paraId="7A2456B8"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Reformular para maior objetividade: “A </w:t>
                </w:r>
                <w:r>
                  <w:rPr>
                    <w:rFonts w:ascii="Times New Roman" w:eastAsia="Times New Roman" w:hAnsi="Times New Roman" w:cs="Times New Roman"/>
                    <w:sz w:val="20"/>
                    <w:szCs w:val="20"/>
                  </w:rPr>
                  <w:lastRenderedPageBreak/>
                  <w:t>consciência da minha própria finitude influencia as escolhas que faço no dia a dia como educador(a)?”</w:t>
                </w:r>
              </w:p>
            </w:tc>
          </w:tr>
          <w:tr w:rsidR="00FA6B71" w14:paraId="54293BF8" w14:textId="77777777">
            <w:tc>
              <w:tcPr>
                <w:tcW w:w="2075" w:type="dxa"/>
                <w:tcBorders>
                  <w:top w:val="nil"/>
                  <w:left w:val="nil"/>
                  <w:bottom w:val="nil"/>
                  <w:right w:val="nil"/>
                </w:tcBorders>
                <w:shd w:val="clear" w:color="auto" w:fill="E7E6E6"/>
                <w:tcMar>
                  <w:top w:w="100" w:type="dxa"/>
                  <w:left w:w="100" w:type="dxa"/>
                  <w:bottom w:w="100" w:type="dxa"/>
                  <w:right w:w="100" w:type="dxa"/>
                </w:tcMar>
              </w:tcPr>
              <w:p w14:paraId="61BD9573"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11</w:t>
                </w:r>
              </w:p>
            </w:tc>
            <w:tc>
              <w:tcPr>
                <w:tcW w:w="2075" w:type="dxa"/>
                <w:tcBorders>
                  <w:top w:val="nil"/>
                  <w:left w:val="nil"/>
                  <w:bottom w:val="nil"/>
                  <w:right w:val="nil"/>
                </w:tcBorders>
                <w:shd w:val="clear" w:color="auto" w:fill="E7E6E6"/>
                <w:tcMar>
                  <w:top w:w="100" w:type="dxa"/>
                  <w:left w:w="100" w:type="dxa"/>
                  <w:bottom w:w="100" w:type="dxa"/>
                  <w:right w:w="100" w:type="dxa"/>
                </w:tcMar>
              </w:tcPr>
              <w:p w14:paraId="411B53EA"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“Sente-se capaz de incluir o tema da morte no seu ensino, tal como qualquer outro tópico do currículo?”</w:t>
                </w:r>
              </w:p>
            </w:tc>
            <w:tc>
              <w:tcPr>
                <w:tcW w:w="2075" w:type="dxa"/>
                <w:tcBorders>
                  <w:top w:val="nil"/>
                  <w:left w:val="nil"/>
                  <w:bottom w:val="nil"/>
                  <w:right w:val="nil"/>
                </w:tcBorders>
                <w:shd w:val="clear" w:color="auto" w:fill="E7E6E6"/>
                <w:tcMar>
                  <w:top w:w="20" w:type="dxa"/>
                  <w:left w:w="20" w:type="dxa"/>
                  <w:bottom w:w="20" w:type="dxa"/>
                  <w:right w:w="20" w:type="dxa"/>
                </w:tcMar>
              </w:tcPr>
              <w:p w14:paraId="506F0A81"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Expressão “incluir no currículo” considerada ampla e ambígua; gerou interpretações divergentes sobre se se referia a conteúdos formais, atividades espontâneas ou integração transversal.</w:t>
                </w:r>
              </w:p>
            </w:tc>
            <w:tc>
              <w:tcPr>
                <w:tcW w:w="2075" w:type="dxa"/>
                <w:tcBorders>
                  <w:top w:val="nil"/>
                  <w:left w:val="nil"/>
                  <w:bottom w:val="nil"/>
                  <w:right w:val="nil"/>
                </w:tcBorders>
                <w:shd w:val="clear" w:color="auto" w:fill="E7E6E6"/>
                <w:tcMar>
                  <w:top w:w="20" w:type="dxa"/>
                  <w:left w:w="20" w:type="dxa"/>
                  <w:bottom w:w="20" w:type="dxa"/>
                  <w:right w:w="20" w:type="dxa"/>
                </w:tcMar>
              </w:tcPr>
              <w:p w14:paraId="4EF2D02D" w14:textId="77777777" w:rsidR="00FA6B71" w:rsidRDefault="00000000">
                <w:pPr>
                  <w:spacing w:before="240" w:after="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Especificar melhor: “Sente-se capaz de abordar o tema da morte em sala de aula, integrando-o em atividades pedagógicas regulares?”</w:t>
                </w:r>
              </w:p>
            </w:tc>
          </w:tr>
        </w:tbl>
      </w:sdtContent>
    </w:sdt>
    <w:p w14:paraId="4CEE68F8" w14:textId="77777777" w:rsidR="00FA6B71" w:rsidRDefault="00FA6B71">
      <w:pPr>
        <w:spacing w:line="360" w:lineRule="auto"/>
        <w:jc w:val="both"/>
        <w:rPr>
          <w:rFonts w:ascii="Times New Roman" w:eastAsia="Times New Roman" w:hAnsi="Times New Roman" w:cs="Times New Roman"/>
          <w:b/>
        </w:rPr>
      </w:pPr>
    </w:p>
    <w:p w14:paraId="713DBDB2"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Em síntese, a pilotagem evidenciou que as principais dificuldades não estavam relacionadas apenas ao conteúdo sensível do tema, mas sobretudo a </w:t>
      </w:r>
      <w:proofErr w:type="spellStart"/>
      <w:r>
        <w:rPr>
          <w:rFonts w:ascii="Times New Roman" w:eastAsia="Times New Roman" w:hAnsi="Times New Roman" w:cs="Times New Roman"/>
        </w:rPr>
        <w:t>aspectos</w:t>
      </w:r>
      <w:proofErr w:type="spellEnd"/>
      <w:r>
        <w:rPr>
          <w:rFonts w:ascii="Times New Roman" w:eastAsia="Times New Roman" w:hAnsi="Times New Roman" w:cs="Times New Roman"/>
        </w:rPr>
        <w:t xml:space="preserve"> de formulação dos itens, tais como ambiguidade de termos, sobreposição conceitual e amplitude excessiva de certas expressões. Tais problemas apontam para a necessidade de revisão lexical e estrutural do questionário, de forma a garantir maior clareza, distinção entre itens e foco nas dimensões que se pretende avaliar.</w:t>
      </w:r>
    </w:p>
    <w:p w14:paraId="525E4004" w14:textId="77777777" w:rsidR="00117F81" w:rsidRDefault="00117F81">
      <w:pPr>
        <w:spacing w:line="360" w:lineRule="auto"/>
        <w:ind w:firstLine="720"/>
        <w:jc w:val="both"/>
        <w:rPr>
          <w:rFonts w:ascii="Times New Roman" w:eastAsia="Times New Roman" w:hAnsi="Times New Roman" w:cs="Times New Roman"/>
        </w:rPr>
      </w:pPr>
    </w:p>
    <w:p w14:paraId="6F5B7545" w14:textId="77777777" w:rsidR="00117F81" w:rsidRDefault="00117F81">
      <w:pPr>
        <w:spacing w:line="360" w:lineRule="auto"/>
        <w:ind w:firstLine="720"/>
        <w:jc w:val="both"/>
        <w:rPr>
          <w:rFonts w:ascii="Times New Roman" w:eastAsia="Times New Roman" w:hAnsi="Times New Roman" w:cs="Times New Roman"/>
        </w:rPr>
      </w:pPr>
    </w:p>
    <w:p w14:paraId="2C4CE24A" w14:textId="54B22781" w:rsidR="00117F81" w:rsidRDefault="00000000" w:rsidP="007B7C3D">
      <w:pPr>
        <w:pStyle w:val="Ttulo1"/>
        <w:numPr>
          <w:ilvl w:val="0"/>
          <w:numId w:val="5"/>
        </w:numPr>
      </w:pPr>
      <w:bookmarkStart w:id="16" w:name="_Toc210994453"/>
      <w:r w:rsidRPr="00117F81">
        <w:t>Discussão</w:t>
      </w:r>
      <w:bookmarkEnd w:id="16"/>
    </w:p>
    <w:p w14:paraId="2B54AA2C" w14:textId="77777777" w:rsidR="00117F81" w:rsidRPr="00117F81" w:rsidRDefault="00117F81" w:rsidP="00117F81">
      <w:pPr>
        <w:pStyle w:val="PargrafodaLista"/>
        <w:spacing w:line="360" w:lineRule="auto"/>
        <w:rPr>
          <w:rFonts w:ascii="Times New Roman" w:eastAsia="Times New Roman" w:hAnsi="Times New Roman" w:cs="Times New Roman"/>
          <w:b/>
        </w:rPr>
      </w:pPr>
    </w:p>
    <w:p w14:paraId="2B0E68BE"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Os resultados deste estudo apontam para relevantes faltas na formação dos professores do 1º Ciclo relativamente às temáticas da morte e do luto. Os dados apontam para uma consciência sobre a pertinência de incluir estas questões na formação profissional, mostrando que, para além de técnicas e conteúdos, podendo </w:t>
      </w:r>
      <w:proofErr w:type="spellStart"/>
      <w:r>
        <w:rPr>
          <w:rFonts w:ascii="Times New Roman" w:eastAsia="Times New Roman" w:hAnsi="Times New Roman" w:cs="Times New Roman"/>
        </w:rPr>
        <w:t>conjecturar</w:t>
      </w:r>
      <w:proofErr w:type="spellEnd"/>
      <w:r>
        <w:rPr>
          <w:rFonts w:ascii="Times New Roman" w:eastAsia="Times New Roman" w:hAnsi="Times New Roman" w:cs="Times New Roman"/>
        </w:rPr>
        <w:t xml:space="preserve"> que os educadores sentem falta de espaços que permitam refletir sobre as suas próprias vivências, emoções e valores perante a finitude. O estudo aponta para um cenário permeado por ambiguidades e carências – mas também possibilidades – no que diz respeito à presença da temática da morte no espaço escolar. Ainda que os professores </w:t>
      </w:r>
      <w:r>
        <w:rPr>
          <w:rFonts w:ascii="Times New Roman" w:eastAsia="Times New Roman" w:hAnsi="Times New Roman" w:cs="Times New Roman"/>
        </w:rPr>
        <w:lastRenderedPageBreak/>
        <w:t>do 1.º CEB reconheçam a relevância de estarem preparados para lidar com situações de perda e luto vividas pelas crianças, as suas respostas refletem uma expressiva escassez formativa, acompanhada de um sentimento de insegurança quanto à abordagem pedagógica destes temas.</w:t>
      </w:r>
    </w:p>
    <w:p w14:paraId="62D51DB5"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Essa constatação está em consonância com estudos anteriores que identificaram a ausência na preparação formal dos educadores para lidar com situações de perda em contexto escolar (</w:t>
      </w:r>
      <w:proofErr w:type="spellStart"/>
      <w:r>
        <w:rPr>
          <w:rFonts w:ascii="Times New Roman" w:eastAsia="Times New Roman" w:hAnsi="Times New Roman" w:cs="Times New Roman"/>
        </w:rPr>
        <w:t>Holland</w:t>
      </w:r>
      <w:proofErr w:type="spellEnd"/>
      <w:r>
        <w:rPr>
          <w:rFonts w:ascii="Times New Roman" w:eastAsia="Times New Roman" w:hAnsi="Times New Roman" w:cs="Times New Roman"/>
        </w:rPr>
        <w:t xml:space="preserve">, 2008; </w:t>
      </w:r>
      <w:proofErr w:type="spellStart"/>
      <w:r>
        <w:rPr>
          <w:rFonts w:ascii="Times New Roman" w:eastAsia="Times New Roman" w:hAnsi="Times New Roman" w:cs="Times New Roman"/>
        </w:rPr>
        <w:t>Lively-Endicott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Naimi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Hudson</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Schonfeld</w:t>
      </w:r>
      <w:proofErr w:type="spellEnd"/>
      <w:r>
        <w:rPr>
          <w:rFonts w:ascii="Times New Roman" w:eastAsia="Times New Roman" w:hAnsi="Times New Roman" w:cs="Times New Roman"/>
        </w:rPr>
        <w:t>, 2023). A escassez dessas formações é especialmente relevante se considerarmos que crianças estão sujeitas a experienciar a morte durante o seu percurso escolar em escala relevante (</w:t>
      </w:r>
      <w:proofErr w:type="spellStart"/>
      <w:r>
        <w:rPr>
          <w:rFonts w:ascii="Times New Roman" w:eastAsia="Times New Roman" w:hAnsi="Times New Roman" w:cs="Times New Roman"/>
        </w:rPr>
        <w:t>Currier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Holland</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Neimeyer</w:t>
      </w:r>
      <w:proofErr w:type="spellEnd"/>
      <w:r>
        <w:rPr>
          <w:rFonts w:ascii="Times New Roman" w:eastAsia="Times New Roman" w:hAnsi="Times New Roman" w:cs="Times New Roman"/>
        </w:rPr>
        <w:t xml:space="preserve">, 2007; </w:t>
      </w:r>
      <w:proofErr w:type="spellStart"/>
      <w:r>
        <w:rPr>
          <w:rFonts w:ascii="Times New Roman" w:eastAsia="Times New Roman" w:hAnsi="Times New Roman" w:cs="Times New Roman"/>
        </w:rPr>
        <w:t>Duncan</w:t>
      </w:r>
      <w:proofErr w:type="spellEnd"/>
      <w:r>
        <w:rPr>
          <w:rFonts w:ascii="Times New Roman" w:eastAsia="Times New Roman" w:hAnsi="Times New Roman" w:cs="Times New Roman"/>
        </w:rPr>
        <w:t xml:space="preserve">, 2020). Alinhado aos resultados de </w:t>
      </w:r>
      <w:proofErr w:type="spellStart"/>
      <w:r>
        <w:rPr>
          <w:rFonts w:ascii="Times New Roman" w:eastAsia="Times New Roman" w:hAnsi="Times New Roman" w:cs="Times New Roman"/>
        </w:rPr>
        <w:t>Lively-Endicott</w:t>
      </w:r>
      <w:proofErr w:type="spellEnd"/>
      <w:r>
        <w:rPr>
          <w:rFonts w:ascii="Times New Roman" w:eastAsia="Times New Roman" w:hAnsi="Times New Roman" w:cs="Times New Roman"/>
        </w:rPr>
        <w:t xml:space="preserve"> e colaboradores (2023), os participantes deste estudo, no conjunto, reconhecem a importância de formação e treinamento de educadores para lidar com os temas da morte e luto e desejam que formações desse tipo fossem mais recorrentes, tal qual tantas outras dentro do contexto escolar, como sobre “</w:t>
      </w:r>
      <w:proofErr w:type="spellStart"/>
      <w:r>
        <w:rPr>
          <w:rFonts w:ascii="Times New Roman" w:eastAsia="Times New Roman" w:hAnsi="Times New Roman" w:cs="Times New Roman"/>
        </w:rPr>
        <w:t>bullying</w:t>
      </w:r>
      <w:proofErr w:type="spellEnd"/>
      <w:r>
        <w:rPr>
          <w:rFonts w:ascii="Times New Roman" w:eastAsia="Times New Roman" w:hAnsi="Times New Roman" w:cs="Times New Roman"/>
        </w:rPr>
        <w:t>, inclusão e dificuldades de aprendizagem”.</w:t>
      </w:r>
    </w:p>
    <w:p w14:paraId="24E19D0B"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dimensão “Necessidades na formação” revelou que os professores necessitam e reconhecem a importância de recursos didáticos a nível material (como livros didáticos e cursos), mas também a nível de sensibilidade emocional e de reflexão pessoal. Tal necessidade reverbera o que </w:t>
      </w: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xml:space="preserve"> (2012) já apontava: lidar com a morte exige tanto competências técnicas quanto ao conceito pessoal sobre a finitude – para a autora os educadores “precisam entrar em contato com sua visão de morte, seus processos de luto” (</w:t>
      </w: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2012, p. 75), para elaborarem sua comunicação com os alunos, pois eles influenciam diretamente a forma como as crianças desenvolvem esses conceitos. Os professores entrevistados neste estudo referiram exemplos de vida pessoais que representam bem essa necessidade; por muitas vezes percebeu-se que os professores traziam exemplos pessoais de contacto com o luto e a morte e relacionavam à uma mudança no trato com as crianças e desenvolvimento de “sensibilidade” com a temática.</w:t>
      </w:r>
    </w:p>
    <w:p w14:paraId="7E52853C"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 Além disso, emergiu das falas uma preocupação com a conciliação de crenças religiosas distintas dentro do espaço escolar, desafio este, outrossim, assinalado por Rodríguez e colaboradores (2020), que destacam a dificuldade de separar valores pessoais das responsabilidades profissionais. As falas espontâneas dos participantes (visto que, no presente estudo, não fora perguntado diretamente sobre a influência da religião) referiram uma preocupação com os vieses que as religiões podem ter no </w:t>
      </w:r>
      <w:r>
        <w:rPr>
          <w:rFonts w:ascii="Times New Roman" w:eastAsia="Times New Roman" w:hAnsi="Times New Roman" w:cs="Times New Roman"/>
        </w:rPr>
        <w:lastRenderedPageBreak/>
        <w:t xml:space="preserve">tratamento do assunto – muitos afirmam que a dificuldade em acomodar as expectativas e crenças das </w:t>
      </w:r>
      <w:proofErr w:type="gramStart"/>
      <w:r>
        <w:rPr>
          <w:rFonts w:ascii="Times New Roman" w:eastAsia="Times New Roman" w:hAnsi="Times New Roman" w:cs="Times New Roman"/>
        </w:rPr>
        <w:t>famílias ,</w:t>
      </w:r>
      <w:proofErr w:type="gramEnd"/>
      <w:r>
        <w:rPr>
          <w:rFonts w:ascii="Times New Roman" w:eastAsia="Times New Roman" w:hAnsi="Times New Roman" w:cs="Times New Roman"/>
        </w:rPr>
        <w:t xml:space="preserve"> as questões da criança e as crenças pessoais dos próprios professores.</w:t>
      </w:r>
    </w:p>
    <w:p w14:paraId="3ECE519F"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 que respeita à integração da temática no ensino escolar, observou-se uma tensão entre o reconhecimento da pertinência do tema e a insegurança quanto à sua formalização curricular. A maioria dos professores demonstrou abertura para abordar a morte, mas relutância em estruturá-la como conteúdo pedagógico intencional. Essa interpretação acorda com resultados de Granja (2013) no contexto português e de </w:t>
      </w:r>
      <w:proofErr w:type="spellStart"/>
      <w:r>
        <w:rPr>
          <w:rFonts w:ascii="Times New Roman" w:eastAsia="Times New Roman" w:hAnsi="Times New Roman" w:cs="Times New Roman"/>
        </w:rPr>
        <w:t>Levkovich</w:t>
      </w:r>
      <w:proofErr w:type="spellEnd"/>
      <w:r>
        <w:rPr>
          <w:rFonts w:ascii="Times New Roman" w:eastAsia="Times New Roman" w:hAnsi="Times New Roman" w:cs="Times New Roman"/>
        </w:rPr>
        <w:t xml:space="preserve"> e </w:t>
      </w:r>
      <w:proofErr w:type="spellStart"/>
      <w:r>
        <w:rPr>
          <w:rFonts w:ascii="Times New Roman" w:eastAsia="Times New Roman" w:hAnsi="Times New Roman" w:cs="Times New Roman"/>
        </w:rPr>
        <w:t>Elyoseph</w:t>
      </w:r>
      <w:proofErr w:type="spellEnd"/>
      <w:r>
        <w:rPr>
          <w:rFonts w:ascii="Times New Roman" w:eastAsia="Times New Roman" w:hAnsi="Times New Roman" w:cs="Times New Roman"/>
        </w:rPr>
        <w:t xml:space="preserve"> (2023) no contexto israelense, segundo os quais os educadores tendem a associar a temática a episódios pontuais, mais do que a uma dimensão transversal da educação. Foi também representada nas falas dos participantes “a premissa tácita de que é necessário fazer alguma </w:t>
      </w:r>
      <w:proofErr w:type="gramStart"/>
      <w:r>
        <w:rPr>
          <w:rFonts w:ascii="Times New Roman" w:eastAsia="Times New Roman" w:hAnsi="Times New Roman" w:cs="Times New Roman"/>
        </w:rPr>
        <w:t>coisa</w:t>
      </w:r>
      <w:proofErr w:type="gramEnd"/>
      <w:r>
        <w:rPr>
          <w:rFonts w:ascii="Times New Roman" w:eastAsia="Times New Roman" w:hAnsi="Times New Roman" w:cs="Times New Roman"/>
        </w:rPr>
        <w:t xml:space="preserve"> mas não se sabe muito bem o quê” (Granja, 2013, p. 214). Todos os professores reconheceram a relevância de abordar a morte, porém as compreensões sobre o conteúdo necessário, forma de abordagem, material e recursos ainda parecem dispersas.</w:t>
      </w:r>
    </w:p>
    <w:p w14:paraId="0C1E204C"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Os achados no presente estudo diferenciam-se dos encontrados por </w:t>
      </w:r>
      <w:proofErr w:type="spellStart"/>
      <w:r>
        <w:rPr>
          <w:rFonts w:ascii="Times New Roman" w:eastAsia="Times New Roman" w:hAnsi="Times New Roman" w:cs="Times New Roman"/>
        </w:rPr>
        <w:t>Duncan</w:t>
      </w:r>
      <w:proofErr w:type="spellEnd"/>
      <w:r>
        <w:rPr>
          <w:rFonts w:ascii="Times New Roman" w:eastAsia="Times New Roman" w:hAnsi="Times New Roman" w:cs="Times New Roman"/>
        </w:rPr>
        <w:t xml:space="preserve"> (2020), que verifica que a maioria dos educadores são favoráveis às abordagens ao redor da morte enquanto parte de um currículo escolar. As falas dos participantes, por outro lado, demonstraram resistência quanto à essa integração, principalmente se feita de forma despreparada. Ao mesmo tempo, alguns participantes reconheceram a potencialidade de trabalhar a morte em ligação com conteúdos curriculares e materiais didáticos bem elaborados — em linha com Paiva (2008), que defende a literatura como recurso privilegiado para abordar a morte com crianças.</w:t>
      </w:r>
    </w:p>
    <w:p w14:paraId="7AC9CDC9"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A terceira dimensão, “Capacidade dos educadores em refletir sobre a morte”, trouxe à tona a relação entre a consciência da própria finitude e a prática docente. Embora alguns professores considerem essa reflexão pouco vinculada à sua função profissional, outros reconhecem que a consciência da morte impacta a forma como se relacionam com os alunos e valorizam o tempo vivido. Essa ambivalência sugere que a reflexão pessoal sobre a morte pode funcionar como recurso formativo, reforçando a humanização da prática pedagógica (</w:t>
      </w: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xml:space="preserve">, 2005; </w:t>
      </w:r>
      <w:proofErr w:type="spellStart"/>
      <w:r>
        <w:rPr>
          <w:rFonts w:ascii="Times New Roman" w:eastAsia="Times New Roman" w:hAnsi="Times New Roman" w:cs="Times New Roman"/>
        </w:rPr>
        <w:t>Worden</w:t>
      </w:r>
      <w:proofErr w:type="spellEnd"/>
      <w:r>
        <w:rPr>
          <w:rFonts w:ascii="Times New Roman" w:eastAsia="Times New Roman" w:hAnsi="Times New Roman" w:cs="Times New Roman"/>
        </w:rPr>
        <w:t xml:space="preserve">, 1996). </w:t>
      </w:r>
    </w:p>
    <w:p w14:paraId="2AE8917B"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análise do questionário revelou limitações importantes na formulação de certos itens, especialmente aqueles que exigiam abstrações conceituais que não foram bem esclarecidas, e ainda nos que não se distinguiam de forma nítida os conceitos de morte e luto. Esses </w:t>
      </w:r>
      <w:r>
        <w:rPr>
          <w:rFonts w:ascii="Times New Roman" w:eastAsia="Times New Roman" w:hAnsi="Times New Roman" w:cs="Times New Roman"/>
          <w:i/>
        </w:rPr>
        <w:t>problemas de compreensão</w:t>
      </w:r>
      <w:r>
        <w:rPr>
          <w:rFonts w:ascii="Times New Roman" w:eastAsia="Times New Roman" w:hAnsi="Times New Roman" w:cs="Times New Roman"/>
        </w:rPr>
        <w:t xml:space="preserve"> com as perguntas são consistentes com </w:t>
      </w:r>
      <w:r>
        <w:rPr>
          <w:rFonts w:ascii="Times New Roman" w:eastAsia="Times New Roman" w:hAnsi="Times New Roman" w:cs="Times New Roman"/>
        </w:rPr>
        <w:lastRenderedPageBreak/>
        <w:t xml:space="preserve">a literatura em metodologia da entrevista cognitiva, que evidencia como termos ambíguos, </w:t>
      </w:r>
      <w:proofErr w:type="spellStart"/>
      <w:r>
        <w:rPr>
          <w:rFonts w:ascii="Times New Roman" w:eastAsia="Times New Roman" w:hAnsi="Times New Roman" w:cs="Times New Roman"/>
        </w:rPr>
        <w:t>plurissignificantes</w:t>
      </w:r>
      <w:proofErr w:type="spellEnd"/>
      <w:r>
        <w:rPr>
          <w:rFonts w:ascii="Times New Roman" w:eastAsia="Times New Roman" w:hAnsi="Times New Roman" w:cs="Times New Roman"/>
        </w:rPr>
        <w:t xml:space="preserve"> ou excessivamente gerais podem conduzir a interpretações divergentes entre os sujeitos respondentes (</w:t>
      </w:r>
      <w:proofErr w:type="spellStart"/>
      <w:r>
        <w:rPr>
          <w:rFonts w:ascii="Times New Roman" w:eastAsia="Times New Roman" w:hAnsi="Times New Roman" w:cs="Times New Roman"/>
        </w:rPr>
        <w:t>Schwarz</w:t>
      </w:r>
      <w:proofErr w:type="spellEnd"/>
      <w:r>
        <w:rPr>
          <w:rFonts w:ascii="Times New Roman" w:eastAsia="Times New Roman" w:hAnsi="Times New Roman" w:cs="Times New Roman"/>
        </w:rPr>
        <w:t xml:space="preserve">, 2007;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2005).</w:t>
      </w:r>
    </w:p>
    <w:p w14:paraId="3721E018"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relevância dessa constatação demonstra a necessidade de revisão e reformulação da redação e das ideias postas no questionário. A formulação dos itens tem que favorecer a interpretação por parte dos participantes, de forma a não gerar dúvidas e hesitações quanto ao seu claro entendimento. Conforme o modelo de </w:t>
      </w:r>
      <w:proofErr w:type="spellStart"/>
      <w:r>
        <w:rPr>
          <w:rFonts w:ascii="Times New Roman" w:eastAsia="Times New Roman" w:hAnsi="Times New Roman" w:cs="Times New Roman"/>
        </w:rPr>
        <w:t>Tourangeau</w:t>
      </w:r>
      <w:proofErr w:type="spellEnd"/>
      <w:r>
        <w:rPr>
          <w:rFonts w:ascii="Times New Roman" w:eastAsia="Times New Roman" w:hAnsi="Times New Roman" w:cs="Times New Roman"/>
        </w:rPr>
        <w:t xml:space="preserve"> e colaboradores (2000), a interpretação é a etapa mais importante do processo de resposta e afeta todos os passos seguintes de resposta. No caso específico deste estudo, isso acarretou, por exemplo, que os professores ora interpretavam “recursos” como materiais didáticos, ora como competências pessoais, ora ainda como apoio institucional, produzindo uma grande diversidade de respostas e </w:t>
      </w:r>
      <w:proofErr w:type="spellStart"/>
      <w:r>
        <w:rPr>
          <w:rFonts w:ascii="Times New Roman" w:eastAsia="Times New Roman" w:hAnsi="Times New Roman" w:cs="Times New Roman"/>
        </w:rPr>
        <w:t>perspectivas</w:t>
      </w:r>
      <w:proofErr w:type="spellEnd"/>
      <w:r>
        <w:rPr>
          <w:rFonts w:ascii="Times New Roman" w:eastAsia="Times New Roman" w:hAnsi="Times New Roman" w:cs="Times New Roman"/>
        </w:rPr>
        <w:t>.</w:t>
      </w:r>
    </w:p>
    <w:p w14:paraId="299ECC57" w14:textId="77777777"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De forma geral, este estudo sugere que a educação para a morte, apesar de reconhecida como relevante, permanece um tema marcado por inseguranças, tabus e carências formativas. Nesse sentido, os resultados dialogam com a literatura internacional dos </w:t>
      </w:r>
      <w:proofErr w:type="spellStart"/>
      <w:r>
        <w:rPr>
          <w:rFonts w:ascii="Times New Roman" w:eastAsia="Times New Roman" w:hAnsi="Times New Roman" w:cs="Times New Roman"/>
          <w:i/>
        </w:rPr>
        <w:t>death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studies</w:t>
      </w:r>
      <w:proofErr w:type="spellEnd"/>
      <w:r>
        <w:rPr>
          <w:rFonts w:ascii="Times New Roman" w:eastAsia="Times New Roman" w:hAnsi="Times New Roman" w:cs="Times New Roman"/>
        </w:rPr>
        <w:t xml:space="preserve"> (McGovern &amp; </w:t>
      </w:r>
      <w:proofErr w:type="spellStart"/>
      <w:r>
        <w:rPr>
          <w:rFonts w:ascii="Times New Roman" w:eastAsia="Times New Roman" w:hAnsi="Times New Roman" w:cs="Times New Roman"/>
        </w:rPr>
        <w:t>Murray</w:t>
      </w:r>
      <w:proofErr w:type="spellEnd"/>
      <w:r>
        <w:rPr>
          <w:rFonts w:ascii="Times New Roman" w:eastAsia="Times New Roman" w:hAnsi="Times New Roman" w:cs="Times New Roman"/>
        </w:rPr>
        <w:t xml:space="preserve">, 2000; </w:t>
      </w:r>
      <w:proofErr w:type="spellStart"/>
      <w:r>
        <w:rPr>
          <w:rFonts w:ascii="Times New Roman" w:eastAsia="Times New Roman" w:hAnsi="Times New Roman" w:cs="Times New Roman"/>
        </w:rPr>
        <w:t>Dyregrov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Dyregrov</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Idsoe</w:t>
      </w:r>
      <w:proofErr w:type="spellEnd"/>
      <w:r>
        <w:rPr>
          <w:rFonts w:ascii="Times New Roman" w:eastAsia="Times New Roman" w:hAnsi="Times New Roman" w:cs="Times New Roman"/>
        </w:rPr>
        <w:t>, 2013) e reforçam a necessidade de programas de formação inicial, contínua e atual que incluam o tema de forma sistemática. Marcadamente, os participantes desse estudo compreendem que uma formação de um tema tão sensível passa, não tão somente, por ensinar teorias, técnicas e práticas: “</w:t>
      </w:r>
      <w:r>
        <w:rPr>
          <w:rFonts w:ascii="Times New Roman" w:eastAsia="Times New Roman" w:hAnsi="Times New Roman" w:cs="Times New Roman"/>
          <w:i/>
        </w:rPr>
        <w:t>Acho importante que a formação ensine sensibilidade para com as pessoas, e não seja apenas um monte de teorias.” -</w:t>
      </w:r>
      <w:r>
        <w:rPr>
          <w:rFonts w:ascii="Times New Roman" w:eastAsia="Times New Roman" w:hAnsi="Times New Roman" w:cs="Times New Roman"/>
        </w:rPr>
        <w:t xml:space="preserve"> P7. A integração curricular, ainda que temerosa por muitos professores, poderia pavimentar uma via para normalizar o diálogo sobre a morte, reduzindo o peso e ampliando a capacidade da escola em oferecer suporte a crianças enlutadas e maior discussão aberta sobre o tema.</w:t>
      </w:r>
    </w:p>
    <w:p w14:paraId="4C11F45B" w14:textId="6A932D50" w:rsidR="00FA6B71" w:rsidRDefault="00000000">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 que diz respeito às limitações do presente estudo, há </w:t>
      </w:r>
      <w:r w:rsidR="001032A6">
        <w:rPr>
          <w:rFonts w:ascii="Times New Roman" w:eastAsia="Times New Roman" w:hAnsi="Times New Roman" w:cs="Times New Roman"/>
        </w:rPr>
        <w:t>que</w:t>
      </w:r>
      <w:r>
        <w:rPr>
          <w:rFonts w:ascii="Times New Roman" w:eastAsia="Times New Roman" w:hAnsi="Times New Roman" w:cs="Times New Roman"/>
        </w:rPr>
        <w:t xml:space="preserve"> salientar a baixa adesão dos professores, gerando uma amostra pequena. A limitação de horários, bem como a dificuldade de disponibilização para entrevistas de 30 a 50 minutos pode ter sido um fator determinante. Tal fato contribui para que o estudo </w:t>
      </w:r>
      <w:r w:rsidR="00117F81">
        <w:rPr>
          <w:rFonts w:ascii="Times New Roman" w:eastAsia="Times New Roman" w:hAnsi="Times New Roman" w:cs="Times New Roman"/>
        </w:rPr>
        <w:t>se limitasse</w:t>
      </w:r>
      <w:r>
        <w:rPr>
          <w:rFonts w:ascii="Times New Roman" w:eastAsia="Times New Roman" w:hAnsi="Times New Roman" w:cs="Times New Roman"/>
        </w:rPr>
        <w:t xml:space="preserve"> </w:t>
      </w:r>
      <w:r w:rsidR="00117F81">
        <w:rPr>
          <w:rFonts w:ascii="Times New Roman" w:eastAsia="Times New Roman" w:hAnsi="Times New Roman" w:cs="Times New Roman"/>
        </w:rPr>
        <w:t>a</w:t>
      </w:r>
      <w:r>
        <w:rPr>
          <w:rFonts w:ascii="Times New Roman" w:eastAsia="Times New Roman" w:hAnsi="Times New Roman" w:cs="Times New Roman"/>
        </w:rPr>
        <w:t xml:space="preserve"> poucas</w:t>
      </w:r>
      <w:r w:rsidR="00117F81">
        <w:rPr>
          <w:rFonts w:ascii="Times New Roman" w:eastAsia="Times New Roman" w:hAnsi="Times New Roman" w:cs="Times New Roman"/>
        </w:rPr>
        <w:t xml:space="preserve"> </w:t>
      </w:r>
      <w:proofErr w:type="spellStart"/>
      <w:r w:rsidR="00117F81">
        <w:rPr>
          <w:rFonts w:ascii="Times New Roman" w:eastAsia="Times New Roman" w:hAnsi="Times New Roman" w:cs="Times New Roman"/>
        </w:rPr>
        <w:t>perspectivas</w:t>
      </w:r>
      <w:proofErr w:type="spellEnd"/>
      <w:r>
        <w:rPr>
          <w:rFonts w:ascii="Times New Roman" w:eastAsia="Times New Roman" w:hAnsi="Times New Roman" w:cs="Times New Roman"/>
        </w:rPr>
        <w:t xml:space="preserve">, ainda que bastante ilustrativas, acerca do fenômeno estudado. O recorte temporal em que se deu o recrutamento também contribuiu para a baixa adesão, uma vez que foi realizado nos últimos meses do período letivo, período em que os </w:t>
      </w:r>
      <w:r>
        <w:rPr>
          <w:rFonts w:ascii="Times New Roman" w:eastAsia="Times New Roman" w:hAnsi="Times New Roman" w:cs="Times New Roman"/>
        </w:rPr>
        <w:lastRenderedPageBreak/>
        <w:t xml:space="preserve">professores, tipicamente, estão ocupados com muitas outras tarefas e </w:t>
      </w:r>
      <w:r w:rsidR="001032A6">
        <w:rPr>
          <w:rFonts w:ascii="Times New Roman" w:eastAsia="Times New Roman" w:hAnsi="Times New Roman" w:cs="Times New Roman"/>
        </w:rPr>
        <w:t xml:space="preserve">têm </w:t>
      </w:r>
      <w:r>
        <w:rPr>
          <w:rFonts w:ascii="Times New Roman" w:eastAsia="Times New Roman" w:hAnsi="Times New Roman" w:cs="Times New Roman"/>
        </w:rPr>
        <w:t>pouca disponibilidade para estudos deste cariz.</w:t>
      </w:r>
    </w:p>
    <w:p w14:paraId="3B3416E1" w14:textId="2B3E3898" w:rsidR="00FA6B71" w:rsidRDefault="00000000" w:rsidP="00117F81">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Outr</w:t>
      </w:r>
      <w:r w:rsidR="00117F81">
        <w:rPr>
          <w:rFonts w:ascii="Times New Roman" w:eastAsia="Times New Roman" w:hAnsi="Times New Roman" w:cs="Times New Roman"/>
        </w:rPr>
        <w:t>a</w:t>
      </w:r>
      <w:r>
        <w:rPr>
          <w:rFonts w:ascii="Times New Roman" w:eastAsia="Times New Roman" w:hAnsi="Times New Roman" w:cs="Times New Roman"/>
        </w:rPr>
        <w:t xml:space="preserve"> limitação relevante relaciona-se à escolha da metodologia empregada. Embora este formato de entrevista, por ser mais diretiva e organizada, tenha conseguido contribuir para trazer </w:t>
      </w:r>
      <w:proofErr w:type="spellStart"/>
      <w:r>
        <w:rPr>
          <w:rFonts w:ascii="Times New Roman" w:eastAsia="Times New Roman" w:hAnsi="Times New Roman" w:cs="Times New Roman"/>
        </w:rPr>
        <w:t>perspectivas</w:t>
      </w:r>
      <w:proofErr w:type="spellEnd"/>
      <w:r>
        <w:rPr>
          <w:rFonts w:ascii="Times New Roman" w:eastAsia="Times New Roman" w:hAnsi="Times New Roman" w:cs="Times New Roman"/>
        </w:rPr>
        <w:t xml:space="preserve"> diversas sem que os participantes escapassem muito do tema, sua configuração específica aparentou ser de difícil compreensão. A entrevista cognitiva demanda um treinamento prévio dos sujeitos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1999; </w:t>
      </w:r>
      <w:proofErr w:type="spellStart"/>
      <w:r>
        <w:rPr>
          <w:rFonts w:ascii="Times New Roman" w:eastAsia="Times New Roman" w:hAnsi="Times New Roman" w:cs="Times New Roman"/>
        </w:rPr>
        <w:t>Schwartz</w:t>
      </w:r>
      <w:proofErr w:type="spellEnd"/>
      <w:r>
        <w:rPr>
          <w:rFonts w:ascii="Times New Roman" w:eastAsia="Times New Roman" w:hAnsi="Times New Roman" w:cs="Times New Roman"/>
        </w:rPr>
        <w:t xml:space="preserve">, 2007); no presente estudo esse treinamento foi limitado pelo tempo disponível, o que constantemente gerou dúvidas e dificuldades. Outro </w:t>
      </w:r>
      <w:proofErr w:type="spellStart"/>
      <w:r>
        <w:rPr>
          <w:rFonts w:ascii="Times New Roman" w:eastAsia="Times New Roman" w:hAnsi="Times New Roman" w:cs="Times New Roman"/>
        </w:rPr>
        <w:t>aspecto</w:t>
      </w:r>
      <w:proofErr w:type="spellEnd"/>
      <w:r>
        <w:rPr>
          <w:rFonts w:ascii="Times New Roman" w:eastAsia="Times New Roman" w:hAnsi="Times New Roman" w:cs="Times New Roman"/>
        </w:rPr>
        <w:t xml:space="preserve"> limitante é que, na utilização da entrevista cognitiva enquanto método, é comum que sejam empregados mais de um entrevistador, para que posteriormente se compare os dados e seja feita a revisão. No caso da presente pesquisa, apenas um entrevistador foi utilizado, o que pode, por um lado, ser um potencial gerador de viés e, por outro, dificultar a identificação de problemas reais dentro da pilotagem do questionário.</w:t>
      </w:r>
    </w:p>
    <w:p w14:paraId="27A4DC4B" w14:textId="77777777" w:rsidR="00117F81" w:rsidRDefault="00117F81" w:rsidP="00117F81">
      <w:pPr>
        <w:spacing w:line="360" w:lineRule="auto"/>
        <w:ind w:firstLine="720"/>
        <w:jc w:val="both"/>
        <w:rPr>
          <w:rFonts w:ascii="Times New Roman" w:eastAsia="Times New Roman" w:hAnsi="Times New Roman" w:cs="Times New Roman"/>
        </w:rPr>
      </w:pPr>
    </w:p>
    <w:p w14:paraId="585E94D2" w14:textId="77777777" w:rsidR="00FA6B71" w:rsidRDefault="00FA6B71">
      <w:pPr>
        <w:spacing w:line="360" w:lineRule="auto"/>
        <w:ind w:firstLine="720"/>
        <w:jc w:val="both"/>
        <w:rPr>
          <w:rFonts w:ascii="Times New Roman" w:eastAsia="Times New Roman" w:hAnsi="Times New Roman" w:cs="Times New Roman"/>
        </w:rPr>
      </w:pPr>
    </w:p>
    <w:p w14:paraId="3F802963" w14:textId="0833A8E9" w:rsidR="00FA6B71" w:rsidRDefault="00000000" w:rsidP="007B7C3D">
      <w:pPr>
        <w:pStyle w:val="Ttulo1"/>
        <w:numPr>
          <w:ilvl w:val="0"/>
          <w:numId w:val="5"/>
        </w:numPr>
      </w:pPr>
      <w:bookmarkStart w:id="17" w:name="_Toc210994454"/>
      <w:r>
        <w:t>Considerações finais</w:t>
      </w:r>
      <w:bookmarkEnd w:id="17"/>
    </w:p>
    <w:p w14:paraId="32C0806D" w14:textId="11C9FAA3"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 xml:space="preserve">O presente estudo enquadra-se dentro do campo da Educação para a Morte, uma área de estudo em expansão que integra conhecimentos da Psicologia, Educação e Saúde para se debruçar sobre o tema da morte e do luto nos diferentes contextos da experiência social. Mais especificamente, os objetivos deste estudo alinharam-se com a área da Educação Básica, buscando compreender as </w:t>
      </w:r>
      <w:proofErr w:type="spellStart"/>
      <w:r>
        <w:rPr>
          <w:rFonts w:ascii="Times New Roman" w:eastAsia="Times New Roman" w:hAnsi="Times New Roman" w:cs="Times New Roman"/>
        </w:rPr>
        <w:t>percepções</w:t>
      </w:r>
      <w:proofErr w:type="spellEnd"/>
      <w:r>
        <w:rPr>
          <w:rFonts w:ascii="Times New Roman" w:eastAsia="Times New Roman" w:hAnsi="Times New Roman" w:cs="Times New Roman"/>
        </w:rPr>
        <w:t xml:space="preserve"> e opiniões de professores de crianças entre 6 </w:t>
      </w:r>
      <w:r w:rsidR="001032A6">
        <w:rPr>
          <w:rFonts w:ascii="Times New Roman" w:eastAsia="Times New Roman" w:hAnsi="Times New Roman" w:cs="Times New Roman"/>
        </w:rPr>
        <w:t xml:space="preserve">e </w:t>
      </w:r>
      <w:r>
        <w:rPr>
          <w:rFonts w:ascii="Times New Roman" w:eastAsia="Times New Roman" w:hAnsi="Times New Roman" w:cs="Times New Roman"/>
        </w:rPr>
        <w:t xml:space="preserve">10 anos sobre o ensino dos conceitos de Morte e Luto. Ademais, buscou-se avaliar como os professores avaliam essa abordagem, se é adequada ou não, se deveria ou não ser estruturada em currículo. Além disso, o estudo baseou-se em escala validada em um estudo anterior (Rodríguez </w:t>
      </w:r>
      <w:proofErr w:type="spellStart"/>
      <w:r w:rsidR="001032A6">
        <w:rPr>
          <w:rFonts w:ascii="Times New Roman" w:eastAsia="Times New Roman" w:hAnsi="Times New Roman" w:cs="Times New Roman"/>
        </w:rPr>
        <w:t>et</w:t>
      </w:r>
      <w:proofErr w:type="spellEnd"/>
      <w:r w:rsidR="001032A6">
        <w:rPr>
          <w:rFonts w:ascii="Times New Roman" w:eastAsia="Times New Roman" w:hAnsi="Times New Roman" w:cs="Times New Roman"/>
        </w:rPr>
        <w:t xml:space="preserve"> al.</w:t>
      </w:r>
      <w:r>
        <w:rPr>
          <w:rFonts w:ascii="Times New Roman" w:eastAsia="Times New Roman" w:hAnsi="Times New Roman" w:cs="Times New Roman"/>
        </w:rPr>
        <w:t xml:space="preserve">, 2020) para desenvolver uma adaptação própria e realizar uma pilotagem do mesmo utilizando a metodologia da Entrevista Cognitiva por </w:t>
      </w:r>
      <w:r>
        <w:rPr>
          <w:rFonts w:ascii="Times New Roman" w:eastAsia="Times New Roman" w:hAnsi="Times New Roman" w:cs="Times New Roman"/>
          <w:i/>
        </w:rPr>
        <w:t xml:space="preserve">Verbal </w:t>
      </w:r>
      <w:proofErr w:type="spellStart"/>
      <w:r>
        <w:rPr>
          <w:rFonts w:ascii="Times New Roman" w:eastAsia="Times New Roman" w:hAnsi="Times New Roman" w:cs="Times New Roman"/>
          <w:i/>
        </w:rPr>
        <w:t>Probing</w:t>
      </w:r>
      <w:proofErr w:type="spellEnd"/>
      <w:r>
        <w:rPr>
          <w:rFonts w:ascii="Times New Roman" w:eastAsia="Times New Roman" w:hAnsi="Times New Roman" w:cs="Times New Roman"/>
          <w:i/>
        </w:rPr>
        <w:t>.</w:t>
      </w:r>
      <w:r>
        <w:rPr>
          <w:rFonts w:ascii="Times New Roman" w:eastAsia="Times New Roman" w:hAnsi="Times New Roman" w:cs="Times New Roman"/>
        </w:rPr>
        <w:t xml:space="preserve"> </w:t>
      </w:r>
    </w:p>
    <w:p w14:paraId="1E0B97B0" w14:textId="15744303" w:rsidR="00FA6B71"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Os resultados obtidos indicam que, embora exista um reconhecimento generalizado sobre a importância de abordar a morte no contexto escolar, continuam a existir lacunas significativas na formação dos educadores que os prepare</w:t>
      </w:r>
      <w:r w:rsidR="001032A6">
        <w:rPr>
          <w:rFonts w:ascii="Times New Roman" w:eastAsia="Times New Roman" w:hAnsi="Times New Roman" w:cs="Times New Roman"/>
        </w:rPr>
        <w:t>m</w:t>
      </w:r>
      <w:r>
        <w:rPr>
          <w:rFonts w:ascii="Times New Roman" w:eastAsia="Times New Roman" w:hAnsi="Times New Roman" w:cs="Times New Roman"/>
        </w:rPr>
        <w:t xml:space="preserve"> para lidar com esta temática de forma segura, sensível e organizada. As entrevistas realizadas indicaram a necessidade de uma formação que não se resuma ao emprego de cursos eventuais com conteúdos teóricos sobre a temática, mas que promova o </w:t>
      </w:r>
      <w:r>
        <w:rPr>
          <w:rFonts w:ascii="Times New Roman" w:eastAsia="Times New Roman" w:hAnsi="Times New Roman" w:cs="Times New Roman"/>
        </w:rPr>
        <w:lastRenderedPageBreak/>
        <w:t xml:space="preserve">desenvolvimento de competências emocionais e de sensibilidade para com as crianças. A Educação para a Morte, neste sentido, deve ser concebida como um processo transversal à formação humana e não apenas como um conteúdo pontual a ser ensinado. Essa admissão parte do pressuposto geral de que a Escola não é tão somente um lugar de aprendizado de conteúdos, mas </w:t>
      </w:r>
      <w:r w:rsidR="001032A6">
        <w:rPr>
          <w:rFonts w:ascii="Times New Roman" w:eastAsia="Times New Roman" w:hAnsi="Times New Roman" w:cs="Times New Roman"/>
        </w:rPr>
        <w:t>também um</w:t>
      </w:r>
      <w:r>
        <w:rPr>
          <w:rFonts w:ascii="Times New Roman" w:eastAsia="Times New Roman" w:hAnsi="Times New Roman" w:cs="Times New Roman"/>
        </w:rPr>
        <w:t xml:space="preserve"> espaço que prepara e desenvolve indivíduos para a vida adulta, discute e reflete sobre os assuntos mais importantes para o desenvolvimento da consciência humana.</w:t>
      </w:r>
    </w:p>
    <w:p w14:paraId="0D74FF98" w14:textId="0C6CBF70" w:rsidR="00A67841" w:rsidRDefault="00000000" w:rsidP="00A67841">
      <w:pPr>
        <w:spacing w:line="360" w:lineRule="auto"/>
        <w:jc w:val="both"/>
        <w:rPr>
          <w:rFonts w:ascii="Times New Roman" w:eastAsia="Times New Roman" w:hAnsi="Times New Roman" w:cs="Times New Roman"/>
        </w:rPr>
      </w:pPr>
      <w:r>
        <w:rPr>
          <w:rFonts w:ascii="Times New Roman" w:eastAsia="Times New Roman" w:hAnsi="Times New Roman" w:cs="Times New Roman"/>
        </w:rPr>
        <w:tab/>
        <w:t>É saliente a falta de investigações dessa natureza dentro do contexto português</w:t>
      </w:r>
      <w:r w:rsidR="001032A6">
        <w:rPr>
          <w:rFonts w:ascii="Times New Roman" w:eastAsia="Times New Roman" w:hAnsi="Times New Roman" w:cs="Times New Roman"/>
        </w:rPr>
        <w:t xml:space="preserve">; </w:t>
      </w:r>
      <w:r>
        <w:rPr>
          <w:rFonts w:ascii="Times New Roman" w:eastAsia="Times New Roman" w:hAnsi="Times New Roman" w:cs="Times New Roman"/>
        </w:rPr>
        <w:t xml:space="preserve">são poucos autores que </w:t>
      </w:r>
      <w:r w:rsidR="001032A6">
        <w:rPr>
          <w:rFonts w:ascii="Times New Roman" w:eastAsia="Times New Roman" w:hAnsi="Times New Roman" w:cs="Times New Roman"/>
        </w:rPr>
        <w:t>se debruçaram</w:t>
      </w:r>
      <w:r>
        <w:rPr>
          <w:rFonts w:ascii="Times New Roman" w:eastAsia="Times New Roman" w:hAnsi="Times New Roman" w:cs="Times New Roman"/>
        </w:rPr>
        <w:t xml:space="preserve"> sobre a temática dentro da área da Educação, e os estudos que existem, via de regra, são do escopo da Saúde. A pilotagem do questionário e as reflexões presentes neste estudo poderiam servir como ponto de partida para novas e mais abrangentes investigações empíricas sobre os fenômenos. Salta disto outro </w:t>
      </w:r>
      <w:proofErr w:type="spellStart"/>
      <w:r>
        <w:rPr>
          <w:rFonts w:ascii="Times New Roman" w:eastAsia="Times New Roman" w:hAnsi="Times New Roman" w:cs="Times New Roman"/>
        </w:rPr>
        <w:t>aspecto</w:t>
      </w:r>
      <w:proofErr w:type="spellEnd"/>
      <w:r>
        <w:rPr>
          <w:rFonts w:ascii="Times New Roman" w:eastAsia="Times New Roman" w:hAnsi="Times New Roman" w:cs="Times New Roman"/>
        </w:rPr>
        <w:t xml:space="preserve"> relevante: apesar da importância da categoria qualitativa do presente estudo em aprofundar a exploração sobre as atitudes e opiniões dos participantes, aponta-se a necessidade de estudos empíricos quantitativos que poss</w:t>
      </w:r>
      <w:r w:rsidR="00817508">
        <w:rPr>
          <w:rFonts w:ascii="Times New Roman" w:eastAsia="Times New Roman" w:hAnsi="Times New Roman" w:cs="Times New Roman"/>
        </w:rPr>
        <w:t xml:space="preserve">ibilitem </w:t>
      </w:r>
      <w:r>
        <w:rPr>
          <w:rFonts w:ascii="Times New Roman" w:eastAsia="Times New Roman" w:hAnsi="Times New Roman" w:cs="Times New Roman"/>
        </w:rPr>
        <w:t>generalizar os dado</w:t>
      </w:r>
      <w:r w:rsidR="00817508">
        <w:rPr>
          <w:rFonts w:ascii="Times New Roman" w:eastAsia="Times New Roman" w:hAnsi="Times New Roman" w:cs="Times New Roman"/>
        </w:rPr>
        <w:t>s</w:t>
      </w:r>
      <w:r>
        <w:rPr>
          <w:rFonts w:ascii="Times New Roman" w:eastAsia="Times New Roman" w:hAnsi="Times New Roman" w:cs="Times New Roman"/>
        </w:rPr>
        <w:t>. O presente estudo já em sua natureza aponta para essa necessidade uma vez que faz a pilotagem de um instrumento derivado de uma escala quantitativ</w:t>
      </w:r>
      <w:r w:rsidR="00817508">
        <w:rPr>
          <w:rFonts w:ascii="Times New Roman" w:eastAsia="Times New Roman" w:hAnsi="Times New Roman" w:cs="Times New Roman"/>
        </w:rPr>
        <w:t>a;</w:t>
      </w:r>
      <w:r>
        <w:rPr>
          <w:rFonts w:ascii="Times New Roman" w:eastAsia="Times New Roman" w:hAnsi="Times New Roman" w:cs="Times New Roman"/>
        </w:rPr>
        <w:t xml:space="preserve"> então era de extrema relevância para o campo de estudos que esses fenômenos fossem estudados em maior escala. Além disso, como o presente estudo restringiu-se a abordar o tema da Morte de forma mais abrangente, é essencial mais estudos que trabalhem a ideia de </w:t>
      </w:r>
      <w:r>
        <w:rPr>
          <w:rFonts w:ascii="Times New Roman" w:eastAsia="Times New Roman" w:hAnsi="Times New Roman" w:cs="Times New Roman"/>
          <w:i/>
        </w:rPr>
        <w:t>Luto Infantil</w:t>
      </w:r>
      <w:r>
        <w:rPr>
          <w:rFonts w:ascii="Times New Roman" w:eastAsia="Times New Roman" w:hAnsi="Times New Roman" w:cs="Times New Roman"/>
        </w:rPr>
        <w:t xml:space="preserve"> separadamente dentro da Educação para a Morte.</w:t>
      </w:r>
      <w:r w:rsidR="00A67841">
        <w:rPr>
          <w:rFonts w:ascii="Times New Roman" w:eastAsia="Times New Roman" w:hAnsi="Times New Roman" w:cs="Times New Roman"/>
        </w:rPr>
        <w:tab/>
      </w:r>
    </w:p>
    <w:p w14:paraId="698D5184" w14:textId="77777777" w:rsidR="00A67841" w:rsidRDefault="00A67841">
      <w:pPr>
        <w:rPr>
          <w:rFonts w:ascii="Times New Roman" w:eastAsia="Times New Roman" w:hAnsi="Times New Roman" w:cs="Times New Roman"/>
        </w:rPr>
      </w:pPr>
      <w:r>
        <w:rPr>
          <w:rFonts w:ascii="Times New Roman" w:eastAsia="Times New Roman" w:hAnsi="Times New Roman" w:cs="Times New Roman"/>
        </w:rPr>
        <w:br w:type="page"/>
      </w:r>
    </w:p>
    <w:p w14:paraId="16003939" w14:textId="39DAC248" w:rsidR="00FA6B71" w:rsidRDefault="00000000" w:rsidP="007B7C3D">
      <w:pPr>
        <w:pStyle w:val="Ttulo1"/>
        <w:numPr>
          <w:ilvl w:val="0"/>
          <w:numId w:val="0"/>
        </w:numPr>
      </w:pPr>
      <w:bookmarkStart w:id="18" w:name="_Toc210994455"/>
      <w:r>
        <w:lastRenderedPageBreak/>
        <w:t>Referências</w:t>
      </w:r>
      <w:r w:rsidR="007B7C3D">
        <w:t xml:space="preserve"> Bibliográficas</w:t>
      </w:r>
      <w:bookmarkEnd w:id="18"/>
    </w:p>
    <w:p w14:paraId="21A000F9" w14:textId="77777777" w:rsidR="00FA6B71" w:rsidRDefault="00FA6B71">
      <w:pPr>
        <w:spacing w:line="360" w:lineRule="auto"/>
        <w:jc w:val="both"/>
        <w:rPr>
          <w:rFonts w:ascii="Times New Roman" w:eastAsia="Times New Roman" w:hAnsi="Times New Roman" w:cs="Times New Roman"/>
          <w:b/>
        </w:rPr>
      </w:pPr>
    </w:p>
    <w:p w14:paraId="5DC4000A" w14:textId="4342666F" w:rsidR="00117F8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Aberastury</w:t>
      </w:r>
      <w:proofErr w:type="spellEnd"/>
      <w:r>
        <w:rPr>
          <w:rFonts w:ascii="Times New Roman" w:eastAsia="Times New Roman" w:hAnsi="Times New Roman" w:cs="Times New Roman"/>
        </w:rPr>
        <w:t xml:space="preserve">, A. (1984).  A </w:t>
      </w:r>
      <w:proofErr w:type="spellStart"/>
      <w:r>
        <w:rPr>
          <w:rFonts w:ascii="Times New Roman" w:eastAsia="Times New Roman" w:hAnsi="Times New Roman" w:cs="Times New Roman"/>
        </w:rPr>
        <w:t>percepção</w:t>
      </w:r>
      <w:proofErr w:type="spellEnd"/>
      <w:r>
        <w:rPr>
          <w:rFonts w:ascii="Times New Roman" w:eastAsia="Times New Roman" w:hAnsi="Times New Roman" w:cs="Times New Roman"/>
        </w:rPr>
        <w:t xml:space="preserve"> da morte na criança e outros escritos. Porto Alegre: Artmed.</w:t>
      </w:r>
    </w:p>
    <w:p w14:paraId="70A14BA8"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Bardin</w:t>
      </w:r>
      <w:proofErr w:type="spellEnd"/>
      <w:r>
        <w:rPr>
          <w:rFonts w:ascii="Times New Roman" w:eastAsia="Times New Roman" w:hAnsi="Times New Roman" w:cs="Times New Roman"/>
        </w:rPr>
        <w:t>, L. (2010). Análise de conteúdo (4ª ed.). Lisboa: Edições 70.</w:t>
      </w:r>
    </w:p>
    <w:p w14:paraId="76E058D3"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Bhalla</w:t>
      </w:r>
      <w:proofErr w:type="spellEnd"/>
      <w:r>
        <w:rPr>
          <w:rFonts w:ascii="Times New Roman" w:eastAsia="Times New Roman" w:hAnsi="Times New Roman" w:cs="Times New Roman"/>
        </w:rPr>
        <w:t xml:space="preserve">, S., </w:t>
      </w:r>
      <w:proofErr w:type="spellStart"/>
      <w:r>
        <w:rPr>
          <w:rFonts w:ascii="Times New Roman" w:eastAsia="Times New Roman" w:hAnsi="Times New Roman" w:cs="Times New Roman"/>
        </w:rPr>
        <w:t>Bahar</w:t>
      </w:r>
      <w:proofErr w:type="spellEnd"/>
      <w:r>
        <w:rPr>
          <w:rFonts w:ascii="Times New Roman" w:eastAsia="Times New Roman" w:hAnsi="Times New Roman" w:cs="Times New Roman"/>
        </w:rPr>
        <w:t xml:space="preserve">, N., &amp; </w:t>
      </w:r>
      <w:proofErr w:type="spellStart"/>
      <w:r>
        <w:rPr>
          <w:rFonts w:ascii="Times New Roman" w:eastAsia="Times New Roman" w:hAnsi="Times New Roman" w:cs="Times New Roman"/>
        </w:rPr>
        <w:t>Kanapathy</w:t>
      </w:r>
      <w:proofErr w:type="spellEnd"/>
      <w:r>
        <w:rPr>
          <w:rFonts w:ascii="Times New Roman" w:eastAsia="Times New Roman" w:hAnsi="Times New Roman" w:cs="Times New Roman"/>
        </w:rPr>
        <w:t xml:space="preserve">, K. (2023). </w:t>
      </w:r>
      <w:proofErr w:type="spellStart"/>
      <w:r>
        <w:rPr>
          <w:rFonts w:ascii="Times New Roman" w:eastAsia="Times New Roman" w:hAnsi="Times New Roman" w:cs="Times New Roman"/>
        </w:rPr>
        <w:t>Pre-testing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semi-structured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interview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questions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using</w:t>
      </w:r>
      <w:proofErr w:type="spellEnd"/>
      <w:r>
        <w:rPr>
          <w:rFonts w:ascii="Times New Roman" w:eastAsia="Times New Roman" w:hAnsi="Times New Roman" w:cs="Times New Roman"/>
        </w:rPr>
        <w:t xml:space="preserve"> expert </w:t>
      </w:r>
      <w:proofErr w:type="spellStart"/>
      <w:r>
        <w:rPr>
          <w:rFonts w:ascii="Times New Roman" w:eastAsia="Times New Roman" w:hAnsi="Times New Roman" w:cs="Times New Roman"/>
        </w:rPr>
        <w:t>review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cognitive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interview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methods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International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Journal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Business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Management, 7(5), 11-19.</w:t>
      </w:r>
    </w:p>
    <w:p w14:paraId="17BC8CF8" w14:textId="77777777" w:rsidR="00FA6B71" w:rsidRDefault="00000000" w:rsidP="00817508">
      <w:pPr>
        <w:spacing w:line="360" w:lineRule="auto"/>
        <w:ind w:left="426" w:hanging="425"/>
        <w:jc w:val="both"/>
        <w:rPr>
          <w:rFonts w:ascii="Times New Roman" w:eastAsia="Times New Roman" w:hAnsi="Times New Roman" w:cs="Times New Roman"/>
          <w:b/>
        </w:rPr>
      </w:pPr>
      <w:proofErr w:type="spellStart"/>
      <w:r>
        <w:rPr>
          <w:rFonts w:ascii="Times New Roman" w:eastAsia="Times New Roman" w:hAnsi="Times New Roman" w:cs="Times New Roman"/>
        </w:rPr>
        <w:t>Beatty</w:t>
      </w:r>
      <w:proofErr w:type="spellEnd"/>
      <w:r>
        <w:rPr>
          <w:rFonts w:ascii="Times New Roman" w:eastAsia="Times New Roman" w:hAnsi="Times New Roman" w:cs="Times New Roman"/>
        </w:rPr>
        <w:t xml:space="preserve">, P.C., &amp; </w:t>
      </w: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G.B. (2007). Research </w:t>
      </w:r>
      <w:proofErr w:type="spellStart"/>
      <w:r>
        <w:rPr>
          <w:rFonts w:ascii="Times New Roman" w:eastAsia="Times New Roman" w:hAnsi="Times New Roman" w:cs="Times New Roman"/>
        </w:rPr>
        <w:t>synthesis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practice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cognitive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interviewing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Publ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Opin</w:t>
      </w:r>
      <w:proofErr w:type="spellEnd"/>
      <w:r>
        <w:rPr>
          <w:rFonts w:ascii="Times New Roman" w:eastAsia="Times New Roman" w:hAnsi="Times New Roman" w:cs="Times New Roman"/>
        </w:rPr>
        <w:t>. Q. 71 (2), 287–311.</w:t>
      </w:r>
    </w:p>
    <w:p w14:paraId="3778B261"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Braun</w:t>
      </w:r>
      <w:proofErr w:type="spellEnd"/>
      <w:r>
        <w:rPr>
          <w:rFonts w:ascii="Times New Roman" w:eastAsia="Times New Roman" w:hAnsi="Times New Roman" w:cs="Times New Roman"/>
        </w:rPr>
        <w:t xml:space="preserve">, V., &amp; Clarke, V. (2006). </w:t>
      </w:r>
      <w:proofErr w:type="spellStart"/>
      <w:r>
        <w:rPr>
          <w:rFonts w:ascii="Times New Roman" w:eastAsia="Times New Roman" w:hAnsi="Times New Roman" w:cs="Times New Roman"/>
        </w:rPr>
        <w:t>Using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thematic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analysis</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psychology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Qualitative</w:t>
      </w:r>
      <w:proofErr w:type="spellEnd"/>
      <w:r>
        <w:rPr>
          <w:rFonts w:ascii="Times New Roman" w:eastAsia="Times New Roman" w:hAnsi="Times New Roman" w:cs="Times New Roman"/>
          <w:i/>
        </w:rPr>
        <w:t xml:space="preserve"> Research in </w:t>
      </w:r>
      <w:proofErr w:type="spellStart"/>
      <w:r>
        <w:rPr>
          <w:rFonts w:ascii="Times New Roman" w:eastAsia="Times New Roman" w:hAnsi="Times New Roman" w:cs="Times New Roman"/>
          <w:i/>
        </w:rPr>
        <w:t>Psychology</w:t>
      </w:r>
      <w:proofErr w:type="spellEnd"/>
      <w:r>
        <w:rPr>
          <w:rFonts w:ascii="Times New Roman" w:eastAsia="Times New Roman" w:hAnsi="Times New Roman" w:cs="Times New Roman"/>
          <w:i/>
        </w:rPr>
        <w:t>, 3 (2)</w:t>
      </w:r>
      <w:r>
        <w:rPr>
          <w:rFonts w:ascii="Times New Roman" w:eastAsia="Times New Roman" w:hAnsi="Times New Roman" w:cs="Times New Roman"/>
        </w:rPr>
        <w:t xml:space="preserve">, 77 101. </w:t>
      </w:r>
      <w:hyperlink r:id="rId14">
        <w:r w:rsidR="00FA6B71">
          <w:rPr>
            <w:rFonts w:ascii="Times New Roman" w:eastAsia="Times New Roman" w:hAnsi="Times New Roman" w:cs="Times New Roman"/>
            <w:color w:val="1155CC"/>
            <w:u w:val="single"/>
          </w:rPr>
          <w:t>https://doi.org/10.1191/1478088706qp063o</w:t>
        </w:r>
      </w:hyperlink>
    </w:p>
    <w:p w14:paraId="2C5FF421" w14:textId="77777777" w:rsidR="00FA6B71" w:rsidRDefault="00000000" w:rsidP="00817508">
      <w:pPr>
        <w:spacing w:line="360" w:lineRule="auto"/>
        <w:ind w:left="426" w:hanging="425"/>
        <w:jc w:val="both"/>
        <w:rPr>
          <w:rFonts w:ascii="Times New Roman" w:eastAsia="Times New Roman" w:hAnsi="Times New Roman" w:cs="Times New Roman"/>
          <w:b/>
        </w:rPr>
      </w:pPr>
      <w:proofErr w:type="spellStart"/>
      <w:r>
        <w:rPr>
          <w:rFonts w:ascii="Times New Roman" w:eastAsia="Times New Roman" w:hAnsi="Times New Roman" w:cs="Times New Roman"/>
        </w:rPr>
        <w:t>Costelloe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Mintz</w:t>
      </w:r>
      <w:proofErr w:type="spellEnd"/>
      <w:r>
        <w:rPr>
          <w:rFonts w:ascii="Times New Roman" w:eastAsia="Times New Roman" w:hAnsi="Times New Roman" w:cs="Times New Roman"/>
        </w:rPr>
        <w:t xml:space="preserve">, J., &amp; Lee, F. (2020). </w:t>
      </w:r>
      <w:proofErr w:type="spellStart"/>
      <w:r>
        <w:rPr>
          <w:rFonts w:ascii="Times New Roman" w:eastAsia="Times New Roman" w:hAnsi="Times New Roman" w:cs="Times New Roman"/>
        </w:rPr>
        <w:t>Bereavement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support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provision</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primary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schools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exploratory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Educational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Psychology</w:t>
      </w:r>
      <w:proofErr w:type="spellEnd"/>
      <w:r>
        <w:rPr>
          <w:rFonts w:ascii="Times New Roman" w:eastAsia="Times New Roman" w:hAnsi="Times New Roman" w:cs="Times New Roman"/>
          <w:i/>
        </w:rPr>
        <w:t xml:space="preserve"> in </w:t>
      </w:r>
      <w:proofErr w:type="spellStart"/>
      <w:r>
        <w:rPr>
          <w:rFonts w:ascii="Times New Roman" w:eastAsia="Times New Roman" w:hAnsi="Times New Roman" w:cs="Times New Roman"/>
          <w:i/>
        </w:rPr>
        <w:t>Practice</w:t>
      </w:r>
      <w:proofErr w:type="spellEnd"/>
      <w:r>
        <w:rPr>
          <w:rFonts w:ascii="Times New Roman" w:eastAsia="Times New Roman" w:hAnsi="Times New Roman" w:cs="Times New Roman"/>
          <w:i/>
        </w:rPr>
        <w:t>, 36</w:t>
      </w:r>
      <w:r>
        <w:rPr>
          <w:rFonts w:ascii="Times New Roman" w:eastAsia="Times New Roman" w:hAnsi="Times New Roman" w:cs="Times New Roman"/>
        </w:rPr>
        <w:t xml:space="preserve">(3), 281–296. </w:t>
      </w:r>
      <w:hyperlink r:id="rId15">
        <w:r w:rsidR="00FA6B71">
          <w:rPr>
            <w:rFonts w:ascii="Times New Roman" w:eastAsia="Times New Roman" w:hAnsi="Times New Roman" w:cs="Times New Roman"/>
            <w:color w:val="1155CC"/>
            <w:u w:val="single"/>
          </w:rPr>
          <w:t>https://doi.org/10.1080/02667363.2020.1767040</w:t>
        </w:r>
      </w:hyperlink>
    </w:p>
    <w:p w14:paraId="78255500" w14:textId="77777777" w:rsidR="00FA6B71" w:rsidRDefault="00000000" w:rsidP="00817508">
      <w:pPr>
        <w:spacing w:line="360" w:lineRule="auto"/>
        <w:ind w:left="426" w:hanging="425"/>
        <w:jc w:val="both"/>
        <w:rPr>
          <w:rFonts w:ascii="Times New Roman" w:eastAsia="Times New Roman" w:hAnsi="Times New Roman" w:cs="Times New Roman"/>
          <w:b/>
        </w:rPr>
      </w:pPr>
      <w:proofErr w:type="spellStart"/>
      <w:r>
        <w:rPr>
          <w:rFonts w:ascii="Times New Roman" w:eastAsia="Times New Roman" w:hAnsi="Times New Roman" w:cs="Times New Roman"/>
        </w:rPr>
        <w:t>Currier</w:t>
      </w:r>
      <w:proofErr w:type="spellEnd"/>
      <w:r>
        <w:rPr>
          <w:rFonts w:ascii="Times New Roman" w:eastAsia="Times New Roman" w:hAnsi="Times New Roman" w:cs="Times New Roman"/>
        </w:rPr>
        <w:t xml:space="preserve">, J., </w:t>
      </w:r>
      <w:proofErr w:type="spellStart"/>
      <w:r>
        <w:rPr>
          <w:rFonts w:ascii="Times New Roman" w:eastAsia="Times New Roman" w:hAnsi="Times New Roman" w:cs="Times New Roman"/>
        </w:rPr>
        <w:t>Holland</w:t>
      </w:r>
      <w:proofErr w:type="spellEnd"/>
      <w:r>
        <w:rPr>
          <w:rFonts w:ascii="Times New Roman" w:eastAsia="Times New Roman" w:hAnsi="Times New Roman" w:cs="Times New Roman"/>
        </w:rPr>
        <w:t xml:space="preserve">, J., &amp; </w:t>
      </w:r>
      <w:proofErr w:type="spellStart"/>
      <w:r>
        <w:rPr>
          <w:rFonts w:ascii="Times New Roman" w:eastAsia="Times New Roman" w:hAnsi="Times New Roman" w:cs="Times New Roman"/>
        </w:rPr>
        <w:t>Neimeyer</w:t>
      </w:r>
      <w:proofErr w:type="spellEnd"/>
      <w:r>
        <w:rPr>
          <w:rFonts w:ascii="Times New Roman" w:eastAsia="Times New Roman" w:hAnsi="Times New Roman" w:cs="Times New Roman"/>
        </w:rPr>
        <w:t xml:space="preserve">, R. (2007). REVIEW ARTICLE: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Effectiveness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Bereavement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Interventions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Children</w:t>
      </w:r>
      <w:proofErr w:type="spellEnd"/>
      <w:r>
        <w:rPr>
          <w:rFonts w:ascii="Times New Roman" w:eastAsia="Times New Roman" w:hAnsi="Times New Roman" w:cs="Times New Roman"/>
        </w:rPr>
        <w:t>: A Meta-</w:t>
      </w:r>
      <w:proofErr w:type="spellStart"/>
      <w:r>
        <w:rPr>
          <w:rFonts w:ascii="Times New Roman" w:eastAsia="Times New Roman" w:hAnsi="Times New Roman" w:cs="Times New Roman"/>
        </w:rPr>
        <w:t>Analytic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Review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Controlled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Outcome</w:t>
      </w:r>
      <w:proofErr w:type="spellEnd"/>
      <w:r>
        <w:rPr>
          <w:rFonts w:ascii="Times New Roman" w:eastAsia="Times New Roman" w:hAnsi="Times New Roman" w:cs="Times New Roman"/>
        </w:rPr>
        <w:t xml:space="preserve"> Research. </w:t>
      </w:r>
      <w:proofErr w:type="spellStart"/>
      <w:r>
        <w:rPr>
          <w:rFonts w:ascii="Times New Roman" w:eastAsia="Times New Roman" w:hAnsi="Times New Roman" w:cs="Times New Roman"/>
          <w:i/>
        </w:rPr>
        <w:t>Journal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of</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Clinical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Child</w:t>
      </w:r>
      <w:proofErr w:type="spellEnd"/>
      <w:r>
        <w:rPr>
          <w:rFonts w:ascii="Times New Roman" w:eastAsia="Times New Roman" w:hAnsi="Times New Roman" w:cs="Times New Roman"/>
          <w:i/>
        </w:rPr>
        <w:t xml:space="preserve"> &amp; </w:t>
      </w:r>
      <w:proofErr w:type="spellStart"/>
      <w:r>
        <w:rPr>
          <w:rFonts w:ascii="Times New Roman" w:eastAsia="Times New Roman" w:hAnsi="Times New Roman" w:cs="Times New Roman"/>
          <w:i/>
        </w:rPr>
        <w:t>Adolescent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Psychology</w:t>
      </w:r>
      <w:proofErr w:type="spellEnd"/>
      <w:r>
        <w:rPr>
          <w:rFonts w:ascii="Times New Roman" w:eastAsia="Times New Roman" w:hAnsi="Times New Roman" w:cs="Times New Roman"/>
          <w:i/>
        </w:rPr>
        <w:t>, 36</w:t>
      </w:r>
      <w:r>
        <w:rPr>
          <w:rFonts w:ascii="Times New Roman" w:eastAsia="Times New Roman" w:hAnsi="Times New Roman" w:cs="Times New Roman"/>
        </w:rPr>
        <w:t xml:space="preserve">(2), 253–259. </w:t>
      </w:r>
      <w:hyperlink r:id="rId16">
        <w:r w:rsidR="00FA6B71">
          <w:rPr>
            <w:rFonts w:ascii="Times New Roman" w:eastAsia="Times New Roman" w:hAnsi="Times New Roman" w:cs="Times New Roman"/>
            <w:color w:val="1155CC"/>
            <w:u w:val="single"/>
          </w:rPr>
          <w:t>https://doi.org/10.1080/15374410701279669</w:t>
        </w:r>
      </w:hyperlink>
    </w:p>
    <w:p w14:paraId="4B3AD7FC" w14:textId="77777777" w:rsidR="00FA6B71" w:rsidRDefault="00000000" w:rsidP="00817508">
      <w:pPr>
        <w:spacing w:line="360" w:lineRule="auto"/>
        <w:ind w:left="426" w:hanging="425"/>
        <w:jc w:val="both"/>
        <w:rPr>
          <w:rFonts w:ascii="Times New Roman" w:eastAsia="Times New Roman" w:hAnsi="Times New Roman" w:cs="Times New Roman"/>
        </w:rPr>
      </w:pPr>
      <w:r>
        <w:rPr>
          <w:rFonts w:ascii="Times New Roman" w:eastAsia="Times New Roman" w:hAnsi="Times New Roman" w:cs="Times New Roman"/>
        </w:rPr>
        <w:t>Domingos, B., &amp; Maluf, M. R. (2003). Experiências de Perda e de Luto em Escolares de 13 a 18 anos. Psicologia: Reflexão e Crítica, 16(3), 577-589.</w:t>
      </w:r>
    </w:p>
    <w:p w14:paraId="2B7CC979" w14:textId="77777777" w:rsidR="00FA6B71" w:rsidRDefault="00000000" w:rsidP="00817508">
      <w:pPr>
        <w:spacing w:line="360" w:lineRule="auto"/>
        <w:ind w:left="426" w:hanging="425"/>
        <w:jc w:val="both"/>
        <w:rPr>
          <w:rFonts w:ascii="Times New Roman" w:eastAsia="Times New Roman" w:hAnsi="Times New Roman" w:cs="Times New Roman"/>
          <w:b/>
        </w:rPr>
      </w:pPr>
      <w:proofErr w:type="spellStart"/>
      <w:r>
        <w:rPr>
          <w:rFonts w:ascii="Times New Roman" w:eastAsia="Times New Roman" w:hAnsi="Times New Roman" w:cs="Times New Roman"/>
        </w:rPr>
        <w:t>Duncan</w:t>
      </w:r>
      <w:proofErr w:type="spellEnd"/>
      <w:r>
        <w:rPr>
          <w:rFonts w:ascii="Times New Roman" w:eastAsia="Times New Roman" w:hAnsi="Times New Roman" w:cs="Times New Roman"/>
        </w:rPr>
        <w:t xml:space="preserve">, D. A. (2020).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Dying</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Systematic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Review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Approaches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Used</w:t>
      </w:r>
      <w:proofErr w:type="spellEnd"/>
      <w:r>
        <w:rPr>
          <w:rFonts w:ascii="Times New Roman" w:eastAsia="Times New Roman" w:hAnsi="Times New Roman" w:cs="Times New Roman"/>
        </w:rPr>
        <w:t xml:space="preserve"> to </w:t>
      </w:r>
      <w:proofErr w:type="spellStart"/>
      <w:r>
        <w:rPr>
          <w:rFonts w:ascii="Times New Roman" w:eastAsia="Times New Roman" w:hAnsi="Times New Roman" w:cs="Times New Roman"/>
        </w:rPr>
        <w:t>Support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Bereaved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Children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Review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of</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Education</w:t>
      </w:r>
      <w:proofErr w:type="spellEnd"/>
      <w:r>
        <w:rPr>
          <w:rFonts w:ascii="Times New Roman" w:eastAsia="Times New Roman" w:hAnsi="Times New Roman" w:cs="Times New Roman"/>
          <w:i/>
        </w:rPr>
        <w:t>, 8</w:t>
      </w:r>
      <w:r>
        <w:rPr>
          <w:rFonts w:ascii="Times New Roman" w:eastAsia="Times New Roman" w:hAnsi="Times New Roman" w:cs="Times New Roman"/>
        </w:rPr>
        <w:t xml:space="preserve">(2), 452–479. </w:t>
      </w:r>
      <w:hyperlink r:id="rId17">
        <w:r w:rsidR="00FA6B71">
          <w:rPr>
            <w:rFonts w:ascii="Times New Roman" w:eastAsia="Times New Roman" w:hAnsi="Times New Roman" w:cs="Times New Roman"/>
            <w:color w:val="1155CC"/>
            <w:u w:val="single"/>
          </w:rPr>
          <w:t>https://doi.org/10.1002/rev3.3193</w:t>
        </w:r>
      </w:hyperlink>
    </w:p>
    <w:p w14:paraId="6D49E226" w14:textId="77777777" w:rsidR="00FA6B71" w:rsidRDefault="00000000" w:rsidP="00817508">
      <w:pPr>
        <w:spacing w:line="360" w:lineRule="auto"/>
        <w:ind w:left="426" w:hanging="425"/>
        <w:jc w:val="both"/>
        <w:rPr>
          <w:rFonts w:ascii="Times New Roman" w:eastAsia="Times New Roman" w:hAnsi="Times New Roman" w:cs="Times New Roman"/>
          <w:b/>
        </w:rPr>
      </w:pPr>
      <w:proofErr w:type="spellStart"/>
      <w:r>
        <w:rPr>
          <w:rFonts w:ascii="Times New Roman" w:eastAsia="Times New Roman" w:hAnsi="Times New Roman" w:cs="Times New Roman"/>
        </w:rPr>
        <w:t>Dyregrov</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Dyregrov</w:t>
      </w:r>
      <w:proofErr w:type="spellEnd"/>
      <w:r>
        <w:rPr>
          <w:rFonts w:ascii="Times New Roman" w:eastAsia="Times New Roman" w:hAnsi="Times New Roman" w:cs="Times New Roman"/>
        </w:rPr>
        <w:t xml:space="preserve">, K., &amp; </w:t>
      </w:r>
      <w:proofErr w:type="spellStart"/>
      <w:r>
        <w:rPr>
          <w:rFonts w:ascii="Times New Roman" w:eastAsia="Times New Roman" w:hAnsi="Times New Roman" w:cs="Times New Roman"/>
        </w:rPr>
        <w:t>Idsoe</w:t>
      </w:r>
      <w:proofErr w:type="spellEnd"/>
      <w:r>
        <w:rPr>
          <w:rFonts w:ascii="Times New Roman" w:eastAsia="Times New Roman" w:hAnsi="Times New Roman" w:cs="Times New Roman"/>
        </w:rPr>
        <w:t xml:space="preserve">, T. (2013). </w:t>
      </w:r>
      <w:proofErr w:type="spellStart"/>
      <w:r>
        <w:rPr>
          <w:rFonts w:ascii="Times New Roman" w:eastAsia="Times New Roman" w:hAnsi="Times New Roman" w:cs="Times New Roman"/>
        </w:rPr>
        <w:t>Teachers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perceptions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their</w:t>
      </w:r>
      <w:proofErr w:type="spellEnd"/>
      <w:r>
        <w:rPr>
          <w:rFonts w:ascii="Times New Roman" w:eastAsia="Times New Roman" w:hAnsi="Times New Roman" w:cs="Times New Roman"/>
        </w:rPr>
        <w:t xml:space="preserve"> role </w:t>
      </w:r>
      <w:proofErr w:type="spellStart"/>
      <w:r>
        <w:rPr>
          <w:rFonts w:ascii="Times New Roman" w:eastAsia="Times New Roman" w:hAnsi="Times New Roman" w:cs="Times New Roman"/>
        </w:rPr>
        <w:t>facing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children</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grief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Emotional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Behavioural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Difficulties</w:t>
      </w:r>
      <w:proofErr w:type="spellEnd"/>
      <w:r>
        <w:rPr>
          <w:rFonts w:ascii="Times New Roman" w:eastAsia="Times New Roman" w:hAnsi="Times New Roman" w:cs="Times New Roman"/>
          <w:i/>
        </w:rPr>
        <w:t>, 18</w:t>
      </w:r>
      <w:r>
        <w:rPr>
          <w:rFonts w:ascii="Times New Roman" w:eastAsia="Times New Roman" w:hAnsi="Times New Roman" w:cs="Times New Roman"/>
        </w:rPr>
        <w:t xml:space="preserve">(2), 125-134–134. </w:t>
      </w:r>
      <w:hyperlink r:id="rId18">
        <w:r w:rsidR="00FA6B71">
          <w:rPr>
            <w:rFonts w:ascii="Times New Roman" w:eastAsia="Times New Roman" w:hAnsi="Times New Roman" w:cs="Times New Roman"/>
            <w:color w:val="1155CC"/>
            <w:u w:val="single"/>
          </w:rPr>
          <w:t>https://doi.org/10.1080/13632752.2012.754165</w:t>
        </w:r>
      </w:hyperlink>
    </w:p>
    <w:p w14:paraId="4675B8AD" w14:textId="77777777" w:rsidR="00FA6B71" w:rsidRDefault="00000000" w:rsidP="00817508">
      <w:pPr>
        <w:spacing w:line="360" w:lineRule="auto"/>
        <w:ind w:left="426" w:hanging="425"/>
        <w:jc w:val="both"/>
        <w:rPr>
          <w:rFonts w:ascii="Times New Roman" w:eastAsia="Times New Roman" w:hAnsi="Times New Roman" w:cs="Times New Roman"/>
          <w:b/>
        </w:rPr>
      </w:pPr>
      <w:proofErr w:type="spellStart"/>
      <w:r>
        <w:rPr>
          <w:rFonts w:ascii="Times New Roman" w:eastAsia="Times New Roman" w:hAnsi="Times New Roman" w:cs="Times New Roman"/>
        </w:rPr>
        <w:t>Granek</w:t>
      </w:r>
      <w:proofErr w:type="spellEnd"/>
      <w:r>
        <w:rPr>
          <w:rFonts w:ascii="Times New Roman" w:eastAsia="Times New Roman" w:hAnsi="Times New Roman" w:cs="Times New Roman"/>
        </w:rPr>
        <w:t xml:space="preserve">, L. (2010). </w:t>
      </w:r>
      <w:proofErr w:type="spellStart"/>
      <w:r>
        <w:rPr>
          <w:rFonts w:ascii="Times New Roman" w:eastAsia="Times New Roman" w:hAnsi="Times New Roman" w:cs="Times New Roman"/>
        </w:rPr>
        <w:t>Grief</w:t>
      </w:r>
      <w:proofErr w:type="spellEnd"/>
      <w:r>
        <w:rPr>
          <w:rFonts w:ascii="Times New Roman" w:eastAsia="Times New Roman" w:hAnsi="Times New Roman" w:cs="Times New Roman"/>
        </w:rPr>
        <w:t xml:space="preserve"> As </w:t>
      </w:r>
      <w:proofErr w:type="spellStart"/>
      <w:r>
        <w:rPr>
          <w:rFonts w:ascii="Times New Roman" w:eastAsia="Times New Roman" w:hAnsi="Times New Roman" w:cs="Times New Roman"/>
        </w:rPr>
        <w:t>Pathology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Evolution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Grief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Theory</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Psychology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From</w:t>
      </w:r>
      <w:proofErr w:type="spellEnd"/>
      <w:r>
        <w:rPr>
          <w:rFonts w:ascii="Times New Roman" w:eastAsia="Times New Roman" w:hAnsi="Times New Roman" w:cs="Times New Roman"/>
        </w:rPr>
        <w:t xml:space="preserve"> Freud to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History</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of</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Psychology</w:t>
      </w:r>
      <w:proofErr w:type="spellEnd"/>
      <w:r>
        <w:rPr>
          <w:rFonts w:ascii="Times New Roman" w:eastAsia="Times New Roman" w:hAnsi="Times New Roman" w:cs="Times New Roman"/>
          <w:i/>
        </w:rPr>
        <w:t>, 13</w:t>
      </w:r>
      <w:r>
        <w:rPr>
          <w:rFonts w:ascii="Times New Roman" w:eastAsia="Times New Roman" w:hAnsi="Times New Roman" w:cs="Times New Roman"/>
        </w:rPr>
        <w:t xml:space="preserve">(1), 46-73–73. </w:t>
      </w:r>
      <w:hyperlink r:id="rId19">
        <w:r w:rsidR="00FA6B71">
          <w:rPr>
            <w:rFonts w:ascii="Times New Roman" w:eastAsia="Times New Roman" w:hAnsi="Times New Roman" w:cs="Times New Roman"/>
            <w:color w:val="1155CC"/>
            <w:u w:val="single"/>
          </w:rPr>
          <w:t>https://doi.org/10.1037/a0016991</w:t>
        </w:r>
      </w:hyperlink>
    </w:p>
    <w:p w14:paraId="2D3A9BD7" w14:textId="77777777" w:rsidR="00FA6B71" w:rsidRDefault="00000000" w:rsidP="00817508">
      <w:pPr>
        <w:spacing w:line="360" w:lineRule="auto"/>
        <w:ind w:left="426" w:hanging="425"/>
        <w:jc w:val="both"/>
        <w:rPr>
          <w:rFonts w:ascii="Times New Roman" w:eastAsia="Times New Roman" w:hAnsi="Times New Roman" w:cs="Times New Roman"/>
        </w:rPr>
      </w:pPr>
      <w:r>
        <w:rPr>
          <w:rFonts w:ascii="Times New Roman" w:eastAsia="Times New Roman" w:hAnsi="Times New Roman" w:cs="Times New Roman"/>
        </w:rPr>
        <w:t>Granja, A. M. A. (2013). A morte e o luto em contexto escolar: das vivências na primeira pessoa à (</w:t>
      </w:r>
      <w:proofErr w:type="spellStart"/>
      <w:r>
        <w:rPr>
          <w:rFonts w:ascii="Times New Roman" w:eastAsia="Times New Roman" w:hAnsi="Times New Roman" w:cs="Times New Roman"/>
        </w:rPr>
        <w:t>re</w:t>
      </w:r>
      <w:proofErr w:type="spellEnd"/>
      <w:r>
        <w:rPr>
          <w:rFonts w:ascii="Times New Roman" w:eastAsia="Times New Roman" w:hAnsi="Times New Roman" w:cs="Times New Roman"/>
        </w:rPr>
        <w:t>) significação do conceito de escola acolhedora.</w:t>
      </w:r>
    </w:p>
    <w:p w14:paraId="3C795C86" w14:textId="77777777" w:rsidR="00FA6B71" w:rsidRDefault="00000000" w:rsidP="00817508">
      <w:pPr>
        <w:spacing w:line="360" w:lineRule="auto"/>
        <w:ind w:left="426" w:hanging="425"/>
        <w:jc w:val="both"/>
        <w:rPr>
          <w:rFonts w:ascii="Times New Roman" w:eastAsia="Times New Roman" w:hAnsi="Times New Roman" w:cs="Times New Roman"/>
          <w:b/>
        </w:rPr>
      </w:pPr>
      <w:proofErr w:type="spellStart"/>
      <w:r>
        <w:rPr>
          <w:rFonts w:ascii="Times New Roman" w:eastAsia="Times New Roman" w:hAnsi="Times New Roman" w:cs="Times New Roman"/>
        </w:rPr>
        <w:lastRenderedPageBreak/>
        <w:t>Holland</w:t>
      </w:r>
      <w:proofErr w:type="spellEnd"/>
      <w:r>
        <w:rPr>
          <w:rFonts w:ascii="Times New Roman" w:eastAsia="Times New Roman" w:hAnsi="Times New Roman" w:cs="Times New Roman"/>
        </w:rPr>
        <w:t xml:space="preserve">, J. (2008). </w:t>
      </w:r>
      <w:proofErr w:type="spellStart"/>
      <w:r>
        <w:rPr>
          <w:rFonts w:ascii="Times New Roman" w:eastAsia="Times New Roman" w:hAnsi="Times New Roman" w:cs="Times New Roman"/>
        </w:rPr>
        <w:t>How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schools</w:t>
      </w:r>
      <w:proofErr w:type="spellEnd"/>
      <w:r>
        <w:rPr>
          <w:rFonts w:ascii="Times New Roman" w:eastAsia="Times New Roman" w:hAnsi="Times New Roman" w:cs="Times New Roman"/>
        </w:rPr>
        <w:t xml:space="preserve"> can </w:t>
      </w:r>
      <w:proofErr w:type="spellStart"/>
      <w:r>
        <w:rPr>
          <w:rFonts w:ascii="Times New Roman" w:eastAsia="Times New Roman" w:hAnsi="Times New Roman" w:cs="Times New Roman"/>
        </w:rPr>
        <w:t>support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children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who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experience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loss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British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Journal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of</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Guidance</w:t>
      </w:r>
      <w:proofErr w:type="spellEnd"/>
      <w:r>
        <w:rPr>
          <w:rFonts w:ascii="Times New Roman" w:eastAsia="Times New Roman" w:hAnsi="Times New Roman" w:cs="Times New Roman"/>
          <w:i/>
        </w:rPr>
        <w:t xml:space="preserve"> &amp; </w:t>
      </w:r>
      <w:proofErr w:type="spellStart"/>
      <w:r>
        <w:rPr>
          <w:rFonts w:ascii="Times New Roman" w:eastAsia="Times New Roman" w:hAnsi="Times New Roman" w:cs="Times New Roman"/>
          <w:i/>
        </w:rPr>
        <w:t>Counselling</w:t>
      </w:r>
      <w:proofErr w:type="spellEnd"/>
      <w:r>
        <w:rPr>
          <w:rFonts w:ascii="Times New Roman" w:eastAsia="Times New Roman" w:hAnsi="Times New Roman" w:cs="Times New Roman"/>
          <w:i/>
        </w:rPr>
        <w:t>, 36</w:t>
      </w:r>
      <w:r>
        <w:rPr>
          <w:rFonts w:ascii="Times New Roman" w:eastAsia="Times New Roman" w:hAnsi="Times New Roman" w:cs="Times New Roman"/>
        </w:rPr>
        <w:t xml:space="preserve">(4), 411–424. </w:t>
      </w:r>
      <w:hyperlink r:id="rId20">
        <w:r w:rsidR="00FA6B71">
          <w:rPr>
            <w:rFonts w:ascii="Times New Roman" w:eastAsia="Times New Roman" w:hAnsi="Times New Roman" w:cs="Times New Roman"/>
            <w:color w:val="1155CC"/>
            <w:u w:val="single"/>
          </w:rPr>
          <w:t>https://doi.org/10.1080/03069880802364569</w:t>
        </w:r>
      </w:hyperlink>
    </w:p>
    <w:p w14:paraId="16DF5D38"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Kastenbaum</w:t>
      </w:r>
      <w:proofErr w:type="spellEnd"/>
      <w:r>
        <w:rPr>
          <w:rFonts w:ascii="Times New Roman" w:eastAsia="Times New Roman" w:hAnsi="Times New Roman" w:cs="Times New Roman"/>
        </w:rPr>
        <w:t xml:space="preserve">, R., &amp; </w:t>
      </w:r>
      <w:proofErr w:type="spellStart"/>
      <w:r>
        <w:rPr>
          <w:rFonts w:ascii="Times New Roman" w:eastAsia="Times New Roman" w:hAnsi="Times New Roman" w:cs="Times New Roman"/>
        </w:rPr>
        <w:t>Aisenberg</w:t>
      </w:r>
      <w:proofErr w:type="spellEnd"/>
      <w:r>
        <w:rPr>
          <w:rFonts w:ascii="Times New Roman" w:eastAsia="Times New Roman" w:hAnsi="Times New Roman" w:cs="Times New Roman"/>
        </w:rPr>
        <w:t xml:space="preserve">, R. (1983). Psicologia da Morte (A. P. Lessa, </w:t>
      </w:r>
      <w:proofErr w:type="spellStart"/>
      <w:r>
        <w:rPr>
          <w:rFonts w:ascii="Times New Roman" w:eastAsia="Times New Roman" w:hAnsi="Times New Roman" w:cs="Times New Roman"/>
        </w:rPr>
        <w:t>Trad</w:t>
      </w:r>
      <w:proofErr w:type="spellEnd"/>
      <w:r>
        <w:rPr>
          <w:rFonts w:ascii="Times New Roman" w:eastAsia="Times New Roman" w:hAnsi="Times New Roman" w:cs="Times New Roman"/>
        </w:rPr>
        <w:t>.). São Paulo, SP: Editora da Universidade de São Paulo.</w:t>
      </w:r>
    </w:p>
    <w:p w14:paraId="1207ED56"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xml:space="preserve">, M. J. (1992). </w:t>
      </w:r>
      <w:r>
        <w:rPr>
          <w:rFonts w:ascii="Times New Roman" w:eastAsia="Times New Roman" w:hAnsi="Times New Roman" w:cs="Times New Roman"/>
          <w:i/>
        </w:rPr>
        <w:t>Morte e desenvolvimento humano</w:t>
      </w:r>
      <w:r>
        <w:rPr>
          <w:rFonts w:ascii="Times New Roman" w:eastAsia="Times New Roman" w:hAnsi="Times New Roman" w:cs="Times New Roman"/>
        </w:rPr>
        <w:t>. São Paulo: Casa do Psicólogo.</w:t>
      </w:r>
    </w:p>
    <w:p w14:paraId="5528B45D" w14:textId="77777777" w:rsidR="00FA6B71" w:rsidRDefault="00000000" w:rsidP="00817508">
      <w:pPr>
        <w:spacing w:line="360" w:lineRule="auto"/>
        <w:ind w:left="426" w:hanging="425"/>
        <w:jc w:val="both"/>
        <w:rPr>
          <w:rFonts w:ascii="Times New Roman" w:eastAsia="Times New Roman" w:hAnsi="Times New Roman" w:cs="Times New Roman"/>
          <w:b/>
        </w:rPr>
      </w:pP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xml:space="preserve">, M. J. (2008). Desenvolvimento da Tanatologia: estudos sobre a morte e o morrer. </w:t>
      </w:r>
      <w:proofErr w:type="spellStart"/>
      <w:r>
        <w:rPr>
          <w:rFonts w:ascii="Times New Roman" w:eastAsia="Times New Roman" w:hAnsi="Times New Roman" w:cs="Times New Roman"/>
          <w:i/>
        </w:rPr>
        <w:t>Paidéia</w:t>
      </w:r>
      <w:proofErr w:type="spellEnd"/>
      <w:r>
        <w:rPr>
          <w:rFonts w:ascii="Times New Roman" w:eastAsia="Times New Roman" w:hAnsi="Times New Roman" w:cs="Times New Roman"/>
          <w:i/>
        </w:rPr>
        <w:t xml:space="preserve"> (Ribeirão Preto), 18</w:t>
      </w:r>
      <w:r>
        <w:rPr>
          <w:rFonts w:ascii="Times New Roman" w:eastAsia="Times New Roman" w:hAnsi="Times New Roman" w:cs="Times New Roman"/>
        </w:rPr>
        <w:t>(41), 457–468. https://doi.org/10.1590/S0103-863X2008000300004</w:t>
      </w:r>
    </w:p>
    <w:p w14:paraId="159C2F80"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Kovács</w:t>
      </w:r>
      <w:proofErr w:type="spellEnd"/>
      <w:r>
        <w:rPr>
          <w:rFonts w:ascii="Times New Roman" w:eastAsia="Times New Roman" w:hAnsi="Times New Roman" w:cs="Times New Roman"/>
        </w:rPr>
        <w:t xml:space="preserve">, M. J. (2012). Educadores e a morte. </w:t>
      </w:r>
      <w:r>
        <w:rPr>
          <w:rFonts w:ascii="Times New Roman" w:eastAsia="Times New Roman" w:hAnsi="Times New Roman" w:cs="Times New Roman"/>
          <w:i/>
        </w:rPr>
        <w:t>Psicologia Escolar e Educacional, 16</w:t>
      </w:r>
      <w:r>
        <w:rPr>
          <w:rFonts w:ascii="Times New Roman" w:eastAsia="Times New Roman" w:hAnsi="Times New Roman" w:cs="Times New Roman"/>
        </w:rPr>
        <w:t xml:space="preserve">(1). </w:t>
      </w:r>
      <w:hyperlink r:id="rId21">
        <w:r w:rsidR="00FA6B71">
          <w:rPr>
            <w:rFonts w:ascii="Times New Roman" w:eastAsia="Times New Roman" w:hAnsi="Times New Roman" w:cs="Times New Roman"/>
            <w:color w:val="1155CC"/>
            <w:u w:val="single"/>
          </w:rPr>
          <w:t>https://doi.org/10.1590/S1413-85572012000100008</w:t>
        </w:r>
      </w:hyperlink>
    </w:p>
    <w:p w14:paraId="23D70191"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Kubler</w:t>
      </w:r>
      <w:proofErr w:type="spellEnd"/>
      <w:r>
        <w:rPr>
          <w:rFonts w:ascii="Times New Roman" w:eastAsia="Times New Roman" w:hAnsi="Times New Roman" w:cs="Times New Roman"/>
        </w:rPr>
        <w:t xml:space="preserve">-Ross E. (1969) </w:t>
      </w:r>
      <w:proofErr w:type="spellStart"/>
      <w:r>
        <w:rPr>
          <w:rFonts w:ascii="Times New Roman" w:eastAsia="Times New Roman" w:hAnsi="Times New Roman" w:cs="Times New Roman"/>
          <w:i/>
        </w:rPr>
        <w:t>On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death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dying</w:t>
      </w:r>
      <w:proofErr w:type="spellEnd"/>
      <w:r>
        <w:rPr>
          <w:rFonts w:ascii="Times New Roman" w:eastAsia="Times New Roman" w:hAnsi="Times New Roman" w:cs="Times New Roman"/>
        </w:rPr>
        <w:t xml:space="preserve">. New York: </w:t>
      </w:r>
      <w:proofErr w:type="spellStart"/>
      <w:r>
        <w:rPr>
          <w:rFonts w:ascii="Times New Roman" w:eastAsia="Times New Roman" w:hAnsi="Times New Roman" w:cs="Times New Roman"/>
        </w:rPr>
        <w:t>Scribner</w:t>
      </w:r>
      <w:proofErr w:type="spellEnd"/>
      <w:r>
        <w:rPr>
          <w:rFonts w:ascii="Times New Roman" w:eastAsia="Times New Roman" w:hAnsi="Times New Roman" w:cs="Times New Roman"/>
        </w:rPr>
        <w:t>.</w:t>
      </w:r>
    </w:p>
    <w:p w14:paraId="0A63D6C5" w14:textId="77777777" w:rsidR="00FA6B71" w:rsidRDefault="00000000" w:rsidP="00817508">
      <w:pPr>
        <w:spacing w:line="360" w:lineRule="auto"/>
        <w:ind w:left="426" w:hanging="425"/>
        <w:jc w:val="both"/>
        <w:rPr>
          <w:rFonts w:ascii="Times New Roman" w:eastAsia="Times New Roman" w:hAnsi="Times New Roman" w:cs="Times New Roman"/>
          <w:b/>
        </w:rPr>
      </w:pPr>
      <w:proofErr w:type="spellStart"/>
      <w:r>
        <w:rPr>
          <w:rFonts w:ascii="Times New Roman" w:eastAsia="Times New Roman" w:hAnsi="Times New Roman" w:cs="Times New Roman"/>
        </w:rPr>
        <w:t>Levkovich</w:t>
      </w:r>
      <w:proofErr w:type="spellEnd"/>
      <w:r>
        <w:rPr>
          <w:rFonts w:ascii="Times New Roman" w:eastAsia="Times New Roman" w:hAnsi="Times New Roman" w:cs="Times New Roman"/>
        </w:rPr>
        <w:t xml:space="preserve">, I., &amp; </w:t>
      </w:r>
      <w:proofErr w:type="spellStart"/>
      <w:r>
        <w:rPr>
          <w:rFonts w:ascii="Times New Roman" w:eastAsia="Times New Roman" w:hAnsi="Times New Roman" w:cs="Times New Roman"/>
        </w:rPr>
        <w:t>Elyoseph</w:t>
      </w:r>
      <w:proofErr w:type="spellEnd"/>
      <w:r>
        <w:rPr>
          <w:rFonts w:ascii="Times New Roman" w:eastAsia="Times New Roman" w:hAnsi="Times New Roman" w:cs="Times New Roman"/>
        </w:rPr>
        <w:t xml:space="preserve">, Z. (2023). “I </w:t>
      </w:r>
      <w:proofErr w:type="spellStart"/>
      <w:r>
        <w:rPr>
          <w:rFonts w:ascii="Times New Roman" w:eastAsia="Times New Roman" w:hAnsi="Times New Roman" w:cs="Times New Roman"/>
        </w:rPr>
        <w:t>Don’t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Know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What</w:t>
      </w:r>
      <w:proofErr w:type="spellEnd"/>
      <w:r>
        <w:rPr>
          <w:rFonts w:ascii="Times New Roman" w:eastAsia="Times New Roman" w:hAnsi="Times New Roman" w:cs="Times New Roman"/>
        </w:rPr>
        <w:t xml:space="preserve"> to </w:t>
      </w:r>
      <w:proofErr w:type="spellStart"/>
      <w:r>
        <w:rPr>
          <w:rFonts w:ascii="Times New Roman" w:eastAsia="Times New Roman" w:hAnsi="Times New Roman" w:cs="Times New Roman"/>
        </w:rPr>
        <w:t>Say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Teachers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Perspectives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Supporting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Bereaved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Students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After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Parent</w:t>
      </w:r>
      <w:proofErr w:type="spellEnd"/>
      <w:r>
        <w:rPr>
          <w:rFonts w:ascii="Times New Roman" w:eastAsia="Times New Roman" w:hAnsi="Times New Roman" w:cs="Times New Roman"/>
        </w:rPr>
        <w:t>.</w:t>
      </w:r>
      <w:r>
        <w:rPr>
          <w:rFonts w:ascii="Times New Roman" w:eastAsia="Times New Roman" w:hAnsi="Times New Roman" w:cs="Times New Roman"/>
          <w:i/>
        </w:rPr>
        <w:t xml:space="preserve"> Omega (United </w:t>
      </w:r>
      <w:proofErr w:type="spellStart"/>
      <w:r>
        <w:rPr>
          <w:rFonts w:ascii="Times New Roman" w:eastAsia="Times New Roman" w:hAnsi="Times New Roman" w:cs="Times New Roman"/>
          <w:i/>
        </w:rPr>
        <w:t>States</w:t>
      </w:r>
      <w:proofErr w:type="spellEnd"/>
      <w:r>
        <w:rPr>
          <w:rFonts w:ascii="Times New Roman" w:eastAsia="Times New Roman" w:hAnsi="Times New Roman" w:cs="Times New Roman"/>
          <w:i/>
        </w:rPr>
        <w:t>), 86</w:t>
      </w:r>
      <w:r>
        <w:rPr>
          <w:rFonts w:ascii="Times New Roman" w:eastAsia="Times New Roman" w:hAnsi="Times New Roman" w:cs="Times New Roman"/>
        </w:rPr>
        <w:t xml:space="preserve">(3), 945-965–965. </w:t>
      </w:r>
      <w:hyperlink r:id="rId22">
        <w:r w:rsidR="00FA6B71">
          <w:rPr>
            <w:rFonts w:ascii="Times New Roman" w:eastAsia="Times New Roman" w:hAnsi="Times New Roman" w:cs="Times New Roman"/>
            <w:color w:val="1155CC"/>
            <w:u w:val="single"/>
          </w:rPr>
          <w:t>https://doi.org/10.1177/0030222821993624</w:t>
        </w:r>
      </w:hyperlink>
    </w:p>
    <w:p w14:paraId="3332F4CC"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Lively-Endicott</w:t>
      </w:r>
      <w:proofErr w:type="spellEnd"/>
      <w:r>
        <w:rPr>
          <w:rFonts w:ascii="Times New Roman" w:eastAsia="Times New Roman" w:hAnsi="Times New Roman" w:cs="Times New Roman"/>
        </w:rPr>
        <w:t xml:space="preserve">, H. R., </w:t>
      </w:r>
      <w:proofErr w:type="spellStart"/>
      <w:r>
        <w:rPr>
          <w:rFonts w:ascii="Times New Roman" w:eastAsia="Times New Roman" w:hAnsi="Times New Roman" w:cs="Times New Roman"/>
        </w:rPr>
        <w:t>Naimi</w:t>
      </w:r>
      <w:proofErr w:type="spellEnd"/>
      <w:r>
        <w:rPr>
          <w:rFonts w:ascii="Times New Roman" w:eastAsia="Times New Roman" w:hAnsi="Times New Roman" w:cs="Times New Roman"/>
        </w:rPr>
        <w:t xml:space="preserve">, K., </w:t>
      </w:r>
      <w:proofErr w:type="spellStart"/>
      <w:r>
        <w:rPr>
          <w:rFonts w:ascii="Times New Roman" w:eastAsia="Times New Roman" w:hAnsi="Times New Roman" w:cs="Times New Roman"/>
        </w:rPr>
        <w:t>Hudson</w:t>
      </w:r>
      <w:proofErr w:type="spellEnd"/>
      <w:r>
        <w:rPr>
          <w:rFonts w:ascii="Times New Roman" w:eastAsia="Times New Roman" w:hAnsi="Times New Roman" w:cs="Times New Roman"/>
        </w:rPr>
        <w:t xml:space="preserve">, S. M., &amp; </w:t>
      </w:r>
      <w:proofErr w:type="spellStart"/>
      <w:r>
        <w:rPr>
          <w:rFonts w:ascii="Times New Roman" w:eastAsia="Times New Roman" w:hAnsi="Times New Roman" w:cs="Times New Roman"/>
        </w:rPr>
        <w:t>Schonfeld</w:t>
      </w:r>
      <w:proofErr w:type="spellEnd"/>
      <w:r>
        <w:rPr>
          <w:rFonts w:ascii="Times New Roman" w:eastAsia="Times New Roman" w:hAnsi="Times New Roman" w:cs="Times New Roman"/>
        </w:rPr>
        <w:t xml:space="preserve">, D. J. (2023). </w:t>
      </w:r>
      <w:proofErr w:type="spellStart"/>
      <w:r>
        <w:rPr>
          <w:rFonts w:ascii="Times New Roman" w:eastAsia="Times New Roman" w:hAnsi="Times New Roman" w:cs="Times New Roman"/>
        </w:rPr>
        <w:t>Educator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Perspectives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Grief-Sensitive</w:t>
      </w:r>
      <w:proofErr w:type="spellEnd"/>
      <w:r>
        <w:rPr>
          <w:rFonts w:ascii="Times New Roman" w:eastAsia="Times New Roman" w:hAnsi="Times New Roman" w:cs="Times New Roman"/>
        </w:rPr>
        <w:t xml:space="preserve"> Training </w:t>
      </w:r>
      <w:proofErr w:type="spellStart"/>
      <w:r>
        <w:rPr>
          <w:rFonts w:ascii="Times New Roman" w:eastAsia="Times New Roman" w:hAnsi="Times New Roman" w:cs="Times New Roman"/>
        </w:rPr>
        <w:t>During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COVID-19 </w:t>
      </w:r>
      <w:proofErr w:type="spellStart"/>
      <w:r>
        <w:rPr>
          <w:rFonts w:ascii="Times New Roman" w:eastAsia="Times New Roman" w:hAnsi="Times New Roman" w:cs="Times New Roman"/>
        </w:rPr>
        <w:t>Pandemic</w:t>
      </w:r>
      <w:proofErr w:type="spellEnd"/>
      <w:r>
        <w:rPr>
          <w:rFonts w:ascii="Times New Roman" w:eastAsia="Times New Roman" w:hAnsi="Times New Roman" w:cs="Times New Roman"/>
        </w:rPr>
        <w:t xml:space="preserve"> in US </w:t>
      </w:r>
      <w:proofErr w:type="spellStart"/>
      <w:r>
        <w:rPr>
          <w:rFonts w:ascii="Times New Roman" w:eastAsia="Times New Roman" w:hAnsi="Times New Roman" w:cs="Times New Roman"/>
        </w:rPr>
        <w:t>Public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Schools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Journal</w:t>
      </w:r>
      <w:proofErr w:type="spellEnd"/>
      <w:r>
        <w:rPr>
          <w:rFonts w:ascii="Times New Roman" w:eastAsia="Times New Roman" w:hAnsi="Times New Roman" w:cs="Times New Roman"/>
        </w:rPr>
        <w:t xml:space="preserve"> Of </w:t>
      </w:r>
      <w:proofErr w:type="spellStart"/>
      <w:r>
        <w:rPr>
          <w:rFonts w:ascii="Times New Roman" w:eastAsia="Times New Roman" w:hAnsi="Times New Roman" w:cs="Times New Roman"/>
        </w:rPr>
        <w:t>School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Health</w:t>
      </w:r>
      <w:proofErr w:type="spellEnd"/>
      <w:r>
        <w:rPr>
          <w:rFonts w:ascii="Times New Roman" w:eastAsia="Times New Roman" w:hAnsi="Times New Roman" w:cs="Times New Roman"/>
        </w:rPr>
        <w:t xml:space="preserve">. </w:t>
      </w:r>
      <w:hyperlink r:id="rId23">
        <w:r w:rsidR="00FA6B71">
          <w:rPr>
            <w:rFonts w:ascii="Times New Roman" w:eastAsia="Times New Roman" w:hAnsi="Times New Roman" w:cs="Times New Roman"/>
            <w:color w:val="1155CC"/>
            <w:u w:val="single"/>
          </w:rPr>
          <w:t>https://doi.org/10.1111/josh.13400</w:t>
        </w:r>
      </w:hyperlink>
    </w:p>
    <w:p w14:paraId="44E5F68C" w14:textId="77777777" w:rsidR="00FA6B71" w:rsidRDefault="00000000" w:rsidP="00817508">
      <w:pPr>
        <w:spacing w:line="360" w:lineRule="auto"/>
        <w:ind w:left="426" w:hanging="425"/>
        <w:jc w:val="both"/>
        <w:rPr>
          <w:rFonts w:ascii="Times New Roman" w:eastAsia="Times New Roman" w:hAnsi="Times New Roman" w:cs="Times New Roman"/>
        </w:rPr>
      </w:pPr>
      <w:r>
        <w:rPr>
          <w:rFonts w:ascii="Times New Roman" w:eastAsia="Times New Roman" w:hAnsi="Times New Roman" w:cs="Times New Roman"/>
        </w:rPr>
        <w:t xml:space="preserve">McGovern, M., &amp; </w:t>
      </w:r>
      <w:proofErr w:type="spellStart"/>
      <w:r>
        <w:rPr>
          <w:rFonts w:ascii="Times New Roman" w:eastAsia="Times New Roman" w:hAnsi="Times New Roman" w:cs="Times New Roman"/>
        </w:rPr>
        <w:t>Murray</w:t>
      </w:r>
      <w:proofErr w:type="spellEnd"/>
      <w:r>
        <w:rPr>
          <w:rFonts w:ascii="Times New Roman" w:eastAsia="Times New Roman" w:hAnsi="Times New Roman" w:cs="Times New Roman"/>
        </w:rPr>
        <w:t xml:space="preserve">, C. A. (2000).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Knowledge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attitudes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perspectives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irish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parents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teachers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Death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Studies</w:t>
      </w:r>
      <w:proofErr w:type="spellEnd"/>
      <w:r>
        <w:rPr>
          <w:rFonts w:ascii="Times New Roman" w:eastAsia="Times New Roman" w:hAnsi="Times New Roman" w:cs="Times New Roman"/>
          <w:i/>
        </w:rPr>
        <w:t>, 24</w:t>
      </w:r>
      <w:r>
        <w:rPr>
          <w:rFonts w:ascii="Times New Roman" w:eastAsia="Times New Roman" w:hAnsi="Times New Roman" w:cs="Times New Roman"/>
        </w:rPr>
        <w:t xml:space="preserve">(4), 325-333. </w:t>
      </w:r>
      <w:hyperlink r:id="rId24">
        <w:r w:rsidR="00FA6B71">
          <w:rPr>
            <w:rFonts w:ascii="Times New Roman" w:eastAsia="Times New Roman" w:hAnsi="Times New Roman" w:cs="Times New Roman"/>
            <w:color w:val="1155CC"/>
            <w:u w:val="single"/>
          </w:rPr>
          <w:t>https://doi.org/10.1080/074811800200487</w:t>
        </w:r>
      </w:hyperlink>
    </w:p>
    <w:p w14:paraId="45303ACA" w14:textId="77777777" w:rsidR="00FA6B71" w:rsidRDefault="00000000" w:rsidP="00817508">
      <w:pPr>
        <w:spacing w:line="360" w:lineRule="auto"/>
        <w:ind w:left="426" w:hanging="425"/>
        <w:jc w:val="both"/>
        <w:rPr>
          <w:rFonts w:ascii="Times New Roman" w:eastAsia="Times New Roman" w:hAnsi="Times New Roman" w:cs="Times New Roman"/>
        </w:rPr>
      </w:pPr>
      <w:r>
        <w:rPr>
          <w:rFonts w:ascii="Times New Roman" w:eastAsia="Times New Roman" w:hAnsi="Times New Roman" w:cs="Times New Roman"/>
        </w:rPr>
        <w:t xml:space="preserve">Paiva, L. E. (2008). </w:t>
      </w:r>
      <w:r>
        <w:rPr>
          <w:rFonts w:ascii="Times New Roman" w:eastAsia="Times New Roman" w:hAnsi="Times New Roman" w:cs="Times New Roman"/>
          <w:i/>
        </w:rPr>
        <w:t>A arte de falar da morte: a literatura infantil como recurso para abordar a morte com crianças e educadores (Tese Doutorado)</w:t>
      </w:r>
      <w:r>
        <w:rPr>
          <w:rFonts w:ascii="Times New Roman" w:eastAsia="Times New Roman" w:hAnsi="Times New Roman" w:cs="Times New Roman"/>
        </w:rPr>
        <w:t>. Universidade de São Paulo, São Paulo.</w:t>
      </w:r>
    </w:p>
    <w:p w14:paraId="664C40BB"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Priede</w:t>
      </w:r>
      <w:proofErr w:type="spellEnd"/>
      <w:r>
        <w:rPr>
          <w:rFonts w:ascii="Times New Roman" w:eastAsia="Times New Roman" w:hAnsi="Times New Roman" w:cs="Times New Roman"/>
        </w:rPr>
        <w:t xml:space="preserve">, C. &amp; </w:t>
      </w:r>
      <w:proofErr w:type="spellStart"/>
      <w:r>
        <w:rPr>
          <w:rFonts w:ascii="Times New Roman" w:eastAsia="Times New Roman" w:hAnsi="Times New Roman" w:cs="Times New Roman"/>
        </w:rPr>
        <w:t>Farrall</w:t>
      </w:r>
      <w:proofErr w:type="spellEnd"/>
      <w:r>
        <w:rPr>
          <w:rFonts w:ascii="Times New Roman" w:eastAsia="Times New Roman" w:hAnsi="Times New Roman" w:cs="Times New Roman"/>
        </w:rPr>
        <w:t xml:space="preserve">, S. (2011). </w:t>
      </w:r>
      <w:proofErr w:type="spellStart"/>
      <w:r>
        <w:rPr>
          <w:rFonts w:ascii="Times New Roman" w:eastAsia="Times New Roman" w:hAnsi="Times New Roman" w:cs="Times New Roman"/>
        </w:rPr>
        <w:t>Comparing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results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from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different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styles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cognitive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interviewing</w:t>
      </w:r>
      <w:proofErr w:type="spellEnd"/>
      <w:r>
        <w:rPr>
          <w:rFonts w:ascii="Times New Roman" w:eastAsia="Times New Roman" w:hAnsi="Times New Roman" w:cs="Times New Roman"/>
        </w:rPr>
        <w:t xml:space="preserve">: ‘verbal </w:t>
      </w:r>
      <w:proofErr w:type="spellStart"/>
      <w:r>
        <w:rPr>
          <w:rFonts w:ascii="Times New Roman" w:eastAsia="Times New Roman" w:hAnsi="Times New Roman" w:cs="Times New Roman"/>
        </w:rPr>
        <w:t>probing</w:t>
      </w:r>
      <w:proofErr w:type="spellEnd"/>
      <w:r>
        <w:rPr>
          <w:rFonts w:ascii="Times New Roman" w:eastAsia="Times New Roman" w:hAnsi="Times New Roman" w:cs="Times New Roman"/>
        </w:rPr>
        <w:t>’ vs. ‘</w:t>
      </w:r>
      <w:proofErr w:type="spellStart"/>
      <w:r>
        <w:rPr>
          <w:rFonts w:ascii="Times New Roman" w:eastAsia="Times New Roman" w:hAnsi="Times New Roman" w:cs="Times New Roman"/>
        </w:rPr>
        <w:t>thinking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aloud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International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Journal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Social Research </w:t>
      </w:r>
      <w:proofErr w:type="spellStart"/>
      <w:r>
        <w:rPr>
          <w:rFonts w:ascii="Times New Roman" w:eastAsia="Times New Roman" w:hAnsi="Times New Roman" w:cs="Times New Roman"/>
        </w:rPr>
        <w:t>Methodology</w:t>
      </w:r>
      <w:proofErr w:type="spellEnd"/>
      <w:r>
        <w:rPr>
          <w:rFonts w:ascii="Times New Roman" w:eastAsia="Times New Roman" w:hAnsi="Times New Roman" w:cs="Times New Roman"/>
        </w:rPr>
        <w:t>, 14:4, 271-287, DOI: 10.1080/13645579.2010.523187</w:t>
      </w:r>
    </w:p>
    <w:p w14:paraId="165C2E9C" w14:textId="77777777" w:rsidR="00FA6B71" w:rsidRDefault="00000000" w:rsidP="00817508">
      <w:pPr>
        <w:spacing w:line="360" w:lineRule="auto"/>
        <w:ind w:left="426" w:hanging="425"/>
        <w:jc w:val="both"/>
        <w:rPr>
          <w:rFonts w:ascii="Times New Roman" w:eastAsia="Times New Roman" w:hAnsi="Times New Roman" w:cs="Times New Roman"/>
        </w:rPr>
      </w:pPr>
      <w:r>
        <w:rPr>
          <w:rFonts w:ascii="Times New Roman" w:eastAsia="Times New Roman" w:hAnsi="Times New Roman" w:cs="Times New Roman"/>
        </w:rPr>
        <w:t xml:space="preserve">Rodríguez Herrero, P., de la </w:t>
      </w:r>
      <w:proofErr w:type="spellStart"/>
      <w:r>
        <w:rPr>
          <w:rFonts w:ascii="Times New Roman" w:eastAsia="Times New Roman" w:hAnsi="Times New Roman" w:cs="Times New Roman"/>
        </w:rPr>
        <w:t>Herrán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Gascón</w:t>
      </w:r>
      <w:proofErr w:type="spellEnd"/>
      <w:r>
        <w:rPr>
          <w:rFonts w:ascii="Times New Roman" w:eastAsia="Times New Roman" w:hAnsi="Times New Roman" w:cs="Times New Roman"/>
        </w:rPr>
        <w:t>, A., Pérez-</w:t>
      </w:r>
      <w:proofErr w:type="spellStart"/>
      <w:r>
        <w:rPr>
          <w:rFonts w:ascii="Times New Roman" w:eastAsia="Times New Roman" w:hAnsi="Times New Roman" w:cs="Times New Roman"/>
        </w:rPr>
        <w:t>Bonet</w:t>
      </w:r>
      <w:proofErr w:type="spellEnd"/>
      <w:r>
        <w:rPr>
          <w:rFonts w:ascii="Times New Roman" w:eastAsia="Times New Roman" w:hAnsi="Times New Roman" w:cs="Times New Roman"/>
        </w:rPr>
        <w:t xml:space="preserve">, G., &amp; </w:t>
      </w:r>
      <w:proofErr w:type="spellStart"/>
      <w:r>
        <w:rPr>
          <w:rFonts w:ascii="Times New Roman" w:eastAsia="Times New Roman" w:hAnsi="Times New Roman" w:cs="Times New Roman"/>
        </w:rPr>
        <w:t>Sánchez-Huete</w:t>
      </w:r>
      <w:proofErr w:type="spellEnd"/>
      <w:r>
        <w:rPr>
          <w:rFonts w:ascii="Times New Roman" w:eastAsia="Times New Roman" w:hAnsi="Times New Roman" w:cs="Times New Roman"/>
        </w:rPr>
        <w:t xml:space="preserve">, J. C. (2022). </w:t>
      </w:r>
      <w:proofErr w:type="spellStart"/>
      <w:r>
        <w:rPr>
          <w:rFonts w:ascii="Times New Roman" w:eastAsia="Times New Roman" w:hAnsi="Times New Roman" w:cs="Times New Roman"/>
        </w:rPr>
        <w:t>What</w:t>
      </w:r>
      <w:proofErr w:type="spellEnd"/>
      <w:r>
        <w:rPr>
          <w:rFonts w:ascii="Times New Roman" w:eastAsia="Times New Roman" w:hAnsi="Times New Roman" w:cs="Times New Roman"/>
        </w:rPr>
        <w:t xml:space="preserve"> do </w:t>
      </w:r>
      <w:proofErr w:type="spellStart"/>
      <w:r>
        <w:rPr>
          <w:rFonts w:ascii="Times New Roman" w:eastAsia="Times New Roman" w:hAnsi="Times New Roman" w:cs="Times New Roman"/>
        </w:rPr>
        <w:t>teachers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think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Studies</w:t>
      </w:r>
      <w:proofErr w:type="spellEnd"/>
      <w:r>
        <w:rPr>
          <w:rFonts w:ascii="Times New Roman" w:eastAsia="Times New Roman" w:hAnsi="Times New Roman" w:cs="Times New Roman"/>
        </w:rPr>
        <w:t xml:space="preserve">, 46(6), 1518–1528. </w:t>
      </w:r>
      <w:hyperlink r:id="rId25">
        <w:r w:rsidR="00FA6B71">
          <w:rPr>
            <w:rFonts w:ascii="Times New Roman" w:eastAsia="Times New Roman" w:hAnsi="Times New Roman" w:cs="Times New Roman"/>
            <w:color w:val="1155CC"/>
            <w:u w:val="single"/>
          </w:rPr>
          <w:t>https://doi.org/10.1080/07481187.2020.1817176</w:t>
        </w:r>
      </w:hyperlink>
    </w:p>
    <w:p w14:paraId="6974E6FE"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Schwarz</w:t>
      </w:r>
      <w:proofErr w:type="spellEnd"/>
      <w:r>
        <w:rPr>
          <w:rFonts w:ascii="Times New Roman" w:eastAsia="Times New Roman" w:hAnsi="Times New Roman" w:cs="Times New Roman"/>
        </w:rPr>
        <w:t xml:space="preserve">, N. (2007). </w:t>
      </w:r>
      <w:proofErr w:type="spellStart"/>
      <w:r>
        <w:rPr>
          <w:rFonts w:ascii="Times New Roman" w:eastAsia="Times New Roman" w:hAnsi="Times New Roman" w:cs="Times New Roman"/>
        </w:rPr>
        <w:t>Cognitive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aspects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survey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methodology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Applied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Cognitive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Psychology</w:t>
      </w:r>
      <w:proofErr w:type="spellEnd"/>
      <w:r>
        <w:rPr>
          <w:rFonts w:ascii="Times New Roman" w:eastAsia="Times New Roman" w:hAnsi="Times New Roman" w:cs="Times New Roman"/>
        </w:rPr>
        <w:t>, 21, 277–287. doi:10.1002/acp.1340</w:t>
      </w:r>
    </w:p>
    <w:p w14:paraId="44CE93B0"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Stylianou</w:t>
      </w:r>
      <w:proofErr w:type="spellEnd"/>
      <w:r>
        <w:rPr>
          <w:rFonts w:ascii="Times New Roman" w:eastAsia="Times New Roman" w:hAnsi="Times New Roman" w:cs="Times New Roman"/>
        </w:rPr>
        <w:t xml:space="preserve">, P., &amp; </w:t>
      </w:r>
      <w:proofErr w:type="spellStart"/>
      <w:r>
        <w:rPr>
          <w:rFonts w:ascii="Times New Roman" w:eastAsia="Times New Roman" w:hAnsi="Times New Roman" w:cs="Times New Roman"/>
        </w:rPr>
        <w:t>Zembylas</w:t>
      </w:r>
      <w:proofErr w:type="spellEnd"/>
      <w:r>
        <w:rPr>
          <w:rFonts w:ascii="Times New Roman" w:eastAsia="Times New Roman" w:hAnsi="Times New Roman" w:cs="Times New Roman"/>
        </w:rPr>
        <w:t xml:space="preserve">, M. (2018). </w:t>
      </w:r>
      <w:proofErr w:type="spellStart"/>
      <w:r>
        <w:rPr>
          <w:rFonts w:ascii="Times New Roman" w:eastAsia="Times New Roman" w:hAnsi="Times New Roman" w:cs="Times New Roman"/>
        </w:rPr>
        <w:t>Dealing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Concepts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Grief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Grieving</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Classroom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Children’s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Perceptions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Emotions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Behavior</w:t>
      </w:r>
      <w:proofErr w:type="spellEnd"/>
      <w:r>
        <w:rPr>
          <w:rFonts w:ascii="Times New Roman" w:eastAsia="Times New Roman" w:hAnsi="Times New Roman" w:cs="Times New Roman"/>
        </w:rPr>
        <w:t xml:space="preserve">. </w:t>
      </w:r>
      <w:r>
        <w:rPr>
          <w:rFonts w:ascii="Times New Roman" w:eastAsia="Times New Roman" w:hAnsi="Times New Roman" w:cs="Times New Roman"/>
          <w:i/>
        </w:rPr>
        <w:lastRenderedPageBreak/>
        <w:t xml:space="preserve">Omega (United </w:t>
      </w:r>
      <w:proofErr w:type="spellStart"/>
      <w:r>
        <w:rPr>
          <w:rFonts w:ascii="Times New Roman" w:eastAsia="Times New Roman" w:hAnsi="Times New Roman" w:cs="Times New Roman"/>
          <w:i/>
        </w:rPr>
        <w:t>States</w:t>
      </w:r>
      <w:proofErr w:type="spellEnd"/>
      <w:r>
        <w:rPr>
          <w:rFonts w:ascii="Times New Roman" w:eastAsia="Times New Roman" w:hAnsi="Times New Roman" w:cs="Times New Roman"/>
          <w:i/>
        </w:rPr>
        <w:t>), 77</w:t>
      </w:r>
      <w:r>
        <w:rPr>
          <w:rFonts w:ascii="Times New Roman" w:eastAsia="Times New Roman" w:hAnsi="Times New Roman" w:cs="Times New Roman"/>
        </w:rPr>
        <w:t xml:space="preserve">(3), 240-266–266. </w:t>
      </w:r>
      <w:hyperlink r:id="rId26">
        <w:r w:rsidR="00FA6B71">
          <w:rPr>
            <w:rFonts w:ascii="Times New Roman" w:eastAsia="Times New Roman" w:hAnsi="Times New Roman" w:cs="Times New Roman"/>
            <w:color w:val="1155CC"/>
            <w:u w:val="single"/>
          </w:rPr>
          <w:t>https://doi.org/10.1177/0030222815626717</w:t>
        </w:r>
      </w:hyperlink>
    </w:p>
    <w:p w14:paraId="4404929D"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Tourangeau</w:t>
      </w:r>
      <w:proofErr w:type="spellEnd"/>
      <w:r>
        <w:rPr>
          <w:rFonts w:ascii="Times New Roman" w:eastAsia="Times New Roman" w:hAnsi="Times New Roman" w:cs="Times New Roman"/>
        </w:rPr>
        <w:t xml:space="preserve">, R., </w:t>
      </w:r>
      <w:proofErr w:type="spellStart"/>
      <w:r>
        <w:rPr>
          <w:rFonts w:ascii="Times New Roman" w:eastAsia="Times New Roman" w:hAnsi="Times New Roman" w:cs="Times New Roman"/>
        </w:rPr>
        <w:t>Rips</w:t>
      </w:r>
      <w:proofErr w:type="spellEnd"/>
      <w:r>
        <w:rPr>
          <w:rFonts w:ascii="Times New Roman" w:eastAsia="Times New Roman" w:hAnsi="Times New Roman" w:cs="Times New Roman"/>
        </w:rPr>
        <w:t xml:space="preserve">, L. J., &amp; </w:t>
      </w:r>
      <w:proofErr w:type="spellStart"/>
      <w:r>
        <w:rPr>
          <w:rFonts w:ascii="Times New Roman" w:eastAsia="Times New Roman" w:hAnsi="Times New Roman" w:cs="Times New Roman"/>
        </w:rPr>
        <w:t>Rasinski</w:t>
      </w:r>
      <w:proofErr w:type="spellEnd"/>
      <w:r>
        <w:rPr>
          <w:rFonts w:ascii="Times New Roman" w:eastAsia="Times New Roman" w:hAnsi="Times New Roman" w:cs="Times New Roman"/>
        </w:rPr>
        <w:t xml:space="preserve">, K. (Eds.). (2000).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psychology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survey</w:t>
      </w:r>
      <w:proofErr w:type="spellEnd"/>
      <w:r>
        <w:rPr>
          <w:rFonts w:ascii="Times New Roman" w:eastAsia="Times New Roman" w:hAnsi="Times New Roman" w:cs="Times New Roman"/>
        </w:rPr>
        <w:t xml:space="preserve"> response. Cambridge </w:t>
      </w:r>
      <w:proofErr w:type="spellStart"/>
      <w:r>
        <w:rPr>
          <w:rFonts w:ascii="Times New Roman" w:eastAsia="Times New Roman" w:hAnsi="Times New Roman" w:cs="Times New Roman"/>
        </w:rPr>
        <w:t>University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Press</w:t>
      </w:r>
      <w:proofErr w:type="spellEnd"/>
      <w:r>
        <w:rPr>
          <w:rFonts w:ascii="Times New Roman" w:eastAsia="Times New Roman" w:hAnsi="Times New Roman" w:cs="Times New Roman"/>
        </w:rPr>
        <w:t xml:space="preserve">. </w:t>
      </w:r>
      <w:hyperlink r:id="rId27">
        <w:r w:rsidR="00FA6B71">
          <w:rPr>
            <w:rFonts w:ascii="Times New Roman" w:eastAsia="Times New Roman" w:hAnsi="Times New Roman" w:cs="Times New Roman"/>
            <w:color w:val="1155CC"/>
            <w:u w:val="single"/>
          </w:rPr>
          <w:t>https://doi.org/10.1017/CBO9780511819322</w:t>
        </w:r>
      </w:hyperlink>
    </w:p>
    <w:p w14:paraId="7E797C67" w14:textId="77777777" w:rsidR="00FA6B71" w:rsidRDefault="00000000" w:rsidP="00817508">
      <w:pPr>
        <w:spacing w:line="360" w:lineRule="auto"/>
        <w:ind w:left="426" w:hanging="425"/>
        <w:jc w:val="both"/>
        <w:rPr>
          <w:rFonts w:ascii="Times New Roman" w:eastAsia="Times New Roman" w:hAnsi="Times New Roman" w:cs="Times New Roman"/>
        </w:rPr>
      </w:pPr>
      <w:r>
        <w:rPr>
          <w:rFonts w:ascii="Times New Roman" w:eastAsia="Times New Roman" w:hAnsi="Times New Roman" w:cs="Times New Roman"/>
        </w:rPr>
        <w:t>Torres, W. C. (2012). A Criança Diante Da Morte – Desafios. (Vol. 4). Casa do Psicólogo/</w:t>
      </w:r>
      <w:proofErr w:type="spellStart"/>
      <w:r>
        <w:rPr>
          <w:rFonts w:ascii="Times New Roman" w:eastAsia="Times New Roman" w:hAnsi="Times New Roman" w:cs="Times New Roman"/>
        </w:rPr>
        <w:t>Pearson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Clinical</w:t>
      </w:r>
      <w:proofErr w:type="spellEnd"/>
      <w:r>
        <w:rPr>
          <w:rFonts w:ascii="Times New Roman" w:eastAsia="Times New Roman" w:hAnsi="Times New Roman" w:cs="Times New Roman"/>
        </w:rPr>
        <w:t xml:space="preserve"> Brasil</w:t>
      </w:r>
    </w:p>
    <w:p w14:paraId="15A686CA"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G.B. (1994). </w:t>
      </w:r>
      <w:proofErr w:type="spellStart"/>
      <w:r>
        <w:rPr>
          <w:rFonts w:ascii="Times New Roman" w:eastAsia="Times New Roman" w:hAnsi="Times New Roman" w:cs="Times New Roman"/>
        </w:rPr>
        <w:t>Cognitive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Interviewing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Questionnaire</w:t>
      </w:r>
      <w:proofErr w:type="spellEnd"/>
      <w:r>
        <w:rPr>
          <w:rFonts w:ascii="Times New Roman" w:eastAsia="Times New Roman" w:hAnsi="Times New Roman" w:cs="Times New Roman"/>
        </w:rPr>
        <w:t xml:space="preserve"> Design: A Training Manual. </w:t>
      </w:r>
      <w:proofErr w:type="spellStart"/>
      <w:r>
        <w:rPr>
          <w:rFonts w:ascii="Times New Roman" w:eastAsia="Times New Roman" w:hAnsi="Times New Roman" w:cs="Times New Roman"/>
          <w:i/>
        </w:rPr>
        <w:t>Cognitive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Methods</w:t>
      </w:r>
      <w:proofErr w:type="spellEnd"/>
      <w:r>
        <w:rPr>
          <w:rFonts w:ascii="Times New Roman" w:eastAsia="Times New Roman" w:hAnsi="Times New Roman" w:cs="Times New Roman"/>
          <w:i/>
        </w:rPr>
        <w:t xml:space="preserve"> Staff </w:t>
      </w:r>
      <w:proofErr w:type="spellStart"/>
      <w:r>
        <w:rPr>
          <w:rFonts w:ascii="Times New Roman" w:eastAsia="Times New Roman" w:hAnsi="Times New Roman" w:cs="Times New Roman"/>
          <w:i/>
        </w:rPr>
        <w:t>Working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Paper</w:t>
      </w:r>
      <w:proofErr w:type="spellEnd"/>
      <w:r>
        <w:rPr>
          <w:rFonts w:ascii="Times New Roman" w:eastAsia="Times New Roman" w:hAnsi="Times New Roman" w:cs="Times New Roman"/>
          <w:i/>
        </w:rPr>
        <w:t xml:space="preserve"> Series. </w:t>
      </w:r>
      <w:proofErr w:type="spellStart"/>
      <w:r>
        <w:rPr>
          <w:rFonts w:ascii="Times New Roman" w:eastAsia="Times New Roman" w:hAnsi="Times New Roman" w:cs="Times New Roman"/>
          <w:i/>
        </w:rPr>
        <w:t>Hyattsville</w:t>
      </w:r>
      <w:proofErr w:type="spellEnd"/>
      <w:r>
        <w:rPr>
          <w:rFonts w:ascii="Times New Roman" w:eastAsia="Times New Roman" w:hAnsi="Times New Roman" w:cs="Times New Roman"/>
          <w:i/>
        </w:rPr>
        <w:t xml:space="preserve">, MD: </w:t>
      </w:r>
      <w:proofErr w:type="spellStart"/>
      <w:r>
        <w:rPr>
          <w:rFonts w:ascii="Times New Roman" w:eastAsia="Times New Roman" w:hAnsi="Times New Roman" w:cs="Times New Roman"/>
          <w:i/>
        </w:rPr>
        <w:t>National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Center</w:t>
      </w:r>
      <w:proofErr w:type="spellEnd"/>
      <w:r>
        <w:rPr>
          <w:rFonts w:ascii="Times New Roman" w:eastAsia="Times New Roman" w:hAnsi="Times New Roman" w:cs="Times New Roman"/>
          <w:i/>
        </w:rPr>
        <w:t xml:space="preserve"> for </w:t>
      </w:r>
      <w:proofErr w:type="spellStart"/>
      <w:r>
        <w:rPr>
          <w:rFonts w:ascii="Times New Roman" w:eastAsia="Times New Roman" w:hAnsi="Times New Roman" w:cs="Times New Roman"/>
          <w:i/>
        </w:rPr>
        <w:t>Health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Statistics</w:t>
      </w:r>
      <w:proofErr w:type="spellEnd"/>
      <w:r>
        <w:rPr>
          <w:rFonts w:ascii="Times New Roman" w:eastAsia="Times New Roman" w:hAnsi="Times New Roman" w:cs="Times New Roman"/>
        </w:rPr>
        <w:t>.</w:t>
      </w:r>
    </w:p>
    <w:p w14:paraId="308DA12A" w14:textId="77777777" w:rsidR="00FA6B71" w:rsidRDefault="00000000" w:rsidP="00817508">
      <w:pPr>
        <w:spacing w:line="360" w:lineRule="auto"/>
        <w:ind w:left="426" w:hanging="425"/>
        <w:jc w:val="both"/>
        <w:rPr>
          <w:rFonts w:ascii="Times New Roman" w:eastAsia="Times New Roman" w:hAnsi="Times New Roman" w:cs="Times New Roman"/>
        </w:rPr>
      </w:pP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C. A. (2002).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Grieving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Process</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Children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Strategies</w:t>
      </w:r>
      <w:proofErr w:type="spellEnd"/>
      <w:r>
        <w:rPr>
          <w:rFonts w:ascii="Times New Roman" w:eastAsia="Times New Roman" w:hAnsi="Times New Roman" w:cs="Times New Roman"/>
        </w:rPr>
        <w:t xml:space="preserve"> for </w:t>
      </w:r>
      <w:proofErr w:type="spellStart"/>
      <w:r>
        <w:rPr>
          <w:rFonts w:ascii="Times New Roman" w:eastAsia="Times New Roman" w:hAnsi="Times New Roman" w:cs="Times New Roman"/>
        </w:rPr>
        <w:t>Understanding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Reconciling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Children’s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Perceptions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Early</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Childhood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Education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Journal</w:t>
      </w:r>
      <w:proofErr w:type="spellEnd"/>
      <w:r>
        <w:rPr>
          <w:rFonts w:ascii="Times New Roman" w:eastAsia="Times New Roman" w:hAnsi="Times New Roman" w:cs="Times New Roman"/>
          <w:i/>
        </w:rPr>
        <w:t>, 29</w:t>
      </w:r>
      <w:r>
        <w:rPr>
          <w:rFonts w:ascii="Times New Roman" w:eastAsia="Times New Roman" w:hAnsi="Times New Roman" w:cs="Times New Roman"/>
        </w:rPr>
        <w:t xml:space="preserve">(4), 221. </w:t>
      </w:r>
      <w:hyperlink r:id="rId28">
        <w:r w:rsidR="00FA6B71">
          <w:rPr>
            <w:rFonts w:ascii="Times New Roman" w:eastAsia="Times New Roman" w:hAnsi="Times New Roman" w:cs="Times New Roman"/>
            <w:color w:val="1155CC"/>
            <w:u w:val="single"/>
          </w:rPr>
          <w:t>https://doi.org/10.1023/A:1015125422643</w:t>
        </w:r>
      </w:hyperlink>
      <w:r>
        <w:rPr>
          <w:rFonts w:ascii="Times New Roman" w:eastAsia="Times New Roman" w:hAnsi="Times New Roman" w:cs="Times New Roman"/>
        </w:rPr>
        <w:t>.</w:t>
      </w:r>
    </w:p>
    <w:p w14:paraId="446CA16C" w14:textId="77777777" w:rsidR="00FA6B71" w:rsidRDefault="00000000" w:rsidP="00817508">
      <w:pPr>
        <w:spacing w:line="360" w:lineRule="auto"/>
        <w:ind w:left="426" w:hanging="425"/>
        <w:jc w:val="both"/>
        <w:rPr>
          <w:rFonts w:ascii="Times New Roman" w:eastAsia="Times New Roman" w:hAnsi="Times New Roman" w:cs="Times New Roman"/>
          <w:i/>
        </w:rPr>
      </w:pPr>
      <w:proofErr w:type="spellStart"/>
      <w:r>
        <w:rPr>
          <w:rFonts w:ascii="Times New Roman" w:eastAsia="Times New Roman" w:hAnsi="Times New Roman" w:cs="Times New Roman"/>
        </w:rPr>
        <w:t>Willis</w:t>
      </w:r>
      <w:proofErr w:type="spellEnd"/>
      <w:r>
        <w:rPr>
          <w:rFonts w:ascii="Times New Roman" w:eastAsia="Times New Roman" w:hAnsi="Times New Roman" w:cs="Times New Roman"/>
        </w:rPr>
        <w:t xml:space="preserve">, G. B. (2005). </w:t>
      </w:r>
      <w:proofErr w:type="spellStart"/>
      <w:r>
        <w:rPr>
          <w:rFonts w:ascii="Times New Roman" w:eastAsia="Times New Roman" w:hAnsi="Times New Roman" w:cs="Times New Roman"/>
        </w:rPr>
        <w:t>Cognitive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Interviewing</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Tool</w:t>
      </w:r>
      <w:proofErr w:type="spellEnd"/>
      <w:r>
        <w:rPr>
          <w:rFonts w:ascii="Times New Roman" w:eastAsia="Times New Roman" w:hAnsi="Times New Roman" w:cs="Times New Roman"/>
        </w:rPr>
        <w:t xml:space="preserve"> for </w:t>
      </w:r>
      <w:proofErr w:type="spellStart"/>
      <w:r>
        <w:rPr>
          <w:rFonts w:ascii="Times New Roman" w:eastAsia="Times New Roman" w:hAnsi="Times New Roman" w:cs="Times New Roman"/>
        </w:rPr>
        <w:t>Improving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Questionnaire</w:t>
      </w:r>
      <w:proofErr w:type="spellEnd"/>
      <w:r>
        <w:rPr>
          <w:rFonts w:ascii="Times New Roman" w:eastAsia="Times New Roman" w:hAnsi="Times New Roman" w:cs="Times New Roman"/>
        </w:rPr>
        <w:t xml:space="preserve"> Design. </w:t>
      </w:r>
      <w:r>
        <w:rPr>
          <w:rFonts w:ascii="Times New Roman" w:eastAsia="Times New Roman" w:hAnsi="Times New Roman" w:cs="Times New Roman"/>
          <w:i/>
        </w:rPr>
        <w:t xml:space="preserve">New </w:t>
      </w:r>
      <w:proofErr w:type="gramStart"/>
      <w:r>
        <w:rPr>
          <w:rFonts w:ascii="Times New Roman" w:eastAsia="Times New Roman" w:hAnsi="Times New Roman" w:cs="Times New Roman"/>
          <w:i/>
        </w:rPr>
        <w:t>York::</w:t>
      </w:r>
      <w:proofErr w:type="gramEnd"/>
      <w:r>
        <w:rPr>
          <w:rFonts w:ascii="Times New Roman" w:eastAsia="Times New Roman" w:hAnsi="Times New Roman" w:cs="Times New Roman"/>
          <w:i/>
        </w:rPr>
        <w:t xml:space="preserve"> Sage</w:t>
      </w:r>
    </w:p>
    <w:p w14:paraId="16798BEC" w14:textId="77777777" w:rsidR="00FA6B71" w:rsidRDefault="00000000" w:rsidP="00817508">
      <w:pPr>
        <w:spacing w:line="360" w:lineRule="auto"/>
        <w:ind w:left="426" w:hanging="425"/>
        <w:jc w:val="both"/>
        <w:rPr>
          <w:rFonts w:ascii="Times New Roman" w:eastAsia="Times New Roman" w:hAnsi="Times New Roman" w:cs="Times New Roman"/>
          <w:i/>
        </w:rPr>
      </w:pPr>
      <w:proofErr w:type="spellStart"/>
      <w:r>
        <w:rPr>
          <w:rFonts w:ascii="Times New Roman" w:eastAsia="Times New Roman" w:hAnsi="Times New Roman" w:cs="Times New Roman"/>
        </w:rPr>
        <w:t>Worden</w:t>
      </w:r>
      <w:proofErr w:type="spellEnd"/>
      <w:r>
        <w:rPr>
          <w:rFonts w:ascii="Times New Roman" w:eastAsia="Times New Roman" w:hAnsi="Times New Roman" w:cs="Times New Roman"/>
        </w:rPr>
        <w:t xml:space="preserve">, W. (1996). </w:t>
      </w:r>
      <w:proofErr w:type="spellStart"/>
      <w:r>
        <w:rPr>
          <w:rFonts w:ascii="Times New Roman" w:eastAsia="Times New Roman" w:hAnsi="Times New Roman" w:cs="Times New Roman"/>
        </w:rPr>
        <w:t>Children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grief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When</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parent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dies</w:t>
      </w:r>
      <w:proofErr w:type="spellEnd"/>
      <w:r>
        <w:rPr>
          <w:rFonts w:ascii="Times New Roman" w:eastAsia="Times New Roman" w:hAnsi="Times New Roman" w:cs="Times New Roman"/>
        </w:rPr>
        <w:t xml:space="preserve">. </w:t>
      </w:r>
      <w:r>
        <w:rPr>
          <w:rFonts w:ascii="Times New Roman" w:eastAsia="Times New Roman" w:hAnsi="Times New Roman" w:cs="Times New Roman"/>
          <w:i/>
        </w:rPr>
        <w:t>New York: Guilford.</w:t>
      </w:r>
    </w:p>
    <w:p w14:paraId="775E07FD" w14:textId="445508EB" w:rsidR="00FA6B71" w:rsidRPr="00A67841" w:rsidRDefault="00000000" w:rsidP="00A67841">
      <w:pPr>
        <w:spacing w:line="360" w:lineRule="auto"/>
        <w:ind w:left="426" w:hanging="425"/>
        <w:jc w:val="both"/>
        <w:rPr>
          <w:rFonts w:ascii="Times New Roman" w:eastAsia="Times New Roman" w:hAnsi="Times New Roman" w:cs="Times New Roman"/>
        </w:rPr>
      </w:pPr>
      <w:r>
        <w:rPr>
          <w:rFonts w:ascii="Times New Roman" w:eastAsia="Times New Roman" w:hAnsi="Times New Roman" w:cs="Times New Roman"/>
        </w:rPr>
        <w:t xml:space="preserve">Wu, M. M. (2022). </w:t>
      </w:r>
      <w:proofErr w:type="spellStart"/>
      <w:r>
        <w:rPr>
          <w:rFonts w:ascii="Times New Roman" w:eastAsia="Times New Roman" w:hAnsi="Times New Roman" w:cs="Times New Roman"/>
        </w:rPr>
        <w:t>Death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from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Hegelian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perspective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Death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Studies</w:t>
      </w:r>
      <w:proofErr w:type="spellEnd"/>
      <w:r>
        <w:rPr>
          <w:rFonts w:ascii="Times New Roman" w:eastAsia="Times New Roman" w:hAnsi="Times New Roman" w:cs="Times New Roman"/>
          <w:i/>
        </w:rPr>
        <w:t>, 46(1), 100–110</w:t>
      </w:r>
      <w:r>
        <w:rPr>
          <w:rFonts w:ascii="Times New Roman" w:eastAsia="Times New Roman" w:hAnsi="Times New Roman" w:cs="Times New Roman"/>
        </w:rPr>
        <w:t>. https://doi.org/10.1080/07481187.2020.1716885</w:t>
      </w:r>
    </w:p>
    <w:sectPr w:rsidR="00FA6B71" w:rsidRPr="00A67841" w:rsidSect="00065C94">
      <w:footerReference w:type="first" r:id="rId29"/>
      <w:pgSz w:w="11900" w:h="16840"/>
      <w:pgMar w:top="1440" w:right="1800" w:bottom="1440" w:left="180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D5D88" w14:textId="77777777" w:rsidR="00E85D8E" w:rsidRDefault="00E85D8E">
      <w:r>
        <w:separator/>
      </w:r>
    </w:p>
  </w:endnote>
  <w:endnote w:type="continuationSeparator" w:id="0">
    <w:p w14:paraId="14FC2EA2" w14:textId="77777777" w:rsidR="00E85D8E" w:rsidRDefault="00E85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43F80DB8-EAC8-44E9-A443-961928259DD3}"/>
    <w:embedBold r:id="rId2" w:fontKey="{5E03D28F-03DA-4C5C-AD2B-C633A662F8DB}"/>
    <w:embedItalic r:id="rId3" w:fontKey="{5AB8FF85-9C41-4F0B-BAE8-EBA82087CA97}"/>
  </w:font>
  <w:font w:name="Lucida Grande">
    <w:altName w:val="Segoe UI"/>
    <w:charset w:val="00"/>
    <w:family w:val="swiss"/>
    <w:pitch w:val="variable"/>
    <w:sig w:usb0="E1000AEF" w:usb1="5000A1FF" w:usb2="00000000" w:usb3="00000000" w:csb0="000001BF" w:csb1="00000000"/>
  </w:font>
  <w:font w:name="MinionPro-Regular">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4" w:fontKey="{50DDB690-97CF-4E4E-A5DD-67D9DA07F723}"/>
    <w:embedItalic r:id="rId5" w:fontKey="{29940C07-DBB7-4D0A-A4FF-DBD06DA37A82}"/>
  </w:font>
  <w:font w:name="Calibri">
    <w:panose1 w:val="020F0502020204030204"/>
    <w:charset w:val="00"/>
    <w:family w:val="swiss"/>
    <w:pitch w:val="variable"/>
    <w:sig w:usb0="E4002EFF" w:usb1="C200247B" w:usb2="00000009" w:usb3="00000000" w:csb0="000001FF" w:csb1="00000000"/>
    <w:embedRegular r:id="rId6" w:fontKey="{29DDD10F-5A89-4B69-9FD3-71DBE3758408}"/>
  </w:font>
  <w:font w:name="Gill Sans">
    <w:altName w:val="Arial"/>
    <w:charset w:val="B1"/>
    <w:family w:val="swiss"/>
    <w:pitch w:val="variable"/>
    <w:sig w:usb0="80000A67" w:usb1="00000000" w:usb2="00000000" w:usb3="00000000" w:csb0="000001F7" w:csb1="00000000"/>
  </w:font>
  <w:font w:name="EB Garamond">
    <w:charset w:val="00"/>
    <w:family w:val="auto"/>
    <w:pitch w:val="variable"/>
    <w:sig w:usb0="E00002FF" w:usb1="02000413" w:usb2="00000000" w:usb3="00000000" w:csb0="0000019F" w:csb1="00000000"/>
    <w:embedRegular r:id="rId7" w:fontKey="{61D96308-DADA-4E14-853A-35E472DD61B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256337"/>
      <w:docPartObj>
        <w:docPartGallery w:val="Page Numbers (Bottom of Page)"/>
        <w:docPartUnique/>
      </w:docPartObj>
    </w:sdtPr>
    <w:sdtContent>
      <w:p w14:paraId="20E0364B" w14:textId="7F1F0EFF" w:rsidR="002778BE" w:rsidRDefault="002778BE">
        <w:pPr>
          <w:pStyle w:val="Rodap"/>
          <w:jc w:val="right"/>
        </w:pPr>
        <w:r>
          <w:fldChar w:fldCharType="begin"/>
        </w:r>
        <w:r>
          <w:instrText>PAGE   \* MERGEFORMAT</w:instrText>
        </w:r>
        <w:r>
          <w:fldChar w:fldCharType="separate"/>
        </w:r>
        <w:r>
          <w:t>2</w:t>
        </w:r>
        <w:r>
          <w:fldChar w:fldCharType="end"/>
        </w:r>
      </w:p>
    </w:sdtContent>
  </w:sdt>
  <w:p w14:paraId="3C0B5D26" w14:textId="0C24ECE4" w:rsidR="00FA6B71" w:rsidRDefault="00FA6B71" w:rsidP="002778BE">
    <w:pPr>
      <w:pStyle w:val="Rodap"/>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8F356" w14:textId="25947624" w:rsidR="00FA6B71" w:rsidRDefault="00FA6B71">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E007" w14:textId="7E3E4AC3" w:rsidR="00065C94" w:rsidRPr="00065C94" w:rsidRDefault="00065C94" w:rsidP="00065C94">
    <w:pPr>
      <w:jc w:val="cente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1051D" w14:textId="77777777" w:rsidR="00E85D8E" w:rsidRDefault="00E85D8E">
      <w:r>
        <w:separator/>
      </w:r>
    </w:p>
  </w:footnote>
  <w:footnote w:type="continuationSeparator" w:id="0">
    <w:p w14:paraId="5948D677" w14:textId="77777777" w:rsidR="00E85D8E" w:rsidRDefault="00E85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479D" w14:textId="34C7B6D2" w:rsidR="00FA6B71" w:rsidRDefault="00FA6B71">
    <w:pPr>
      <w:pBdr>
        <w:top w:val="nil"/>
        <w:left w:val="nil"/>
        <w:bottom w:val="nil"/>
        <w:right w:val="nil"/>
        <w:between w:val="nil"/>
      </w:pBdr>
      <w:tabs>
        <w:tab w:val="center" w:pos="4320"/>
        <w:tab w:val="right" w:pos="8640"/>
      </w:tabs>
      <w:ind w:left="748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54D5C"/>
    <w:multiLevelType w:val="hybridMultilevel"/>
    <w:tmpl w:val="5A4EF5C0"/>
    <w:lvl w:ilvl="0" w:tplc="0816000F">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363C6254"/>
    <w:multiLevelType w:val="multilevel"/>
    <w:tmpl w:val="EAFC5534"/>
    <w:lvl w:ilvl="0">
      <w:start w:val="1"/>
      <w:numFmt w:val="decimal"/>
      <w:pStyle w:val="Ttulo1"/>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FE203D5"/>
    <w:multiLevelType w:val="hybridMultilevel"/>
    <w:tmpl w:val="7848D720"/>
    <w:lvl w:ilvl="0" w:tplc="0816000F">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4E9A342D"/>
    <w:multiLevelType w:val="multilevel"/>
    <w:tmpl w:val="E6B06F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C4F51EE"/>
    <w:multiLevelType w:val="hybridMultilevel"/>
    <w:tmpl w:val="B7D03520"/>
    <w:lvl w:ilvl="0" w:tplc="0816000F">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950237925">
    <w:abstractNumId w:val="3"/>
  </w:num>
  <w:num w:numId="2" w16cid:durableId="593172274">
    <w:abstractNumId w:val="1"/>
  </w:num>
  <w:num w:numId="3" w16cid:durableId="1614707160">
    <w:abstractNumId w:val="0"/>
  </w:num>
  <w:num w:numId="4" w16cid:durableId="1461144115">
    <w:abstractNumId w:val="4"/>
  </w:num>
  <w:num w:numId="5" w16cid:durableId="16956443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B71"/>
    <w:rsid w:val="00065C94"/>
    <w:rsid w:val="001032A6"/>
    <w:rsid w:val="00117F81"/>
    <w:rsid w:val="002778BE"/>
    <w:rsid w:val="00415AA6"/>
    <w:rsid w:val="00500DD0"/>
    <w:rsid w:val="005818BC"/>
    <w:rsid w:val="006C099A"/>
    <w:rsid w:val="007B3A9B"/>
    <w:rsid w:val="007B7C3D"/>
    <w:rsid w:val="00817508"/>
    <w:rsid w:val="009236AA"/>
    <w:rsid w:val="00A22508"/>
    <w:rsid w:val="00A67841"/>
    <w:rsid w:val="00B811DC"/>
    <w:rsid w:val="00B84B1C"/>
    <w:rsid w:val="00E85D8E"/>
    <w:rsid w:val="00FA6B71"/>
    <w:rsid w:val="00FF7F5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A8A63"/>
  <w15:docId w15:val="{054D2CD9-1706-4511-B570-3245AD800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007B7C3D"/>
    <w:pPr>
      <w:numPr>
        <w:numId w:val="2"/>
      </w:numPr>
      <w:spacing w:line="360" w:lineRule="auto"/>
      <w:jc w:val="center"/>
      <w:outlineLvl w:val="0"/>
    </w:pPr>
    <w:rPr>
      <w:rFonts w:ascii="Times New Roman" w:eastAsia="Times New Roman" w:hAnsi="Times New Roman" w:cs="Times New Roman"/>
      <w:b/>
    </w:rPr>
  </w:style>
  <w:style w:type="paragraph" w:styleId="Ttulo2">
    <w:name w:val="heading 2"/>
    <w:basedOn w:val="Normal"/>
    <w:next w:val="Normal"/>
    <w:uiPriority w:val="9"/>
    <w:unhideWhenUsed/>
    <w:qFormat/>
    <w:rsid w:val="007B7C3D"/>
    <w:pPr>
      <w:spacing w:line="360" w:lineRule="auto"/>
      <w:jc w:val="both"/>
      <w:outlineLvl w:val="1"/>
    </w:pPr>
    <w:rPr>
      <w:rFonts w:ascii="Times New Roman" w:eastAsia="Times New Roman" w:hAnsi="Times New Roman" w:cs="Times New Roman"/>
      <w:b/>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balo">
    <w:name w:val="Balloon Text"/>
    <w:basedOn w:val="Normal"/>
    <w:link w:val="TextodebaloCarter"/>
    <w:uiPriority w:val="99"/>
    <w:semiHidden/>
    <w:unhideWhenUsed/>
    <w:rsid w:val="00223E0E"/>
    <w:rPr>
      <w:rFonts w:ascii="Lucida Grande" w:hAnsi="Lucida Grande"/>
      <w:sz w:val="18"/>
      <w:szCs w:val="18"/>
    </w:rPr>
  </w:style>
  <w:style w:type="character" w:customStyle="1" w:styleId="TextodebaloCarter">
    <w:name w:val="Texto de balão Caráter"/>
    <w:basedOn w:val="Tipodeletrapredefinidodopargrafo"/>
    <w:link w:val="Textodebalo"/>
    <w:uiPriority w:val="99"/>
    <w:semiHidden/>
    <w:rsid w:val="00223E0E"/>
    <w:rPr>
      <w:rFonts w:ascii="Lucida Grande" w:hAnsi="Lucida Grande"/>
      <w:noProof/>
      <w:sz w:val="18"/>
      <w:szCs w:val="18"/>
      <w:lang w:val="pt-PT"/>
    </w:rPr>
  </w:style>
  <w:style w:type="paragraph" w:styleId="Cabealho">
    <w:name w:val="header"/>
    <w:basedOn w:val="Normal"/>
    <w:link w:val="CabealhoCarter"/>
    <w:uiPriority w:val="99"/>
    <w:unhideWhenUsed/>
    <w:rsid w:val="00223E0E"/>
    <w:pPr>
      <w:tabs>
        <w:tab w:val="center" w:pos="4320"/>
        <w:tab w:val="right" w:pos="8640"/>
      </w:tabs>
    </w:pPr>
  </w:style>
  <w:style w:type="character" w:customStyle="1" w:styleId="CabealhoCarter">
    <w:name w:val="Cabeçalho Caráter"/>
    <w:basedOn w:val="Tipodeletrapredefinidodopargrafo"/>
    <w:link w:val="Cabealho"/>
    <w:uiPriority w:val="99"/>
    <w:rsid w:val="00223E0E"/>
    <w:rPr>
      <w:noProof/>
      <w:lang w:val="pt-PT"/>
    </w:rPr>
  </w:style>
  <w:style w:type="paragraph" w:styleId="Rodap">
    <w:name w:val="footer"/>
    <w:basedOn w:val="Normal"/>
    <w:link w:val="RodapCarter"/>
    <w:uiPriority w:val="99"/>
    <w:unhideWhenUsed/>
    <w:rsid w:val="00223E0E"/>
    <w:pPr>
      <w:tabs>
        <w:tab w:val="center" w:pos="4320"/>
        <w:tab w:val="right" w:pos="8640"/>
      </w:tabs>
    </w:pPr>
  </w:style>
  <w:style w:type="character" w:customStyle="1" w:styleId="RodapCarter">
    <w:name w:val="Rodapé Caráter"/>
    <w:basedOn w:val="Tipodeletrapredefinidodopargrafo"/>
    <w:link w:val="Rodap"/>
    <w:uiPriority w:val="99"/>
    <w:rsid w:val="00223E0E"/>
    <w:rPr>
      <w:noProof/>
      <w:lang w:val="pt-PT"/>
    </w:rPr>
  </w:style>
  <w:style w:type="paragraph" w:customStyle="1" w:styleId="BasicParagraph">
    <w:name w:val="[Basic Paragraph]"/>
    <w:basedOn w:val="Normal"/>
    <w:uiPriority w:val="99"/>
    <w:rsid w:val="00223E0E"/>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PargrafodaLista">
    <w:name w:val="List Paragraph"/>
    <w:basedOn w:val="Normal"/>
    <w:uiPriority w:val="34"/>
    <w:qFormat/>
    <w:rsid w:val="00117F81"/>
    <w:pPr>
      <w:ind w:left="720"/>
      <w:contextualSpacing/>
    </w:pPr>
  </w:style>
  <w:style w:type="paragraph" w:styleId="Cabealhodondice">
    <w:name w:val="TOC Heading"/>
    <w:basedOn w:val="Ttulo1"/>
    <w:next w:val="Normal"/>
    <w:uiPriority w:val="39"/>
    <w:unhideWhenUsed/>
    <w:qFormat/>
    <w:rsid w:val="007B7C3D"/>
    <w:pPr>
      <w:keepNext/>
      <w:keepLines/>
      <w:numPr>
        <w:numId w:val="0"/>
      </w:numPr>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ndice1">
    <w:name w:val="toc 1"/>
    <w:basedOn w:val="Normal"/>
    <w:next w:val="Normal"/>
    <w:autoRedefine/>
    <w:uiPriority w:val="39"/>
    <w:unhideWhenUsed/>
    <w:rsid w:val="007B7C3D"/>
    <w:pPr>
      <w:spacing w:after="100"/>
    </w:pPr>
  </w:style>
  <w:style w:type="paragraph" w:styleId="ndice2">
    <w:name w:val="toc 2"/>
    <w:basedOn w:val="Normal"/>
    <w:next w:val="Normal"/>
    <w:autoRedefine/>
    <w:uiPriority w:val="39"/>
    <w:unhideWhenUsed/>
    <w:rsid w:val="007B7C3D"/>
    <w:pPr>
      <w:spacing w:after="100"/>
      <w:ind w:left="240"/>
    </w:pPr>
  </w:style>
  <w:style w:type="character" w:styleId="Hiperligao">
    <w:name w:val="Hyperlink"/>
    <w:basedOn w:val="Tipodeletrapredefinidodopargrafo"/>
    <w:uiPriority w:val="99"/>
    <w:unhideWhenUsed/>
    <w:rsid w:val="007B7C3D"/>
    <w:rPr>
      <w:color w:val="0000FF" w:themeColor="hyperlink"/>
      <w:u w:val="single"/>
    </w:rPr>
  </w:style>
  <w:style w:type="paragraph" w:styleId="Reviso">
    <w:name w:val="Revision"/>
    <w:hidden/>
    <w:uiPriority w:val="99"/>
    <w:semiHidden/>
    <w:rsid w:val="00103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doi.org/10.1080/13632752.2012.754165" TargetMode="External"/><Relationship Id="rId26" Type="http://schemas.openxmlformats.org/officeDocument/2006/relationships/hyperlink" Target="https://doi.org/10.1177/0030222815626717" TargetMode="External"/><Relationship Id="rId3" Type="http://schemas.openxmlformats.org/officeDocument/2006/relationships/numbering" Target="numbering.xml"/><Relationship Id="rId21" Type="http://schemas.openxmlformats.org/officeDocument/2006/relationships/hyperlink" Target="https://doi.org/10.1590/S1413-85572012000100008"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doi.org/10.1002/rev3.3193" TargetMode="External"/><Relationship Id="rId25" Type="http://schemas.openxmlformats.org/officeDocument/2006/relationships/hyperlink" Target="https://doi.org/10.1080/07481187.2020.1817176" TargetMode="External"/><Relationship Id="rId2" Type="http://schemas.openxmlformats.org/officeDocument/2006/relationships/customXml" Target="../customXml/item2.xml"/><Relationship Id="rId16" Type="http://schemas.openxmlformats.org/officeDocument/2006/relationships/hyperlink" Target="https://doi.org/10.1080/15374410701279669" TargetMode="External"/><Relationship Id="rId20" Type="http://schemas.openxmlformats.org/officeDocument/2006/relationships/hyperlink" Target="https://doi.org/10.1080/03069880802364569"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doi.org/10.1080/074811800200487" TargetMode="External"/><Relationship Id="rId5" Type="http://schemas.openxmlformats.org/officeDocument/2006/relationships/settings" Target="settings.xml"/><Relationship Id="rId15" Type="http://schemas.openxmlformats.org/officeDocument/2006/relationships/hyperlink" Target="https://doi.org/10.1080/02667363.2020.1767040" TargetMode="External"/><Relationship Id="rId23" Type="http://schemas.openxmlformats.org/officeDocument/2006/relationships/hyperlink" Target="https://doi.org/10.1111/josh.13400" TargetMode="External"/><Relationship Id="rId28" Type="http://schemas.openxmlformats.org/officeDocument/2006/relationships/hyperlink" Target="https://doi.org/10.1023/A:1015125422643" TargetMode="External"/><Relationship Id="rId10" Type="http://schemas.openxmlformats.org/officeDocument/2006/relationships/image" Target="media/image2.png"/><Relationship Id="rId19" Type="http://schemas.openxmlformats.org/officeDocument/2006/relationships/hyperlink" Target="https://doi.org/10.1037/a0016991"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i.org/10.1191/1478088706qp063o" TargetMode="External"/><Relationship Id="rId22" Type="http://schemas.openxmlformats.org/officeDocument/2006/relationships/hyperlink" Target="https://doi.org/10.1177/0030222821993624" TargetMode="External"/><Relationship Id="rId27" Type="http://schemas.openxmlformats.org/officeDocument/2006/relationships/hyperlink" Target="https://doi.org/10.1017/CBO9780511819322"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G1nl2IfEe1eVEjGu8aSAxnk2yw==">CgMxLjAaHwoBMBIaChgICVIUChJ0YWJsZS42MmxrZmpqNGxzYmcaHwoBMRIaChgICVIUChJ0YWJsZS52dW45NHNxYTltem0aHwoBMhIaChgICVIUChJ0YWJsZS5uajE1bXp4amRqcDEyDmguczRsemNtajhyYjhuOAByITFzT1AzbWphUlpObXJaS2FsM0xnMWJOMnhtenRSd0NoRg==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0D965C4-AF95-4FF8-9CD1-9A9C2C66A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13136</Words>
  <Characters>70935</Characters>
  <Application>Microsoft Office Word</Application>
  <DocSecurity>0</DocSecurity>
  <Lines>591</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Ferreira</dc:creator>
  <cp:lastModifiedBy>Igor Alves Fereira</cp:lastModifiedBy>
  <cp:revision>2</cp:revision>
  <dcterms:created xsi:type="dcterms:W3CDTF">2025-10-12T22:54:00Z</dcterms:created>
  <dcterms:modified xsi:type="dcterms:W3CDTF">2025-10-12T22:54:00Z</dcterms:modified>
</cp:coreProperties>
</file>