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78445" w14:textId="77777777" w:rsidR="004528A8" w:rsidRPr="00537118" w:rsidRDefault="004528A8" w:rsidP="003440E3">
      <w:pPr>
        <w:pStyle w:val="BasicParagraph"/>
        <w:suppressAutoHyphens/>
        <w:ind w:left="-567"/>
        <w:rPr>
          <w:rFonts w:ascii="Gill Sans MT" w:hAnsi="Gill Sans MT" w:cs="Gill Sans"/>
          <w:b/>
          <w:caps/>
          <w:sz w:val="18"/>
          <w:szCs w:val="18"/>
          <w:lang w:val="pt-PT"/>
        </w:rPr>
      </w:pPr>
    </w:p>
    <w:p w14:paraId="7AF715C6" w14:textId="77777777" w:rsidR="004528A8" w:rsidRPr="00537118" w:rsidRDefault="004528A8" w:rsidP="003440E3">
      <w:pPr>
        <w:pStyle w:val="BasicParagraph"/>
        <w:suppressAutoHyphens/>
        <w:ind w:left="-567"/>
        <w:rPr>
          <w:rFonts w:ascii="Gill Sans MT" w:hAnsi="Gill Sans MT" w:cs="Gill Sans"/>
          <w:b/>
          <w:caps/>
          <w:sz w:val="18"/>
          <w:szCs w:val="18"/>
          <w:lang w:val="pt-PT"/>
        </w:rPr>
      </w:pPr>
    </w:p>
    <w:p w14:paraId="71EE13D6" w14:textId="77777777" w:rsidR="004528A8" w:rsidRPr="00537118" w:rsidRDefault="004528A8" w:rsidP="003440E3">
      <w:pPr>
        <w:pStyle w:val="BasicParagraph"/>
        <w:suppressAutoHyphens/>
        <w:ind w:left="-567"/>
        <w:rPr>
          <w:rFonts w:ascii="Gill Sans MT" w:hAnsi="Gill Sans MT" w:cs="Gill Sans"/>
          <w:b/>
          <w:caps/>
          <w:sz w:val="18"/>
          <w:szCs w:val="18"/>
          <w:lang w:val="pt-PT"/>
        </w:rPr>
      </w:pPr>
    </w:p>
    <w:p w14:paraId="0D248F08" w14:textId="77777777" w:rsidR="004528A8" w:rsidRPr="00537118" w:rsidRDefault="004528A8" w:rsidP="003440E3">
      <w:pPr>
        <w:pStyle w:val="BasicParagraph"/>
        <w:suppressAutoHyphens/>
        <w:ind w:left="-567"/>
        <w:rPr>
          <w:rFonts w:ascii="Gill Sans MT" w:hAnsi="Gill Sans MT" w:cs="Gill Sans"/>
          <w:b/>
          <w:caps/>
          <w:sz w:val="18"/>
          <w:szCs w:val="18"/>
          <w:lang w:val="pt-PT"/>
        </w:rPr>
      </w:pPr>
    </w:p>
    <w:p w14:paraId="7EE9BDE6" w14:textId="77777777" w:rsidR="004528A8" w:rsidRPr="00537118" w:rsidRDefault="004528A8" w:rsidP="003440E3">
      <w:pPr>
        <w:pStyle w:val="BasicParagraph"/>
        <w:suppressAutoHyphens/>
        <w:ind w:left="-567"/>
        <w:rPr>
          <w:rFonts w:ascii="Gill Sans MT" w:hAnsi="Gill Sans MT" w:cs="Gill Sans"/>
          <w:b/>
          <w:caps/>
          <w:sz w:val="18"/>
          <w:szCs w:val="18"/>
          <w:lang w:val="pt-PT"/>
        </w:rPr>
      </w:pPr>
    </w:p>
    <w:p w14:paraId="42008EB3" w14:textId="77777777" w:rsidR="004528A8" w:rsidRPr="00537118" w:rsidRDefault="004528A8" w:rsidP="003440E3">
      <w:pPr>
        <w:pStyle w:val="BasicParagraph"/>
        <w:suppressAutoHyphens/>
        <w:ind w:left="-567"/>
        <w:rPr>
          <w:rFonts w:ascii="Gill Sans MT" w:hAnsi="Gill Sans MT" w:cs="Gill Sans"/>
          <w:b/>
          <w:caps/>
          <w:sz w:val="18"/>
          <w:szCs w:val="18"/>
          <w:lang w:val="pt-PT"/>
        </w:rPr>
      </w:pPr>
    </w:p>
    <w:p w14:paraId="0BC39509" w14:textId="77777777" w:rsidR="004528A8" w:rsidRPr="00537118" w:rsidRDefault="004528A8" w:rsidP="003440E3">
      <w:pPr>
        <w:pStyle w:val="BasicParagraph"/>
        <w:suppressAutoHyphens/>
        <w:ind w:left="-567"/>
        <w:rPr>
          <w:rFonts w:ascii="Gill Sans MT" w:hAnsi="Gill Sans MT" w:cs="Gill Sans"/>
          <w:b/>
          <w:caps/>
          <w:sz w:val="18"/>
          <w:szCs w:val="18"/>
          <w:lang w:val="pt-PT"/>
        </w:rPr>
      </w:pPr>
    </w:p>
    <w:p w14:paraId="37381D70" w14:textId="77777777" w:rsidR="005E6A3A" w:rsidRPr="00537118" w:rsidRDefault="005E6A3A" w:rsidP="003440E3">
      <w:pPr>
        <w:pStyle w:val="BasicParagraph"/>
        <w:suppressAutoHyphens/>
        <w:ind w:left="-567"/>
        <w:rPr>
          <w:rFonts w:ascii="Gill Sans MT" w:hAnsi="Gill Sans MT" w:cs="Gill Sans"/>
          <w:b/>
          <w:caps/>
          <w:sz w:val="18"/>
          <w:szCs w:val="18"/>
          <w:lang w:val="pt-PT"/>
        </w:rPr>
      </w:pPr>
    </w:p>
    <w:p w14:paraId="372B4B00" w14:textId="0E864C65" w:rsidR="003440E3" w:rsidRPr="00537118" w:rsidRDefault="00EA5883" w:rsidP="003440E3">
      <w:pPr>
        <w:pStyle w:val="BasicParagraph"/>
        <w:suppressAutoHyphens/>
        <w:ind w:left="-567"/>
        <w:rPr>
          <w:rFonts w:ascii="Gill Sans MT" w:hAnsi="Gill Sans MT" w:cs="Gill Sans"/>
          <w:b/>
          <w:caps/>
          <w:color w:val="00ADEF"/>
          <w:sz w:val="12"/>
          <w:szCs w:val="12"/>
          <w:lang w:val="pt-PT"/>
        </w:rPr>
      </w:pPr>
      <w:r w:rsidRPr="00537118">
        <w:rPr>
          <w:noProof/>
          <w:lang w:val="pt-PT" w:eastAsia="pt-PT"/>
        </w:rPr>
        <w:drawing>
          <wp:anchor distT="0" distB="0" distL="114300" distR="114300" simplePos="0" relativeHeight="251591680" behindDoc="0" locked="0" layoutInCell="1" allowOverlap="1" wp14:anchorId="13F38048" wp14:editId="7AF5B206">
            <wp:simplePos x="2095500" y="1076325"/>
            <wp:positionH relativeFrom="margin">
              <wp:align>right</wp:align>
            </wp:positionH>
            <wp:positionV relativeFrom="margin">
              <wp:align>top</wp:align>
            </wp:positionV>
            <wp:extent cx="1206500" cy="261620"/>
            <wp:effectExtent l="0" t="0" r="0" b="508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6500" cy="261620"/>
                    </a:xfrm>
                    <a:prstGeom prst="rect">
                      <a:avLst/>
                    </a:prstGeom>
                    <a:noFill/>
                    <a:ln>
                      <a:noFill/>
                    </a:ln>
                  </pic:spPr>
                </pic:pic>
              </a:graphicData>
            </a:graphic>
          </wp:anchor>
        </w:drawing>
      </w:r>
      <w:r w:rsidR="005E6A3A" w:rsidRPr="00537118">
        <w:rPr>
          <w:rFonts w:ascii="Gill Sans MT" w:hAnsi="Gill Sans MT" w:cs="Gill Sans"/>
          <w:b/>
          <w:caps/>
          <w:sz w:val="18"/>
          <w:szCs w:val="18"/>
          <w:lang w:val="pt-PT"/>
        </w:rPr>
        <w:t>Mestrado</w:t>
      </w:r>
    </w:p>
    <w:p w14:paraId="12E90297" w14:textId="109A97B0" w:rsidR="003440E3" w:rsidRPr="00537118" w:rsidRDefault="005E6A3A" w:rsidP="003440E3">
      <w:pPr>
        <w:ind w:left="-567"/>
        <w:rPr>
          <w:rFonts w:ascii="Gill Sans MT" w:hAnsi="Gill Sans MT" w:cs="Gill Sans"/>
          <w:caps/>
          <w:sz w:val="18"/>
          <w:szCs w:val="18"/>
        </w:rPr>
      </w:pPr>
      <w:r w:rsidRPr="00537118">
        <w:rPr>
          <w:rFonts w:ascii="Gill Sans MT" w:hAnsi="Gill Sans MT" w:cs="Gill Sans"/>
          <w:caps/>
          <w:sz w:val="18"/>
          <w:szCs w:val="18"/>
        </w:rPr>
        <w:t>Economia e gest</w:t>
      </w:r>
      <w:r w:rsidR="00176A64" w:rsidRPr="00537118">
        <w:rPr>
          <w:rFonts w:ascii="Gill Sans MT" w:hAnsi="Gill Sans MT" w:cs="Gill Sans"/>
          <w:caps/>
          <w:sz w:val="18"/>
          <w:szCs w:val="18"/>
        </w:rPr>
        <w:t>ão internacional</w:t>
      </w:r>
    </w:p>
    <w:p w14:paraId="10150831" w14:textId="77777777" w:rsidR="003440E3" w:rsidRPr="00537118" w:rsidRDefault="003440E3" w:rsidP="003440E3">
      <w:pPr>
        <w:pStyle w:val="BasicParagraph"/>
        <w:suppressAutoHyphens/>
        <w:ind w:left="-567"/>
        <w:rPr>
          <w:rFonts w:ascii="Gill Sans MT" w:hAnsi="Gill Sans MT" w:cs="Gill Sans"/>
          <w:caps/>
          <w:color w:val="auto"/>
          <w:sz w:val="18"/>
          <w:szCs w:val="18"/>
          <w:lang w:val="pt-PT"/>
        </w:rPr>
      </w:pPr>
    </w:p>
    <w:p w14:paraId="11E7EF29" w14:textId="77777777" w:rsidR="003440E3" w:rsidRPr="00537118" w:rsidRDefault="003440E3" w:rsidP="003440E3">
      <w:pPr>
        <w:pStyle w:val="BasicParagraph"/>
        <w:suppressAutoHyphens/>
        <w:ind w:left="-567"/>
        <w:rPr>
          <w:rFonts w:ascii="Gill Sans MT" w:hAnsi="Gill Sans MT" w:cs="Gill Sans"/>
          <w:caps/>
          <w:color w:val="auto"/>
          <w:sz w:val="18"/>
          <w:szCs w:val="18"/>
          <w:lang w:val="pt-PT"/>
        </w:rPr>
      </w:pPr>
    </w:p>
    <w:p w14:paraId="09CEA395" w14:textId="77777777" w:rsidR="003440E3" w:rsidRPr="00537118" w:rsidRDefault="003440E3" w:rsidP="003440E3">
      <w:pPr>
        <w:pStyle w:val="BasicParagraph"/>
        <w:suppressAutoHyphens/>
        <w:rPr>
          <w:rFonts w:ascii="Gill Sans MT" w:hAnsi="Gill Sans MT" w:cs="Gill Sans"/>
          <w:caps/>
          <w:color w:val="auto"/>
          <w:sz w:val="18"/>
          <w:szCs w:val="18"/>
          <w:lang w:val="pt-PT"/>
        </w:rPr>
      </w:pPr>
    </w:p>
    <w:p w14:paraId="57663AA2" w14:textId="0C6AACD1" w:rsidR="003440E3" w:rsidRPr="00537118" w:rsidRDefault="004528A8" w:rsidP="003440E3">
      <w:pPr>
        <w:pStyle w:val="BasicParagraph"/>
        <w:suppressAutoHyphens/>
        <w:ind w:left="-567"/>
        <w:rPr>
          <w:rFonts w:ascii="Gill Sans MT" w:hAnsi="Gill Sans MT" w:cs="Gill Sans"/>
          <w:b/>
          <w:caps/>
          <w:color w:val="00ADEF"/>
          <w:sz w:val="12"/>
          <w:szCs w:val="12"/>
          <w:lang w:val="pt-PT"/>
        </w:rPr>
      </w:pPr>
      <w:r w:rsidRPr="00537118">
        <w:rPr>
          <w:rFonts w:ascii="Gill Sans MT" w:hAnsi="Gill Sans MT" w:cs="Gill Sans"/>
          <w:b/>
          <w:sz w:val="48"/>
          <w:szCs w:val="48"/>
          <w:lang w:val="pt-PT"/>
        </w:rPr>
        <w:t xml:space="preserve">A Internacionalização de uma empresa de baterias portuguesa  </w:t>
      </w:r>
    </w:p>
    <w:p w14:paraId="07E438D7" w14:textId="2A701109" w:rsidR="003440E3" w:rsidRPr="00537118" w:rsidRDefault="004528A8" w:rsidP="003440E3">
      <w:pPr>
        <w:pStyle w:val="BasicParagraph"/>
        <w:suppressAutoHyphens/>
        <w:ind w:left="-567"/>
        <w:rPr>
          <w:rFonts w:ascii="Gill Sans MT" w:hAnsi="Gill Sans MT" w:cs="Gill Sans"/>
          <w:caps/>
          <w:color w:val="00ADEF"/>
          <w:sz w:val="12"/>
          <w:szCs w:val="12"/>
          <w:lang w:val="pt-PT"/>
        </w:rPr>
      </w:pPr>
      <w:r w:rsidRPr="00537118">
        <w:rPr>
          <w:rFonts w:ascii="Gill Sans MT" w:hAnsi="Gill Sans MT" w:cs="Gill Sans"/>
          <w:sz w:val="48"/>
          <w:szCs w:val="48"/>
          <w:lang w:val="pt-PT"/>
        </w:rPr>
        <w:t>Bruno António Maronese da Silva</w:t>
      </w:r>
    </w:p>
    <w:p w14:paraId="5965375E" w14:textId="77777777" w:rsidR="003440E3" w:rsidRPr="00537118" w:rsidRDefault="003440E3" w:rsidP="003440E3">
      <w:pPr>
        <w:pStyle w:val="BasicParagraph"/>
        <w:suppressAutoHyphens/>
        <w:spacing w:line="240" w:lineRule="auto"/>
        <w:ind w:left="-567"/>
        <w:rPr>
          <w:rFonts w:ascii="Gill Sans MT" w:hAnsi="Gill Sans MT" w:cs="Gill Sans"/>
          <w:b/>
          <w:bCs/>
          <w:caps/>
          <w:spacing w:val="67"/>
          <w:sz w:val="96"/>
          <w:szCs w:val="96"/>
          <w:lang w:val="pt-PT"/>
        </w:rPr>
      </w:pPr>
      <w:r w:rsidRPr="00537118">
        <w:rPr>
          <w:rFonts w:ascii="Gill Sans MT" w:hAnsi="Gill Sans MT" w:cs="Gill Sans"/>
          <w:b/>
          <w:bCs/>
          <w:caps/>
          <w:spacing w:val="67"/>
          <w:sz w:val="96"/>
          <w:szCs w:val="96"/>
          <w:lang w:val="pt-PT"/>
        </w:rPr>
        <w:t>m</w:t>
      </w:r>
    </w:p>
    <w:p w14:paraId="1B09F1E2" w14:textId="69B52FE8" w:rsidR="003440E3" w:rsidRPr="00537118" w:rsidRDefault="003440E3" w:rsidP="003440E3">
      <w:pPr>
        <w:pStyle w:val="BasicParagraph"/>
        <w:suppressAutoHyphens/>
        <w:spacing w:line="240" w:lineRule="auto"/>
        <w:ind w:left="-567"/>
        <w:rPr>
          <w:rFonts w:ascii="Gill Sans MT" w:hAnsi="Gill Sans MT" w:cs="Gill Sans"/>
          <w:b/>
          <w:bCs/>
          <w:caps/>
          <w:sz w:val="22"/>
          <w:szCs w:val="22"/>
          <w:lang w:val="pt-PT"/>
        </w:rPr>
      </w:pPr>
      <w:r w:rsidRPr="00537118">
        <w:rPr>
          <w:rFonts w:ascii="Gill Sans MT" w:hAnsi="Gill Sans MT" w:cs="Gill Sans"/>
          <w:b/>
          <w:bCs/>
          <w:caps/>
          <w:spacing w:val="9"/>
          <w:sz w:val="22"/>
          <w:szCs w:val="22"/>
          <w:lang w:val="pt-PT"/>
        </w:rPr>
        <w:t>2</w:t>
      </w:r>
      <w:r w:rsidRPr="00537118">
        <w:rPr>
          <w:rFonts w:ascii="Gill Sans MT" w:hAnsi="Gill Sans MT" w:cs="Gill Sans"/>
          <w:b/>
          <w:bCs/>
          <w:caps/>
          <w:spacing w:val="-9"/>
          <w:sz w:val="22"/>
          <w:szCs w:val="22"/>
          <w:lang w:val="pt-PT"/>
        </w:rPr>
        <w:t>0</w:t>
      </w:r>
      <w:r w:rsidR="004528A8" w:rsidRPr="00537118">
        <w:rPr>
          <w:rFonts w:ascii="Gill Sans MT" w:hAnsi="Gill Sans MT" w:cs="Gill Sans"/>
          <w:b/>
          <w:bCs/>
          <w:caps/>
          <w:sz w:val="22"/>
          <w:szCs w:val="22"/>
          <w:lang w:val="pt-PT"/>
        </w:rPr>
        <w:t>25</w:t>
      </w:r>
    </w:p>
    <w:p w14:paraId="679131AF" w14:textId="77777777" w:rsidR="003440E3" w:rsidRPr="00537118" w:rsidRDefault="003440E3" w:rsidP="003440E3">
      <w:pPr>
        <w:pStyle w:val="BasicParagraph"/>
        <w:suppressAutoHyphens/>
        <w:spacing w:line="240" w:lineRule="auto"/>
        <w:ind w:left="-567"/>
        <w:rPr>
          <w:rFonts w:ascii="Gill Sans MT" w:hAnsi="Gill Sans MT" w:cs="Gill Sans"/>
          <w:b/>
          <w:bCs/>
          <w:caps/>
          <w:sz w:val="22"/>
          <w:szCs w:val="22"/>
          <w:lang w:val="pt-PT"/>
        </w:rPr>
      </w:pPr>
    </w:p>
    <w:p w14:paraId="4D3ADDA0" w14:textId="77777777" w:rsidR="00DD04F7" w:rsidRPr="00537118" w:rsidRDefault="00DD04F7">
      <w:pPr>
        <w:pStyle w:val="TOCHeading"/>
        <w:rPr>
          <w:rFonts w:asciiTheme="minorHAnsi" w:eastAsiaTheme="minorHAnsi" w:hAnsiTheme="minorHAnsi" w:cstheme="minorBidi"/>
          <w:b w:val="0"/>
          <w:color w:val="auto"/>
          <w:kern w:val="2"/>
          <w:sz w:val="22"/>
          <w:szCs w:val="22"/>
          <w:lang w:val="pt-PT"/>
        </w:rPr>
      </w:pPr>
    </w:p>
    <w:p w14:paraId="681D1A3B" w14:textId="5883DC6A" w:rsidR="00FD0865" w:rsidRPr="00537118" w:rsidRDefault="00CB34E0">
      <w:pPr>
        <w:rPr>
          <w:b/>
        </w:rPr>
      </w:pPr>
      <w:r w:rsidRPr="00537118">
        <w:rPr>
          <w:noProof/>
          <w:lang w:eastAsia="pt-PT"/>
        </w:rPr>
        <mc:AlternateContent>
          <mc:Choice Requires="wpg">
            <w:drawing>
              <wp:anchor distT="0" distB="0" distL="114300" distR="114300" simplePos="0" relativeHeight="251716608" behindDoc="0" locked="0" layoutInCell="1" allowOverlap="1" wp14:anchorId="43706354" wp14:editId="2EB374DD">
                <wp:simplePos x="0" y="0"/>
                <wp:positionH relativeFrom="page">
                  <wp:posOffset>3648075</wp:posOffset>
                </wp:positionH>
                <wp:positionV relativeFrom="paragraph">
                  <wp:posOffset>2348703</wp:posOffset>
                </wp:positionV>
                <wp:extent cx="447675" cy="1828800"/>
                <wp:effectExtent l="0" t="0" r="28575" b="19050"/>
                <wp:wrapNone/>
                <wp:docPr id="1424262534" name="Group 5"/>
                <wp:cNvGraphicFramePr/>
                <a:graphic xmlns:a="http://schemas.openxmlformats.org/drawingml/2006/main">
                  <a:graphicData uri="http://schemas.microsoft.com/office/word/2010/wordprocessingGroup">
                    <wpg:wgp>
                      <wpg:cNvGrpSpPr/>
                      <wpg:grpSpPr>
                        <a:xfrm>
                          <a:off x="0" y="0"/>
                          <a:ext cx="447675" cy="1828800"/>
                          <a:chOff x="9525" y="0"/>
                          <a:chExt cx="447675" cy="1828800"/>
                        </a:xfrm>
                      </wpg:grpSpPr>
                      <wps:wsp>
                        <wps:cNvPr id="556574453" name="Rectangle 556574453"/>
                        <wps:cNvSpPr/>
                        <wps:spPr>
                          <a:xfrm>
                            <a:off x="9525" y="0"/>
                            <a:ext cx="228600" cy="1828800"/>
                          </a:xfrm>
                          <a:prstGeom prst="rect">
                            <a:avLst/>
                          </a:prstGeom>
                          <a:solidFill>
                            <a:srgbClr val="F6333E"/>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6430927" name="Rectangle 1216430927"/>
                        <wps:cNvSpPr/>
                        <wps:spPr>
                          <a:xfrm>
                            <a:off x="228600" y="0"/>
                            <a:ext cx="228600" cy="1828800"/>
                          </a:xfrm>
                          <a:prstGeom prst="rect">
                            <a:avLst/>
                          </a:prstGeom>
                          <a:solidFill>
                            <a:schemeClr val="bg1"/>
                          </a:solidFill>
                          <a:ln>
                            <a:solidFill>
                              <a:srgbClr val="F6333E"/>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2F4EE76E" id="Group 5" o:spid="_x0000_s1026" style="position:absolute;margin-left:287.25pt;margin-top:184.95pt;width:35.25pt;height:2in;z-index:251716608;mso-position-horizontal-relative:page;mso-width-relative:margin" coordorigin="95" coordsize="4476,1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">
                <v:rect id="Rectangle 556574453" o:spid="_x0000_s1027" style="position:absolute;left:95;width:2286;height:18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" fillcolor="#f6333e" stroked="f" strokeweight=".5pt"/>
                <v:rect id="Rectangle 1216430927" o:spid="_x0000_s1028" style="position:absolute;left:2286;width:2286;height:18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" fillcolor="white [3212]" strokecolor="#f6333e" strokeweight=".5pt"/>
                <w10:wrap anchorx="page"/>
              </v:group>
            </w:pict>
          </mc:Fallback>
        </mc:AlternateContent>
      </w:r>
      <w:r w:rsidR="00DD04F7" w:rsidRPr="00537118">
        <w:rPr>
          <w:b/>
        </w:rPr>
        <w:br w:type="page"/>
      </w:r>
    </w:p>
    <w:p w14:paraId="07C29D5F" w14:textId="501BECA0" w:rsidR="00D600A5" w:rsidRPr="00537118" w:rsidRDefault="00D600A5" w:rsidP="00FB1BA1">
      <w:pPr>
        <w:tabs>
          <w:tab w:val="left" w:pos="6593"/>
        </w:tabs>
      </w:pPr>
      <w:r w:rsidRPr="00537118">
        <w:rPr>
          <w:noProof/>
        </w:rPr>
        <w:lastRenderedPageBreak/>
        <w:drawing>
          <wp:anchor distT="0" distB="0" distL="114300" distR="114300" simplePos="0" relativeHeight="251666432" behindDoc="0" locked="0" layoutInCell="1" allowOverlap="1" wp14:anchorId="5A5188EB" wp14:editId="0608B069">
            <wp:simplePos x="0" y="0"/>
            <wp:positionH relativeFrom="margin">
              <wp:align>left</wp:align>
            </wp:positionH>
            <wp:positionV relativeFrom="paragraph">
              <wp:posOffset>-658687</wp:posOffset>
            </wp:positionV>
            <wp:extent cx="2192867" cy="1002628"/>
            <wp:effectExtent l="0" t="0" r="0" b="7620"/>
            <wp:wrapNone/>
            <wp:docPr id="4" name="Picture 4"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sig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92867" cy="1002628"/>
                    </a:xfrm>
                    <a:prstGeom prst="rect">
                      <a:avLst/>
                    </a:prstGeom>
                  </pic:spPr>
                </pic:pic>
              </a:graphicData>
            </a:graphic>
            <wp14:sizeRelH relativeFrom="page">
              <wp14:pctWidth>0</wp14:pctWidth>
            </wp14:sizeRelH>
            <wp14:sizeRelV relativeFrom="page">
              <wp14:pctHeight>0</wp14:pctHeight>
            </wp14:sizeRelV>
          </wp:anchor>
        </w:drawing>
      </w:r>
    </w:p>
    <w:p w14:paraId="47061196" w14:textId="77777777" w:rsidR="009C653A" w:rsidRPr="00537118" w:rsidRDefault="009C653A" w:rsidP="00FB1BA1">
      <w:pPr>
        <w:tabs>
          <w:tab w:val="left" w:pos="6593"/>
        </w:tabs>
      </w:pPr>
    </w:p>
    <w:p w14:paraId="4DF4D898" w14:textId="2AA996AC" w:rsidR="00FB1BA1" w:rsidRPr="00537118" w:rsidRDefault="00FB1BA1" w:rsidP="00FB1BA1">
      <w:pPr>
        <w:tabs>
          <w:tab w:val="left" w:pos="6593"/>
        </w:tabs>
      </w:pPr>
      <w:r w:rsidRPr="00537118">
        <w:rPr>
          <w:noProof/>
          <w:vertAlign w:val="subscript"/>
        </w:rPr>
        <mc:AlternateContent>
          <mc:Choice Requires="wps">
            <w:drawing>
              <wp:inline distT="0" distB="0" distL="0" distR="0" wp14:anchorId="6CB74E8B" wp14:editId="4F4D2826">
                <wp:extent cx="374400" cy="50400"/>
                <wp:effectExtent l="0" t="0" r="6985" b="6985"/>
                <wp:docPr id="1" name="Retângulo 1"/>
                <wp:cNvGraphicFramePr/>
                <a:graphic xmlns:a="http://schemas.openxmlformats.org/drawingml/2006/main">
                  <a:graphicData uri="http://schemas.microsoft.com/office/word/2010/wordprocessingShape">
                    <wps:wsp>
                      <wps:cNvSpPr/>
                      <wps:spPr>
                        <a:xfrm>
                          <a:off x="0" y="0"/>
                          <a:ext cx="374400" cy="50400"/>
                        </a:xfrm>
                        <a:prstGeom prst="rect">
                          <a:avLst/>
                        </a:prstGeom>
                        <a:solidFill>
                          <a:srgbClr val="EF334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82477A0" id="Retângulo 1" o:spid="_x0000_s1026" style="width:29.5pt;height:3.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" fillcolor="#ef3340" stroked="f" strokeweight="1pt">
                <w10:anchorlock/>
              </v:rect>
            </w:pict>
          </mc:Fallback>
        </mc:AlternateContent>
      </w:r>
    </w:p>
    <w:p w14:paraId="45262AE4" w14:textId="0736FAB6" w:rsidR="00FB1BA1" w:rsidRPr="00537118" w:rsidRDefault="009C653A" w:rsidP="00FB1BA1">
      <w:pPr>
        <w:pStyle w:val="Titulo"/>
        <w:rPr>
          <w:lang w:val="pt-PT"/>
        </w:rPr>
      </w:pPr>
      <w:r w:rsidRPr="00537118">
        <w:rPr>
          <w:lang w:val="pt-PT"/>
        </w:rPr>
        <w:t xml:space="preserve">A INTERNACIONALIZAÇÃO DE UMA EMPRESA DE BATERIAS PORTUGUESA </w:t>
      </w:r>
    </w:p>
    <w:p w14:paraId="43E5BEA1" w14:textId="42B2F4AB" w:rsidR="00FB1BA1" w:rsidRPr="00537118" w:rsidRDefault="009C653A" w:rsidP="00FB1BA1">
      <w:pPr>
        <w:pStyle w:val="NomeAluno"/>
        <w:rPr>
          <w:lang w:val="pt-PT"/>
        </w:rPr>
      </w:pPr>
      <w:r w:rsidRPr="00537118">
        <w:rPr>
          <w:lang w:val="pt-PT"/>
        </w:rPr>
        <w:t>Bruno António Maronese da Silva</w:t>
      </w:r>
    </w:p>
    <w:p w14:paraId="5FCF0126" w14:textId="77777777" w:rsidR="00FB1BA1" w:rsidRPr="00537118" w:rsidRDefault="00FB1BA1" w:rsidP="00FB1BA1">
      <w:pPr>
        <w:pStyle w:val="NomeAluno"/>
        <w:rPr>
          <w:lang w:val="pt-PT"/>
        </w:rPr>
      </w:pPr>
    </w:p>
    <w:p w14:paraId="236C06C4" w14:textId="77777777" w:rsidR="00FB1BA1" w:rsidRPr="00537118" w:rsidRDefault="00FB1BA1" w:rsidP="00FB1BA1">
      <w:pPr>
        <w:pStyle w:val="NomeAluno"/>
        <w:rPr>
          <w:lang w:val="pt-PT"/>
        </w:rPr>
      </w:pPr>
    </w:p>
    <w:p w14:paraId="024C5FA1" w14:textId="77777777" w:rsidR="00FB1BA1" w:rsidRPr="00537118" w:rsidRDefault="00FB1BA1" w:rsidP="00FB1BA1">
      <w:pPr>
        <w:pStyle w:val="NomeAluno"/>
        <w:rPr>
          <w:lang w:val="pt-PT"/>
        </w:rPr>
      </w:pPr>
      <w:r w:rsidRPr="00537118">
        <w:rPr>
          <w:noProof/>
          <w:vertAlign w:val="subscript"/>
          <w:lang w:val="pt-PT"/>
        </w:rPr>
        <mc:AlternateContent>
          <mc:Choice Requires="wps">
            <w:drawing>
              <wp:inline distT="0" distB="0" distL="0" distR="0" wp14:anchorId="5E0A2B2B" wp14:editId="47270A01">
                <wp:extent cx="374400" cy="50400"/>
                <wp:effectExtent l="0" t="0" r="6985" b="6985"/>
                <wp:docPr id="3" name="Retângulo 3"/>
                <wp:cNvGraphicFramePr/>
                <a:graphic xmlns:a="http://schemas.openxmlformats.org/drawingml/2006/main">
                  <a:graphicData uri="http://schemas.microsoft.com/office/word/2010/wordprocessingShape">
                    <wps:wsp>
                      <wps:cNvSpPr/>
                      <wps:spPr>
                        <a:xfrm>
                          <a:off x="0" y="0"/>
                          <a:ext cx="374400" cy="50400"/>
                        </a:xfrm>
                        <a:prstGeom prst="rect">
                          <a:avLst/>
                        </a:prstGeom>
                        <a:solidFill>
                          <a:srgbClr val="EF334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94D5C16" id="Retângulo 3" o:spid="_x0000_s1026" style="width:29.5pt;height:3.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" fillcolor="#ef3340" stroked="f" strokeweight="1pt">
                <w10:anchorlock/>
              </v:rect>
            </w:pict>
          </mc:Fallback>
        </mc:AlternateContent>
      </w:r>
    </w:p>
    <w:p w14:paraId="46FD4F79" w14:textId="0FDF99DE" w:rsidR="00FB1BA1" w:rsidRPr="00537118" w:rsidRDefault="009C653A" w:rsidP="00FB1BA1">
      <w:pPr>
        <w:pStyle w:val="Sub-Titulo1"/>
      </w:pPr>
      <w:r w:rsidRPr="00537118">
        <w:t>R</w:t>
      </w:r>
      <w:r w:rsidR="00FB1BA1" w:rsidRPr="00537118">
        <w:t xml:space="preserve">elatório de </w:t>
      </w:r>
      <w:r w:rsidRPr="00537118">
        <w:t>E</w:t>
      </w:r>
      <w:r w:rsidR="00FB1BA1" w:rsidRPr="00537118">
        <w:t xml:space="preserve">stágio </w:t>
      </w:r>
    </w:p>
    <w:p w14:paraId="7EDEA055" w14:textId="039EDD63" w:rsidR="00FB1BA1" w:rsidRPr="00537118" w:rsidRDefault="00FB1BA1" w:rsidP="00FB1BA1">
      <w:pPr>
        <w:pStyle w:val="Sub-Titulo2"/>
      </w:pPr>
      <w:r w:rsidRPr="00537118">
        <w:t xml:space="preserve">Mestrado em </w:t>
      </w:r>
      <w:r w:rsidR="00746A6F" w:rsidRPr="00537118">
        <w:t>Economia e Gestão Internacional</w:t>
      </w:r>
    </w:p>
    <w:p w14:paraId="3DB9E9BF" w14:textId="77777777" w:rsidR="00FB1BA1" w:rsidRPr="00537118" w:rsidRDefault="00FB1BA1" w:rsidP="00FB1BA1">
      <w:pPr>
        <w:pStyle w:val="Sub-Titulo2"/>
      </w:pPr>
    </w:p>
    <w:p w14:paraId="20490A72" w14:textId="77777777" w:rsidR="00FB1BA1" w:rsidRPr="00537118" w:rsidRDefault="00FB1BA1" w:rsidP="00FB1BA1">
      <w:pPr>
        <w:pStyle w:val="Sub-Titulo2"/>
      </w:pPr>
    </w:p>
    <w:p w14:paraId="2D228AE3" w14:textId="77777777" w:rsidR="00FB1BA1" w:rsidRPr="00537118" w:rsidRDefault="00FB1BA1" w:rsidP="00FB1BA1">
      <w:pPr>
        <w:pStyle w:val="Sub-Titulo2"/>
      </w:pPr>
    </w:p>
    <w:p w14:paraId="2136E748" w14:textId="77777777" w:rsidR="00FB1BA1" w:rsidRPr="00537118" w:rsidRDefault="00FB1BA1" w:rsidP="00FB1BA1">
      <w:pPr>
        <w:pStyle w:val="Sub-Titulo2"/>
      </w:pPr>
    </w:p>
    <w:p w14:paraId="52536D34" w14:textId="77777777" w:rsidR="00FB1BA1" w:rsidRPr="00537118" w:rsidRDefault="00FB1BA1" w:rsidP="00FB1BA1">
      <w:pPr>
        <w:pStyle w:val="Sub-Titulo2"/>
      </w:pPr>
    </w:p>
    <w:p w14:paraId="659138A2" w14:textId="77777777" w:rsidR="00FB1BA1" w:rsidRPr="00537118" w:rsidRDefault="00FB1BA1" w:rsidP="00FB1BA1">
      <w:pPr>
        <w:pStyle w:val="Sub-Titulo2"/>
      </w:pPr>
    </w:p>
    <w:p w14:paraId="0F368967" w14:textId="77777777" w:rsidR="00FB1BA1" w:rsidRPr="00537118" w:rsidRDefault="00FB1BA1" w:rsidP="00FB1BA1">
      <w:pPr>
        <w:pStyle w:val="Sub-Titulo2"/>
      </w:pPr>
    </w:p>
    <w:p w14:paraId="3A41F322" w14:textId="77777777" w:rsidR="00FB1BA1" w:rsidRPr="00537118" w:rsidRDefault="00FB1BA1" w:rsidP="00FB1BA1">
      <w:pPr>
        <w:pStyle w:val="Sub-Titulo2"/>
      </w:pPr>
    </w:p>
    <w:p w14:paraId="0F193A78" w14:textId="77777777" w:rsidR="00FB1BA1" w:rsidRPr="00537118" w:rsidRDefault="00FB1BA1" w:rsidP="00FB1BA1">
      <w:pPr>
        <w:pStyle w:val="NomeAluno"/>
        <w:rPr>
          <w:lang w:val="pt-PT"/>
        </w:rPr>
      </w:pPr>
      <w:r w:rsidRPr="00537118">
        <w:rPr>
          <w:noProof/>
          <w:vertAlign w:val="subscript"/>
          <w:lang w:val="pt-PT"/>
        </w:rPr>
        <mc:AlternateContent>
          <mc:Choice Requires="wps">
            <w:drawing>
              <wp:inline distT="0" distB="0" distL="0" distR="0" wp14:anchorId="3FB7AC18" wp14:editId="0451E57F">
                <wp:extent cx="374400" cy="50400"/>
                <wp:effectExtent l="0" t="0" r="6985" b="6985"/>
                <wp:docPr id="5" name="Retângulo 5"/>
                <wp:cNvGraphicFramePr/>
                <a:graphic xmlns:a="http://schemas.openxmlformats.org/drawingml/2006/main">
                  <a:graphicData uri="http://schemas.microsoft.com/office/word/2010/wordprocessingShape">
                    <wps:wsp>
                      <wps:cNvSpPr/>
                      <wps:spPr>
                        <a:xfrm>
                          <a:off x="0" y="0"/>
                          <a:ext cx="374400" cy="50400"/>
                        </a:xfrm>
                        <a:prstGeom prst="rect">
                          <a:avLst/>
                        </a:prstGeom>
                        <a:solidFill>
                          <a:srgbClr val="EF334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FEFDAC3" id="Retângulo 5" o:spid="_x0000_s1026" style="width:29.5pt;height:3.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" fillcolor="#ef3340" stroked="f" strokeweight="1pt">
                <w10:anchorlock/>
              </v:rect>
            </w:pict>
          </mc:Fallback>
        </mc:AlternateContent>
      </w:r>
    </w:p>
    <w:p w14:paraId="55E4BC46" w14:textId="77777777" w:rsidR="00FB1BA1" w:rsidRPr="00537118" w:rsidRDefault="00FB1BA1" w:rsidP="00FB1BA1">
      <w:pPr>
        <w:pStyle w:val="Sub-Titulo1"/>
      </w:pPr>
      <w:r w:rsidRPr="00537118">
        <w:t>Orientado por</w:t>
      </w:r>
    </w:p>
    <w:p w14:paraId="7DCDF500" w14:textId="72F06ED9" w:rsidR="00FB1BA1" w:rsidRPr="00537118" w:rsidRDefault="00DF5D6C" w:rsidP="00FB1BA1">
      <w:pPr>
        <w:pStyle w:val="Sub-Titulo2"/>
        <w:spacing w:before="0" w:line="288" w:lineRule="auto"/>
        <w:rPr>
          <w:b/>
        </w:rPr>
      </w:pPr>
      <w:r w:rsidRPr="00537118">
        <w:rPr>
          <w:b/>
          <w:bCs/>
        </w:rPr>
        <w:t xml:space="preserve">Professor Doutor </w:t>
      </w:r>
      <w:r w:rsidR="00E0096C" w:rsidRPr="00537118">
        <w:rPr>
          <w:b/>
          <w:bCs/>
        </w:rPr>
        <w:t>Pedro Cunha Neves</w:t>
      </w:r>
    </w:p>
    <w:p w14:paraId="613D03F9" w14:textId="77777777" w:rsidR="00FB1BA1" w:rsidRPr="00537118" w:rsidRDefault="00FB1BA1" w:rsidP="00FB1BA1">
      <w:pPr>
        <w:pStyle w:val="Sub-Titulo2"/>
        <w:spacing w:before="0" w:line="288" w:lineRule="auto"/>
        <w:rPr>
          <w:b/>
        </w:rPr>
      </w:pPr>
    </w:p>
    <w:p w14:paraId="7CCE54C6" w14:textId="77777777" w:rsidR="00FB1BA1" w:rsidRPr="00537118" w:rsidRDefault="00FB1BA1" w:rsidP="00FB1BA1">
      <w:pPr>
        <w:pStyle w:val="Sub-Titulo2"/>
        <w:spacing w:before="0" w:line="288" w:lineRule="auto"/>
        <w:rPr>
          <w:b/>
        </w:rPr>
      </w:pPr>
    </w:p>
    <w:p w14:paraId="129730A9" w14:textId="77777777" w:rsidR="00FB1BA1" w:rsidRPr="00537118" w:rsidRDefault="00FB1BA1" w:rsidP="00FB1BA1">
      <w:pPr>
        <w:pStyle w:val="Sub-Titulo2"/>
        <w:spacing w:before="0" w:line="288" w:lineRule="auto"/>
        <w:rPr>
          <w:b/>
        </w:rPr>
      </w:pPr>
    </w:p>
    <w:p w14:paraId="4D327944" w14:textId="77777777" w:rsidR="00FB1BA1" w:rsidRPr="00537118" w:rsidRDefault="00FB1BA1" w:rsidP="00FB1BA1">
      <w:pPr>
        <w:pStyle w:val="Sub-Titulo2"/>
        <w:spacing w:before="0" w:line="288" w:lineRule="auto"/>
        <w:rPr>
          <w:b/>
        </w:rPr>
      </w:pPr>
    </w:p>
    <w:p w14:paraId="2463168C" w14:textId="77777777" w:rsidR="00FB1BA1" w:rsidRPr="00537118" w:rsidRDefault="00FB1BA1" w:rsidP="00FB1BA1">
      <w:pPr>
        <w:pStyle w:val="Sub-Titulo2"/>
        <w:spacing w:before="0" w:line="288" w:lineRule="auto"/>
        <w:rPr>
          <w:b/>
        </w:rPr>
      </w:pPr>
    </w:p>
    <w:p w14:paraId="0864C178" w14:textId="77777777" w:rsidR="00FB1BA1" w:rsidRPr="00537118" w:rsidRDefault="00FB1BA1" w:rsidP="00FB1BA1">
      <w:pPr>
        <w:pStyle w:val="Sub-Titulo2"/>
        <w:spacing w:before="0" w:line="288" w:lineRule="auto"/>
        <w:rPr>
          <w:b/>
        </w:rPr>
      </w:pPr>
    </w:p>
    <w:p w14:paraId="1C5ECC72" w14:textId="77777777" w:rsidR="00FB1BA1" w:rsidRPr="00537118" w:rsidRDefault="00FB1BA1" w:rsidP="00FB1BA1">
      <w:pPr>
        <w:pStyle w:val="Sub-Titulo2"/>
        <w:spacing w:before="0" w:line="288" w:lineRule="auto"/>
        <w:rPr>
          <w:b/>
        </w:rPr>
      </w:pPr>
    </w:p>
    <w:p w14:paraId="7BD5FF90" w14:textId="77777777" w:rsidR="00FB1BA1" w:rsidRPr="00537118" w:rsidRDefault="00FB1BA1" w:rsidP="00FB1BA1">
      <w:pPr>
        <w:pStyle w:val="NomeAluno"/>
        <w:rPr>
          <w:lang w:val="pt-PT"/>
        </w:rPr>
      </w:pPr>
      <w:r w:rsidRPr="00537118">
        <w:rPr>
          <w:noProof/>
          <w:vertAlign w:val="subscript"/>
          <w:lang w:val="pt-PT"/>
        </w:rPr>
        <mc:AlternateContent>
          <mc:Choice Requires="wps">
            <w:drawing>
              <wp:inline distT="0" distB="0" distL="0" distR="0" wp14:anchorId="54DDE545" wp14:editId="5FB16161">
                <wp:extent cx="374400" cy="50400"/>
                <wp:effectExtent l="0" t="0" r="6985" b="6985"/>
                <wp:docPr id="9" name="Retângulo 9"/>
                <wp:cNvGraphicFramePr/>
                <a:graphic xmlns:a="http://schemas.openxmlformats.org/drawingml/2006/main">
                  <a:graphicData uri="http://schemas.microsoft.com/office/word/2010/wordprocessingShape">
                    <wps:wsp>
                      <wps:cNvSpPr/>
                      <wps:spPr>
                        <a:xfrm>
                          <a:off x="0" y="0"/>
                          <a:ext cx="374400" cy="50400"/>
                        </a:xfrm>
                        <a:prstGeom prst="rect">
                          <a:avLst/>
                        </a:prstGeom>
                        <a:solidFill>
                          <a:srgbClr val="EF334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910F4D9" id="Retângulo 9" o:spid="_x0000_s1026" style="width:29.5pt;height:3.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" fillcolor="#ef3340" stroked="f" strokeweight="1pt">
                <w10:anchorlock/>
              </v:rect>
            </w:pict>
          </mc:Fallback>
        </mc:AlternateContent>
      </w:r>
    </w:p>
    <w:p w14:paraId="5BBA2275" w14:textId="0282E929" w:rsidR="00FB1BA1" w:rsidRPr="00537118" w:rsidRDefault="00DF5D6C" w:rsidP="00FB1BA1">
      <w:pPr>
        <w:pStyle w:val="Sub-Titulo1"/>
      </w:pPr>
      <w:r w:rsidRPr="00537118">
        <w:t>2025</w:t>
      </w:r>
    </w:p>
    <w:p w14:paraId="6EB14F16" w14:textId="77777777" w:rsidR="00EE0C33" w:rsidRPr="00537118" w:rsidRDefault="00EE0C33" w:rsidP="00FB1BA1">
      <w:pPr>
        <w:pStyle w:val="Sub-Titulo1"/>
        <w:rPr>
          <w:b/>
          <w:bCs/>
          <w:sz w:val="28"/>
          <w:szCs w:val="28"/>
        </w:rPr>
        <w:sectPr w:rsidR="00EE0C33" w:rsidRPr="00537118" w:rsidSect="00247242">
          <w:pgSz w:w="12240" w:h="15840"/>
          <w:pgMar w:top="1701" w:right="1418" w:bottom="1701" w:left="1985" w:header="720" w:footer="720" w:gutter="0"/>
          <w:pgNumType w:start="7"/>
          <w:cols w:space="720"/>
          <w:docGrid w:linePitch="360"/>
        </w:sectPr>
      </w:pPr>
    </w:p>
    <w:p w14:paraId="4A3E1BFB" w14:textId="41CCE88F" w:rsidR="00FB1BA1" w:rsidRPr="00537118" w:rsidRDefault="00DF5D6C" w:rsidP="00AE12DF">
      <w:pPr>
        <w:pStyle w:val="Sub-Titulo1"/>
        <w:spacing w:line="360" w:lineRule="auto"/>
        <w:jc w:val="both"/>
        <w:rPr>
          <w:b/>
          <w:bCs/>
          <w:sz w:val="28"/>
          <w:szCs w:val="28"/>
        </w:rPr>
      </w:pPr>
      <w:r w:rsidRPr="00537118">
        <w:rPr>
          <w:b/>
          <w:bCs/>
          <w:sz w:val="28"/>
          <w:szCs w:val="28"/>
        </w:rPr>
        <w:lastRenderedPageBreak/>
        <w:t>Agradecimentos</w:t>
      </w:r>
    </w:p>
    <w:p w14:paraId="0ED0A991" w14:textId="77777777" w:rsidR="00AE12DF" w:rsidRPr="00537118" w:rsidRDefault="00AE12DF" w:rsidP="00AE12DF">
      <w:pPr>
        <w:pStyle w:val="Sub-Titulo1"/>
        <w:spacing w:line="360" w:lineRule="auto"/>
        <w:jc w:val="both"/>
      </w:pPr>
      <w:r w:rsidRPr="00537118">
        <w:t xml:space="preserve">Quero começar por agradecer de maneira geral a todos os que fizeram parte desta minha trajetória nestes dois últimos anos, direta ou indiretamente. Gostaria de agradecer à Faculdade de Economia da Universidade do Porto, com especial ênfase a todos os docentes que enriqueceram o meu percurso académico durante o Mestrado em Economia e Gestão Internacional. Para além disso, agradeço veementemente ao meu orientador Professor Doutor Pedro Cunha Neves, pelo incansável apoio prestado e pela atitude encorajante demonstrada desde o primeiro dia de aulas. </w:t>
      </w:r>
    </w:p>
    <w:p w14:paraId="7605DA1E" w14:textId="77777777" w:rsidR="00AE12DF" w:rsidRPr="00537118" w:rsidRDefault="00AE12DF" w:rsidP="00AE12DF">
      <w:pPr>
        <w:pStyle w:val="Sub-Titulo1"/>
        <w:spacing w:line="360" w:lineRule="auto"/>
        <w:jc w:val="both"/>
      </w:pPr>
      <w:r w:rsidRPr="00537118">
        <w:t xml:space="preserve">Expresso os meus sinceros agradecimentos à Accelper Consulting Iberia, em particular ao meu supervisor e chefe, Jorge Teixeira, que me acolheu de braços abertos e enriqueceu substancialmente a minha passagem pela empresa, tanto a nível profissional como pessoal. Aos meus colegas e amigos de turma, que tornaram cada dia, cada aula e cada trabalho em momentos de convivência, aprendizagem e alegria. Foi graças a vocês e ao vosso apoio incondicional que me foi possível concluir o presente relatório.  </w:t>
      </w:r>
    </w:p>
    <w:p w14:paraId="598DA4D0" w14:textId="77777777" w:rsidR="00AE12DF" w:rsidRPr="00537118" w:rsidRDefault="00AE12DF" w:rsidP="00AE12DF">
      <w:pPr>
        <w:pStyle w:val="Sub-Titulo1"/>
        <w:spacing w:line="360" w:lineRule="auto"/>
        <w:jc w:val="both"/>
      </w:pPr>
      <w:r w:rsidRPr="00537118">
        <w:t>Por fim, um sincero obrigado à minha família, amigos e namorada que estiveram sempre ao meu lado, desde o início até ao fim, nos momentos bons e nos menos bons. Sem vocês, este percurso académico teria sido, no mínimo, menos memorável.</w:t>
      </w:r>
    </w:p>
    <w:p w14:paraId="5CB70B4B" w14:textId="77777777" w:rsidR="00AE12DF" w:rsidRPr="00537118" w:rsidRDefault="00AE12DF" w:rsidP="00AE12DF">
      <w:pPr>
        <w:pStyle w:val="Sub-Titulo1"/>
        <w:spacing w:line="360" w:lineRule="auto"/>
        <w:jc w:val="both"/>
        <w:rPr>
          <w:b/>
          <w:bCs/>
        </w:rPr>
      </w:pPr>
    </w:p>
    <w:p w14:paraId="6A2CB671" w14:textId="27C4DA82" w:rsidR="004A1772" w:rsidRPr="00537118" w:rsidRDefault="004A1772">
      <w:pPr>
        <w:rPr>
          <w:b/>
        </w:rPr>
      </w:pPr>
      <w:r w:rsidRPr="00537118">
        <w:rPr>
          <w:b/>
        </w:rPr>
        <w:br w:type="page"/>
      </w:r>
    </w:p>
    <w:p w14:paraId="3248DCC6" w14:textId="77777777" w:rsidR="004B5EF6" w:rsidRPr="00537118" w:rsidRDefault="004B5EF6" w:rsidP="004B5EF6">
      <w:pPr>
        <w:spacing w:line="360" w:lineRule="auto"/>
        <w:jc w:val="both"/>
        <w:rPr>
          <w:rFonts w:ascii="Garamond" w:hAnsi="Garamond"/>
          <w:b/>
          <w:bCs/>
          <w:sz w:val="28"/>
          <w:szCs w:val="28"/>
        </w:rPr>
      </w:pPr>
      <w:r w:rsidRPr="00537118">
        <w:rPr>
          <w:rFonts w:ascii="Garamond" w:hAnsi="Garamond"/>
          <w:b/>
          <w:bCs/>
          <w:sz w:val="28"/>
          <w:szCs w:val="28"/>
        </w:rPr>
        <w:lastRenderedPageBreak/>
        <w:t>Resumo</w:t>
      </w:r>
    </w:p>
    <w:p w14:paraId="304A5320" w14:textId="76D39F37" w:rsidR="004B5EF6" w:rsidRPr="00537118" w:rsidRDefault="004B5EF6" w:rsidP="004B5EF6">
      <w:pPr>
        <w:spacing w:line="360" w:lineRule="auto"/>
        <w:jc w:val="both"/>
        <w:rPr>
          <w:rFonts w:ascii="Garamond" w:hAnsi="Garamond"/>
          <w:color w:val="FF0000"/>
          <w:sz w:val="24"/>
          <w:szCs w:val="24"/>
        </w:rPr>
      </w:pPr>
      <w:r w:rsidRPr="00537118">
        <w:rPr>
          <w:rFonts w:ascii="Garamond" w:hAnsi="Garamond"/>
          <w:sz w:val="24"/>
          <w:szCs w:val="24"/>
        </w:rPr>
        <w:t>O relatório em questão resulta do estágio curricular realizado na empresa Accelper Consulting Iberia, a qual se dedica à prestação de serviços de consultoria empresarial para todo o tipo de setores e indústrias. Durante o estágio foram desenvolvidas diversas atividades</w:t>
      </w:r>
      <w:r w:rsidR="006F3884" w:rsidRPr="00537118">
        <w:rPr>
          <w:rFonts w:ascii="Garamond" w:hAnsi="Garamond"/>
          <w:sz w:val="24"/>
          <w:szCs w:val="24"/>
        </w:rPr>
        <w:t>,</w:t>
      </w:r>
      <w:r w:rsidRPr="00537118">
        <w:rPr>
          <w:rFonts w:ascii="Garamond" w:hAnsi="Garamond"/>
          <w:sz w:val="24"/>
          <w:szCs w:val="24"/>
        </w:rPr>
        <w:t xml:space="preserve"> nomeadamente o apoio na preparação e submissão de candidaturas para sistemas de incentivos, elaboração de relatórios ESG e especial ênfase em projetos de internacionalização, com particular foco numa empresa de baterias portuguesa. Assim, este relatório evidencia um plano de internacionalização </w:t>
      </w:r>
      <w:r w:rsidR="006F3884" w:rsidRPr="00537118">
        <w:rPr>
          <w:rFonts w:ascii="Garamond" w:hAnsi="Garamond"/>
          <w:sz w:val="24"/>
          <w:szCs w:val="24"/>
        </w:rPr>
        <w:t xml:space="preserve">elaborado </w:t>
      </w:r>
      <w:r w:rsidRPr="00537118">
        <w:rPr>
          <w:rFonts w:ascii="Garamond" w:hAnsi="Garamond"/>
          <w:sz w:val="24"/>
          <w:szCs w:val="24"/>
        </w:rPr>
        <w:t xml:space="preserve">a partir das características e particularidades da empresa de baterias, bem como do panorama global associado a este tipo de tecnologia de armazenamento de energia. De referir que existe uma vasta literatura sobre os processos de internacionalização, desde as barreiras e a seleção de mercados, até os próprios modos de entrada, sendo que neste estágio </w:t>
      </w:r>
      <w:r w:rsidR="006F3884" w:rsidRPr="00537118">
        <w:rPr>
          <w:rFonts w:ascii="Garamond" w:hAnsi="Garamond"/>
          <w:sz w:val="24"/>
          <w:szCs w:val="24"/>
        </w:rPr>
        <w:t xml:space="preserve">se </w:t>
      </w:r>
      <w:r w:rsidRPr="00537118">
        <w:rPr>
          <w:rFonts w:ascii="Garamond" w:hAnsi="Garamond"/>
          <w:sz w:val="24"/>
          <w:szCs w:val="24"/>
        </w:rPr>
        <w:t xml:space="preserve">conseguiu aplicar esses conhecimentos às características do setor e da empresa. Para </w:t>
      </w:r>
      <w:r w:rsidR="006F3884" w:rsidRPr="00537118">
        <w:rPr>
          <w:rFonts w:ascii="Garamond" w:hAnsi="Garamond"/>
          <w:sz w:val="24"/>
          <w:szCs w:val="24"/>
        </w:rPr>
        <w:t>tal</w:t>
      </w:r>
      <w:r w:rsidRPr="00537118">
        <w:rPr>
          <w:rFonts w:ascii="Garamond" w:hAnsi="Garamond"/>
          <w:sz w:val="24"/>
          <w:szCs w:val="24"/>
        </w:rPr>
        <w:t>, foi utilizada uma abordagem</w:t>
      </w:r>
      <w:r w:rsidR="00EE09F8" w:rsidRPr="00537118">
        <w:rPr>
          <w:rFonts w:ascii="Garamond" w:hAnsi="Garamond"/>
          <w:sz w:val="24"/>
          <w:szCs w:val="24"/>
        </w:rPr>
        <w:t xml:space="preserve"> baseada em indicadores específicos</w:t>
      </w:r>
      <w:r w:rsidRPr="00537118">
        <w:rPr>
          <w:rFonts w:ascii="Garamond" w:hAnsi="Garamond"/>
          <w:sz w:val="24"/>
          <w:szCs w:val="24"/>
        </w:rPr>
        <w:t xml:space="preserve"> que, em </w:t>
      </w:r>
      <w:r w:rsidR="006F3884" w:rsidRPr="00537118">
        <w:rPr>
          <w:rFonts w:ascii="Garamond" w:hAnsi="Garamond"/>
          <w:sz w:val="24"/>
          <w:szCs w:val="24"/>
        </w:rPr>
        <w:t xml:space="preserve">conjunto </w:t>
      </w:r>
      <w:r w:rsidRPr="00537118">
        <w:rPr>
          <w:rFonts w:ascii="Garamond" w:hAnsi="Garamond"/>
          <w:sz w:val="24"/>
          <w:szCs w:val="24"/>
        </w:rPr>
        <w:t xml:space="preserve">com as tarefas executadas no estágio, </w:t>
      </w:r>
      <w:r w:rsidR="006F3884" w:rsidRPr="00537118">
        <w:rPr>
          <w:rFonts w:ascii="Garamond" w:hAnsi="Garamond"/>
          <w:sz w:val="24"/>
          <w:szCs w:val="24"/>
        </w:rPr>
        <w:t xml:space="preserve">permitiu </w:t>
      </w:r>
      <w:r w:rsidRPr="00537118">
        <w:rPr>
          <w:rFonts w:ascii="Garamond" w:hAnsi="Garamond"/>
          <w:sz w:val="24"/>
          <w:szCs w:val="24"/>
        </w:rPr>
        <w:t xml:space="preserve">escolher os mercados mais atrativos para a atividade da empresa bem como o respetivo modo de entrada. </w:t>
      </w:r>
      <w:r w:rsidRPr="00537118">
        <w:rPr>
          <w:rFonts w:ascii="Garamond" w:hAnsi="Garamond"/>
          <w:color w:val="000000" w:themeColor="text1"/>
          <w:sz w:val="24"/>
          <w:szCs w:val="24"/>
        </w:rPr>
        <w:t xml:space="preserve">Neste sentido, foram obtidos três mercados ideais para a empresa de baterias iniciar o seu processo de internacionalização: </w:t>
      </w:r>
      <w:r w:rsidR="00C63B12">
        <w:rPr>
          <w:rFonts w:ascii="Garamond" w:hAnsi="Garamond"/>
          <w:color w:val="000000" w:themeColor="text1"/>
          <w:sz w:val="24"/>
          <w:szCs w:val="24"/>
        </w:rPr>
        <w:t>o</w:t>
      </w:r>
      <w:r w:rsidRPr="00537118">
        <w:rPr>
          <w:rFonts w:ascii="Garamond" w:hAnsi="Garamond"/>
          <w:color w:val="000000" w:themeColor="text1"/>
          <w:sz w:val="24"/>
          <w:szCs w:val="24"/>
        </w:rPr>
        <w:t xml:space="preserve"> Reino Unido, a Alemanha e a Austrália. </w:t>
      </w:r>
      <w:r w:rsidR="00483A58" w:rsidRPr="00537118">
        <w:rPr>
          <w:rFonts w:ascii="Garamond" w:hAnsi="Garamond"/>
          <w:color w:val="000000" w:themeColor="text1"/>
          <w:sz w:val="24"/>
          <w:szCs w:val="24"/>
        </w:rPr>
        <w:t>Tendo em</w:t>
      </w:r>
      <w:r w:rsidR="00EE09F8" w:rsidRPr="00537118">
        <w:rPr>
          <w:rFonts w:ascii="Garamond" w:hAnsi="Garamond"/>
          <w:color w:val="000000" w:themeColor="text1"/>
          <w:sz w:val="24"/>
          <w:szCs w:val="24"/>
        </w:rPr>
        <w:t xml:space="preserve"> conta as </w:t>
      </w:r>
      <w:r w:rsidR="00483A58" w:rsidRPr="00537118">
        <w:rPr>
          <w:rFonts w:ascii="Garamond" w:hAnsi="Garamond"/>
          <w:color w:val="000000" w:themeColor="text1"/>
          <w:sz w:val="24"/>
          <w:szCs w:val="24"/>
        </w:rPr>
        <w:t>especificidades</w:t>
      </w:r>
      <w:r w:rsidR="00EE09F8" w:rsidRPr="00537118">
        <w:rPr>
          <w:rFonts w:ascii="Garamond" w:hAnsi="Garamond"/>
          <w:color w:val="000000" w:themeColor="text1"/>
          <w:sz w:val="24"/>
          <w:szCs w:val="24"/>
        </w:rPr>
        <w:t xml:space="preserve"> destes mercados e</w:t>
      </w:r>
      <w:r w:rsidRPr="00537118">
        <w:rPr>
          <w:rFonts w:ascii="Garamond" w:hAnsi="Garamond"/>
          <w:color w:val="000000" w:themeColor="text1"/>
          <w:sz w:val="24"/>
          <w:szCs w:val="24"/>
        </w:rPr>
        <w:t xml:space="preserve"> as particularidades da empresa</w:t>
      </w:r>
      <w:r w:rsidR="00EE09F8" w:rsidRPr="00537118">
        <w:rPr>
          <w:rFonts w:ascii="Garamond" w:hAnsi="Garamond"/>
          <w:color w:val="000000" w:themeColor="text1"/>
          <w:sz w:val="24"/>
          <w:szCs w:val="24"/>
        </w:rPr>
        <w:t xml:space="preserve"> e do setor de </w:t>
      </w:r>
      <w:r w:rsidR="00483A58" w:rsidRPr="00537118">
        <w:rPr>
          <w:rFonts w:ascii="Garamond" w:hAnsi="Garamond"/>
          <w:color w:val="000000" w:themeColor="text1"/>
          <w:sz w:val="24"/>
          <w:szCs w:val="24"/>
        </w:rPr>
        <w:t>baterias</w:t>
      </w:r>
      <w:r w:rsidR="00EE09F8" w:rsidRPr="00537118">
        <w:rPr>
          <w:rFonts w:ascii="Garamond" w:hAnsi="Garamond"/>
          <w:color w:val="000000" w:themeColor="text1"/>
          <w:sz w:val="24"/>
          <w:szCs w:val="24"/>
        </w:rPr>
        <w:t xml:space="preserve">, concluiu-se que os modos de entrada mais apropriados são </w:t>
      </w:r>
      <w:r w:rsidRPr="00537118">
        <w:rPr>
          <w:rFonts w:ascii="Garamond" w:hAnsi="Garamond"/>
          <w:color w:val="000000" w:themeColor="text1"/>
          <w:sz w:val="24"/>
          <w:szCs w:val="24"/>
        </w:rPr>
        <w:t>a aliança estratégica, a exportação e a Joint-venture.</w:t>
      </w:r>
      <w:r w:rsidRPr="00537118">
        <w:rPr>
          <w:rFonts w:ascii="Garamond" w:hAnsi="Garamond"/>
          <w:color w:val="FF0000"/>
          <w:sz w:val="24"/>
          <w:szCs w:val="24"/>
        </w:rPr>
        <w:t xml:space="preserve"> </w:t>
      </w:r>
    </w:p>
    <w:p w14:paraId="2E63B922" w14:textId="71439B28" w:rsidR="004B5EF6" w:rsidRPr="00537118" w:rsidRDefault="004B5EF6" w:rsidP="004B5EF6">
      <w:pPr>
        <w:spacing w:line="360" w:lineRule="auto"/>
        <w:jc w:val="both"/>
        <w:rPr>
          <w:rFonts w:ascii="Garamond" w:hAnsi="Garamond"/>
          <w:color w:val="000000" w:themeColor="text1"/>
          <w:sz w:val="24"/>
          <w:szCs w:val="24"/>
        </w:rPr>
      </w:pPr>
      <w:r w:rsidRPr="00537118">
        <w:rPr>
          <w:rFonts w:ascii="Garamond" w:hAnsi="Garamond"/>
          <w:b/>
          <w:bCs/>
          <w:color w:val="000000" w:themeColor="text1"/>
          <w:sz w:val="24"/>
          <w:szCs w:val="24"/>
        </w:rPr>
        <w:t>Palavras-chave</w:t>
      </w:r>
      <w:r w:rsidRPr="00537118">
        <w:rPr>
          <w:rFonts w:ascii="Garamond" w:hAnsi="Garamond"/>
          <w:color w:val="000000" w:themeColor="text1"/>
          <w:sz w:val="24"/>
          <w:szCs w:val="24"/>
        </w:rPr>
        <w:t>: plano de internacionalização</w:t>
      </w:r>
      <w:r w:rsidR="004A5BB6" w:rsidRPr="00537118">
        <w:rPr>
          <w:rFonts w:ascii="Garamond" w:hAnsi="Garamond"/>
          <w:color w:val="000000" w:themeColor="text1"/>
          <w:sz w:val="24"/>
          <w:szCs w:val="24"/>
        </w:rPr>
        <w:t>;</w:t>
      </w:r>
      <w:r w:rsidRPr="00537118">
        <w:rPr>
          <w:rFonts w:ascii="Garamond" w:hAnsi="Garamond"/>
          <w:color w:val="000000" w:themeColor="text1"/>
          <w:sz w:val="24"/>
          <w:szCs w:val="24"/>
        </w:rPr>
        <w:t xml:space="preserve"> empresa de baterias</w:t>
      </w:r>
      <w:r w:rsidR="004A5BB6" w:rsidRPr="00537118">
        <w:rPr>
          <w:rFonts w:ascii="Garamond" w:hAnsi="Garamond"/>
          <w:color w:val="000000" w:themeColor="text1"/>
          <w:sz w:val="24"/>
          <w:szCs w:val="24"/>
        </w:rPr>
        <w:t>;</w:t>
      </w:r>
      <w:r w:rsidRPr="00537118">
        <w:rPr>
          <w:rFonts w:ascii="Garamond" w:hAnsi="Garamond"/>
          <w:color w:val="000000" w:themeColor="text1"/>
          <w:sz w:val="24"/>
          <w:szCs w:val="24"/>
        </w:rPr>
        <w:t xml:space="preserve"> modos de entrada</w:t>
      </w:r>
      <w:r w:rsidR="004A5BB6" w:rsidRPr="00537118">
        <w:rPr>
          <w:rFonts w:ascii="Garamond" w:hAnsi="Garamond"/>
          <w:color w:val="000000" w:themeColor="text1"/>
          <w:sz w:val="24"/>
          <w:szCs w:val="24"/>
        </w:rPr>
        <w:t>;</w:t>
      </w:r>
      <w:r w:rsidRPr="00537118">
        <w:rPr>
          <w:rFonts w:ascii="Garamond" w:hAnsi="Garamond"/>
          <w:color w:val="000000" w:themeColor="text1"/>
          <w:sz w:val="24"/>
          <w:szCs w:val="24"/>
        </w:rPr>
        <w:t xml:space="preserve"> seleção de mercados</w:t>
      </w:r>
      <w:r w:rsidR="004A5BB6" w:rsidRPr="00537118">
        <w:rPr>
          <w:rFonts w:ascii="Garamond" w:hAnsi="Garamond"/>
          <w:color w:val="000000" w:themeColor="text1"/>
          <w:sz w:val="24"/>
          <w:szCs w:val="24"/>
        </w:rPr>
        <w:t>;</w:t>
      </w:r>
      <w:r w:rsidRPr="00537118">
        <w:rPr>
          <w:rFonts w:ascii="Garamond" w:hAnsi="Garamond"/>
          <w:color w:val="000000" w:themeColor="text1"/>
          <w:sz w:val="24"/>
          <w:szCs w:val="24"/>
        </w:rPr>
        <w:t xml:space="preserve"> indicadores.</w:t>
      </w:r>
    </w:p>
    <w:p w14:paraId="42C22445" w14:textId="77777777" w:rsidR="004B5EF6" w:rsidRPr="00537118" w:rsidRDefault="004B5EF6" w:rsidP="004B5EF6">
      <w:pPr>
        <w:spacing w:line="360" w:lineRule="auto"/>
        <w:jc w:val="both"/>
        <w:rPr>
          <w:rFonts w:ascii="Garamond" w:hAnsi="Garamond"/>
          <w:sz w:val="24"/>
          <w:szCs w:val="24"/>
        </w:rPr>
      </w:pPr>
      <w:r w:rsidRPr="00537118">
        <w:rPr>
          <w:rFonts w:ascii="Garamond" w:hAnsi="Garamond"/>
          <w:sz w:val="24"/>
          <w:szCs w:val="24"/>
        </w:rPr>
        <w:br w:type="page"/>
      </w:r>
    </w:p>
    <w:p w14:paraId="2CF63985" w14:textId="0735AFC6" w:rsidR="004B5EF6" w:rsidRPr="00537118" w:rsidRDefault="004B5EF6" w:rsidP="004B5EF6">
      <w:pPr>
        <w:spacing w:line="360" w:lineRule="auto"/>
        <w:jc w:val="both"/>
        <w:rPr>
          <w:rFonts w:ascii="Garamond" w:hAnsi="Garamond"/>
          <w:b/>
          <w:bCs/>
          <w:sz w:val="28"/>
          <w:szCs w:val="28"/>
        </w:rPr>
      </w:pPr>
      <w:r w:rsidRPr="00537118">
        <w:rPr>
          <w:rFonts w:ascii="Garamond" w:hAnsi="Garamond"/>
          <w:b/>
          <w:bCs/>
          <w:sz w:val="28"/>
          <w:szCs w:val="28"/>
        </w:rPr>
        <w:lastRenderedPageBreak/>
        <w:t>Abstract</w:t>
      </w:r>
    </w:p>
    <w:p w14:paraId="7D095D9B" w14:textId="13F343CC" w:rsidR="004B5EF6" w:rsidRPr="00537118" w:rsidRDefault="004B5EF6" w:rsidP="004B5EF6">
      <w:pPr>
        <w:spacing w:line="360" w:lineRule="auto"/>
        <w:jc w:val="both"/>
        <w:rPr>
          <w:rFonts w:ascii="Garamond" w:hAnsi="Garamond"/>
          <w:sz w:val="24"/>
          <w:szCs w:val="24"/>
        </w:rPr>
      </w:pPr>
      <w:r w:rsidRPr="00537118">
        <w:rPr>
          <w:rFonts w:ascii="Garamond" w:hAnsi="Garamond"/>
          <w:sz w:val="24"/>
          <w:szCs w:val="24"/>
        </w:rPr>
        <w:t xml:space="preserve">This report is the result of a curricular internship at Accelper Consulting Iberia, a company dedicated to providing business consultancy services to all kinds of sectors and industries. During the internship, various activities were carried out, including support in preparing and submitting applications for incentive systems, drafting ESG reports and special emphasis on internationalization projects, with a particular focus on a Portuguese battery company. Thus, this report shows an internationalization plan </w:t>
      </w:r>
      <w:r w:rsidR="00623787" w:rsidRPr="00537118">
        <w:rPr>
          <w:rFonts w:ascii="Garamond" w:hAnsi="Garamond"/>
          <w:sz w:val="24"/>
          <w:szCs w:val="24"/>
        </w:rPr>
        <w:t xml:space="preserve">elaborated </w:t>
      </w:r>
      <w:r w:rsidRPr="00537118">
        <w:rPr>
          <w:rFonts w:ascii="Garamond" w:hAnsi="Garamond"/>
          <w:sz w:val="24"/>
          <w:szCs w:val="24"/>
        </w:rPr>
        <w:t xml:space="preserve">based on the characteristics and particularities of the battery company, as well as the global panorama associated with this type of energy storage technology. It should be noted that there is a vast body of literature on internationalization processes, from barriers and market selection to the actual modes of entry, and that this internship has succeeded in applying this knowledge to the characteristics of the sector and the company. To achieve this, an approach </w:t>
      </w:r>
      <w:r w:rsidR="001553C0" w:rsidRPr="00537118">
        <w:rPr>
          <w:rFonts w:ascii="Garamond" w:hAnsi="Garamond"/>
          <w:sz w:val="24"/>
          <w:szCs w:val="24"/>
        </w:rPr>
        <w:t xml:space="preserve">based on specific indicators </w:t>
      </w:r>
      <w:r w:rsidRPr="00537118">
        <w:rPr>
          <w:rFonts w:ascii="Garamond" w:hAnsi="Garamond"/>
          <w:sz w:val="24"/>
          <w:szCs w:val="24"/>
        </w:rPr>
        <w:t>was used which, in conjunction with the tasks carried out during the internship, made it possible to choose the most attractive markets for the company’s activity, as well as the respective mode of entry. As a result, three ideal markets were chosen for the battery company to start its internationalization process: the United Kingdom, Germany and Australia</w:t>
      </w:r>
      <w:r w:rsidR="006D049B" w:rsidRPr="00537118">
        <w:rPr>
          <w:rFonts w:ascii="Garamond" w:hAnsi="Garamond"/>
          <w:sz w:val="24"/>
          <w:szCs w:val="24"/>
        </w:rPr>
        <w:t>. Taking into account the specificities of these markets and the particularities of the company and the battery sector, it was concluded that the most appropriate entry methods are strategic alliances, exports and joint ventures.</w:t>
      </w:r>
      <w:r w:rsidRPr="00537118">
        <w:rPr>
          <w:rFonts w:ascii="Garamond" w:hAnsi="Garamond"/>
          <w:sz w:val="24"/>
          <w:szCs w:val="24"/>
        </w:rPr>
        <w:t xml:space="preserve"> </w:t>
      </w:r>
    </w:p>
    <w:p w14:paraId="55ABBD1A" w14:textId="60A81D17" w:rsidR="00FD0865" w:rsidRPr="00537118" w:rsidRDefault="004B5EF6" w:rsidP="00012508">
      <w:pPr>
        <w:spacing w:line="360" w:lineRule="auto"/>
        <w:jc w:val="both"/>
        <w:rPr>
          <w:rFonts w:ascii="Garamond" w:hAnsi="Garamond"/>
          <w:sz w:val="24"/>
          <w:szCs w:val="24"/>
        </w:rPr>
      </w:pPr>
      <w:r w:rsidRPr="00537118">
        <w:rPr>
          <w:rFonts w:ascii="Garamond" w:hAnsi="Garamond"/>
          <w:b/>
          <w:bCs/>
          <w:sz w:val="24"/>
          <w:szCs w:val="24"/>
        </w:rPr>
        <w:t>Keywords</w:t>
      </w:r>
      <w:r w:rsidRPr="00537118">
        <w:rPr>
          <w:rFonts w:ascii="Garamond" w:hAnsi="Garamond"/>
          <w:sz w:val="24"/>
          <w:szCs w:val="24"/>
        </w:rPr>
        <w:t>: internationalization plan</w:t>
      </w:r>
      <w:r w:rsidR="006D049B" w:rsidRPr="00537118">
        <w:rPr>
          <w:rFonts w:ascii="Garamond" w:hAnsi="Garamond"/>
          <w:sz w:val="24"/>
          <w:szCs w:val="24"/>
        </w:rPr>
        <w:t>;</w:t>
      </w:r>
      <w:r w:rsidRPr="00537118">
        <w:rPr>
          <w:rFonts w:ascii="Garamond" w:hAnsi="Garamond"/>
          <w:sz w:val="24"/>
          <w:szCs w:val="24"/>
        </w:rPr>
        <w:t xml:space="preserve"> battery company</w:t>
      </w:r>
      <w:r w:rsidR="006D049B" w:rsidRPr="00537118">
        <w:rPr>
          <w:rFonts w:ascii="Garamond" w:hAnsi="Garamond"/>
          <w:sz w:val="24"/>
          <w:szCs w:val="24"/>
        </w:rPr>
        <w:t xml:space="preserve">; </w:t>
      </w:r>
      <w:r w:rsidRPr="00537118">
        <w:rPr>
          <w:rFonts w:ascii="Garamond" w:hAnsi="Garamond"/>
          <w:sz w:val="24"/>
          <w:szCs w:val="24"/>
        </w:rPr>
        <w:t>entry modes</w:t>
      </w:r>
      <w:r w:rsidR="00A02755" w:rsidRPr="00537118">
        <w:rPr>
          <w:rFonts w:ascii="Garamond" w:hAnsi="Garamond"/>
          <w:sz w:val="24"/>
          <w:szCs w:val="24"/>
        </w:rPr>
        <w:t>;</w:t>
      </w:r>
      <w:r w:rsidRPr="00537118">
        <w:rPr>
          <w:rFonts w:ascii="Garamond" w:hAnsi="Garamond"/>
          <w:sz w:val="24"/>
          <w:szCs w:val="24"/>
        </w:rPr>
        <w:t xml:space="preserve"> market selection</w:t>
      </w:r>
      <w:r w:rsidR="00A02755" w:rsidRPr="00537118">
        <w:rPr>
          <w:rFonts w:ascii="Garamond" w:hAnsi="Garamond"/>
          <w:sz w:val="24"/>
          <w:szCs w:val="24"/>
        </w:rPr>
        <w:t xml:space="preserve">; </w:t>
      </w:r>
      <w:r w:rsidRPr="00537118">
        <w:rPr>
          <w:rFonts w:ascii="Garamond" w:hAnsi="Garamond"/>
          <w:sz w:val="24"/>
          <w:szCs w:val="24"/>
        </w:rPr>
        <w:t xml:space="preserve">indicators. </w:t>
      </w:r>
    </w:p>
    <w:p w14:paraId="13C521B9" w14:textId="08F57182" w:rsidR="00012508" w:rsidRPr="00537118" w:rsidRDefault="00012508" w:rsidP="00E278C6"/>
    <w:p w14:paraId="67D59703" w14:textId="77777777" w:rsidR="00E278C6" w:rsidRPr="00537118" w:rsidRDefault="00E278C6" w:rsidP="00E278C6"/>
    <w:p w14:paraId="1B826512" w14:textId="77777777" w:rsidR="006D049B" w:rsidRPr="00537118" w:rsidRDefault="006D049B" w:rsidP="00E278C6"/>
    <w:p w14:paraId="5D64BAF2" w14:textId="77777777" w:rsidR="006D049B" w:rsidRPr="00537118" w:rsidRDefault="006D049B" w:rsidP="00E278C6"/>
    <w:p w14:paraId="718C784F" w14:textId="77777777" w:rsidR="006D049B" w:rsidRPr="00537118" w:rsidRDefault="006D049B" w:rsidP="00E278C6"/>
    <w:p w14:paraId="197D5614" w14:textId="77777777" w:rsidR="006D049B" w:rsidRPr="00537118" w:rsidRDefault="006D049B" w:rsidP="00E278C6"/>
    <w:p w14:paraId="49841B3C" w14:textId="77777777" w:rsidR="00E278C6" w:rsidRPr="00537118" w:rsidRDefault="00E278C6" w:rsidP="00E278C6"/>
    <w:sdt>
      <w:sdtPr>
        <w:rPr>
          <w:rFonts w:asciiTheme="minorHAnsi" w:eastAsiaTheme="minorHAnsi" w:hAnsiTheme="minorHAnsi" w:cstheme="minorBidi"/>
          <w:b w:val="0"/>
          <w:color w:val="auto"/>
          <w:kern w:val="2"/>
          <w:sz w:val="24"/>
          <w:szCs w:val="24"/>
          <w:lang w:val="pt-PT"/>
        </w:rPr>
        <w:id w:val="1769967907"/>
        <w:docPartObj>
          <w:docPartGallery w:val="Table of Contents"/>
          <w:docPartUnique/>
        </w:docPartObj>
      </w:sdtPr>
      <w:sdtEndPr>
        <w:rPr>
          <w:bCs/>
        </w:rPr>
      </w:sdtEndPr>
      <w:sdtContent>
        <w:p w14:paraId="49ECA896" w14:textId="77777777" w:rsidR="00E278C6" w:rsidRPr="001D352C" w:rsidRDefault="00E278C6" w:rsidP="001D352C">
          <w:pPr>
            <w:pStyle w:val="TOCHeading"/>
            <w:spacing w:before="0" w:line="360" w:lineRule="auto"/>
            <w:rPr>
              <w:sz w:val="28"/>
              <w:szCs w:val="28"/>
              <w:lang w:val="pt-PT"/>
            </w:rPr>
          </w:pPr>
          <w:r w:rsidRPr="001D352C">
            <w:rPr>
              <w:sz w:val="28"/>
              <w:szCs w:val="28"/>
              <w:lang w:val="pt-PT"/>
            </w:rPr>
            <w:t>Índice</w:t>
          </w:r>
        </w:p>
        <w:p w14:paraId="6893B79E" w14:textId="40FFDBA0" w:rsidR="001D352C" w:rsidRPr="001D352C" w:rsidRDefault="00E278C6" w:rsidP="001D352C">
          <w:pPr>
            <w:pStyle w:val="TOC1"/>
            <w:spacing w:line="360" w:lineRule="auto"/>
            <w:rPr>
              <w:rFonts w:eastAsiaTheme="minorEastAsia"/>
              <w:b w:val="0"/>
              <w:bCs w:val="0"/>
              <w:noProof/>
              <w:sz w:val="24"/>
              <w:szCs w:val="24"/>
              <w:lang w:val="en-US"/>
            </w:rPr>
          </w:pPr>
          <w:r w:rsidRPr="001D352C">
            <w:rPr>
              <w:sz w:val="24"/>
              <w:szCs w:val="24"/>
            </w:rPr>
            <w:fldChar w:fldCharType="begin"/>
          </w:r>
          <w:r w:rsidRPr="001D352C">
            <w:rPr>
              <w:sz w:val="24"/>
              <w:szCs w:val="24"/>
            </w:rPr>
            <w:instrText xml:space="preserve"> TOC \o "1-3" \h \z \u </w:instrText>
          </w:r>
          <w:r w:rsidRPr="001D352C">
            <w:rPr>
              <w:sz w:val="24"/>
              <w:szCs w:val="24"/>
            </w:rPr>
            <w:fldChar w:fldCharType="separate"/>
          </w:r>
          <w:hyperlink w:anchor="_Toc202571339" w:history="1">
            <w:r w:rsidR="001D352C" w:rsidRPr="001D352C">
              <w:rPr>
                <w:rStyle w:val="Hyperlink"/>
                <w:noProof/>
                <w:sz w:val="24"/>
                <w:szCs w:val="24"/>
              </w:rPr>
              <w:t>1. Introdução</w:t>
            </w:r>
            <w:r w:rsidR="001D352C" w:rsidRPr="001D352C">
              <w:rPr>
                <w:noProof/>
                <w:webHidden/>
                <w:sz w:val="24"/>
                <w:szCs w:val="24"/>
              </w:rPr>
              <w:tab/>
            </w:r>
            <w:r w:rsidR="001D352C" w:rsidRPr="001D352C">
              <w:rPr>
                <w:noProof/>
                <w:webHidden/>
                <w:sz w:val="24"/>
                <w:szCs w:val="24"/>
              </w:rPr>
              <w:fldChar w:fldCharType="begin"/>
            </w:r>
            <w:r w:rsidR="001D352C" w:rsidRPr="001D352C">
              <w:rPr>
                <w:noProof/>
                <w:webHidden/>
                <w:sz w:val="24"/>
                <w:szCs w:val="24"/>
              </w:rPr>
              <w:instrText xml:space="preserve"> PAGEREF _Toc202571339 \h </w:instrText>
            </w:r>
            <w:r w:rsidR="001D352C" w:rsidRPr="001D352C">
              <w:rPr>
                <w:noProof/>
                <w:webHidden/>
                <w:sz w:val="24"/>
                <w:szCs w:val="24"/>
              </w:rPr>
            </w:r>
            <w:r w:rsidR="001D352C" w:rsidRPr="001D352C">
              <w:rPr>
                <w:noProof/>
                <w:webHidden/>
                <w:sz w:val="24"/>
                <w:szCs w:val="24"/>
              </w:rPr>
              <w:fldChar w:fldCharType="separate"/>
            </w:r>
            <w:r w:rsidR="0091386C">
              <w:rPr>
                <w:noProof/>
                <w:webHidden/>
                <w:sz w:val="24"/>
                <w:szCs w:val="24"/>
              </w:rPr>
              <w:t>1</w:t>
            </w:r>
            <w:r w:rsidR="001D352C" w:rsidRPr="001D352C">
              <w:rPr>
                <w:noProof/>
                <w:webHidden/>
                <w:sz w:val="24"/>
                <w:szCs w:val="24"/>
              </w:rPr>
              <w:fldChar w:fldCharType="end"/>
            </w:r>
          </w:hyperlink>
        </w:p>
        <w:p w14:paraId="05F81E7D" w14:textId="10A89E64" w:rsidR="001D352C" w:rsidRPr="001D352C" w:rsidRDefault="001D352C" w:rsidP="001D352C">
          <w:pPr>
            <w:pStyle w:val="TOC1"/>
            <w:spacing w:line="360" w:lineRule="auto"/>
            <w:rPr>
              <w:rFonts w:eastAsiaTheme="minorEastAsia"/>
              <w:b w:val="0"/>
              <w:bCs w:val="0"/>
              <w:noProof/>
              <w:sz w:val="24"/>
              <w:szCs w:val="24"/>
              <w:lang w:val="en-US"/>
            </w:rPr>
          </w:pPr>
          <w:hyperlink w:anchor="_Toc202571340" w:history="1">
            <w:r w:rsidRPr="001D352C">
              <w:rPr>
                <w:rStyle w:val="Hyperlink"/>
                <w:noProof/>
                <w:sz w:val="24"/>
                <w:szCs w:val="24"/>
              </w:rPr>
              <w:t>2. Descrição da empresa e das atividades desenvolvidas</w:t>
            </w:r>
            <w:r w:rsidRPr="001D352C">
              <w:rPr>
                <w:noProof/>
                <w:webHidden/>
                <w:sz w:val="24"/>
                <w:szCs w:val="24"/>
              </w:rPr>
              <w:tab/>
            </w:r>
            <w:r w:rsidRPr="001D352C">
              <w:rPr>
                <w:noProof/>
                <w:webHidden/>
                <w:sz w:val="24"/>
                <w:szCs w:val="24"/>
              </w:rPr>
              <w:fldChar w:fldCharType="begin"/>
            </w:r>
            <w:r w:rsidRPr="001D352C">
              <w:rPr>
                <w:noProof/>
                <w:webHidden/>
                <w:sz w:val="24"/>
                <w:szCs w:val="24"/>
              </w:rPr>
              <w:instrText xml:space="preserve"> PAGEREF _Toc202571340 \h </w:instrText>
            </w:r>
            <w:r w:rsidRPr="001D352C">
              <w:rPr>
                <w:noProof/>
                <w:webHidden/>
                <w:sz w:val="24"/>
                <w:szCs w:val="24"/>
              </w:rPr>
            </w:r>
            <w:r w:rsidRPr="001D352C">
              <w:rPr>
                <w:noProof/>
                <w:webHidden/>
                <w:sz w:val="24"/>
                <w:szCs w:val="24"/>
              </w:rPr>
              <w:fldChar w:fldCharType="separate"/>
            </w:r>
            <w:r w:rsidR="0091386C">
              <w:rPr>
                <w:noProof/>
                <w:webHidden/>
                <w:sz w:val="24"/>
                <w:szCs w:val="24"/>
              </w:rPr>
              <w:t>4</w:t>
            </w:r>
            <w:r w:rsidRPr="001D352C">
              <w:rPr>
                <w:noProof/>
                <w:webHidden/>
                <w:sz w:val="24"/>
                <w:szCs w:val="24"/>
              </w:rPr>
              <w:fldChar w:fldCharType="end"/>
            </w:r>
          </w:hyperlink>
        </w:p>
        <w:p w14:paraId="1AB65F14" w14:textId="2D2C5F22" w:rsidR="001D352C" w:rsidRPr="001D352C" w:rsidRDefault="001D352C" w:rsidP="001D352C">
          <w:pPr>
            <w:pStyle w:val="TOC2"/>
            <w:tabs>
              <w:tab w:val="right" w:leader="dot" w:pos="8827"/>
            </w:tabs>
            <w:spacing w:line="360" w:lineRule="auto"/>
            <w:rPr>
              <w:rFonts w:ascii="Garamond" w:eastAsiaTheme="minorEastAsia" w:hAnsi="Garamond"/>
              <w:noProof/>
              <w:sz w:val="24"/>
              <w:szCs w:val="24"/>
              <w:lang w:val="en-US"/>
            </w:rPr>
          </w:pPr>
          <w:hyperlink w:anchor="_Toc202571341" w:history="1">
            <w:r w:rsidRPr="001D352C">
              <w:rPr>
                <w:rStyle w:val="Hyperlink"/>
                <w:rFonts w:ascii="Garamond" w:hAnsi="Garamond"/>
                <w:noProof/>
                <w:sz w:val="24"/>
                <w:szCs w:val="24"/>
              </w:rPr>
              <w:t>2.1. Descrição da empresa</w:t>
            </w:r>
            <w:r w:rsidRPr="001D352C">
              <w:rPr>
                <w:rFonts w:ascii="Garamond" w:hAnsi="Garamond"/>
                <w:noProof/>
                <w:webHidden/>
                <w:sz w:val="24"/>
                <w:szCs w:val="24"/>
              </w:rPr>
              <w:tab/>
            </w:r>
            <w:r w:rsidRPr="001D352C">
              <w:rPr>
                <w:rFonts w:ascii="Garamond" w:hAnsi="Garamond"/>
                <w:noProof/>
                <w:webHidden/>
                <w:sz w:val="24"/>
                <w:szCs w:val="24"/>
              </w:rPr>
              <w:fldChar w:fldCharType="begin"/>
            </w:r>
            <w:r w:rsidRPr="001D352C">
              <w:rPr>
                <w:rFonts w:ascii="Garamond" w:hAnsi="Garamond"/>
                <w:noProof/>
                <w:webHidden/>
                <w:sz w:val="24"/>
                <w:szCs w:val="24"/>
              </w:rPr>
              <w:instrText xml:space="preserve"> PAGEREF _Toc202571341 \h </w:instrText>
            </w:r>
            <w:r w:rsidRPr="001D352C">
              <w:rPr>
                <w:rFonts w:ascii="Garamond" w:hAnsi="Garamond"/>
                <w:noProof/>
                <w:webHidden/>
                <w:sz w:val="24"/>
                <w:szCs w:val="24"/>
              </w:rPr>
            </w:r>
            <w:r w:rsidRPr="001D352C">
              <w:rPr>
                <w:rFonts w:ascii="Garamond" w:hAnsi="Garamond"/>
                <w:noProof/>
                <w:webHidden/>
                <w:sz w:val="24"/>
                <w:szCs w:val="24"/>
              </w:rPr>
              <w:fldChar w:fldCharType="separate"/>
            </w:r>
            <w:r w:rsidR="0091386C">
              <w:rPr>
                <w:rFonts w:ascii="Garamond" w:hAnsi="Garamond"/>
                <w:noProof/>
                <w:webHidden/>
                <w:sz w:val="24"/>
                <w:szCs w:val="24"/>
              </w:rPr>
              <w:t>4</w:t>
            </w:r>
            <w:r w:rsidRPr="001D352C">
              <w:rPr>
                <w:rFonts w:ascii="Garamond" w:hAnsi="Garamond"/>
                <w:noProof/>
                <w:webHidden/>
                <w:sz w:val="24"/>
                <w:szCs w:val="24"/>
              </w:rPr>
              <w:fldChar w:fldCharType="end"/>
            </w:r>
          </w:hyperlink>
        </w:p>
        <w:p w14:paraId="616A488C" w14:textId="3C9D83C5" w:rsidR="001D352C" w:rsidRPr="001D352C" w:rsidRDefault="001D352C" w:rsidP="001D352C">
          <w:pPr>
            <w:pStyle w:val="TOC2"/>
            <w:tabs>
              <w:tab w:val="right" w:leader="dot" w:pos="8827"/>
            </w:tabs>
            <w:spacing w:line="360" w:lineRule="auto"/>
            <w:rPr>
              <w:rFonts w:ascii="Garamond" w:eastAsiaTheme="minorEastAsia" w:hAnsi="Garamond"/>
              <w:noProof/>
              <w:sz w:val="24"/>
              <w:szCs w:val="24"/>
              <w:lang w:val="en-US"/>
            </w:rPr>
          </w:pPr>
          <w:hyperlink w:anchor="_Toc202571342" w:history="1">
            <w:r w:rsidRPr="001D352C">
              <w:rPr>
                <w:rStyle w:val="Hyperlink"/>
                <w:rFonts w:ascii="Garamond" w:eastAsia="Aptos" w:hAnsi="Garamond"/>
                <w:noProof/>
                <w:sz w:val="24"/>
                <w:szCs w:val="24"/>
              </w:rPr>
              <w:t>2.2. Descrição das atividades desenvolvidas</w:t>
            </w:r>
            <w:r w:rsidRPr="001D352C">
              <w:rPr>
                <w:rFonts w:ascii="Garamond" w:hAnsi="Garamond"/>
                <w:noProof/>
                <w:webHidden/>
                <w:sz w:val="24"/>
                <w:szCs w:val="24"/>
              </w:rPr>
              <w:tab/>
            </w:r>
            <w:r w:rsidRPr="001D352C">
              <w:rPr>
                <w:rFonts w:ascii="Garamond" w:hAnsi="Garamond"/>
                <w:noProof/>
                <w:webHidden/>
                <w:sz w:val="24"/>
                <w:szCs w:val="24"/>
              </w:rPr>
              <w:fldChar w:fldCharType="begin"/>
            </w:r>
            <w:r w:rsidRPr="001D352C">
              <w:rPr>
                <w:rFonts w:ascii="Garamond" w:hAnsi="Garamond"/>
                <w:noProof/>
                <w:webHidden/>
                <w:sz w:val="24"/>
                <w:szCs w:val="24"/>
              </w:rPr>
              <w:instrText xml:space="preserve"> PAGEREF _Toc202571342 \h </w:instrText>
            </w:r>
            <w:r w:rsidRPr="001D352C">
              <w:rPr>
                <w:rFonts w:ascii="Garamond" w:hAnsi="Garamond"/>
                <w:noProof/>
                <w:webHidden/>
                <w:sz w:val="24"/>
                <w:szCs w:val="24"/>
              </w:rPr>
            </w:r>
            <w:r w:rsidRPr="001D352C">
              <w:rPr>
                <w:rFonts w:ascii="Garamond" w:hAnsi="Garamond"/>
                <w:noProof/>
                <w:webHidden/>
                <w:sz w:val="24"/>
                <w:szCs w:val="24"/>
              </w:rPr>
              <w:fldChar w:fldCharType="separate"/>
            </w:r>
            <w:r w:rsidR="0091386C">
              <w:rPr>
                <w:rFonts w:ascii="Garamond" w:hAnsi="Garamond"/>
                <w:noProof/>
                <w:webHidden/>
                <w:sz w:val="24"/>
                <w:szCs w:val="24"/>
              </w:rPr>
              <w:t>5</w:t>
            </w:r>
            <w:r w:rsidRPr="001D352C">
              <w:rPr>
                <w:rFonts w:ascii="Garamond" w:hAnsi="Garamond"/>
                <w:noProof/>
                <w:webHidden/>
                <w:sz w:val="24"/>
                <w:szCs w:val="24"/>
              </w:rPr>
              <w:fldChar w:fldCharType="end"/>
            </w:r>
          </w:hyperlink>
        </w:p>
        <w:p w14:paraId="456E0B3C" w14:textId="5D427D58" w:rsidR="001D352C" w:rsidRPr="001D352C" w:rsidRDefault="001D352C" w:rsidP="001D352C">
          <w:pPr>
            <w:pStyle w:val="TOC1"/>
            <w:spacing w:line="360" w:lineRule="auto"/>
            <w:rPr>
              <w:rFonts w:eastAsiaTheme="minorEastAsia"/>
              <w:b w:val="0"/>
              <w:bCs w:val="0"/>
              <w:noProof/>
              <w:sz w:val="24"/>
              <w:szCs w:val="24"/>
              <w:lang w:val="en-US"/>
            </w:rPr>
          </w:pPr>
          <w:hyperlink w:anchor="_Toc202571343" w:history="1">
            <w:r w:rsidRPr="001D352C">
              <w:rPr>
                <w:rStyle w:val="Hyperlink"/>
                <w:noProof/>
                <w:sz w:val="24"/>
                <w:szCs w:val="24"/>
              </w:rPr>
              <w:t>3. Revisão de literatura</w:t>
            </w:r>
            <w:r w:rsidRPr="001D352C">
              <w:rPr>
                <w:noProof/>
                <w:webHidden/>
                <w:sz w:val="24"/>
                <w:szCs w:val="24"/>
              </w:rPr>
              <w:tab/>
            </w:r>
            <w:r w:rsidRPr="001D352C">
              <w:rPr>
                <w:noProof/>
                <w:webHidden/>
                <w:sz w:val="24"/>
                <w:szCs w:val="24"/>
              </w:rPr>
              <w:fldChar w:fldCharType="begin"/>
            </w:r>
            <w:r w:rsidRPr="001D352C">
              <w:rPr>
                <w:noProof/>
                <w:webHidden/>
                <w:sz w:val="24"/>
                <w:szCs w:val="24"/>
              </w:rPr>
              <w:instrText xml:space="preserve"> PAGEREF _Toc202571343 \h </w:instrText>
            </w:r>
            <w:r w:rsidRPr="001D352C">
              <w:rPr>
                <w:noProof/>
                <w:webHidden/>
                <w:sz w:val="24"/>
                <w:szCs w:val="24"/>
              </w:rPr>
            </w:r>
            <w:r w:rsidRPr="001D352C">
              <w:rPr>
                <w:noProof/>
                <w:webHidden/>
                <w:sz w:val="24"/>
                <w:szCs w:val="24"/>
              </w:rPr>
              <w:fldChar w:fldCharType="separate"/>
            </w:r>
            <w:r w:rsidR="0091386C">
              <w:rPr>
                <w:noProof/>
                <w:webHidden/>
                <w:sz w:val="24"/>
                <w:szCs w:val="24"/>
              </w:rPr>
              <w:t>11</w:t>
            </w:r>
            <w:r w:rsidRPr="001D352C">
              <w:rPr>
                <w:noProof/>
                <w:webHidden/>
                <w:sz w:val="24"/>
                <w:szCs w:val="24"/>
              </w:rPr>
              <w:fldChar w:fldCharType="end"/>
            </w:r>
          </w:hyperlink>
        </w:p>
        <w:p w14:paraId="29B1D79D" w14:textId="3DE6D54B" w:rsidR="001D352C" w:rsidRPr="001D352C" w:rsidRDefault="001D352C" w:rsidP="001D352C">
          <w:pPr>
            <w:pStyle w:val="TOC2"/>
            <w:tabs>
              <w:tab w:val="right" w:leader="dot" w:pos="8827"/>
            </w:tabs>
            <w:spacing w:line="360" w:lineRule="auto"/>
            <w:rPr>
              <w:rFonts w:ascii="Garamond" w:eastAsiaTheme="minorEastAsia" w:hAnsi="Garamond"/>
              <w:noProof/>
              <w:sz w:val="24"/>
              <w:szCs w:val="24"/>
              <w:lang w:val="en-US"/>
            </w:rPr>
          </w:pPr>
          <w:hyperlink w:anchor="_Toc202571344" w:history="1">
            <w:r w:rsidRPr="001D352C">
              <w:rPr>
                <w:rStyle w:val="Hyperlink"/>
                <w:rFonts w:ascii="Garamond" w:hAnsi="Garamond"/>
                <w:noProof/>
                <w:sz w:val="24"/>
                <w:szCs w:val="24"/>
              </w:rPr>
              <w:t xml:space="preserve">3.1. </w:t>
            </w:r>
            <w:r w:rsidRPr="001D352C">
              <w:rPr>
                <w:rStyle w:val="Hyperlink"/>
                <w:rFonts w:ascii="Garamond" w:hAnsi="Garamond"/>
                <w:noProof/>
                <w:spacing w:val="15"/>
                <w:sz w:val="24"/>
                <w:szCs w:val="24"/>
              </w:rPr>
              <w:t>Teorias de Internacionalização</w:t>
            </w:r>
            <w:r w:rsidRPr="001D352C">
              <w:rPr>
                <w:rFonts w:ascii="Garamond" w:hAnsi="Garamond"/>
                <w:noProof/>
                <w:webHidden/>
                <w:sz w:val="24"/>
                <w:szCs w:val="24"/>
              </w:rPr>
              <w:tab/>
            </w:r>
            <w:r w:rsidRPr="001D352C">
              <w:rPr>
                <w:rFonts w:ascii="Garamond" w:hAnsi="Garamond"/>
                <w:noProof/>
                <w:webHidden/>
                <w:sz w:val="24"/>
                <w:szCs w:val="24"/>
              </w:rPr>
              <w:fldChar w:fldCharType="begin"/>
            </w:r>
            <w:r w:rsidRPr="001D352C">
              <w:rPr>
                <w:rFonts w:ascii="Garamond" w:hAnsi="Garamond"/>
                <w:noProof/>
                <w:webHidden/>
                <w:sz w:val="24"/>
                <w:szCs w:val="24"/>
              </w:rPr>
              <w:instrText xml:space="preserve"> PAGEREF _Toc202571344 \h </w:instrText>
            </w:r>
            <w:r w:rsidRPr="001D352C">
              <w:rPr>
                <w:rFonts w:ascii="Garamond" w:hAnsi="Garamond"/>
                <w:noProof/>
                <w:webHidden/>
                <w:sz w:val="24"/>
                <w:szCs w:val="24"/>
              </w:rPr>
            </w:r>
            <w:r w:rsidRPr="001D352C">
              <w:rPr>
                <w:rFonts w:ascii="Garamond" w:hAnsi="Garamond"/>
                <w:noProof/>
                <w:webHidden/>
                <w:sz w:val="24"/>
                <w:szCs w:val="24"/>
              </w:rPr>
              <w:fldChar w:fldCharType="separate"/>
            </w:r>
            <w:r w:rsidR="0091386C">
              <w:rPr>
                <w:rFonts w:ascii="Garamond" w:hAnsi="Garamond"/>
                <w:noProof/>
                <w:webHidden/>
                <w:sz w:val="24"/>
                <w:szCs w:val="24"/>
              </w:rPr>
              <w:t>11</w:t>
            </w:r>
            <w:r w:rsidRPr="001D352C">
              <w:rPr>
                <w:rFonts w:ascii="Garamond" w:hAnsi="Garamond"/>
                <w:noProof/>
                <w:webHidden/>
                <w:sz w:val="24"/>
                <w:szCs w:val="24"/>
              </w:rPr>
              <w:fldChar w:fldCharType="end"/>
            </w:r>
          </w:hyperlink>
        </w:p>
        <w:p w14:paraId="26A95B35" w14:textId="26FCA214" w:rsidR="001D352C" w:rsidRPr="001D352C" w:rsidRDefault="001D352C" w:rsidP="001D352C">
          <w:pPr>
            <w:pStyle w:val="TOC3"/>
            <w:tabs>
              <w:tab w:val="right" w:leader="dot" w:pos="8827"/>
            </w:tabs>
            <w:spacing w:line="360" w:lineRule="auto"/>
            <w:rPr>
              <w:rFonts w:ascii="Garamond" w:eastAsiaTheme="minorEastAsia" w:hAnsi="Garamond"/>
              <w:noProof/>
              <w:sz w:val="24"/>
              <w:szCs w:val="24"/>
              <w:lang w:val="en-US"/>
            </w:rPr>
          </w:pPr>
          <w:hyperlink w:anchor="_Toc202571345" w:history="1">
            <w:r w:rsidRPr="001D352C">
              <w:rPr>
                <w:rStyle w:val="Hyperlink"/>
                <w:rFonts w:ascii="Garamond" w:hAnsi="Garamond"/>
                <w:noProof/>
                <w:sz w:val="24"/>
                <w:szCs w:val="24"/>
              </w:rPr>
              <w:t xml:space="preserve">3.1.1. </w:t>
            </w:r>
            <w:r w:rsidRPr="001D352C">
              <w:rPr>
                <w:rStyle w:val="Hyperlink"/>
                <w:rFonts w:ascii="Garamond" w:hAnsi="Garamond"/>
                <w:noProof/>
                <w:spacing w:val="15"/>
                <w:sz w:val="24"/>
                <w:szCs w:val="24"/>
              </w:rPr>
              <w:t>Teoria de Uppsala</w:t>
            </w:r>
            <w:r w:rsidRPr="001D352C">
              <w:rPr>
                <w:rFonts w:ascii="Garamond" w:hAnsi="Garamond"/>
                <w:noProof/>
                <w:webHidden/>
                <w:sz w:val="24"/>
                <w:szCs w:val="24"/>
              </w:rPr>
              <w:tab/>
            </w:r>
            <w:r w:rsidRPr="001D352C">
              <w:rPr>
                <w:rFonts w:ascii="Garamond" w:hAnsi="Garamond"/>
                <w:noProof/>
                <w:webHidden/>
                <w:sz w:val="24"/>
                <w:szCs w:val="24"/>
              </w:rPr>
              <w:fldChar w:fldCharType="begin"/>
            </w:r>
            <w:r w:rsidRPr="001D352C">
              <w:rPr>
                <w:rFonts w:ascii="Garamond" w:hAnsi="Garamond"/>
                <w:noProof/>
                <w:webHidden/>
                <w:sz w:val="24"/>
                <w:szCs w:val="24"/>
              </w:rPr>
              <w:instrText xml:space="preserve"> PAGEREF _Toc202571345 \h </w:instrText>
            </w:r>
            <w:r w:rsidRPr="001D352C">
              <w:rPr>
                <w:rFonts w:ascii="Garamond" w:hAnsi="Garamond"/>
                <w:noProof/>
                <w:webHidden/>
                <w:sz w:val="24"/>
                <w:szCs w:val="24"/>
              </w:rPr>
            </w:r>
            <w:r w:rsidRPr="001D352C">
              <w:rPr>
                <w:rFonts w:ascii="Garamond" w:hAnsi="Garamond"/>
                <w:noProof/>
                <w:webHidden/>
                <w:sz w:val="24"/>
                <w:szCs w:val="24"/>
              </w:rPr>
              <w:fldChar w:fldCharType="separate"/>
            </w:r>
            <w:r w:rsidR="0091386C">
              <w:rPr>
                <w:rFonts w:ascii="Garamond" w:hAnsi="Garamond"/>
                <w:noProof/>
                <w:webHidden/>
                <w:sz w:val="24"/>
                <w:szCs w:val="24"/>
              </w:rPr>
              <w:t>11</w:t>
            </w:r>
            <w:r w:rsidRPr="001D352C">
              <w:rPr>
                <w:rFonts w:ascii="Garamond" w:hAnsi="Garamond"/>
                <w:noProof/>
                <w:webHidden/>
                <w:sz w:val="24"/>
                <w:szCs w:val="24"/>
              </w:rPr>
              <w:fldChar w:fldCharType="end"/>
            </w:r>
          </w:hyperlink>
        </w:p>
        <w:p w14:paraId="4A1CCA6F" w14:textId="69F1E759" w:rsidR="001D352C" w:rsidRPr="001D352C" w:rsidRDefault="001D352C" w:rsidP="001D352C">
          <w:pPr>
            <w:pStyle w:val="TOC3"/>
            <w:tabs>
              <w:tab w:val="right" w:leader="dot" w:pos="8827"/>
            </w:tabs>
            <w:spacing w:line="360" w:lineRule="auto"/>
            <w:rPr>
              <w:rFonts w:ascii="Garamond" w:eastAsiaTheme="minorEastAsia" w:hAnsi="Garamond"/>
              <w:noProof/>
              <w:sz w:val="24"/>
              <w:szCs w:val="24"/>
              <w:lang w:val="en-US"/>
            </w:rPr>
          </w:pPr>
          <w:hyperlink w:anchor="_Toc202571346" w:history="1">
            <w:r w:rsidRPr="001D352C">
              <w:rPr>
                <w:rStyle w:val="Hyperlink"/>
                <w:rFonts w:ascii="Garamond" w:hAnsi="Garamond"/>
                <w:bCs/>
                <w:noProof/>
                <w:sz w:val="24"/>
                <w:szCs w:val="24"/>
              </w:rPr>
              <w:t>3.1.2. Teoria das Born Globals</w:t>
            </w:r>
            <w:r w:rsidRPr="001D352C">
              <w:rPr>
                <w:rFonts w:ascii="Garamond" w:hAnsi="Garamond"/>
                <w:noProof/>
                <w:webHidden/>
                <w:sz w:val="24"/>
                <w:szCs w:val="24"/>
              </w:rPr>
              <w:tab/>
            </w:r>
            <w:r w:rsidRPr="001D352C">
              <w:rPr>
                <w:rFonts w:ascii="Garamond" w:hAnsi="Garamond"/>
                <w:noProof/>
                <w:webHidden/>
                <w:sz w:val="24"/>
                <w:szCs w:val="24"/>
              </w:rPr>
              <w:fldChar w:fldCharType="begin"/>
            </w:r>
            <w:r w:rsidRPr="001D352C">
              <w:rPr>
                <w:rFonts w:ascii="Garamond" w:hAnsi="Garamond"/>
                <w:noProof/>
                <w:webHidden/>
                <w:sz w:val="24"/>
                <w:szCs w:val="24"/>
              </w:rPr>
              <w:instrText xml:space="preserve"> PAGEREF _Toc202571346 \h </w:instrText>
            </w:r>
            <w:r w:rsidRPr="001D352C">
              <w:rPr>
                <w:rFonts w:ascii="Garamond" w:hAnsi="Garamond"/>
                <w:noProof/>
                <w:webHidden/>
                <w:sz w:val="24"/>
                <w:szCs w:val="24"/>
              </w:rPr>
            </w:r>
            <w:r w:rsidRPr="001D352C">
              <w:rPr>
                <w:rFonts w:ascii="Garamond" w:hAnsi="Garamond"/>
                <w:noProof/>
                <w:webHidden/>
                <w:sz w:val="24"/>
                <w:szCs w:val="24"/>
              </w:rPr>
              <w:fldChar w:fldCharType="separate"/>
            </w:r>
            <w:r w:rsidR="0091386C">
              <w:rPr>
                <w:rFonts w:ascii="Garamond" w:hAnsi="Garamond"/>
                <w:noProof/>
                <w:webHidden/>
                <w:sz w:val="24"/>
                <w:szCs w:val="24"/>
              </w:rPr>
              <w:t>13</w:t>
            </w:r>
            <w:r w:rsidRPr="001D352C">
              <w:rPr>
                <w:rFonts w:ascii="Garamond" w:hAnsi="Garamond"/>
                <w:noProof/>
                <w:webHidden/>
                <w:sz w:val="24"/>
                <w:szCs w:val="24"/>
              </w:rPr>
              <w:fldChar w:fldCharType="end"/>
            </w:r>
          </w:hyperlink>
        </w:p>
        <w:p w14:paraId="4D8ED76B" w14:textId="2E3707D2" w:rsidR="001D352C" w:rsidRPr="001D352C" w:rsidRDefault="001D352C" w:rsidP="001D352C">
          <w:pPr>
            <w:pStyle w:val="TOC3"/>
            <w:tabs>
              <w:tab w:val="right" w:leader="dot" w:pos="8827"/>
            </w:tabs>
            <w:spacing w:line="360" w:lineRule="auto"/>
            <w:rPr>
              <w:rFonts w:ascii="Garamond" w:eastAsiaTheme="minorEastAsia" w:hAnsi="Garamond"/>
              <w:noProof/>
              <w:sz w:val="24"/>
              <w:szCs w:val="24"/>
              <w:lang w:val="en-US"/>
            </w:rPr>
          </w:pPr>
          <w:hyperlink w:anchor="_Toc202571347" w:history="1">
            <w:r w:rsidRPr="001D352C">
              <w:rPr>
                <w:rStyle w:val="Hyperlink"/>
                <w:rFonts w:ascii="Garamond" w:hAnsi="Garamond"/>
                <w:noProof/>
                <w:sz w:val="24"/>
                <w:szCs w:val="24"/>
              </w:rPr>
              <w:t>3.1.3. Transaction Cost theory</w:t>
            </w:r>
            <w:r w:rsidRPr="001D352C">
              <w:rPr>
                <w:rFonts w:ascii="Garamond" w:hAnsi="Garamond"/>
                <w:noProof/>
                <w:webHidden/>
                <w:sz w:val="24"/>
                <w:szCs w:val="24"/>
              </w:rPr>
              <w:tab/>
            </w:r>
            <w:r w:rsidRPr="001D352C">
              <w:rPr>
                <w:rFonts w:ascii="Garamond" w:hAnsi="Garamond"/>
                <w:noProof/>
                <w:webHidden/>
                <w:sz w:val="24"/>
                <w:szCs w:val="24"/>
              </w:rPr>
              <w:fldChar w:fldCharType="begin"/>
            </w:r>
            <w:r w:rsidRPr="001D352C">
              <w:rPr>
                <w:rFonts w:ascii="Garamond" w:hAnsi="Garamond"/>
                <w:noProof/>
                <w:webHidden/>
                <w:sz w:val="24"/>
                <w:szCs w:val="24"/>
              </w:rPr>
              <w:instrText xml:space="preserve"> PAGEREF _Toc202571347 \h </w:instrText>
            </w:r>
            <w:r w:rsidRPr="001D352C">
              <w:rPr>
                <w:rFonts w:ascii="Garamond" w:hAnsi="Garamond"/>
                <w:noProof/>
                <w:webHidden/>
                <w:sz w:val="24"/>
                <w:szCs w:val="24"/>
              </w:rPr>
            </w:r>
            <w:r w:rsidRPr="001D352C">
              <w:rPr>
                <w:rFonts w:ascii="Garamond" w:hAnsi="Garamond"/>
                <w:noProof/>
                <w:webHidden/>
                <w:sz w:val="24"/>
                <w:szCs w:val="24"/>
              </w:rPr>
              <w:fldChar w:fldCharType="separate"/>
            </w:r>
            <w:r w:rsidR="0091386C">
              <w:rPr>
                <w:rFonts w:ascii="Garamond" w:hAnsi="Garamond"/>
                <w:noProof/>
                <w:webHidden/>
                <w:sz w:val="24"/>
                <w:szCs w:val="24"/>
              </w:rPr>
              <w:t>14</w:t>
            </w:r>
            <w:r w:rsidRPr="001D352C">
              <w:rPr>
                <w:rFonts w:ascii="Garamond" w:hAnsi="Garamond"/>
                <w:noProof/>
                <w:webHidden/>
                <w:sz w:val="24"/>
                <w:szCs w:val="24"/>
              </w:rPr>
              <w:fldChar w:fldCharType="end"/>
            </w:r>
          </w:hyperlink>
        </w:p>
        <w:p w14:paraId="7BEB0E91" w14:textId="7EDD4DEC" w:rsidR="001D352C" w:rsidRPr="001D352C" w:rsidRDefault="001D352C" w:rsidP="001D352C">
          <w:pPr>
            <w:pStyle w:val="TOC3"/>
            <w:tabs>
              <w:tab w:val="right" w:leader="dot" w:pos="8827"/>
            </w:tabs>
            <w:spacing w:line="360" w:lineRule="auto"/>
            <w:rPr>
              <w:rFonts w:ascii="Garamond" w:eastAsiaTheme="minorEastAsia" w:hAnsi="Garamond"/>
              <w:noProof/>
              <w:sz w:val="24"/>
              <w:szCs w:val="24"/>
              <w:lang w:val="en-US"/>
            </w:rPr>
          </w:pPr>
          <w:hyperlink w:anchor="_Toc202571348" w:history="1">
            <w:r w:rsidRPr="001D352C">
              <w:rPr>
                <w:rStyle w:val="Hyperlink"/>
                <w:rFonts w:ascii="Garamond" w:hAnsi="Garamond"/>
                <w:noProof/>
                <w:sz w:val="24"/>
                <w:szCs w:val="24"/>
              </w:rPr>
              <w:t>3.1.4. Paradigma eclético (OLI) - Teoria de IDE</w:t>
            </w:r>
            <w:r w:rsidRPr="001D352C">
              <w:rPr>
                <w:rFonts w:ascii="Garamond" w:hAnsi="Garamond"/>
                <w:noProof/>
                <w:webHidden/>
                <w:sz w:val="24"/>
                <w:szCs w:val="24"/>
              </w:rPr>
              <w:tab/>
            </w:r>
            <w:r w:rsidRPr="001D352C">
              <w:rPr>
                <w:rFonts w:ascii="Garamond" w:hAnsi="Garamond"/>
                <w:noProof/>
                <w:webHidden/>
                <w:sz w:val="24"/>
                <w:szCs w:val="24"/>
              </w:rPr>
              <w:fldChar w:fldCharType="begin"/>
            </w:r>
            <w:r w:rsidRPr="001D352C">
              <w:rPr>
                <w:rFonts w:ascii="Garamond" w:hAnsi="Garamond"/>
                <w:noProof/>
                <w:webHidden/>
                <w:sz w:val="24"/>
                <w:szCs w:val="24"/>
              </w:rPr>
              <w:instrText xml:space="preserve"> PAGEREF _Toc202571348 \h </w:instrText>
            </w:r>
            <w:r w:rsidRPr="001D352C">
              <w:rPr>
                <w:rFonts w:ascii="Garamond" w:hAnsi="Garamond"/>
                <w:noProof/>
                <w:webHidden/>
                <w:sz w:val="24"/>
                <w:szCs w:val="24"/>
              </w:rPr>
            </w:r>
            <w:r w:rsidRPr="001D352C">
              <w:rPr>
                <w:rFonts w:ascii="Garamond" w:hAnsi="Garamond"/>
                <w:noProof/>
                <w:webHidden/>
                <w:sz w:val="24"/>
                <w:szCs w:val="24"/>
              </w:rPr>
              <w:fldChar w:fldCharType="separate"/>
            </w:r>
            <w:r w:rsidR="0091386C">
              <w:rPr>
                <w:rFonts w:ascii="Garamond" w:hAnsi="Garamond"/>
                <w:noProof/>
                <w:webHidden/>
                <w:sz w:val="24"/>
                <w:szCs w:val="24"/>
              </w:rPr>
              <w:t>15</w:t>
            </w:r>
            <w:r w:rsidRPr="001D352C">
              <w:rPr>
                <w:rFonts w:ascii="Garamond" w:hAnsi="Garamond"/>
                <w:noProof/>
                <w:webHidden/>
                <w:sz w:val="24"/>
                <w:szCs w:val="24"/>
              </w:rPr>
              <w:fldChar w:fldCharType="end"/>
            </w:r>
          </w:hyperlink>
        </w:p>
        <w:p w14:paraId="039AC3B2" w14:textId="42768C0D" w:rsidR="001D352C" w:rsidRPr="001D352C" w:rsidRDefault="001D352C" w:rsidP="001D352C">
          <w:pPr>
            <w:pStyle w:val="TOC3"/>
            <w:tabs>
              <w:tab w:val="right" w:leader="dot" w:pos="8827"/>
            </w:tabs>
            <w:spacing w:line="360" w:lineRule="auto"/>
            <w:rPr>
              <w:rFonts w:ascii="Garamond" w:eastAsiaTheme="minorEastAsia" w:hAnsi="Garamond"/>
              <w:noProof/>
              <w:sz w:val="24"/>
              <w:szCs w:val="24"/>
              <w:lang w:val="en-US"/>
            </w:rPr>
          </w:pPr>
          <w:hyperlink w:anchor="_Toc202571349" w:history="1">
            <w:r w:rsidRPr="001D352C">
              <w:rPr>
                <w:rStyle w:val="Hyperlink"/>
                <w:rFonts w:ascii="Garamond" w:hAnsi="Garamond"/>
                <w:noProof/>
                <w:sz w:val="24"/>
                <w:szCs w:val="24"/>
              </w:rPr>
              <w:t>3.1.5. Teoria de empreendedorismo Internacional</w:t>
            </w:r>
            <w:r w:rsidRPr="001D352C">
              <w:rPr>
                <w:rFonts w:ascii="Garamond" w:hAnsi="Garamond"/>
                <w:noProof/>
                <w:webHidden/>
                <w:sz w:val="24"/>
                <w:szCs w:val="24"/>
              </w:rPr>
              <w:tab/>
            </w:r>
            <w:r w:rsidRPr="001D352C">
              <w:rPr>
                <w:rFonts w:ascii="Garamond" w:hAnsi="Garamond"/>
                <w:noProof/>
                <w:webHidden/>
                <w:sz w:val="24"/>
                <w:szCs w:val="24"/>
              </w:rPr>
              <w:fldChar w:fldCharType="begin"/>
            </w:r>
            <w:r w:rsidRPr="001D352C">
              <w:rPr>
                <w:rFonts w:ascii="Garamond" w:hAnsi="Garamond"/>
                <w:noProof/>
                <w:webHidden/>
                <w:sz w:val="24"/>
                <w:szCs w:val="24"/>
              </w:rPr>
              <w:instrText xml:space="preserve"> PAGEREF _Toc202571349 \h </w:instrText>
            </w:r>
            <w:r w:rsidRPr="001D352C">
              <w:rPr>
                <w:rFonts w:ascii="Garamond" w:hAnsi="Garamond"/>
                <w:noProof/>
                <w:webHidden/>
                <w:sz w:val="24"/>
                <w:szCs w:val="24"/>
              </w:rPr>
            </w:r>
            <w:r w:rsidRPr="001D352C">
              <w:rPr>
                <w:rFonts w:ascii="Garamond" w:hAnsi="Garamond"/>
                <w:noProof/>
                <w:webHidden/>
                <w:sz w:val="24"/>
                <w:szCs w:val="24"/>
              </w:rPr>
              <w:fldChar w:fldCharType="separate"/>
            </w:r>
            <w:r w:rsidR="0091386C">
              <w:rPr>
                <w:rFonts w:ascii="Garamond" w:hAnsi="Garamond"/>
                <w:noProof/>
                <w:webHidden/>
                <w:sz w:val="24"/>
                <w:szCs w:val="24"/>
              </w:rPr>
              <w:t>17</w:t>
            </w:r>
            <w:r w:rsidRPr="001D352C">
              <w:rPr>
                <w:rFonts w:ascii="Garamond" w:hAnsi="Garamond"/>
                <w:noProof/>
                <w:webHidden/>
                <w:sz w:val="24"/>
                <w:szCs w:val="24"/>
              </w:rPr>
              <w:fldChar w:fldCharType="end"/>
            </w:r>
          </w:hyperlink>
        </w:p>
        <w:p w14:paraId="6352303F" w14:textId="681F51B6" w:rsidR="001D352C" w:rsidRPr="001D352C" w:rsidRDefault="001D352C" w:rsidP="001D352C">
          <w:pPr>
            <w:pStyle w:val="TOC2"/>
            <w:tabs>
              <w:tab w:val="right" w:leader="dot" w:pos="8827"/>
            </w:tabs>
            <w:spacing w:line="360" w:lineRule="auto"/>
            <w:rPr>
              <w:rFonts w:ascii="Garamond" w:eastAsiaTheme="minorEastAsia" w:hAnsi="Garamond"/>
              <w:noProof/>
              <w:sz w:val="24"/>
              <w:szCs w:val="24"/>
              <w:lang w:val="en-US"/>
            </w:rPr>
          </w:pPr>
          <w:hyperlink w:anchor="_Toc202571350" w:history="1">
            <w:r w:rsidRPr="001D352C">
              <w:rPr>
                <w:rStyle w:val="Hyperlink"/>
                <w:rFonts w:ascii="Garamond" w:hAnsi="Garamond"/>
                <w:noProof/>
                <w:sz w:val="24"/>
                <w:szCs w:val="24"/>
              </w:rPr>
              <w:t>3.2. Motivações para a internacionalização</w:t>
            </w:r>
            <w:r w:rsidRPr="001D352C">
              <w:rPr>
                <w:rFonts w:ascii="Garamond" w:hAnsi="Garamond"/>
                <w:noProof/>
                <w:webHidden/>
                <w:sz w:val="24"/>
                <w:szCs w:val="24"/>
              </w:rPr>
              <w:tab/>
            </w:r>
            <w:r w:rsidRPr="001D352C">
              <w:rPr>
                <w:rFonts w:ascii="Garamond" w:hAnsi="Garamond"/>
                <w:noProof/>
                <w:webHidden/>
                <w:sz w:val="24"/>
                <w:szCs w:val="24"/>
              </w:rPr>
              <w:fldChar w:fldCharType="begin"/>
            </w:r>
            <w:r w:rsidRPr="001D352C">
              <w:rPr>
                <w:rFonts w:ascii="Garamond" w:hAnsi="Garamond"/>
                <w:noProof/>
                <w:webHidden/>
                <w:sz w:val="24"/>
                <w:szCs w:val="24"/>
              </w:rPr>
              <w:instrText xml:space="preserve"> PAGEREF _Toc202571350 \h </w:instrText>
            </w:r>
            <w:r w:rsidRPr="001D352C">
              <w:rPr>
                <w:rFonts w:ascii="Garamond" w:hAnsi="Garamond"/>
                <w:noProof/>
                <w:webHidden/>
                <w:sz w:val="24"/>
                <w:szCs w:val="24"/>
              </w:rPr>
            </w:r>
            <w:r w:rsidRPr="001D352C">
              <w:rPr>
                <w:rFonts w:ascii="Garamond" w:hAnsi="Garamond"/>
                <w:noProof/>
                <w:webHidden/>
                <w:sz w:val="24"/>
                <w:szCs w:val="24"/>
              </w:rPr>
              <w:fldChar w:fldCharType="separate"/>
            </w:r>
            <w:r w:rsidR="0091386C">
              <w:rPr>
                <w:rFonts w:ascii="Garamond" w:hAnsi="Garamond"/>
                <w:noProof/>
                <w:webHidden/>
                <w:sz w:val="24"/>
                <w:szCs w:val="24"/>
              </w:rPr>
              <w:t>18</w:t>
            </w:r>
            <w:r w:rsidRPr="001D352C">
              <w:rPr>
                <w:rFonts w:ascii="Garamond" w:hAnsi="Garamond"/>
                <w:noProof/>
                <w:webHidden/>
                <w:sz w:val="24"/>
                <w:szCs w:val="24"/>
              </w:rPr>
              <w:fldChar w:fldCharType="end"/>
            </w:r>
          </w:hyperlink>
        </w:p>
        <w:p w14:paraId="6311BDA5" w14:textId="67E02E22" w:rsidR="001D352C" w:rsidRPr="001D352C" w:rsidRDefault="001D352C" w:rsidP="001D352C">
          <w:pPr>
            <w:pStyle w:val="TOC3"/>
            <w:tabs>
              <w:tab w:val="right" w:leader="dot" w:pos="8827"/>
            </w:tabs>
            <w:spacing w:line="360" w:lineRule="auto"/>
            <w:rPr>
              <w:rFonts w:ascii="Garamond" w:eastAsiaTheme="minorEastAsia" w:hAnsi="Garamond"/>
              <w:noProof/>
              <w:sz w:val="24"/>
              <w:szCs w:val="24"/>
              <w:lang w:val="en-US"/>
            </w:rPr>
          </w:pPr>
          <w:hyperlink w:anchor="_Toc202571351" w:history="1">
            <w:r w:rsidRPr="001D352C">
              <w:rPr>
                <w:rStyle w:val="Hyperlink"/>
                <w:rFonts w:ascii="Garamond" w:hAnsi="Garamond"/>
                <w:noProof/>
                <w:sz w:val="24"/>
                <w:szCs w:val="24"/>
              </w:rPr>
              <w:t>3.2.1. Motivações primárias</w:t>
            </w:r>
            <w:r w:rsidRPr="001D352C">
              <w:rPr>
                <w:rFonts w:ascii="Garamond" w:hAnsi="Garamond"/>
                <w:noProof/>
                <w:webHidden/>
                <w:sz w:val="24"/>
                <w:szCs w:val="24"/>
              </w:rPr>
              <w:tab/>
            </w:r>
            <w:r w:rsidRPr="001D352C">
              <w:rPr>
                <w:rFonts w:ascii="Garamond" w:hAnsi="Garamond"/>
                <w:noProof/>
                <w:webHidden/>
                <w:sz w:val="24"/>
                <w:szCs w:val="24"/>
              </w:rPr>
              <w:fldChar w:fldCharType="begin"/>
            </w:r>
            <w:r w:rsidRPr="001D352C">
              <w:rPr>
                <w:rFonts w:ascii="Garamond" w:hAnsi="Garamond"/>
                <w:noProof/>
                <w:webHidden/>
                <w:sz w:val="24"/>
                <w:szCs w:val="24"/>
              </w:rPr>
              <w:instrText xml:space="preserve"> PAGEREF _Toc202571351 \h </w:instrText>
            </w:r>
            <w:r w:rsidRPr="001D352C">
              <w:rPr>
                <w:rFonts w:ascii="Garamond" w:hAnsi="Garamond"/>
                <w:noProof/>
                <w:webHidden/>
                <w:sz w:val="24"/>
                <w:szCs w:val="24"/>
              </w:rPr>
            </w:r>
            <w:r w:rsidRPr="001D352C">
              <w:rPr>
                <w:rFonts w:ascii="Garamond" w:hAnsi="Garamond"/>
                <w:noProof/>
                <w:webHidden/>
                <w:sz w:val="24"/>
                <w:szCs w:val="24"/>
              </w:rPr>
              <w:fldChar w:fldCharType="separate"/>
            </w:r>
            <w:r w:rsidR="0091386C">
              <w:rPr>
                <w:rFonts w:ascii="Garamond" w:hAnsi="Garamond"/>
                <w:noProof/>
                <w:webHidden/>
                <w:sz w:val="24"/>
                <w:szCs w:val="24"/>
              </w:rPr>
              <w:t>18</w:t>
            </w:r>
            <w:r w:rsidRPr="001D352C">
              <w:rPr>
                <w:rFonts w:ascii="Garamond" w:hAnsi="Garamond"/>
                <w:noProof/>
                <w:webHidden/>
                <w:sz w:val="24"/>
                <w:szCs w:val="24"/>
              </w:rPr>
              <w:fldChar w:fldCharType="end"/>
            </w:r>
          </w:hyperlink>
        </w:p>
        <w:p w14:paraId="3AA55E33" w14:textId="7B6821BD" w:rsidR="001D352C" w:rsidRPr="001D352C" w:rsidRDefault="001D352C" w:rsidP="001D352C">
          <w:pPr>
            <w:pStyle w:val="TOC3"/>
            <w:tabs>
              <w:tab w:val="right" w:leader="dot" w:pos="8827"/>
            </w:tabs>
            <w:spacing w:line="360" w:lineRule="auto"/>
            <w:rPr>
              <w:rFonts w:ascii="Garamond" w:eastAsiaTheme="minorEastAsia" w:hAnsi="Garamond"/>
              <w:noProof/>
              <w:sz w:val="24"/>
              <w:szCs w:val="24"/>
              <w:lang w:val="en-US"/>
            </w:rPr>
          </w:pPr>
          <w:hyperlink w:anchor="_Toc202571352" w:history="1">
            <w:r w:rsidRPr="001D352C">
              <w:rPr>
                <w:rStyle w:val="Hyperlink"/>
                <w:rFonts w:ascii="Garamond" w:hAnsi="Garamond"/>
                <w:noProof/>
                <w:sz w:val="24"/>
                <w:szCs w:val="24"/>
              </w:rPr>
              <w:t>3.2.2. Motivações secundárias</w:t>
            </w:r>
            <w:r w:rsidRPr="001D352C">
              <w:rPr>
                <w:rFonts w:ascii="Garamond" w:hAnsi="Garamond"/>
                <w:noProof/>
                <w:webHidden/>
                <w:sz w:val="24"/>
                <w:szCs w:val="24"/>
              </w:rPr>
              <w:tab/>
            </w:r>
            <w:r w:rsidRPr="001D352C">
              <w:rPr>
                <w:rFonts w:ascii="Garamond" w:hAnsi="Garamond"/>
                <w:noProof/>
                <w:webHidden/>
                <w:sz w:val="24"/>
                <w:szCs w:val="24"/>
              </w:rPr>
              <w:fldChar w:fldCharType="begin"/>
            </w:r>
            <w:r w:rsidRPr="001D352C">
              <w:rPr>
                <w:rFonts w:ascii="Garamond" w:hAnsi="Garamond"/>
                <w:noProof/>
                <w:webHidden/>
                <w:sz w:val="24"/>
                <w:szCs w:val="24"/>
              </w:rPr>
              <w:instrText xml:space="preserve"> PAGEREF _Toc202571352 \h </w:instrText>
            </w:r>
            <w:r w:rsidRPr="001D352C">
              <w:rPr>
                <w:rFonts w:ascii="Garamond" w:hAnsi="Garamond"/>
                <w:noProof/>
                <w:webHidden/>
                <w:sz w:val="24"/>
                <w:szCs w:val="24"/>
              </w:rPr>
            </w:r>
            <w:r w:rsidRPr="001D352C">
              <w:rPr>
                <w:rFonts w:ascii="Garamond" w:hAnsi="Garamond"/>
                <w:noProof/>
                <w:webHidden/>
                <w:sz w:val="24"/>
                <w:szCs w:val="24"/>
              </w:rPr>
              <w:fldChar w:fldCharType="separate"/>
            </w:r>
            <w:r w:rsidR="0091386C">
              <w:rPr>
                <w:rFonts w:ascii="Garamond" w:hAnsi="Garamond"/>
                <w:noProof/>
                <w:webHidden/>
                <w:sz w:val="24"/>
                <w:szCs w:val="24"/>
              </w:rPr>
              <w:t>19</w:t>
            </w:r>
            <w:r w:rsidRPr="001D352C">
              <w:rPr>
                <w:rFonts w:ascii="Garamond" w:hAnsi="Garamond"/>
                <w:noProof/>
                <w:webHidden/>
                <w:sz w:val="24"/>
                <w:szCs w:val="24"/>
              </w:rPr>
              <w:fldChar w:fldCharType="end"/>
            </w:r>
          </w:hyperlink>
        </w:p>
        <w:p w14:paraId="751B9CA5" w14:textId="3F07CF76" w:rsidR="001D352C" w:rsidRPr="001D352C" w:rsidRDefault="001D352C" w:rsidP="001D352C">
          <w:pPr>
            <w:pStyle w:val="TOC2"/>
            <w:tabs>
              <w:tab w:val="right" w:leader="dot" w:pos="8827"/>
            </w:tabs>
            <w:spacing w:line="360" w:lineRule="auto"/>
            <w:rPr>
              <w:rFonts w:ascii="Garamond" w:eastAsiaTheme="minorEastAsia" w:hAnsi="Garamond"/>
              <w:noProof/>
              <w:sz w:val="24"/>
              <w:szCs w:val="24"/>
              <w:lang w:val="en-US"/>
            </w:rPr>
          </w:pPr>
          <w:hyperlink w:anchor="_Toc202571353" w:history="1">
            <w:r w:rsidRPr="001D352C">
              <w:rPr>
                <w:rStyle w:val="Hyperlink"/>
                <w:rFonts w:ascii="Garamond" w:hAnsi="Garamond"/>
                <w:noProof/>
                <w:sz w:val="24"/>
                <w:szCs w:val="24"/>
              </w:rPr>
              <w:t>3.3. Modos de entrada</w:t>
            </w:r>
            <w:r w:rsidRPr="001D352C">
              <w:rPr>
                <w:rFonts w:ascii="Garamond" w:hAnsi="Garamond"/>
                <w:noProof/>
                <w:webHidden/>
                <w:sz w:val="24"/>
                <w:szCs w:val="24"/>
              </w:rPr>
              <w:tab/>
            </w:r>
            <w:r w:rsidRPr="001D352C">
              <w:rPr>
                <w:rFonts w:ascii="Garamond" w:hAnsi="Garamond"/>
                <w:noProof/>
                <w:webHidden/>
                <w:sz w:val="24"/>
                <w:szCs w:val="24"/>
              </w:rPr>
              <w:fldChar w:fldCharType="begin"/>
            </w:r>
            <w:r w:rsidRPr="001D352C">
              <w:rPr>
                <w:rFonts w:ascii="Garamond" w:hAnsi="Garamond"/>
                <w:noProof/>
                <w:webHidden/>
                <w:sz w:val="24"/>
                <w:szCs w:val="24"/>
              </w:rPr>
              <w:instrText xml:space="preserve"> PAGEREF _Toc202571353 \h </w:instrText>
            </w:r>
            <w:r w:rsidRPr="001D352C">
              <w:rPr>
                <w:rFonts w:ascii="Garamond" w:hAnsi="Garamond"/>
                <w:noProof/>
                <w:webHidden/>
                <w:sz w:val="24"/>
                <w:szCs w:val="24"/>
              </w:rPr>
            </w:r>
            <w:r w:rsidRPr="001D352C">
              <w:rPr>
                <w:rFonts w:ascii="Garamond" w:hAnsi="Garamond"/>
                <w:noProof/>
                <w:webHidden/>
                <w:sz w:val="24"/>
                <w:szCs w:val="24"/>
              </w:rPr>
              <w:fldChar w:fldCharType="separate"/>
            </w:r>
            <w:r w:rsidR="0091386C">
              <w:rPr>
                <w:rFonts w:ascii="Garamond" w:hAnsi="Garamond"/>
                <w:noProof/>
                <w:webHidden/>
                <w:sz w:val="24"/>
                <w:szCs w:val="24"/>
              </w:rPr>
              <w:t>19</w:t>
            </w:r>
            <w:r w:rsidRPr="001D352C">
              <w:rPr>
                <w:rFonts w:ascii="Garamond" w:hAnsi="Garamond"/>
                <w:noProof/>
                <w:webHidden/>
                <w:sz w:val="24"/>
                <w:szCs w:val="24"/>
              </w:rPr>
              <w:fldChar w:fldCharType="end"/>
            </w:r>
          </w:hyperlink>
        </w:p>
        <w:p w14:paraId="3F556924" w14:textId="7945589F" w:rsidR="001D352C" w:rsidRPr="001D352C" w:rsidRDefault="001D352C" w:rsidP="001D352C">
          <w:pPr>
            <w:pStyle w:val="TOC3"/>
            <w:tabs>
              <w:tab w:val="right" w:leader="dot" w:pos="8827"/>
            </w:tabs>
            <w:spacing w:line="360" w:lineRule="auto"/>
            <w:rPr>
              <w:rFonts w:ascii="Garamond" w:eastAsiaTheme="minorEastAsia" w:hAnsi="Garamond"/>
              <w:noProof/>
              <w:sz w:val="24"/>
              <w:szCs w:val="24"/>
              <w:lang w:val="en-US"/>
            </w:rPr>
          </w:pPr>
          <w:hyperlink w:anchor="_Toc202571354" w:history="1">
            <w:r w:rsidRPr="001D352C">
              <w:rPr>
                <w:rStyle w:val="Hyperlink"/>
                <w:rFonts w:ascii="Garamond" w:hAnsi="Garamond"/>
                <w:noProof/>
                <w:sz w:val="24"/>
                <w:szCs w:val="24"/>
              </w:rPr>
              <w:t>3.3.1. Equity based</w:t>
            </w:r>
            <w:r w:rsidRPr="001D352C">
              <w:rPr>
                <w:rFonts w:ascii="Garamond" w:hAnsi="Garamond"/>
                <w:noProof/>
                <w:webHidden/>
                <w:sz w:val="24"/>
                <w:szCs w:val="24"/>
              </w:rPr>
              <w:tab/>
            </w:r>
            <w:r w:rsidRPr="001D352C">
              <w:rPr>
                <w:rFonts w:ascii="Garamond" w:hAnsi="Garamond"/>
                <w:noProof/>
                <w:webHidden/>
                <w:sz w:val="24"/>
                <w:szCs w:val="24"/>
              </w:rPr>
              <w:fldChar w:fldCharType="begin"/>
            </w:r>
            <w:r w:rsidRPr="001D352C">
              <w:rPr>
                <w:rFonts w:ascii="Garamond" w:hAnsi="Garamond"/>
                <w:noProof/>
                <w:webHidden/>
                <w:sz w:val="24"/>
                <w:szCs w:val="24"/>
              </w:rPr>
              <w:instrText xml:space="preserve"> PAGEREF _Toc202571354 \h </w:instrText>
            </w:r>
            <w:r w:rsidRPr="001D352C">
              <w:rPr>
                <w:rFonts w:ascii="Garamond" w:hAnsi="Garamond"/>
                <w:noProof/>
                <w:webHidden/>
                <w:sz w:val="24"/>
                <w:szCs w:val="24"/>
              </w:rPr>
            </w:r>
            <w:r w:rsidRPr="001D352C">
              <w:rPr>
                <w:rFonts w:ascii="Garamond" w:hAnsi="Garamond"/>
                <w:noProof/>
                <w:webHidden/>
                <w:sz w:val="24"/>
                <w:szCs w:val="24"/>
              </w:rPr>
              <w:fldChar w:fldCharType="separate"/>
            </w:r>
            <w:r w:rsidR="0091386C">
              <w:rPr>
                <w:rFonts w:ascii="Garamond" w:hAnsi="Garamond"/>
                <w:noProof/>
                <w:webHidden/>
                <w:sz w:val="24"/>
                <w:szCs w:val="24"/>
              </w:rPr>
              <w:t>20</w:t>
            </w:r>
            <w:r w:rsidRPr="001D352C">
              <w:rPr>
                <w:rFonts w:ascii="Garamond" w:hAnsi="Garamond"/>
                <w:noProof/>
                <w:webHidden/>
                <w:sz w:val="24"/>
                <w:szCs w:val="24"/>
              </w:rPr>
              <w:fldChar w:fldCharType="end"/>
            </w:r>
          </w:hyperlink>
        </w:p>
        <w:p w14:paraId="4AAF6604" w14:textId="3BF41185" w:rsidR="001D352C" w:rsidRPr="001D352C" w:rsidRDefault="001D352C" w:rsidP="001D352C">
          <w:pPr>
            <w:pStyle w:val="TOC3"/>
            <w:tabs>
              <w:tab w:val="right" w:leader="dot" w:pos="8827"/>
            </w:tabs>
            <w:spacing w:line="360" w:lineRule="auto"/>
            <w:rPr>
              <w:rFonts w:ascii="Garamond" w:eastAsiaTheme="minorEastAsia" w:hAnsi="Garamond"/>
              <w:noProof/>
              <w:sz w:val="24"/>
              <w:szCs w:val="24"/>
              <w:lang w:val="en-US"/>
            </w:rPr>
          </w:pPr>
          <w:hyperlink w:anchor="_Toc202571355" w:history="1">
            <w:r w:rsidRPr="001D352C">
              <w:rPr>
                <w:rStyle w:val="Hyperlink"/>
                <w:rFonts w:ascii="Garamond" w:hAnsi="Garamond"/>
                <w:noProof/>
                <w:sz w:val="24"/>
                <w:szCs w:val="24"/>
              </w:rPr>
              <w:t>3.3.2. Non-equity based</w:t>
            </w:r>
            <w:r w:rsidRPr="001D352C">
              <w:rPr>
                <w:rFonts w:ascii="Garamond" w:hAnsi="Garamond"/>
                <w:noProof/>
                <w:webHidden/>
                <w:sz w:val="24"/>
                <w:szCs w:val="24"/>
              </w:rPr>
              <w:tab/>
            </w:r>
            <w:r w:rsidRPr="001D352C">
              <w:rPr>
                <w:rFonts w:ascii="Garamond" w:hAnsi="Garamond"/>
                <w:noProof/>
                <w:webHidden/>
                <w:sz w:val="24"/>
                <w:szCs w:val="24"/>
              </w:rPr>
              <w:fldChar w:fldCharType="begin"/>
            </w:r>
            <w:r w:rsidRPr="001D352C">
              <w:rPr>
                <w:rFonts w:ascii="Garamond" w:hAnsi="Garamond"/>
                <w:noProof/>
                <w:webHidden/>
                <w:sz w:val="24"/>
                <w:szCs w:val="24"/>
              </w:rPr>
              <w:instrText xml:space="preserve"> PAGEREF _Toc202571355 \h </w:instrText>
            </w:r>
            <w:r w:rsidRPr="001D352C">
              <w:rPr>
                <w:rFonts w:ascii="Garamond" w:hAnsi="Garamond"/>
                <w:noProof/>
                <w:webHidden/>
                <w:sz w:val="24"/>
                <w:szCs w:val="24"/>
              </w:rPr>
            </w:r>
            <w:r w:rsidRPr="001D352C">
              <w:rPr>
                <w:rFonts w:ascii="Garamond" w:hAnsi="Garamond"/>
                <w:noProof/>
                <w:webHidden/>
                <w:sz w:val="24"/>
                <w:szCs w:val="24"/>
              </w:rPr>
              <w:fldChar w:fldCharType="separate"/>
            </w:r>
            <w:r w:rsidR="0091386C">
              <w:rPr>
                <w:rFonts w:ascii="Garamond" w:hAnsi="Garamond"/>
                <w:noProof/>
                <w:webHidden/>
                <w:sz w:val="24"/>
                <w:szCs w:val="24"/>
              </w:rPr>
              <w:t>20</w:t>
            </w:r>
            <w:r w:rsidRPr="001D352C">
              <w:rPr>
                <w:rFonts w:ascii="Garamond" w:hAnsi="Garamond"/>
                <w:noProof/>
                <w:webHidden/>
                <w:sz w:val="24"/>
                <w:szCs w:val="24"/>
              </w:rPr>
              <w:fldChar w:fldCharType="end"/>
            </w:r>
          </w:hyperlink>
        </w:p>
        <w:p w14:paraId="45E97C6C" w14:textId="3022E760" w:rsidR="001D352C" w:rsidRPr="001D352C" w:rsidRDefault="001D352C" w:rsidP="001D352C">
          <w:pPr>
            <w:pStyle w:val="TOC2"/>
            <w:tabs>
              <w:tab w:val="right" w:leader="dot" w:pos="8827"/>
            </w:tabs>
            <w:spacing w:line="360" w:lineRule="auto"/>
            <w:rPr>
              <w:rFonts w:ascii="Garamond" w:eastAsiaTheme="minorEastAsia" w:hAnsi="Garamond"/>
              <w:noProof/>
              <w:sz w:val="24"/>
              <w:szCs w:val="24"/>
              <w:lang w:val="en-US"/>
            </w:rPr>
          </w:pPr>
          <w:hyperlink w:anchor="_Toc202571356" w:history="1">
            <w:r w:rsidRPr="001D352C">
              <w:rPr>
                <w:rStyle w:val="Hyperlink"/>
                <w:rFonts w:ascii="Garamond" w:hAnsi="Garamond"/>
                <w:noProof/>
                <w:sz w:val="24"/>
                <w:szCs w:val="24"/>
              </w:rPr>
              <w:t>3.4. Barreiras à internacionalização</w:t>
            </w:r>
            <w:r w:rsidRPr="001D352C">
              <w:rPr>
                <w:rFonts w:ascii="Garamond" w:hAnsi="Garamond"/>
                <w:noProof/>
                <w:webHidden/>
                <w:sz w:val="24"/>
                <w:szCs w:val="24"/>
              </w:rPr>
              <w:tab/>
            </w:r>
            <w:r w:rsidRPr="001D352C">
              <w:rPr>
                <w:rFonts w:ascii="Garamond" w:hAnsi="Garamond"/>
                <w:noProof/>
                <w:webHidden/>
                <w:sz w:val="24"/>
                <w:szCs w:val="24"/>
              </w:rPr>
              <w:fldChar w:fldCharType="begin"/>
            </w:r>
            <w:r w:rsidRPr="001D352C">
              <w:rPr>
                <w:rFonts w:ascii="Garamond" w:hAnsi="Garamond"/>
                <w:noProof/>
                <w:webHidden/>
                <w:sz w:val="24"/>
                <w:szCs w:val="24"/>
              </w:rPr>
              <w:instrText xml:space="preserve"> PAGEREF _Toc202571356 \h </w:instrText>
            </w:r>
            <w:r w:rsidRPr="001D352C">
              <w:rPr>
                <w:rFonts w:ascii="Garamond" w:hAnsi="Garamond"/>
                <w:noProof/>
                <w:webHidden/>
                <w:sz w:val="24"/>
                <w:szCs w:val="24"/>
              </w:rPr>
            </w:r>
            <w:r w:rsidRPr="001D352C">
              <w:rPr>
                <w:rFonts w:ascii="Garamond" w:hAnsi="Garamond"/>
                <w:noProof/>
                <w:webHidden/>
                <w:sz w:val="24"/>
                <w:szCs w:val="24"/>
              </w:rPr>
              <w:fldChar w:fldCharType="separate"/>
            </w:r>
            <w:r w:rsidR="0091386C">
              <w:rPr>
                <w:rFonts w:ascii="Garamond" w:hAnsi="Garamond"/>
                <w:noProof/>
                <w:webHidden/>
                <w:sz w:val="24"/>
                <w:szCs w:val="24"/>
              </w:rPr>
              <w:t>22</w:t>
            </w:r>
            <w:r w:rsidRPr="001D352C">
              <w:rPr>
                <w:rFonts w:ascii="Garamond" w:hAnsi="Garamond"/>
                <w:noProof/>
                <w:webHidden/>
                <w:sz w:val="24"/>
                <w:szCs w:val="24"/>
              </w:rPr>
              <w:fldChar w:fldCharType="end"/>
            </w:r>
          </w:hyperlink>
        </w:p>
        <w:p w14:paraId="29571453" w14:textId="542BA911" w:rsidR="001D352C" w:rsidRPr="001D352C" w:rsidRDefault="001D352C" w:rsidP="001D352C">
          <w:pPr>
            <w:pStyle w:val="TOC2"/>
            <w:tabs>
              <w:tab w:val="right" w:leader="dot" w:pos="8827"/>
            </w:tabs>
            <w:spacing w:line="360" w:lineRule="auto"/>
            <w:rPr>
              <w:rFonts w:ascii="Garamond" w:eastAsiaTheme="minorEastAsia" w:hAnsi="Garamond"/>
              <w:noProof/>
              <w:sz w:val="24"/>
              <w:szCs w:val="24"/>
              <w:lang w:val="en-US"/>
            </w:rPr>
          </w:pPr>
          <w:hyperlink w:anchor="_Toc202571357" w:history="1">
            <w:r w:rsidRPr="001D352C">
              <w:rPr>
                <w:rStyle w:val="Hyperlink"/>
                <w:rFonts w:ascii="Garamond" w:hAnsi="Garamond"/>
                <w:noProof/>
                <w:sz w:val="24"/>
                <w:szCs w:val="24"/>
              </w:rPr>
              <w:t>3.5. Seleção de mercados</w:t>
            </w:r>
            <w:r w:rsidRPr="001D352C">
              <w:rPr>
                <w:rFonts w:ascii="Garamond" w:hAnsi="Garamond"/>
                <w:noProof/>
                <w:webHidden/>
                <w:sz w:val="24"/>
                <w:szCs w:val="24"/>
              </w:rPr>
              <w:tab/>
            </w:r>
            <w:r w:rsidRPr="001D352C">
              <w:rPr>
                <w:rFonts w:ascii="Garamond" w:hAnsi="Garamond"/>
                <w:noProof/>
                <w:webHidden/>
                <w:sz w:val="24"/>
                <w:szCs w:val="24"/>
              </w:rPr>
              <w:fldChar w:fldCharType="begin"/>
            </w:r>
            <w:r w:rsidRPr="001D352C">
              <w:rPr>
                <w:rFonts w:ascii="Garamond" w:hAnsi="Garamond"/>
                <w:noProof/>
                <w:webHidden/>
                <w:sz w:val="24"/>
                <w:szCs w:val="24"/>
              </w:rPr>
              <w:instrText xml:space="preserve"> PAGEREF _Toc202571357 \h </w:instrText>
            </w:r>
            <w:r w:rsidRPr="001D352C">
              <w:rPr>
                <w:rFonts w:ascii="Garamond" w:hAnsi="Garamond"/>
                <w:noProof/>
                <w:webHidden/>
                <w:sz w:val="24"/>
                <w:szCs w:val="24"/>
              </w:rPr>
            </w:r>
            <w:r w:rsidRPr="001D352C">
              <w:rPr>
                <w:rFonts w:ascii="Garamond" w:hAnsi="Garamond"/>
                <w:noProof/>
                <w:webHidden/>
                <w:sz w:val="24"/>
                <w:szCs w:val="24"/>
              </w:rPr>
              <w:fldChar w:fldCharType="separate"/>
            </w:r>
            <w:r w:rsidR="0091386C">
              <w:rPr>
                <w:rFonts w:ascii="Garamond" w:hAnsi="Garamond"/>
                <w:noProof/>
                <w:webHidden/>
                <w:sz w:val="24"/>
                <w:szCs w:val="24"/>
              </w:rPr>
              <w:t>23</w:t>
            </w:r>
            <w:r w:rsidRPr="001D352C">
              <w:rPr>
                <w:rFonts w:ascii="Garamond" w:hAnsi="Garamond"/>
                <w:noProof/>
                <w:webHidden/>
                <w:sz w:val="24"/>
                <w:szCs w:val="24"/>
              </w:rPr>
              <w:fldChar w:fldCharType="end"/>
            </w:r>
          </w:hyperlink>
        </w:p>
        <w:p w14:paraId="0CB38CDF" w14:textId="64C5B72D" w:rsidR="001D352C" w:rsidRPr="001D352C" w:rsidRDefault="001D352C" w:rsidP="001D352C">
          <w:pPr>
            <w:pStyle w:val="TOC2"/>
            <w:tabs>
              <w:tab w:val="right" w:leader="dot" w:pos="8827"/>
            </w:tabs>
            <w:spacing w:line="360" w:lineRule="auto"/>
            <w:rPr>
              <w:rFonts w:ascii="Garamond" w:eastAsiaTheme="minorEastAsia" w:hAnsi="Garamond"/>
              <w:noProof/>
              <w:sz w:val="24"/>
              <w:szCs w:val="24"/>
              <w:lang w:val="en-US"/>
            </w:rPr>
          </w:pPr>
          <w:hyperlink w:anchor="_Toc202571358" w:history="1">
            <w:r w:rsidRPr="001D352C">
              <w:rPr>
                <w:rStyle w:val="Hyperlink"/>
                <w:rFonts w:ascii="Garamond" w:hAnsi="Garamond"/>
                <w:noProof/>
                <w:sz w:val="24"/>
                <w:szCs w:val="24"/>
              </w:rPr>
              <w:t>3.6. Sistemas de armazenamento de energia com recurso a baterias</w:t>
            </w:r>
            <w:r w:rsidRPr="001D352C">
              <w:rPr>
                <w:rFonts w:ascii="Garamond" w:hAnsi="Garamond"/>
                <w:noProof/>
                <w:webHidden/>
                <w:sz w:val="24"/>
                <w:szCs w:val="24"/>
              </w:rPr>
              <w:tab/>
            </w:r>
            <w:r w:rsidRPr="001D352C">
              <w:rPr>
                <w:rFonts w:ascii="Garamond" w:hAnsi="Garamond"/>
                <w:noProof/>
                <w:webHidden/>
                <w:sz w:val="24"/>
                <w:szCs w:val="24"/>
              </w:rPr>
              <w:fldChar w:fldCharType="begin"/>
            </w:r>
            <w:r w:rsidRPr="001D352C">
              <w:rPr>
                <w:rFonts w:ascii="Garamond" w:hAnsi="Garamond"/>
                <w:noProof/>
                <w:webHidden/>
                <w:sz w:val="24"/>
                <w:szCs w:val="24"/>
              </w:rPr>
              <w:instrText xml:space="preserve"> PAGEREF _Toc202571358 \h </w:instrText>
            </w:r>
            <w:r w:rsidRPr="001D352C">
              <w:rPr>
                <w:rFonts w:ascii="Garamond" w:hAnsi="Garamond"/>
                <w:noProof/>
                <w:webHidden/>
                <w:sz w:val="24"/>
                <w:szCs w:val="24"/>
              </w:rPr>
            </w:r>
            <w:r w:rsidRPr="001D352C">
              <w:rPr>
                <w:rFonts w:ascii="Garamond" w:hAnsi="Garamond"/>
                <w:noProof/>
                <w:webHidden/>
                <w:sz w:val="24"/>
                <w:szCs w:val="24"/>
              </w:rPr>
              <w:fldChar w:fldCharType="separate"/>
            </w:r>
            <w:r w:rsidR="0091386C">
              <w:rPr>
                <w:rFonts w:ascii="Garamond" w:hAnsi="Garamond"/>
                <w:noProof/>
                <w:webHidden/>
                <w:sz w:val="24"/>
                <w:szCs w:val="24"/>
              </w:rPr>
              <w:t>24</w:t>
            </w:r>
            <w:r w:rsidRPr="001D352C">
              <w:rPr>
                <w:rFonts w:ascii="Garamond" w:hAnsi="Garamond"/>
                <w:noProof/>
                <w:webHidden/>
                <w:sz w:val="24"/>
                <w:szCs w:val="24"/>
              </w:rPr>
              <w:fldChar w:fldCharType="end"/>
            </w:r>
          </w:hyperlink>
        </w:p>
        <w:p w14:paraId="5F2FFCE2" w14:textId="46C1A6F8" w:rsidR="001D352C" w:rsidRPr="001D352C" w:rsidRDefault="001D352C" w:rsidP="001D352C">
          <w:pPr>
            <w:pStyle w:val="TOC1"/>
            <w:spacing w:line="360" w:lineRule="auto"/>
            <w:rPr>
              <w:rFonts w:eastAsiaTheme="minorEastAsia"/>
              <w:b w:val="0"/>
              <w:bCs w:val="0"/>
              <w:noProof/>
              <w:sz w:val="24"/>
              <w:szCs w:val="24"/>
              <w:lang w:val="en-US"/>
            </w:rPr>
          </w:pPr>
          <w:hyperlink w:anchor="_Toc202571359" w:history="1">
            <w:r w:rsidRPr="001D352C">
              <w:rPr>
                <w:rStyle w:val="Hyperlink"/>
                <w:noProof/>
                <w:sz w:val="24"/>
                <w:szCs w:val="24"/>
              </w:rPr>
              <w:t>4. Reflexão crítica das atividades desenvolvidas no âmbito da literatura</w:t>
            </w:r>
            <w:r w:rsidRPr="001D352C">
              <w:rPr>
                <w:noProof/>
                <w:webHidden/>
                <w:sz w:val="24"/>
                <w:szCs w:val="24"/>
              </w:rPr>
              <w:tab/>
            </w:r>
            <w:r w:rsidRPr="001D352C">
              <w:rPr>
                <w:noProof/>
                <w:webHidden/>
                <w:sz w:val="24"/>
                <w:szCs w:val="24"/>
              </w:rPr>
              <w:fldChar w:fldCharType="begin"/>
            </w:r>
            <w:r w:rsidRPr="001D352C">
              <w:rPr>
                <w:noProof/>
                <w:webHidden/>
                <w:sz w:val="24"/>
                <w:szCs w:val="24"/>
              </w:rPr>
              <w:instrText xml:space="preserve"> PAGEREF _Toc202571359 \h </w:instrText>
            </w:r>
            <w:r w:rsidRPr="001D352C">
              <w:rPr>
                <w:noProof/>
                <w:webHidden/>
                <w:sz w:val="24"/>
                <w:szCs w:val="24"/>
              </w:rPr>
            </w:r>
            <w:r w:rsidRPr="001D352C">
              <w:rPr>
                <w:noProof/>
                <w:webHidden/>
                <w:sz w:val="24"/>
                <w:szCs w:val="24"/>
              </w:rPr>
              <w:fldChar w:fldCharType="separate"/>
            </w:r>
            <w:r w:rsidR="0091386C">
              <w:rPr>
                <w:noProof/>
                <w:webHidden/>
                <w:sz w:val="24"/>
                <w:szCs w:val="24"/>
              </w:rPr>
              <w:t>31</w:t>
            </w:r>
            <w:r w:rsidRPr="001D352C">
              <w:rPr>
                <w:noProof/>
                <w:webHidden/>
                <w:sz w:val="24"/>
                <w:szCs w:val="24"/>
              </w:rPr>
              <w:fldChar w:fldCharType="end"/>
            </w:r>
          </w:hyperlink>
        </w:p>
        <w:p w14:paraId="4F055AF1" w14:textId="2D9D8B9C" w:rsidR="001D352C" w:rsidRPr="001D352C" w:rsidRDefault="001D352C" w:rsidP="001D352C">
          <w:pPr>
            <w:pStyle w:val="TOC2"/>
            <w:tabs>
              <w:tab w:val="right" w:leader="dot" w:pos="8827"/>
            </w:tabs>
            <w:spacing w:line="360" w:lineRule="auto"/>
            <w:rPr>
              <w:rFonts w:ascii="Garamond" w:eastAsiaTheme="minorEastAsia" w:hAnsi="Garamond"/>
              <w:noProof/>
              <w:sz w:val="24"/>
              <w:szCs w:val="24"/>
              <w:lang w:val="en-US"/>
            </w:rPr>
          </w:pPr>
          <w:hyperlink w:anchor="_Toc202571360" w:history="1">
            <w:r w:rsidRPr="001D352C">
              <w:rPr>
                <w:rStyle w:val="Hyperlink"/>
                <w:rFonts w:ascii="Garamond" w:hAnsi="Garamond"/>
                <w:noProof/>
                <w:sz w:val="24"/>
                <w:szCs w:val="24"/>
              </w:rPr>
              <w:t>4.1. Motivações para a internacionalização da BateriasX</w:t>
            </w:r>
            <w:r w:rsidRPr="001D352C">
              <w:rPr>
                <w:rFonts w:ascii="Garamond" w:hAnsi="Garamond"/>
                <w:noProof/>
                <w:webHidden/>
                <w:sz w:val="24"/>
                <w:szCs w:val="24"/>
              </w:rPr>
              <w:tab/>
            </w:r>
            <w:r w:rsidRPr="001D352C">
              <w:rPr>
                <w:rFonts w:ascii="Garamond" w:hAnsi="Garamond"/>
                <w:noProof/>
                <w:webHidden/>
                <w:sz w:val="24"/>
                <w:szCs w:val="24"/>
              </w:rPr>
              <w:fldChar w:fldCharType="begin"/>
            </w:r>
            <w:r w:rsidRPr="001D352C">
              <w:rPr>
                <w:rFonts w:ascii="Garamond" w:hAnsi="Garamond"/>
                <w:noProof/>
                <w:webHidden/>
                <w:sz w:val="24"/>
                <w:szCs w:val="24"/>
              </w:rPr>
              <w:instrText xml:space="preserve"> PAGEREF _Toc202571360 \h </w:instrText>
            </w:r>
            <w:r w:rsidRPr="001D352C">
              <w:rPr>
                <w:rFonts w:ascii="Garamond" w:hAnsi="Garamond"/>
                <w:noProof/>
                <w:webHidden/>
                <w:sz w:val="24"/>
                <w:szCs w:val="24"/>
              </w:rPr>
            </w:r>
            <w:r w:rsidRPr="001D352C">
              <w:rPr>
                <w:rFonts w:ascii="Garamond" w:hAnsi="Garamond"/>
                <w:noProof/>
                <w:webHidden/>
                <w:sz w:val="24"/>
                <w:szCs w:val="24"/>
              </w:rPr>
              <w:fldChar w:fldCharType="separate"/>
            </w:r>
            <w:r w:rsidR="0091386C">
              <w:rPr>
                <w:rFonts w:ascii="Garamond" w:hAnsi="Garamond"/>
                <w:noProof/>
                <w:webHidden/>
                <w:sz w:val="24"/>
                <w:szCs w:val="24"/>
              </w:rPr>
              <w:t>31</w:t>
            </w:r>
            <w:r w:rsidRPr="001D352C">
              <w:rPr>
                <w:rFonts w:ascii="Garamond" w:hAnsi="Garamond"/>
                <w:noProof/>
                <w:webHidden/>
                <w:sz w:val="24"/>
                <w:szCs w:val="24"/>
              </w:rPr>
              <w:fldChar w:fldCharType="end"/>
            </w:r>
          </w:hyperlink>
        </w:p>
        <w:p w14:paraId="1B7EBE86" w14:textId="307085C7" w:rsidR="001D352C" w:rsidRPr="001D352C" w:rsidRDefault="001D352C" w:rsidP="001D352C">
          <w:pPr>
            <w:pStyle w:val="TOC2"/>
            <w:tabs>
              <w:tab w:val="right" w:leader="dot" w:pos="8827"/>
            </w:tabs>
            <w:spacing w:line="360" w:lineRule="auto"/>
            <w:rPr>
              <w:rFonts w:ascii="Garamond" w:eastAsiaTheme="minorEastAsia" w:hAnsi="Garamond"/>
              <w:noProof/>
              <w:sz w:val="24"/>
              <w:szCs w:val="24"/>
              <w:lang w:val="en-US"/>
            </w:rPr>
          </w:pPr>
          <w:hyperlink w:anchor="_Toc202571361" w:history="1">
            <w:r w:rsidRPr="001D352C">
              <w:rPr>
                <w:rStyle w:val="Hyperlink"/>
                <w:rFonts w:ascii="Garamond" w:hAnsi="Garamond"/>
                <w:noProof/>
                <w:sz w:val="24"/>
                <w:szCs w:val="24"/>
              </w:rPr>
              <w:t>4.2. Barreiras à internacionalização da BateriasX</w:t>
            </w:r>
            <w:r w:rsidRPr="001D352C">
              <w:rPr>
                <w:rFonts w:ascii="Garamond" w:hAnsi="Garamond"/>
                <w:noProof/>
                <w:webHidden/>
                <w:sz w:val="24"/>
                <w:szCs w:val="24"/>
              </w:rPr>
              <w:tab/>
            </w:r>
            <w:r w:rsidRPr="001D352C">
              <w:rPr>
                <w:rFonts w:ascii="Garamond" w:hAnsi="Garamond"/>
                <w:noProof/>
                <w:webHidden/>
                <w:sz w:val="24"/>
                <w:szCs w:val="24"/>
              </w:rPr>
              <w:fldChar w:fldCharType="begin"/>
            </w:r>
            <w:r w:rsidRPr="001D352C">
              <w:rPr>
                <w:rFonts w:ascii="Garamond" w:hAnsi="Garamond"/>
                <w:noProof/>
                <w:webHidden/>
                <w:sz w:val="24"/>
                <w:szCs w:val="24"/>
              </w:rPr>
              <w:instrText xml:space="preserve"> PAGEREF _Toc202571361 \h </w:instrText>
            </w:r>
            <w:r w:rsidRPr="001D352C">
              <w:rPr>
                <w:rFonts w:ascii="Garamond" w:hAnsi="Garamond"/>
                <w:noProof/>
                <w:webHidden/>
                <w:sz w:val="24"/>
                <w:szCs w:val="24"/>
              </w:rPr>
            </w:r>
            <w:r w:rsidRPr="001D352C">
              <w:rPr>
                <w:rFonts w:ascii="Garamond" w:hAnsi="Garamond"/>
                <w:noProof/>
                <w:webHidden/>
                <w:sz w:val="24"/>
                <w:szCs w:val="24"/>
              </w:rPr>
              <w:fldChar w:fldCharType="separate"/>
            </w:r>
            <w:r w:rsidR="0091386C">
              <w:rPr>
                <w:rFonts w:ascii="Garamond" w:hAnsi="Garamond"/>
                <w:noProof/>
                <w:webHidden/>
                <w:sz w:val="24"/>
                <w:szCs w:val="24"/>
              </w:rPr>
              <w:t>32</w:t>
            </w:r>
            <w:r w:rsidRPr="001D352C">
              <w:rPr>
                <w:rFonts w:ascii="Garamond" w:hAnsi="Garamond"/>
                <w:noProof/>
                <w:webHidden/>
                <w:sz w:val="24"/>
                <w:szCs w:val="24"/>
              </w:rPr>
              <w:fldChar w:fldCharType="end"/>
            </w:r>
          </w:hyperlink>
        </w:p>
        <w:p w14:paraId="685FCE87" w14:textId="14C93D3B" w:rsidR="001D352C" w:rsidRPr="001D352C" w:rsidRDefault="001D352C" w:rsidP="001D352C">
          <w:pPr>
            <w:pStyle w:val="TOC2"/>
            <w:tabs>
              <w:tab w:val="right" w:leader="dot" w:pos="8827"/>
            </w:tabs>
            <w:spacing w:line="360" w:lineRule="auto"/>
            <w:rPr>
              <w:rFonts w:ascii="Garamond" w:eastAsiaTheme="minorEastAsia" w:hAnsi="Garamond"/>
              <w:noProof/>
              <w:sz w:val="24"/>
              <w:szCs w:val="24"/>
              <w:lang w:val="en-US"/>
            </w:rPr>
          </w:pPr>
          <w:hyperlink w:anchor="_Toc202571362" w:history="1">
            <w:r w:rsidRPr="001D352C">
              <w:rPr>
                <w:rStyle w:val="Hyperlink"/>
                <w:rFonts w:ascii="Garamond" w:hAnsi="Garamond"/>
                <w:noProof/>
                <w:sz w:val="24"/>
                <w:szCs w:val="24"/>
              </w:rPr>
              <w:t>4.3. Obtenção dos mercados e aplicação dos indicadores</w:t>
            </w:r>
            <w:r w:rsidRPr="001D352C">
              <w:rPr>
                <w:rFonts w:ascii="Garamond" w:hAnsi="Garamond"/>
                <w:noProof/>
                <w:webHidden/>
                <w:sz w:val="24"/>
                <w:szCs w:val="24"/>
              </w:rPr>
              <w:tab/>
            </w:r>
            <w:r w:rsidRPr="001D352C">
              <w:rPr>
                <w:rFonts w:ascii="Garamond" w:hAnsi="Garamond"/>
                <w:noProof/>
                <w:webHidden/>
                <w:sz w:val="24"/>
                <w:szCs w:val="24"/>
              </w:rPr>
              <w:fldChar w:fldCharType="begin"/>
            </w:r>
            <w:r w:rsidRPr="001D352C">
              <w:rPr>
                <w:rFonts w:ascii="Garamond" w:hAnsi="Garamond"/>
                <w:noProof/>
                <w:webHidden/>
                <w:sz w:val="24"/>
                <w:szCs w:val="24"/>
              </w:rPr>
              <w:instrText xml:space="preserve"> PAGEREF _Toc202571362 \h </w:instrText>
            </w:r>
            <w:r w:rsidRPr="001D352C">
              <w:rPr>
                <w:rFonts w:ascii="Garamond" w:hAnsi="Garamond"/>
                <w:noProof/>
                <w:webHidden/>
                <w:sz w:val="24"/>
                <w:szCs w:val="24"/>
              </w:rPr>
            </w:r>
            <w:r w:rsidRPr="001D352C">
              <w:rPr>
                <w:rFonts w:ascii="Garamond" w:hAnsi="Garamond"/>
                <w:noProof/>
                <w:webHidden/>
                <w:sz w:val="24"/>
                <w:szCs w:val="24"/>
              </w:rPr>
              <w:fldChar w:fldCharType="separate"/>
            </w:r>
            <w:r w:rsidR="0091386C">
              <w:rPr>
                <w:rFonts w:ascii="Garamond" w:hAnsi="Garamond"/>
                <w:noProof/>
                <w:webHidden/>
                <w:sz w:val="24"/>
                <w:szCs w:val="24"/>
              </w:rPr>
              <w:t>34</w:t>
            </w:r>
            <w:r w:rsidRPr="001D352C">
              <w:rPr>
                <w:rFonts w:ascii="Garamond" w:hAnsi="Garamond"/>
                <w:noProof/>
                <w:webHidden/>
                <w:sz w:val="24"/>
                <w:szCs w:val="24"/>
              </w:rPr>
              <w:fldChar w:fldCharType="end"/>
            </w:r>
          </w:hyperlink>
        </w:p>
        <w:p w14:paraId="3E83058F" w14:textId="12DDB559" w:rsidR="001D352C" w:rsidRPr="001D352C" w:rsidRDefault="001D352C" w:rsidP="001D352C">
          <w:pPr>
            <w:pStyle w:val="TOC2"/>
            <w:tabs>
              <w:tab w:val="right" w:leader="dot" w:pos="8827"/>
            </w:tabs>
            <w:spacing w:line="360" w:lineRule="auto"/>
            <w:rPr>
              <w:rFonts w:ascii="Garamond" w:eastAsiaTheme="minorEastAsia" w:hAnsi="Garamond"/>
              <w:noProof/>
              <w:sz w:val="24"/>
              <w:szCs w:val="24"/>
              <w:lang w:val="en-US"/>
            </w:rPr>
          </w:pPr>
          <w:hyperlink w:anchor="_Toc202571363" w:history="1">
            <w:r w:rsidRPr="001D352C">
              <w:rPr>
                <w:rStyle w:val="Hyperlink"/>
                <w:rFonts w:ascii="Garamond" w:hAnsi="Garamond"/>
                <w:noProof/>
                <w:sz w:val="24"/>
                <w:szCs w:val="24"/>
              </w:rPr>
              <w:t>4.4. Mercados - Modos de entrada</w:t>
            </w:r>
            <w:r w:rsidRPr="001D352C">
              <w:rPr>
                <w:rFonts w:ascii="Garamond" w:hAnsi="Garamond"/>
                <w:noProof/>
                <w:webHidden/>
                <w:sz w:val="24"/>
                <w:szCs w:val="24"/>
              </w:rPr>
              <w:tab/>
            </w:r>
            <w:r w:rsidRPr="001D352C">
              <w:rPr>
                <w:rFonts w:ascii="Garamond" w:hAnsi="Garamond"/>
                <w:noProof/>
                <w:webHidden/>
                <w:sz w:val="24"/>
                <w:szCs w:val="24"/>
              </w:rPr>
              <w:fldChar w:fldCharType="begin"/>
            </w:r>
            <w:r w:rsidRPr="001D352C">
              <w:rPr>
                <w:rFonts w:ascii="Garamond" w:hAnsi="Garamond"/>
                <w:noProof/>
                <w:webHidden/>
                <w:sz w:val="24"/>
                <w:szCs w:val="24"/>
              </w:rPr>
              <w:instrText xml:space="preserve"> PAGEREF _Toc202571363 \h </w:instrText>
            </w:r>
            <w:r w:rsidRPr="001D352C">
              <w:rPr>
                <w:rFonts w:ascii="Garamond" w:hAnsi="Garamond"/>
                <w:noProof/>
                <w:webHidden/>
                <w:sz w:val="24"/>
                <w:szCs w:val="24"/>
              </w:rPr>
            </w:r>
            <w:r w:rsidRPr="001D352C">
              <w:rPr>
                <w:rFonts w:ascii="Garamond" w:hAnsi="Garamond"/>
                <w:noProof/>
                <w:webHidden/>
                <w:sz w:val="24"/>
                <w:szCs w:val="24"/>
              </w:rPr>
              <w:fldChar w:fldCharType="separate"/>
            </w:r>
            <w:r w:rsidR="0091386C">
              <w:rPr>
                <w:rFonts w:ascii="Garamond" w:hAnsi="Garamond"/>
                <w:noProof/>
                <w:webHidden/>
                <w:sz w:val="24"/>
                <w:szCs w:val="24"/>
              </w:rPr>
              <w:t>41</w:t>
            </w:r>
            <w:r w:rsidRPr="001D352C">
              <w:rPr>
                <w:rFonts w:ascii="Garamond" w:hAnsi="Garamond"/>
                <w:noProof/>
                <w:webHidden/>
                <w:sz w:val="24"/>
                <w:szCs w:val="24"/>
              </w:rPr>
              <w:fldChar w:fldCharType="end"/>
            </w:r>
          </w:hyperlink>
        </w:p>
        <w:p w14:paraId="437903BC" w14:textId="17631F24" w:rsidR="001D352C" w:rsidRPr="001D352C" w:rsidRDefault="001D352C" w:rsidP="001D352C">
          <w:pPr>
            <w:pStyle w:val="TOC1"/>
            <w:spacing w:line="360" w:lineRule="auto"/>
            <w:rPr>
              <w:rFonts w:eastAsiaTheme="minorEastAsia"/>
              <w:b w:val="0"/>
              <w:bCs w:val="0"/>
              <w:noProof/>
              <w:sz w:val="24"/>
              <w:szCs w:val="24"/>
              <w:lang w:val="en-US"/>
            </w:rPr>
          </w:pPr>
          <w:hyperlink w:anchor="_Toc202571364" w:history="1">
            <w:r w:rsidRPr="001D352C">
              <w:rPr>
                <w:rStyle w:val="Hyperlink"/>
                <w:noProof/>
                <w:sz w:val="24"/>
                <w:szCs w:val="24"/>
              </w:rPr>
              <w:t>5. Conclusão</w:t>
            </w:r>
            <w:r w:rsidRPr="001D352C">
              <w:rPr>
                <w:noProof/>
                <w:webHidden/>
                <w:sz w:val="24"/>
                <w:szCs w:val="24"/>
              </w:rPr>
              <w:tab/>
            </w:r>
            <w:r w:rsidRPr="001D352C">
              <w:rPr>
                <w:noProof/>
                <w:webHidden/>
                <w:sz w:val="24"/>
                <w:szCs w:val="24"/>
              </w:rPr>
              <w:fldChar w:fldCharType="begin"/>
            </w:r>
            <w:r w:rsidRPr="001D352C">
              <w:rPr>
                <w:noProof/>
                <w:webHidden/>
                <w:sz w:val="24"/>
                <w:szCs w:val="24"/>
              </w:rPr>
              <w:instrText xml:space="preserve"> PAGEREF _Toc202571364 \h </w:instrText>
            </w:r>
            <w:r w:rsidRPr="001D352C">
              <w:rPr>
                <w:noProof/>
                <w:webHidden/>
                <w:sz w:val="24"/>
                <w:szCs w:val="24"/>
              </w:rPr>
            </w:r>
            <w:r w:rsidRPr="001D352C">
              <w:rPr>
                <w:noProof/>
                <w:webHidden/>
                <w:sz w:val="24"/>
                <w:szCs w:val="24"/>
              </w:rPr>
              <w:fldChar w:fldCharType="separate"/>
            </w:r>
            <w:r w:rsidR="0091386C">
              <w:rPr>
                <w:noProof/>
                <w:webHidden/>
                <w:sz w:val="24"/>
                <w:szCs w:val="24"/>
              </w:rPr>
              <w:t>47</w:t>
            </w:r>
            <w:r w:rsidRPr="001D352C">
              <w:rPr>
                <w:noProof/>
                <w:webHidden/>
                <w:sz w:val="24"/>
                <w:szCs w:val="24"/>
              </w:rPr>
              <w:fldChar w:fldCharType="end"/>
            </w:r>
          </w:hyperlink>
        </w:p>
        <w:p w14:paraId="14911366" w14:textId="1A3E4B3D" w:rsidR="001D352C" w:rsidRPr="001D352C" w:rsidRDefault="001D352C" w:rsidP="001D352C">
          <w:pPr>
            <w:pStyle w:val="TOC1"/>
            <w:spacing w:line="360" w:lineRule="auto"/>
            <w:rPr>
              <w:rFonts w:eastAsiaTheme="minorEastAsia"/>
              <w:b w:val="0"/>
              <w:bCs w:val="0"/>
              <w:noProof/>
              <w:sz w:val="24"/>
              <w:szCs w:val="24"/>
              <w:lang w:val="en-US"/>
            </w:rPr>
          </w:pPr>
          <w:hyperlink w:anchor="_Toc202571365" w:history="1">
            <w:r w:rsidRPr="001D352C">
              <w:rPr>
                <w:rStyle w:val="Hyperlink"/>
                <w:noProof/>
                <w:sz w:val="24"/>
                <w:szCs w:val="24"/>
              </w:rPr>
              <w:t>Referências bibliográficas</w:t>
            </w:r>
            <w:r w:rsidRPr="001D352C">
              <w:rPr>
                <w:noProof/>
                <w:webHidden/>
                <w:sz w:val="24"/>
                <w:szCs w:val="24"/>
              </w:rPr>
              <w:tab/>
            </w:r>
            <w:r w:rsidRPr="001D352C">
              <w:rPr>
                <w:noProof/>
                <w:webHidden/>
                <w:sz w:val="24"/>
                <w:szCs w:val="24"/>
              </w:rPr>
              <w:fldChar w:fldCharType="begin"/>
            </w:r>
            <w:r w:rsidRPr="001D352C">
              <w:rPr>
                <w:noProof/>
                <w:webHidden/>
                <w:sz w:val="24"/>
                <w:szCs w:val="24"/>
              </w:rPr>
              <w:instrText xml:space="preserve"> PAGEREF _Toc202571365 \h </w:instrText>
            </w:r>
            <w:r w:rsidRPr="001D352C">
              <w:rPr>
                <w:noProof/>
                <w:webHidden/>
                <w:sz w:val="24"/>
                <w:szCs w:val="24"/>
              </w:rPr>
            </w:r>
            <w:r w:rsidRPr="001D352C">
              <w:rPr>
                <w:noProof/>
                <w:webHidden/>
                <w:sz w:val="24"/>
                <w:szCs w:val="24"/>
              </w:rPr>
              <w:fldChar w:fldCharType="separate"/>
            </w:r>
            <w:r w:rsidR="0091386C">
              <w:rPr>
                <w:noProof/>
                <w:webHidden/>
                <w:sz w:val="24"/>
                <w:szCs w:val="24"/>
              </w:rPr>
              <w:t>49</w:t>
            </w:r>
            <w:r w:rsidRPr="001D352C">
              <w:rPr>
                <w:noProof/>
                <w:webHidden/>
                <w:sz w:val="24"/>
                <w:szCs w:val="24"/>
              </w:rPr>
              <w:fldChar w:fldCharType="end"/>
            </w:r>
          </w:hyperlink>
        </w:p>
        <w:p w14:paraId="1CA1EA34" w14:textId="29075C4E" w:rsidR="001D352C" w:rsidRPr="001D352C" w:rsidRDefault="001D352C" w:rsidP="001D352C">
          <w:pPr>
            <w:pStyle w:val="TOC1"/>
            <w:spacing w:line="360" w:lineRule="auto"/>
            <w:rPr>
              <w:rFonts w:eastAsiaTheme="minorEastAsia"/>
              <w:b w:val="0"/>
              <w:bCs w:val="0"/>
              <w:noProof/>
              <w:sz w:val="24"/>
              <w:szCs w:val="24"/>
              <w:lang w:val="en-US"/>
            </w:rPr>
          </w:pPr>
          <w:hyperlink w:anchor="_Toc202571366" w:history="1">
            <w:r w:rsidRPr="001D352C">
              <w:rPr>
                <w:rStyle w:val="Hyperlink"/>
                <w:noProof/>
                <w:sz w:val="24"/>
                <w:szCs w:val="24"/>
              </w:rPr>
              <w:t>Anexos</w:t>
            </w:r>
            <w:r w:rsidRPr="001D352C">
              <w:rPr>
                <w:noProof/>
                <w:webHidden/>
                <w:sz w:val="24"/>
                <w:szCs w:val="24"/>
              </w:rPr>
              <w:tab/>
            </w:r>
            <w:r w:rsidRPr="001D352C">
              <w:rPr>
                <w:noProof/>
                <w:webHidden/>
                <w:sz w:val="24"/>
                <w:szCs w:val="24"/>
              </w:rPr>
              <w:fldChar w:fldCharType="begin"/>
            </w:r>
            <w:r w:rsidRPr="001D352C">
              <w:rPr>
                <w:noProof/>
                <w:webHidden/>
                <w:sz w:val="24"/>
                <w:szCs w:val="24"/>
              </w:rPr>
              <w:instrText xml:space="preserve"> PAGEREF _Toc202571366 \h </w:instrText>
            </w:r>
            <w:r w:rsidRPr="001D352C">
              <w:rPr>
                <w:noProof/>
                <w:webHidden/>
                <w:sz w:val="24"/>
                <w:szCs w:val="24"/>
              </w:rPr>
            </w:r>
            <w:r w:rsidRPr="001D352C">
              <w:rPr>
                <w:noProof/>
                <w:webHidden/>
                <w:sz w:val="24"/>
                <w:szCs w:val="24"/>
              </w:rPr>
              <w:fldChar w:fldCharType="separate"/>
            </w:r>
            <w:r w:rsidR="0091386C">
              <w:rPr>
                <w:noProof/>
                <w:webHidden/>
                <w:sz w:val="24"/>
                <w:szCs w:val="24"/>
              </w:rPr>
              <w:t>59</w:t>
            </w:r>
            <w:r w:rsidRPr="001D352C">
              <w:rPr>
                <w:noProof/>
                <w:webHidden/>
                <w:sz w:val="24"/>
                <w:szCs w:val="24"/>
              </w:rPr>
              <w:fldChar w:fldCharType="end"/>
            </w:r>
          </w:hyperlink>
        </w:p>
        <w:p w14:paraId="2EA9CAF7" w14:textId="0AA27E92" w:rsidR="00E278C6" w:rsidRPr="003633A3" w:rsidRDefault="00E278C6" w:rsidP="001D352C">
          <w:pPr>
            <w:spacing w:line="360" w:lineRule="auto"/>
            <w:rPr>
              <w:sz w:val="24"/>
              <w:szCs w:val="24"/>
            </w:rPr>
          </w:pPr>
          <w:r w:rsidRPr="001D352C">
            <w:rPr>
              <w:rFonts w:ascii="Garamond" w:hAnsi="Garamond"/>
              <w:b/>
              <w:bCs/>
              <w:sz w:val="24"/>
              <w:szCs w:val="24"/>
            </w:rPr>
            <w:fldChar w:fldCharType="end"/>
          </w:r>
        </w:p>
      </w:sdtContent>
    </w:sdt>
    <w:p w14:paraId="279C72BD" w14:textId="6DE7695E" w:rsidR="00E278C6" w:rsidRPr="00537118" w:rsidRDefault="00E278C6" w:rsidP="00E278C6"/>
    <w:p w14:paraId="3D29D5A2" w14:textId="55608E7D" w:rsidR="005B5BBA" w:rsidRDefault="005B5BBA">
      <w:pPr>
        <w:rPr>
          <w:rFonts w:ascii="Garamond" w:eastAsiaTheme="majorEastAsia" w:hAnsi="Garamond" w:cstheme="majorBidi"/>
          <w:b/>
          <w:sz w:val="28"/>
          <w:szCs w:val="28"/>
        </w:rPr>
      </w:pPr>
      <w:r>
        <w:rPr>
          <w:rFonts w:ascii="Garamond" w:eastAsiaTheme="majorEastAsia" w:hAnsi="Garamond" w:cstheme="majorBidi"/>
          <w:b/>
          <w:sz w:val="28"/>
          <w:szCs w:val="28"/>
        </w:rPr>
        <w:br w:type="page"/>
      </w:r>
    </w:p>
    <w:p w14:paraId="00430237" w14:textId="77777777" w:rsidR="00012508" w:rsidRDefault="00012508" w:rsidP="00E278C6">
      <w:pPr>
        <w:rPr>
          <w:rFonts w:ascii="Garamond" w:eastAsiaTheme="majorEastAsia" w:hAnsi="Garamond" w:cstheme="majorBidi"/>
          <w:b/>
          <w:sz w:val="28"/>
          <w:szCs w:val="28"/>
        </w:rPr>
      </w:pPr>
    </w:p>
    <w:p w14:paraId="507CDB12" w14:textId="77777777" w:rsidR="006465F9" w:rsidRPr="008E64DC" w:rsidRDefault="00A34E24" w:rsidP="008E64DC">
      <w:pPr>
        <w:spacing w:line="360" w:lineRule="auto"/>
        <w:jc w:val="both"/>
        <w:rPr>
          <w:rFonts w:ascii="Garamond" w:eastAsiaTheme="majorEastAsia" w:hAnsi="Garamond" w:cstheme="majorBidi"/>
          <w:b/>
          <w:sz w:val="28"/>
          <w:szCs w:val="28"/>
        </w:rPr>
      </w:pPr>
      <w:r w:rsidRPr="008E64DC">
        <w:rPr>
          <w:rFonts w:ascii="Garamond" w:eastAsiaTheme="majorEastAsia" w:hAnsi="Garamond" w:cstheme="majorBidi"/>
          <w:b/>
          <w:sz w:val="28"/>
          <w:szCs w:val="28"/>
        </w:rPr>
        <w:t>Índice de Tabelas</w:t>
      </w:r>
    </w:p>
    <w:p w14:paraId="25DAEC8C" w14:textId="23B4D2DF" w:rsidR="0060054D" w:rsidRPr="008E64DC" w:rsidRDefault="0060054D" w:rsidP="008E64DC">
      <w:pPr>
        <w:pStyle w:val="TOC1"/>
        <w:spacing w:line="360" w:lineRule="auto"/>
        <w:jc w:val="both"/>
        <w:rPr>
          <w:bCs w:val="0"/>
          <w:sz w:val="24"/>
          <w:szCs w:val="24"/>
        </w:rPr>
      </w:pPr>
      <w:r w:rsidRPr="008E64DC">
        <w:rPr>
          <w:rFonts w:eastAsiaTheme="majorEastAsia" w:cstheme="majorBidi"/>
          <w:bCs w:val="0"/>
          <w:sz w:val="24"/>
          <w:szCs w:val="24"/>
        </w:rPr>
        <w:t>Tabela 1</w:t>
      </w:r>
      <w:r w:rsidR="00E80FEE" w:rsidRPr="008E64DC">
        <w:rPr>
          <w:rFonts w:eastAsiaTheme="majorEastAsia" w:cstheme="majorBidi"/>
          <w:bCs w:val="0"/>
          <w:sz w:val="24"/>
          <w:szCs w:val="24"/>
        </w:rPr>
        <w:t>.</w:t>
      </w:r>
      <w:r w:rsidRPr="008E64DC">
        <w:rPr>
          <w:rFonts w:eastAsiaTheme="majorEastAsia" w:cstheme="majorBidi"/>
          <w:bCs w:val="0"/>
          <w:sz w:val="24"/>
          <w:szCs w:val="24"/>
        </w:rPr>
        <w:t xml:space="preserve"> </w:t>
      </w:r>
      <w:r w:rsidR="00E80FEE" w:rsidRPr="008E64DC">
        <w:rPr>
          <w:bCs w:val="0"/>
          <w:sz w:val="24"/>
          <w:szCs w:val="24"/>
        </w:rPr>
        <w:t>Listagem Inicial dos países</w:t>
      </w:r>
      <w:r w:rsidRPr="008E64DC">
        <w:rPr>
          <w:bCs w:val="0"/>
          <w:sz w:val="24"/>
          <w:szCs w:val="24"/>
        </w:rPr>
        <w:t xml:space="preserve"> </w:t>
      </w:r>
      <w:hyperlink w:anchor="_Toc201009844" w:history="1">
        <w:r w:rsidRPr="008E64DC">
          <w:rPr>
            <w:bCs w:val="0"/>
            <w:webHidden/>
            <w:sz w:val="24"/>
            <w:szCs w:val="24"/>
          </w:rPr>
          <w:tab/>
        </w:r>
      </w:hyperlink>
      <w:r w:rsidR="00676B4D" w:rsidRPr="008E64DC">
        <w:rPr>
          <w:bCs w:val="0"/>
          <w:sz w:val="24"/>
          <w:szCs w:val="24"/>
        </w:rPr>
        <w:t>3</w:t>
      </w:r>
      <w:r w:rsidRPr="008E64DC">
        <w:rPr>
          <w:bCs w:val="0"/>
          <w:sz w:val="24"/>
          <w:szCs w:val="24"/>
        </w:rPr>
        <w:t>6</w:t>
      </w:r>
    </w:p>
    <w:p w14:paraId="5AB18BC0" w14:textId="10C864E1" w:rsidR="0060054D" w:rsidRPr="008E64DC" w:rsidRDefault="0060054D" w:rsidP="008E64DC">
      <w:pPr>
        <w:pStyle w:val="TOC1"/>
        <w:spacing w:line="360" w:lineRule="auto"/>
        <w:jc w:val="both"/>
        <w:rPr>
          <w:bCs w:val="0"/>
          <w:sz w:val="24"/>
          <w:szCs w:val="24"/>
        </w:rPr>
      </w:pPr>
      <w:r w:rsidRPr="008E64DC">
        <w:rPr>
          <w:bCs w:val="0"/>
          <w:sz w:val="24"/>
          <w:szCs w:val="24"/>
        </w:rPr>
        <w:t>Tabela 2</w:t>
      </w:r>
      <w:r w:rsidR="00E80FEE" w:rsidRPr="008E64DC">
        <w:rPr>
          <w:bCs w:val="0"/>
          <w:sz w:val="24"/>
          <w:szCs w:val="24"/>
        </w:rPr>
        <w:t>.</w:t>
      </w:r>
      <w:r w:rsidR="00676B4D" w:rsidRPr="008E64DC">
        <w:rPr>
          <w:bCs w:val="0"/>
          <w:sz w:val="24"/>
          <w:szCs w:val="24"/>
        </w:rPr>
        <w:t xml:space="preserve"> Primeira triagem - Resultados</w:t>
      </w:r>
      <w:r w:rsidRPr="008E64DC">
        <w:rPr>
          <w:bCs w:val="0"/>
          <w:sz w:val="24"/>
          <w:szCs w:val="24"/>
        </w:rPr>
        <w:t>.</w:t>
      </w:r>
      <w:r w:rsidRPr="008E64DC">
        <w:rPr>
          <w:bCs w:val="0"/>
          <w:webHidden/>
          <w:sz w:val="24"/>
          <w:szCs w:val="24"/>
        </w:rPr>
        <w:tab/>
      </w:r>
      <w:r w:rsidR="007E468B" w:rsidRPr="008E64DC">
        <w:rPr>
          <w:bCs w:val="0"/>
          <w:webHidden/>
          <w:sz w:val="24"/>
          <w:szCs w:val="24"/>
        </w:rPr>
        <w:t>38</w:t>
      </w:r>
    </w:p>
    <w:p w14:paraId="457EA05D" w14:textId="6289284A" w:rsidR="0060054D" w:rsidRPr="008E64DC" w:rsidRDefault="0060054D" w:rsidP="008E64DC">
      <w:pPr>
        <w:pStyle w:val="TOC1"/>
        <w:spacing w:line="360" w:lineRule="auto"/>
        <w:jc w:val="both"/>
        <w:rPr>
          <w:bCs w:val="0"/>
          <w:webHidden/>
          <w:sz w:val="24"/>
          <w:szCs w:val="24"/>
        </w:rPr>
      </w:pPr>
      <w:r w:rsidRPr="008E64DC">
        <w:rPr>
          <w:bCs w:val="0"/>
          <w:sz w:val="24"/>
          <w:szCs w:val="24"/>
        </w:rPr>
        <w:t>Tabela 3</w:t>
      </w:r>
      <w:r w:rsidR="00676B4D" w:rsidRPr="008E64DC">
        <w:rPr>
          <w:bCs w:val="0"/>
          <w:sz w:val="24"/>
          <w:szCs w:val="24"/>
        </w:rPr>
        <w:t>. Segunda Triagem - Resultados</w:t>
      </w:r>
      <w:r w:rsidRPr="008E64DC">
        <w:rPr>
          <w:bCs w:val="0"/>
          <w:webHidden/>
          <w:sz w:val="24"/>
          <w:szCs w:val="24"/>
        </w:rPr>
        <w:tab/>
      </w:r>
      <w:r w:rsidR="007E468B" w:rsidRPr="008E64DC">
        <w:rPr>
          <w:bCs w:val="0"/>
          <w:webHidden/>
          <w:sz w:val="24"/>
          <w:szCs w:val="24"/>
        </w:rPr>
        <w:t>40</w:t>
      </w:r>
    </w:p>
    <w:p w14:paraId="21020385" w14:textId="56DAA650" w:rsidR="001F0EEF" w:rsidRPr="008E64DC" w:rsidRDefault="006465F9" w:rsidP="008E64DC">
      <w:pPr>
        <w:pStyle w:val="TOC1"/>
        <w:spacing w:line="360" w:lineRule="auto"/>
        <w:jc w:val="both"/>
        <w:rPr>
          <w:bCs w:val="0"/>
          <w:sz w:val="24"/>
          <w:szCs w:val="24"/>
        </w:rPr>
      </w:pPr>
      <w:r w:rsidRPr="008E64DC">
        <w:rPr>
          <w:rFonts w:eastAsiaTheme="majorEastAsia" w:cstheme="majorBidi"/>
          <w:bCs w:val="0"/>
          <w:sz w:val="24"/>
          <w:szCs w:val="24"/>
        </w:rPr>
        <w:t xml:space="preserve">Tabela </w:t>
      </w:r>
      <w:r w:rsidR="004A3192" w:rsidRPr="008E64DC">
        <w:rPr>
          <w:rFonts w:eastAsiaTheme="majorEastAsia" w:cstheme="majorBidi"/>
          <w:bCs w:val="0"/>
          <w:sz w:val="24"/>
          <w:szCs w:val="24"/>
        </w:rPr>
        <w:t>A.1</w:t>
      </w:r>
      <w:r w:rsidR="006603D8" w:rsidRPr="008E64DC">
        <w:rPr>
          <w:rFonts w:eastAsiaTheme="majorEastAsia" w:cstheme="majorBidi"/>
          <w:bCs w:val="0"/>
          <w:sz w:val="24"/>
          <w:szCs w:val="24"/>
        </w:rPr>
        <w:t xml:space="preserve"> </w:t>
      </w:r>
      <w:r w:rsidR="006603D8" w:rsidRPr="008E64DC">
        <w:rPr>
          <w:bCs w:val="0"/>
          <w:sz w:val="24"/>
          <w:szCs w:val="24"/>
        </w:rPr>
        <w:t xml:space="preserve">Solar </w:t>
      </w:r>
      <w:proofErr w:type="spellStart"/>
      <w:r w:rsidR="006603D8" w:rsidRPr="008E64DC">
        <w:rPr>
          <w:bCs w:val="0"/>
          <w:sz w:val="24"/>
          <w:szCs w:val="24"/>
        </w:rPr>
        <w:t>power</w:t>
      </w:r>
      <w:proofErr w:type="spellEnd"/>
      <w:r w:rsidR="006603D8" w:rsidRPr="008E64DC">
        <w:rPr>
          <w:bCs w:val="0"/>
          <w:sz w:val="24"/>
          <w:szCs w:val="24"/>
        </w:rPr>
        <w:t xml:space="preserve"> ranking </w:t>
      </w:r>
      <w:hyperlink w:anchor="_Toc201009844" w:history="1">
        <w:r w:rsidR="001F0EEF" w:rsidRPr="008E64DC">
          <w:rPr>
            <w:bCs w:val="0"/>
            <w:webHidden/>
            <w:sz w:val="24"/>
            <w:szCs w:val="24"/>
          </w:rPr>
          <w:tab/>
        </w:r>
      </w:hyperlink>
      <w:r w:rsidR="006155B4">
        <w:rPr>
          <w:bCs w:val="0"/>
          <w:sz w:val="24"/>
          <w:szCs w:val="24"/>
        </w:rPr>
        <w:t>59</w:t>
      </w:r>
    </w:p>
    <w:p w14:paraId="654DC813" w14:textId="530EEA90" w:rsidR="001F0EEF" w:rsidRPr="008E64DC" w:rsidRDefault="001F0EEF" w:rsidP="008E64DC">
      <w:pPr>
        <w:pStyle w:val="TOC1"/>
        <w:spacing w:line="360" w:lineRule="auto"/>
        <w:jc w:val="both"/>
        <w:rPr>
          <w:bCs w:val="0"/>
          <w:sz w:val="24"/>
          <w:szCs w:val="24"/>
        </w:rPr>
      </w:pPr>
      <w:r w:rsidRPr="008E64DC">
        <w:rPr>
          <w:bCs w:val="0"/>
          <w:sz w:val="24"/>
          <w:szCs w:val="24"/>
        </w:rPr>
        <w:t>Tabela A.2</w:t>
      </w:r>
      <w:r w:rsidR="006603D8" w:rsidRPr="008E64DC">
        <w:rPr>
          <w:bCs w:val="0"/>
          <w:sz w:val="24"/>
          <w:szCs w:val="24"/>
        </w:rPr>
        <w:t xml:space="preserve"> Países com PVOUT excelente.</w:t>
      </w:r>
      <w:r w:rsidRPr="008E64DC">
        <w:rPr>
          <w:bCs w:val="0"/>
          <w:webHidden/>
          <w:sz w:val="24"/>
          <w:szCs w:val="24"/>
        </w:rPr>
        <w:tab/>
      </w:r>
      <w:r w:rsidR="006155B4">
        <w:rPr>
          <w:bCs w:val="0"/>
          <w:sz w:val="24"/>
          <w:szCs w:val="24"/>
        </w:rPr>
        <w:t>59</w:t>
      </w:r>
    </w:p>
    <w:p w14:paraId="74017B08" w14:textId="6471420B" w:rsidR="001F0EEF" w:rsidRPr="008E64DC" w:rsidRDefault="001F0EEF" w:rsidP="008E64DC">
      <w:pPr>
        <w:pStyle w:val="TOC1"/>
        <w:spacing w:line="360" w:lineRule="auto"/>
        <w:jc w:val="both"/>
        <w:rPr>
          <w:bCs w:val="0"/>
          <w:sz w:val="24"/>
          <w:szCs w:val="24"/>
        </w:rPr>
      </w:pPr>
      <w:r w:rsidRPr="008E64DC">
        <w:rPr>
          <w:bCs w:val="0"/>
          <w:sz w:val="24"/>
          <w:szCs w:val="24"/>
        </w:rPr>
        <w:t>Tabela A.3</w:t>
      </w:r>
      <w:r w:rsidR="006603D8" w:rsidRPr="008E64DC">
        <w:rPr>
          <w:bCs w:val="0"/>
          <w:sz w:val="24"/>
          <w:szCs w:val="24"/>
        </w:rPr>
        <w:t xml:space="preserve"> EPI</w:t>
      </w:r>
      <w:r w:rsidRPr="008E64DC">
        <w:rPr>
          <w:bCs w:val="0"/>
          <w:webHidden/>
          <w:sz w:val="24"/>
          <w:szCs w:val="24"/>
        </w:rPr>
        <w:tab/>
      </w:r>
      <w:r w:rsidR="0021382A" w:rsidRPr="008E64DC">
        <w:rPr>
          <w:bCs w:val="0"/>
          <w:webHidden/>
          <w:sz w:val="24"/>
          <w:szCs w:val="24"/>
        </w:rPr>
        <w:t>6</w:t>
      </w:r>
      <w:r w:rsidR="006155B4">
        <w:rPr>
          <w:bCs w:val="0"/>
          <w:webHidden/>
          <w:sz w:val="24"/>
          <w:szCs w:val="24"/>
        </w:rPr>
        <w:t>0</w:t>
      </w:r>
    </w:p>
    <w:p w14:paraId="081065B8" w14:textId="503F4969" w:rsidR="001B2B75" w:rsidRPr="008E64DC" w:rsidRDefault="001B2B75" w:rsidP="008E64DC">
      <w:pPr>
        <w:pStyle w:val="TOC1"/>
        <w:spacing w:line="360" w:lineRule="auto"/>
        <w:jc w:val="both"/>
        <w:rPr>
          <w:bCs w:val="0"/>
          <w:sz w:val="24"/>
          <w:szCs w:val="24"/>
        </w:rPr>
      </w:pPr>
      <w:r w:rsidRPr="008E64DC">
        <w:rPr>
          <w:rFonts w:eastAsiaTheme="majorEastAsia" w:cstheme="majorBidi"/>
          <w:bCs w:val="0"/>
          <w:sz w:val="24"/>
          <w:szCs w:val="24"/>
        </w:rPr>
        <w:t>Tabela A.</w:t>
      </w:r>
      <w:r w:rsidR="006603D8" w:rsidRPr="008E64DC">
        <w:rPr>
          <w:rFonts w:eastAsiaTheme="majorEastAsia" w:cstheme="majorBidi"/>
          <w:bCs w:val="0"/>
          <w:sz w:val="24"/>
          <w:szCs w:val="24"/>
        </w:rPr>
        <w:t xml:space="preserve">4 </w:t>
      </w:r>
      <w:r w:rsidR="006603D8" w:rsidRPr="008E64DC">
        <w:rPr>
          <w:bCs w:val="0"/>
          <w:sz w:val="24"/>
          <w:szCs w:val="24"/>
        </w:rPr>
        <w:t>Triagem 1</w:t>
      </w:r>
      <w:hyperlink w:anchor="_Toc201009844" w:history="1">
        <w:r w:rsidRPr="008E64DC">
          <w:rPr>
            <w:bCs w:val="0"/>
            <w:webHidden/>
            <w:sz w:val="24"/>
            <w:szCs w:val="24"/>
          </w:rPr>
          <w:tab/>
        </w:r>
      </w:hyperlink>
      <w:r w:rsidR="0021382A" w:rsidRPr="008E64DC">
        <w:rPr>
          <w:bCs w:val="0"/>
          <w:sz w:val="24"/>
          <w:szCs w:val="24"/>
        </w:rPr>
        <w:t>6</w:t>
      </w:r>
      <w:r w:rsidR="006155B4">
        <w:rPr>
          <w:bCs w:val="0"/>
          <w:sz w:val="24"/>
          <w:szCs w:val="24"/>
        </w:rPr>
        <w:t>1</w:t>
      </w:r>
    </w:p>
    <w:p w14:paraId="781B034E" w14:textId="6750244C" w:rsidR="001B2B75" w:rsidRPr="008E64DC" w:rsidRDefault="001B2B75" w:rsidP="008E64DC">
      <w:pPr>
        <w:pStyle w:val="TOC1"/>
        <w:spacing w:line="360" w:lineRule="auto"/>
        <w:jc w:val="both"/>
        <w:rPr>
          <w:bCs w:val="0"/>
          <w:sz w:val="24"/>
          <w:szCs w:val="24"/>
        </w:rPr>
      </w:pPr>
      <w:r w:rsidRPr="008E64DC">
        <w:rPr>
          <w:bCs w:val="0"/>
          <w:sz w:val="24"/>
          <w:szCs w:val="24"/>
        </w:rPr>
        <w:t>Tabela A.</w:t>
      </w:r>
      <w:r w:rsidR="006603D8" w:rsidRPr="008E64DC">
        <w:rPr>
          <w:bCs w:val="0"/>
          <w:sz w:val="24"/>
          <w:szCs w:val="24"/>
        </w:rPr>
        <w:t xml:space="preserve">5 </w:t>
      </w:r>
      <w:proofErr w:type="spellStart"/>
      <w:r w:rsidR="006603D8" w:rsidRPr="008E64DC">
        <w:rPr>
          <w:bCs w:val="0"/>
          <w:sz w:val="24"/>
          <w:szCs w:val="24"/>
        </w:rPr>
        <w:t>World</w:t>
      </w:r>
      <w:proofErr w:type="spellEnd"/>
      <w:r w:rsidR="006603D8" w:rsidRPr="008E64DC">
        <w:rPr>
          <w:bCs w:val="0"/>
          <w:sz w:val="24"/>
          <w:szCs w:val="24"/>
        </w:rPr>
        <w:t xml:space="preserve"> </w:t>
      </w:r>
      <w:proofErr w:type="spellStart"/>
      <w:r w:rsidR="006603D8" w:rsidRPr="008E64DC">
        <w:rPr>
          <w:bCs w:val="0"/>
          <w:sz w:val="24"/>
          <w:szCs w:val="24"/>
        </w:rPr>
        <w:t>Risk</w:t>
      </w:r>
      <w:proofErr w:type="spellEnd"/>
      <w:r w:rsidR="006603D8" w:rsidRPr="008E64DC">
        <w:rPr>
          <w:bCs w:val="0"/>
          <w:sz w:val="24"/>
          <w:szCs w:val="24"/>
        </w:rPr>
        <w:t xml:space="preserve"> Index</w:t>
      </w:r>
      <w:r w:rsidRPr="008E64DC">
        <w:rPr>
          <w:bCs w:val="0"/>
          <w:webHidden/>
          <w:sz w:val="24"/>
          <w:szCs w:val="24"/>
        </w:rPr>
        <w:tab/>
      </w:r>
      <w:r w:rsidR="0021382A" w:rsidRPr="008E64DC">
        <w:rPr>
          <w:bCs w:val="0"/>
          <w:sz w:val="24"/>
          <w:szCs w:val="24"/>
        </w:rPr>
        <w:t>6</w:t>
      </w:r>
      <w:r w:rsidR="006155B4">
        <w:rPr>
          <w:bCs w:val="0"/>
          <w:sz w:val="24"/>
          <w:szCs w:val="24"/>
        </w:rPr>
        <w:t>2</w:t>
      </w:r>
    </w:p>
    <w:p w14:paraId="589884E5" w14:textId="36233945" w:rsidR="001B2B75" w:rsidRPr="008E64DC" w:rsidRDefault="001B2B75" w:rsidP="008E64DC">
      <w:pPr>
        <w:pStyle w:val="TOC1"/>
        <w:spacing w:line="360" w:lineRule="auto"/>
        <w:jc w:val="both"/>
        <w:rPr>
          <w:bCs w:val="0"/>
          <w:sz w:val="24"/>
          <w:szCs w:val="24"/>
        </w:rPr>
      </w:pPr>
      <w:r w:rsidRPr="008E64DC">
        <w:rPr>
          <w:rFonts w:eastAsiaTheme="majorEastAsia" w:cstheme="majorBidi"/>
          <w:bCs w:val="0"/>
          <w:sz w:val="24"/>
          <w:szCs w:val="24"/>
        </w:rPr>
        <w:t>Tabela A.</w:t>
      </w:r>
      <w:r w:rsidR="006603D8" w:rsidRPr="008E64DC">
        <w:rPr>
          <w:rFonts w:eastAsiaTheme="majorEastAsia" w:cstheme="majorBidi"/>
          <w:bCs w:val="0"/>
          <w:sz w:val="24"/>
          <w:szCs w:val="24"/>
        </w:rPr>
        <w:t xml:space="preserve">6 </w:t>
      </w:r>
      <w:r w:rsidR="006603D8" w:rsidRPr="008E64DC">
        <w:rPr>
          <w:bCs w:val="0"/>
          <w:sz w:val="24"/>
          <w:szCs w:val="24"/>
        </w:rPr>
        <w:t xml:space="preserve">Custo da eletricidade médio por 1kWh </w:t>
      </w:r>
      <w:hyperlink w:anchor="_Toc201009844" w:history="1">
        <w:r w:rsidRPr="008E64DC">
          <w:rPr>
            <w:bCs w:val="0"/>
            <w:webHidden/>
            <w:sz w:val="24"/>
            <w:szCs w:val="24"/>
          </w:rPr>
          <w:tab/>
        </w:r>
      </w:hyperlink>
      <w:r w:rsidRPr="008E64DC">
        <w:rPr>
          <w:bCs w:val="0"/>
          <w:sz w:val="24"/>
          <w:szCs w:val="24"/>
        </w:rPr>
        <w:t>6</w:t>
      </w:r>
      <w:r w:rsidR="006155B4">
        <w:rPr>
          <w:bCs w:val="0"/>
          <w:sz w:val="24"/>
          <w:szCs w:val="24"/>
        </w:rPr>
        <w:t>2</w:t>
      </w:r>
    </w:p>
    <w:p w14:paraId="6E2F21F3" w14:textId="6C98910A" w:rsidR="001B2B75" w:rsidRPr="008E64DC" w:rsidRDefault="001B2B75" w:rsidP="008E64DC">
      <w:pPr>
        <w:pStyle w:val="TOC1"/>
        <w:spacing w:line="360" w:lineRule="auto"/>
        <w:jc w:val="both"/>
        <w:rPr>
          <w:bCs w:val="0"/>
          <w:sz w:val="24"/>
          <w:szCs w:val="24"/>
        </w:rPr>
      </w:pPr>
      <w:r w:rsidRPr="008E64DC">
        <w:rPr>
          <w:bCs w:val="0"/>
          <w:sz w:val="24"/>
          <w:szCs w:val="24"/>
        </w:rPr>
        <w:t>Tabela A.</w:t>
      </w:r>
      <w:r w:rsidR="006603D8" w:rsidRPr="008E64DC">
        <w:rPr>
          <w:bCs w:val="0"/>
          <w:sz w:val="24"/>
          <w:szCs w:val="24"/>
        </w:rPr>
        <w:t>7 Consumo final de eletricidade por Região</w:t>
      </w:r>
      <w:r w:rsidRPr="008E64DC">
        <w:rPr>
          <w:bCs w:val="0"/>
          <w:webHidden/>
          <w:sz w:val="24"/>
          <w:szCs w:val="24"/>
        </w:rPr>
        <w:tab/>
      </w:r>
      <w:r w:rsidR="00B63154" w:rsidRPr="008E64DC">
        <w:rPr>
          <w:bCs w:val="0"/>
          <w:webHidden/>
          <w:sz w:val="24"/>
          <w:szCs w:val="24"/>
        </w:rPr>
        <w:t>6</w:t>
      </w:r>
      <w:r w:rsidR="006155B4">
        <w:rPr>
          <w:bCs w:val="0"/>
          <w:webHidden/>
          <w:sz w:val="24"/>
          <w:szCs w:val="24"/>
        </w:rPr>
        <w:t>3</w:t>
      </w:r>
    </w:p>
    <w:p w14:paraId="7E5DF219" w14:textId="287E97C7" w:rsidR="001B2B75" w:rsidRPr="008E64DC" w:rsidRDefault="001B2B75" w:rsidP="008E64DC">
      <w:pPr>
        <w:pStyle w:val="TOC1"/>
        <w:spacing w:line="360" w:lineRule="auto"/>
        <w:jc w:val="both"/>
        <w:rPr>
          <w:bCs w:val="0"/>
          <w:sz w:val="24"/>
          <w:szCs w:val="24"/>
        </w:rPr>
      </w:pPr>
      <w:r w:rsidRPr="008E64DC">
        <w:rPr>
          <w:rFonts w:eastAsiaTheme="majorEastAsia" w:cstheme="majorBidi"/>
          <w:bCs w:val="0"/>
          <w:sz w:val="24"/>
          <w:szCs w:val="24"/>
        </w:rPr>
        <w:t>Tabela A.</w:t>
      </w:r>
      <w:r w:rsidR="006603D8" w:rsidRPr="008E64DC">
        <w:rPr>
          <w:rFonts w:eastAsiaTheme="majorEastAsia" w:cstheme="majorBidi"/>
          <w:bCs w:val="0"/>
          <w:sz w:val="24"/>
          <w:szCs w:val="24"/>
        </w:rPr>
        <w:t xml:space="preserve">8 </w:t>
      </w:r>
      <w:r w:rsidR="006603D8" w:rsidRPr="008E64DC">
        <w:rPr>
          <w:bCs w:val="0"/>
          <w:sz w:val="24"/>
          <w:szCs w:val="24"/>
        </w:rPr>
        <w:t xml:space="preserve">Crescimento médio por período </w:t>
      </w:r>
      <w:hyperlink w:anchor="_Toc201009844" w:history="1">
        <w:r w:rsidRPr="008E64DC">
          <w:rPr>
            <w:bCs w:val="0"/>
            <w:webHidden/>
            <w:sz w:val="24"/>
            <w:szCs w:val="24"/>
          </w:rPr>
          <w:tab/>
        </w:r>
      </w:hyperlink>
      <w:r w:rsidRPr="008E64DC">
        <w:rPr>
          <w:bCs w:val="0"/>
          <w:sz w:val="24"/>
          <w:szCs w:val="24"/>
        </w:rPr>
        <w:t>6</w:t>
      </w:r>
      <w:r w:rsidR="006155B4">
        <w:rPr>
          <w:bCs w:val="0"/>
          <w:sz w:val="24"/>
          <w:szCs w:val="24"/>
        </w:rPr>
        <w:t>3</w:t>
      </w:r>
    </w:p>
    <w:p w14:paraId="751DA11D" w14:textId="41C29D73" w:rsidR="001B2B75" w:rsidRPr="008E64DC" w:rsidRDefault="001B2B75" w:rsidP="008E64DC">
      <w:pPr>
        <w:pStyle w:val="TOC1"/>
        <w:spacing w:line="360" w:lineRule="auto"/>
        <w:jc w:val="both"/>
        <w:rPr>
          <w:bCs w:val="0"/>
          <w:sz w:val="24"/>
          <w:szCs w:val="24"/>
        </w:rPr>
      </w:pPr>
      <w:r w:rsidRPr="008E64DC">
        <w:rPr>
          <w:bCs w:val="0"/>
          <w:sz w:val="24"/>
          <w:szCs w:val="24"/>
        </w:rPr>
        <w:t>Tabela A.</w:t>
      </w:r>
      <w:r w:rsidR="006603D8" w:rsidRPr="008E64DC">
        <w:rPr>
          <w:bCs w:val="0"/>
          <w:sz w:val="24"/>
          <w:szCs w:val="24"/>
        </w:rPr>
        <w:t>9 Crescimento do consumo de eletricidade médio por período (por país)</w:t>
      </w:r>
      <w:r w:rsidRPr="008E64DC">
        <w:rPr>
          <w:bCs w:val="0"/>
          <w:webHidden/>
          <w:sz w:val="24"/>
          <w:szCs w:val="24"/>
        </w:rPr>
        <w:tab/>
      </w:r>
      <w:r w:rsidR="00DD16D7" w:rsidRPr="008E64DC">
        <w:rPr>
          <w:bCs w:val="0"/>
          <w:sz w:val="24"/>
          <w:szCs w:val="24"/>
        </w:rPr>
        <w:t>6</w:t>
      </w:r>
      <w:r w:rsidR="00B12D1E">
        <w:rPr>
          <w:bCs w:val="0"/>
          <w:sz w:val="24"/>
          <w:szCs w:val="24"/>
        </w:rPr>
        <w:t>4</w:t>
      </w:r>
    </w:p>
    <w:p w14:paraId="422F1DC1" w14:textId="5F312D2C" w:rsidR="00FB7222" w:rsidRPr="008E64DC" w:rsidRDefault="001B2B75" w:rsidP="008E64DC">
      <w:pPr>
        <w:pStyle w:val="TOC1"/>
        <w:spacing w:line="360" w:lineRule="auto"/>
        <w:jc w:val="both"/>
        <w:rPr>
          <w:bCs w:val="0"/>
          <w:sz w:val="24"/>
          <w:szCs w:val="24"/>
        </w:rPr>
      </w:pPr>
      <w:r w:rsidRPr="008E64DC">
        <w:rPr>
          <w:rFonts w:eastAsiaTheme="majorEastAsia" w:cstheme="majorBidi"/>
          <w:bCs w:val="0"/>
          <w:sz w:val="24"/>
          <w:szCs w:val="24"/>
        </w:rPr>
        <w:t xml:space="preserve">Tabela </w:t>
      </w:r>
      <w:r w:rsidR="006603D8" w:rsidRPr="008E64DC">
        <w:rPr>
          <w:rFonts w:eastAsiaTheme="majorEastAsia" w:cstheme="majorBidi"/>
          <w:bCs w:val="0"/>
          <w:sz w:val="24"/>
          <w:szCs w:val="24"/>
        </w:rPr>
        <w:t>A.10 Triagem</w:t>
      </w:r>
      <w:r w:rsidR="00225968" w:rsidRPr="008E64DC">
        <w:rPr>
          <w:rFonts w:eastAsiaTheme="majorEastAsia" w:cstheme="majorBidi"/>
          <w:bCs w:val="0"/>
          <w:sz w:val="24"/>
          <w:szCs w:val="24"/>
        </w:rPr>
        <w:t xml:space="preserve"> 2</w:t>
      </w:r>
      <w:r w:rsidR="00225968" w:rsidRPr="008E64DC">
        <w:rPr>
          <w:rFonts w:eastAsiaTheme="majorEastAsia" w:cstheme="majorBidi"/>
          <w:bCs w:val="0"/>
          <w:webHidden/>
          <w:sz w:val="24"/>
          <w:szCs w:val="24"/>
        </w:rPr>
        <w:tab/>
      </w:r>
      <w:r w:rsidR="00DD16D7" w:rsidRPr="008E64DC">
        <w:rPr>
          <w:rFonts w:eastAsiaTheme="majorEastAsia" w:cstheme="majorBidi"/>
          <w:bCs w:val="0"/>
          <w:webHidden/>
          <w:sz w:val="24"/>
          <w:szCs w:val="24"/>
        </w:rPr>
        <w:t>6</w:t>
      </w:r>
      <w:r w:rsidR="00B12D1E">
        <w:rPr>
          <w:rFonts w:eastAsiaTheme="majorEastAsia" w:cstheme="majorBidi"/>
          <w:bCs w:val="0"/>
          <w:webHidden/>
          <w:sz w:val="24"/>
          <w:szCs w:val="24"/>
        </w:rPr>
        <w:t>5</w:t>
      </w:r>
    </w:p>
    <w:p w14:paraId="74472720" w14:textId="5205C3A3" w:rsidR="006465F9" w:rsidRPr="00537118" w:rsidRDefault="00A34E24" w:rsidP="006465F9">
      <w:pPr>
        <w:spacing w:line="360" w:lineRule="auto"/>
        <w:jc w:val="both"/>
        <w:rPr>
          <w:rFonts w:ascii="Garamond" w:eastAsiaTheme="majorEastAsia" w:hAnsi="Garamond" w:cstheme="majorBidi"/>
          <w:b/>
          <w:sz w:val="28"/>
          <w:szCs w:val="28"/>
        </w:rPr>
        <w:sectPr w:rsidR="006465F9" w:rsidRPr="00537118" w:rsidSect="00EE0C33">
          <w:footerReference w:type="default" r:id="rId9"/>
          <w:pgSz w:w="12240" w:h="15840"/>
          <w:pgMar w:top="1701" w:right="1418" w:bottom="1701" w:left="1985" w:header="720" w:footer="720" w:gutter="0"/>
          <w:pgNumType w:fmt="lowerRoman" w:start="1"/>
          <w:cols w:space="720"/>
          <w:docGrid w:linePitch="360"/>
        </w:sectPr>
      </w:pPr>
      <w:r>
        <w:rPr>
          <w:rFonts w:ascii="Garamond" w:eastAsiaTheme="majorEastAsia" w:hAnsi="Garamond" w:cstheme="majorBidi"/>
          <w:b/>
          <w:sz w:val="28"/>
          <w:szCs w:val="28"/>
        </w:rPr>
        <w:t xml:space="preserve"> </w:t>
      </w:r>
    </w:p>
    <w:p w14:paraId="5FCF844B" w14:textId="03DB7C7D" w:rsidR="009B6E22" w:rsidRPr="00537118" w:rsidRDefault="00462F87" w:rsidP="004B5EF6">
      <w:pPr>
        <w:pStyle w:val="Heading1"/>
        <w:spacing w:line="360" w:lineRule="auto"/>
        <w:rPr>
          <w:color w:val="auto"/>
          <w:szCs w:val="28"/>
        </w:rPr>
      </w:pPr>
      <w:bookmarkStart w:id="0" w:name="_Toc202571339"/>
      <w:r w:rsidRPr="00537118">
        <w:rPr>
          <w:color w:val="auto"/>
          <w:szCs w:val="28"/>
        </w:rPr>
        <w:lastRenderedPageBreak/>
        <w:t>1</w:t>
      </w:r>
      <w:r w:rsidR="009B6E22" w:rsidRPr="00537118">
        <w:rPr>
          <w:color w:val="auto"/>
          <w:szCs w:val="28"/>
        </w:rPr>
        <w:t>. Introdução</w:t>
      </w:r>
      <w:bookmarkEnd w:id="0"/>
      <w:r w:rsidR="009B6E22" w:rsidRPr="00537118">
        <w:rPr>
          <w:color w:val="auto"/>
          <w:szCs w:val="28"/>
        </w:rPr>
        <w:t xml:space="preserve"> </w:t>
      </w:r>
    </w:p>
    <w:p w14:paraId="37132396" w14:textId="291B41A0" w:rsidR="009B6E22" w:rsidRPr="00537118" w:rsidRDefault="009B6E22" w:rsidP="004B5EF6">
      <w:pPr>
        <w:spacing w:line="360" w:lineRule="auto"/>
        <w:jc w:val="both"/>
        <w:rPr>
          <w:rFonts w:ascii="Garamond" w:hAnsi="Garamond"/>
          <w:sz w:val="24"/>
          <w:szCs w:val="24"/>
        </w:rPr>
      </w:pPr>
      <w:r w:rsidRPr="00537118">
        <w:rPr>
          <w:rFonts w:ascii="Garamond" w:hAnsi="Garamond"/>
          <w:sz w:val="24"/>
          <w:szCs w:val="24"/>
        </w:rPr>
        <w:t>Os desenvolvimentos e avanços tecnológicos ocorridos têm permitido intensificar a interligação dos pontos mais remotos do planeta, com a criação de redes entre eles. Este vínculo está presente em todos os contextos imagináveis (incluindo as atividades económicas e as consequentes oportunidades globais disponibilizadas às empresas). A internacionalização decorre deste fenómeno de interdependência mundial</w:t>
      </w:r>
      <w:r w:rsidR="00CC7255" w:rsidRPr="00537118">
        <w:rPr>
          <w:rFonts w:ascii="Garamond" w:hAnsi="Garamond"/>
          <w:sz w:val="24"/>
          <w:szCs w:val="24"/>
        </w:rPr>
        <w:t xml:space="preserve"> e</w:t>
      </w:r>
      <w:r w:rsidRPr="00537118">
        <w:rPr>
          <w:rFonts w:ascii="Garamond" w:hAnsi="Garamond"/>
          <w:sz w:val="24"/>
          <w:szCs w:val="24"/>
        </w:rPr>
        <w:t xml:space="preserve"> torna assim indispensável algum tipo de planeamento que possa orientar a atuação das organizações, no sentido de poderem expandir-se para mercados internacionais. Dito isto, é imperativo para o processo de internacionalização identificar e analisar a forma como as empresas estão condicionadas na escolha de novos mercados e determinar quais os modos de entrada passiveis de abordagem. </w:t>
      </w:r>
    </w:p>
    <w:p w14:paraId="7449125F" w14:textId="77777777" w:rsidR="009B6E22" w:rsidRPr="00537118" w:rsidRDefault="009B6E22" w:rsidP="009B6E22">
      <w:pPr>
        <w:spacing w:line="360" w:lineRule="auto"/>
        <w:jc w:val="both"/>
        <w:rPr>
          <w:rFonts w:ascii="Garamond" w:hAnsi="Garamond"/>
          <w:sz w:val="24"/>
          <w:szCs w:val="24"/>
        </w:rPr>
      </w:pPr>
      <w:r w:rsidRPr="00537118">
        <w:rPr>
          <w:rFonts w:ascii="Garamond" w:hAnsi="Garamond"/>
          <w:sz w:val="24"/>
          <w:szCs w:val="24"/>
        </w:rPr>
        <w:t xml:space="preserve">De facto, Gao et al. (2010) mencionam ser fulcral - no processo de expansão das empresas - procurar oportunidades em novos mercados, dado o crescimento acelerado do comércio internacional, alimentado pela globalização. De maneira semelhante, Zaoh et al. (2004) e Agarwal e Ramaswami (1992) salientam a importância de proceder a um estudo aturado do processo de internacionalização, uma vez que se trata de uma etapa decisiva para as empresas. O controlo exercido sobre as atividades no exterior, o comprometimento dos recursos associados e o risco inerente aos novos mercados são alguns dos aspetos-chave a ponderar. </w:t>
      </w:r>
    </w:p>
    <w:p w14:paraId="3252C165" w14:textId="77777777" w:rsidR="009B6E22" w:rsidRPr="00537118" w:rsidRDefault="009B6E22" w:rsidP="009B6E22">
      <w:pPr>
        <w:spacing w:line="360" w:lineRule="auto"/>
        <w:jc w:val="both"/>
        <w:rPr>
          <w:rFonts w:ascii="Garamond" w:hAnsi="Garamond"/>
          <w:sz w:val="24"/>
          <w:szCs w:val="24"/>
        </w:rPr>
      </w:pPr>
      <w:r w:rsidRPr="00537118">
        <w:rPr>
          <w:rFonts w:ascii="Garamond" w:hAnsi="Garamond"/>
          <w:sz w:val="24"/>
          <w:szCs w:val="24"/>
        </w:rPr>
        <w:t xml:space="preserve">Contudo, em virtude dos elevados custos associados à realização de estudos de mercados e da falta de capacidade financeira das empresas, em particular das PME, é recorrente desprezar-se esta etapa essencial, o que pode resultar num processo de internacionalização deficitário, geralmente com resultados limitados ou até insuficientes. </w:t>
      </w:r>
    </w:p>
    <w:p w14:paraId="2BD21556" w14:textId="77777777" w:rsidR="009B6E22" w:rsidRPr="00537118" w:rsidRDefault="009B6E22" w:rsidP="009B6E22">
      <w:pPr>
        <w:spacing w:line="360" w:lineRule="auto"/>
        <w:jc w:val="both"/>
        <w:rPr>
          <w:rFonts w:ascii="Garamond" w:hAnsi="Garamond"/>
          <w:sz w:val="24"/>
          <w:szCs w:val="24"/>
        </w:rPr>
      </w:pPr>
      <w:r w:rsidRPr="00537118">
        <w:rPr>
          <w:rFonts w:ascii="Garamond" w:hAnsi="Garamond"/>
          <w:sz w:val="24"/>
          <w:szCs w:val="24"/>
        </w:rPr>
        <w:t xml:space="preserve">O estágio curricular, efetuado entre os dias 1 de outubro de 2024 e 7 de fevereiro de 2025, teve lugar na Accelper Consulting Iberia, uma empresa de consultoria portuguesa localizada no norte de Portugal (mais especificamente, no Porto). </w:t>
      </w:r>
    </w:p>
    <w:p w14:paraId="35894F52" w14:textId="77777777" w:rsidR="009B6E22" w:rsidRPr="00537118" w:rsidRDefault="009B6E22" w:rsidP="009B6E22">
      <w:pPr>
        <w:spacing w:line="360" w:lineRule="auto"/>
        <w:jc w:val="both"/>
        <w:rPr>
          <w:rFonts w:ascii="Garamond" w:hAnsi="Garamond"/>
          <w:sz w:val="24"/>
          <w:szCs w:val="24"/>
        </w:rPr>
      </w:pPr>
      <w:r w:rsidRPr="00537118">
        <w:rPr>
          <w:rFonts w:ascii="Garamond" w:hAnsi="Garamond"/>
          <w:sz w:val="24"/>
          <w:szCs w:val="24"/>
        </w:rPr>
        <w:t>A atividade principal da Accelper Consulting Iberia</w:t>
      </w:r>
      <w:r w:rsidRPr="00537118" w:rsidDel="00B97AA5">
        <w:rPr>
          <w:rFonts w:ascii="Garamond" w:hAnsi="Garamond"/>
          <w:sz w:val="24"/>
          <w:szCs w:val="24"/>
        </w:rPr>
        <w:t xml:space="preserve"> </w:t>
      </w:r>
      <w:r w:rsidRPr="00537118">
        <w:rPr>
          <w:rFonts w:ascii="Garamond" w:hAnsi="Garamond"/>
          <w:sz w:val="24"/>
          <w:szCs w:val="24"/>
        </w:rPr>
        <w:t>é a prestação de serviços relacionados com soluções estratégicas e operacionais, sendo de destacar a análise de projetos de investimento e gestão empresarial. A empresa atua em diversas áreas (desde a internacionalização até à sustentabilidade empresarial), trabalhando com os mais variados setores e indústrias.</w:t>
      </w:r>
    </w:p>
    <w:p w14:paraId="6FB4D6C6" w14:textId="77777777" w:rsidR="009B6E22" w:rsidRPr="00537118" w:rsidRDefault="009B6E22" w:rsidP="009B6E22">
      <w:pPr>
        <w:spacing w:line="360" w:lineRule="auto"/>
        <w:jc w:val="both"/>
        <w:rPr>
          <w:rFonts w:ascii="Garamond" w:hAnsi="Garamond"/>
          <w:sz w:val="24"/>
          <w:szCs w:val="24"/>
        </w:rPr>
      </w:pPr>
      <w:r w:rsidRPr="00537118">
        <w:rPr>
          <w:rFonts w:ascii="Garamond" w:hAnsi="Garamond"/>
          <w:sz w:val="24"/>
          <w:szCs w:val="24"/>
        </w:rPr>
        <w:lastRenderedPageBreak/>
        <w:t xml:space="preserve">O alvo principal do estágio foi a elaboração de uma proposta de internacionalização para uma empresa portuguesa de baterias, que, de momento, considera a possibilidade de se expandir para o mercado internacional. Do ponto de vista pessoal, o estágio permitiu aplicar na prática o conteúdo lecionado durante as aulas do Mestrado em Economia e Gestão Internacional (MEGI). Do ponto de vista da empresa de baterias, a proposta de internacionalização encerra um valor real, visto que lhe subjaz o intuito de sugerir, de maneira justificada, três mercados atraentes e o respetivo modo de entrada (caso a empresa decida de facto avançar com o processo de internacionalização num espaço temporal oportuno). </w:t>
      </w:r>
    </w:p>
    <w:p w14:paraId="07A06FE8" w14:textId="7B6F3A4A" w:rsidR="009B6E22" w:rsidRPr="00537118" w:rsidRDefault="009B6E22" w:rsidP="009B6E22">
      <w:pPr>
        <w:spacing w:line="360" w:lineRule="auto"/>
        <w:jc w:val="both"/>
        <w:rPr>
          <w:rFonts w:ascii="Garamond" w:hAnsi="Garamond"/>
          <w:sz w:val="24"/>
          <w:szCs w:val="24"/>
        </w:rPr>
      </w:pPr>
      <w:r w:rsidRPr="00537118">
        <w:rPr>
          <w:rFonts w:ascii="Garamond" w:hAnsi="Garamond"/>
          <w:sz w:val="24"/>
          <w:szCs w:val="24"/>
        </w:rPr>
        <w:t>Para além deste objetivo principal, o estágio visou ainda prestar apoio aos vários projetos de investimento da Accelper Consulting</w:t>
      </w:r>
      <w:r w:rsidR="00496E6A" w:rsidRPr="00537118">
        <w:rPr>
          <w:rFonts w:ascii="Garamond" w:hAnsi="Garamond"/>
          <w:sz w:val="24"/>
          <w:szCs w:val="24"/>
        </w:rPr>
        <w:t xml:space="preserve"> </w:t>
      </w:r>
      <w:r w:rsidRPr="00537118">
        <w:rPr>
          <w:rFonts w:ascii="Garamond" w:hAnsi="Garamond"/>
          <w:sz w:val="24"/>
          <w:szCs w:val="24"/>
        </w:rPr>
        <w:t>(com especial incidência nos projetos de internacionalização). Neste âmbito, foram realizadas várias atividades</w:t>
      </w:r>
      <w:r w:rsidR="0009623C" w:rsidRPr="00537118">
        <w:rPr>
          <w:rFonts w:ascii="Garamond" w:hAnsi="Garamond"/>
          <w:sz w:val="24"/>
          <w:szCs w:val="24"/>
        </w:rPr>
        <w:t>,</w:t>
      </w:r>
      <w:r w:rsidRPr="00537118">
        <w:rPr>
          <w:rFonts w:ascii="Garamond" w:hAnsi="Garamond"/>
          <w:sz w:val="24"/>
          <w:szCs w:val="24"/>
        </w:rPr>
        <w:t xml:space="preserve"> como a elaboração de análises, a preparação de documentos e o auxílio em tarefas diversas.</w:t>
      </w:r>
    </w:p>
    <w:p w14:paraId="30F1C211" w14:textId="5154D352" w:rsidR="009B6E22" w:rsidRPr="00537118" w:rsidRDefault="009B6E22" w:rsidP="009B6E22">
      <w:pPr>
        <w:spacing w:line="360" w:lineRule="auto"/>
        <w:jc w:val="both"/>
        <w:rPr>
          <w:rFonts w:ascii="Garamond" w:hAnsi="Garamond"/>
          <w:sz w:val="24"/>
          <w:szCs w:val="24"/>
        </w:rPr>
      </w:pPr>
      <w:r w:rsidRPr="00537118">
        <w:rPr>
          <w:rFonts w:ascii="Garamond" w:hAnsi="Garamond"/>
          <w:sz w:val="24"/>
          <w:szCs w:val="24"/>
        </w:rPr>
        <w:t xml:space="preserve">O objetivo de internacionalização (por parte da empresa de baterias) constitui um desafio para o qual foi concebida uma análise realizada por filtros e fases, de forma a obter resultados adequados às especificidades da empresa. Dito isto, a fundamentação dos resultados é apresentada com pormenor neste relatório, permitindo compreender a situação em que a empresa se encontra e a lógica de escolha dos mercados. Apesar das limitações, esta proposta de internacionalização, específica à empresa portuguesa de baterias, pode servir de inspiração a outras empresas do setor ou a quem esteja interessado nos dispositivos de armazenamento de energia, desempenhando o papel de guia orientador para uma tomada de decisão fundamentada, sem custos extraordinários, por oposição às análises de mercado assaz exaustivas e usualmente impraticáveis para muitas empresas. </w:t>
      </w:r>
    </w:p>
    <w:p w14:paraId="6AFFDDA1" w14:textId="3CBAAF44" w:rsidR="0092090E" w:rsidRPr="00537118" w:rsidRDefault="0092090E" w:rsidP="00113A01">
      <w:pPr>
        <w:spacing w:line="360" w:lineRule="auto"/>
        <w:jc w:val="both"/>
        <w:rPr>
          <w:rFonts w:ascii="Garamond" w:hAnsi="Garamond"/>
          <w:sz w:val="24"/>
          <w:szCs w:val="24"/>
        </w:rPr>
      </w:pPr>
      <w:r w:rsidRPr="00537118">
        <w:rPr>
          <w:rFonts w:ascii="Garamond" w:hAnsi="Garamond"/>
          <w:sz w:val="24"/>
          <w:szCs w:val="24"/>
        </w:rPr>
        <w:t xml:space="preserve">Assim, este documento está estruturado em </w:t>
      </w:r>
      <w:r w:rsidR="00171BCA" w:rsidRPr="00537118">
        <w:rPr>
          <w:rFonts w:ascii="Garamond" w:hAnsi="Garamond"/>
          <w:sz w:val="24"/>
          <w:szCs w:val="24"/>
        </w:rPr>
        <w:t>5</w:t>
      </w:r>
      <w:r w:rsidRPr="00537118">
        <w:rPr>
          <w:rFonts w:ascii="Garamond" w:hAnsi="Garamond"/>
          <w:sz w:val="24"/>
          <w:szCs w:val="24"/>
        </w:rPr>
        <w:t xml:space="preserve"> secções. </w:t>
      </w:r>
      <w:r w:rsidR="00286413" w:rsidRPr="00537118">
        <w:rPr>
          <w:rFonts w:ascii="Garamond" w:hAnsi="Garamond"/>
          <w:sz w:val="24"/>
          <w:szCs w:val="24"/>
        </w:rPr>
        <w:t>Após a</w:t>
      </w:r>
      <w:r w:rsidR="006B7931" w:rsidRPr="00537118">
        <w:rPr>
          <w:rFonts w:ascii="Garamond" w:hAnsi="Garamond"/>
          <w:sz w:val="24"/>
          <w:szCs w:val="24"/>
        </w:rPr>
        <w:t xml:space="preserve"> </w:t>
      </w:r>
      <w:r w:rsidR="00483A58" w:rsidRPr="00537118">
        <w:rPr>
          <w:rFonts w:ascii="Garamond" w:hAnsi="Garamond"/>
          <w:sz w:val="24"/>
          <w:szCs w:val="24"/>
        </w:rPr>
        <w:t>Introdução, a</w:t>
      </w:r>
      <w:r w:rsidR="00D97AEE" w:rsidRPr="00537118">
        <w:rPr>
          <w:rFonts w:ascii="Garamond" w:hAnsi="Garamond"/>
          <w:sz w:val="24"/>
          <w:szCs w:val="24"/>
        </w:rPr>
        <w:t xml:space="preserve"> segunda</w:t>
      </w:r>
      <w:r w:rsidRPr="00537118">
        <w:rPr>
          <w:rFonts w:ascii="Garamond" w:hAnsi="Garamond"/>
          <w:sz w:val="24"/>
          <w:szCs w:val="24"/>
        </w:rPr>
        <w:t xml:space="preserve"> secção contém a apresentação da empresa onde se realizou o estágio</w:t>
      </w:r>
      <w:r w:rsidR="00113A01" w:rsidRPr="00537118">
        <w:rPr>
          <w:rFonts w:ascii="Garamond" w:hAnsi="Garamond"/>
          <w:sz w:val="24"/>
          <w:szCs w:val="24"/>
        </w:rPr>
        <w:t xml:space="preserve"> e a descrição das</w:t>
      </w:r>
      <w:r w:rsidRPr="00537118">
        <w:rPr>
          <w:rFonts w:ascii="Garamond" w:hAnsi="Garamond"/>
          <w:sz w:val="24"/>
          <w:szCs w:val="24"/>
        </w:rPr>
        <w:t xml:space="preserve"> </w:t>
      </w:r>
      <w:r w:rsidR="00483A58" w:rsidRPr="00537118">
        <w:rPr>
          <w:rFonts w:ascii="Garamond" w:hAnsi="Garamond"/>
          <w:sz w:val="24"/>
          <w:szCs w:val="24"/>
        </w:rPr>
        <w:t>atividades</w:t>
      </w:r>
      <w:r w:rsidR="00EB65BE" w:rsidRPr="00537118">
        <w:rPr>
          <w:rFonts w:ascii="Garamond" w:hAnsi="Garamond"/>
          <w:sz w:val="24"/>
          <w:szCs w:val="24"/>
        </w:rPr>
        <w:t xml:space="preserve"> </w:t>
      </w:r>
      <w:r w:rsidR="00483A58" w:rsidRPr="00537118">
        <w:rPr>
          <w:rFonts w:ascii="Garamond" w:hAnsi="Garamond"/>
          <w:sz w:val="24"/>
          <w:szCs w:val="24"/>
        </w:rPr>
        <w:t>desenvolvidas.</w:t>
      </w:r>
      <w:r w:rsidRPr="00537118">
        <w:rPr>
          <w:rFonts w:ascii="Garamond" w:hAnsi="Garamond"/>
          <w:sz w:val="24"/>
          <w:szCs w:val="24"/>
        </w:rPr>
        <w:t xml:space="preserve"> Seguidamente, </w:t>
      </w:r>
      <w:r w:rsidR="00113A01" w:rsidRPr="00537118">
        <w:rPr>
          <w:rFonts w:ascii="Garamond" w:hAnsi="Garamond"/>
          <w:sz w:val="24"/>
          <w:szCs w:val="24"/>
        </w:rPr>
        <w:t xml:space="preserve">na terceira secção, </w:t>
      </w:r>
      <w:r w:rsidRPr="00537118">
        <w:rPr>
          <w:rFonts w:ascii="Garamond" w:hAnsi="Garamond"/>
          <w:sz w:val="24"/>
          <w:szCs w:val="24"/>
        </w:rPr>
        <w:t>apresenta-se a revisão da literatura relevante para o tema apresentado. Esta inclui as principais teorias de internacionalização, os modos de entrada, as barreiras gerais à internacionalização (e as especificas da empresa) e as motivações que desencadeiam a internacionalização das mesmas.</w:t>
      </w:r>
      <w:r w:rsidR="00EB65BE" w:rsidRPr="00537118">
        <w:rPr>
          <w:rFonts w:ascii="Garamond" w:hAnsi="Garamond"/>
          <w:sz w:val="24"/>
          <w:szCs w:val="24"/>
        </w:rPr>
        <w:t xml:space="preserve"> </w:t>
      </w:r>
      <w:r w:rsidRPr="00537118">
        <w:rPr>
          <w:rFonts w:ascii="Garamond" w:hAnsi="Garamond"/>
          <w:sz w:val="24"/>
          <w:szCs w:val="24"/>
        </w:rPr>
        <w:t>É apresentad</w:t>
      </w:r>
      <w:r w:rsidR="00113A01" w:rsidRPr="00537118">
        <w:rPr>
          <w:rFonts w:ascii="Garamond" w:hAnsi="Garamond"/>
          <w:sz w:val="24"/>
          <w:szCs w:val="24"/>
        </w:rPr>
        <w:t>a</w:t>
      </w:r>
      <w:r w:rsidRPr="00537118">
        <w:rPr>
          <w:rFonts w:ascii="Garamond" w:hAnsi="Garamond"/>
          <w:sz w:val="24"/>
          <w:szCs w:val="24"/>
        </w:rPr>
        <w:t>, ainda, uma subsecção sobre a seleção de mercados e, por fim, informações acerca dos sistemas de armazenamento de energia</w:t>
      </w:r>
      <w:r w:rsidR="00EB65BE" w:rsidRPr="00537118">
        <w:rPr>
          <w:rFonts w:ascii="Garamond" w:hAnsi="Garamond"/>
          <w:sz w:val="24"/>
          <w:szCs w:val="24"/>
        </w:rPr>
        <w:t xml:space="preserve"> </w:t>
      </w:r>
      <w:r w:rsidRPr="00537118">
        <w:rPr>
          <w:rFonts w:ascii="Garamond" w:hAnsi="Garamond"/>
          <w:sz w:val="24"/>
          <w:szCs w:val="24"/>
        </w:rPr>
        <w:lastRenderedPageBreak/>
        <w:t xml:space="preserve">e a sua importância.  </w:t>
      </w:r>
      <w:r w:rsidR="00113A01" w:rsidRPr="00537118">
        <w:rPr>
          <w:rFonts w:ascii="Garamond" w:hAnsi="Garamond"/>
          <w:sz w:val="24"/>
          <w:szCs w:val="24"/>
        </w:rPr>
        <w:t>Na quarta secção,</w:t>
      </w:r>
      <w:r w:rsidRPr="00537118">
        <w:rPr>
          <w:rFonts w:ascii="Garamond" w:hAnsi="Garamond"/>
          <w:sz w:val="24"/>
          <w:szCs w:val="24"/>
        </w:rPr>
        <w:t xml:space="preserve"> é apresentada uma reflexão cr</w:t>
      </w:r>
      <w:r w:rsidR="00113A01" w:rsidRPr="00537118">
        <w:rPr>
          <w:rFonts w:ascii="Garamond" w:hAnsi="Garamond"/>
          <w:sz w:val="24"/>
          <w:szCs w:val="24"/>
        </w:rPr>
        <w:t>í</w:t>
      </w:r>
      <w:r w:rsidRPr="00537118">
        <w:rPr>
          <w:rFonts w:ascii="Garamond" w:hAnsi="Garamond"/>
          <w:sz w:val="24"/>
          <w:szCs w:val="24"/>
        </w:rPr>
        <w:t xml:space="preserve">tica acerca das atividades desenvolvidas à luz da literatura, </w:t>
      </w:r>
      <w:r w:rsidR="00113A01" w:rsidRPr="00537118">
        <w:rPr>
          <w:rFonts w:ascii="Garamond" w:hAnsi="Garamond"/>
          <w:sz w:val="24"/>
          <w:szCs w:val="24"/>
        </w:rPr>
        <w:t xml:space="preserve">tendo em conta </w:t>
      </w:r>
      <w:r w:rsidRPr="00537118">
        <w:rPr>
          <w:rFonts w:ascii="Garamond" w:hAnsi="Garamond"/>
          <w:sz w:val="24"/>
          <w:szCs w:val="24"/>
        </w:rPr>
        <w:t>a situação espec</w:t>
      </w:r>
      <w:r w:rsidR="00113A01" w:rsidRPr="00537118">
        <w:rPr>
          <w:rFonts w:ascii="Garamond" w:hAnsi="Garamond"/>
          <w:sz w:val="24"/>
          <w:szCs w:val="24"/>
        </w:rPr>
        <w:t>í</w:t>
      </w:r>
      <w:r w:rsidRPr="00537118">
        <w:rPr>
          <w:rFonts w:ascii="Garamond" w:hAnsi="Garamond"/>
          <w:sz w:val="24"/>
          <w:szCs w:val="24"/>
        </w:rPr>
        <w:t>fica da empresa. É apresentado também o processo para a obtenção dos mercados, os respetivos resultados e a fundamentação dos modos de entrada para cada um destes. Por fim, na última secção, são apresentadas as principais conclusões do relatório.</w:t>
      </w:r>
    </w:p>
    <w:p w14:paraId="5D2F45CC" w14:textId="77777777" w:rsidR="00FC42CC" w:rsidRPr="00537118" w:rsidRDefault="00FC42CC" w:rsidP="009B6E22">
      <w:pPr>
        <w:spacing w:line="360" w:lineRule="auto"/>
        <w:jc w:val="both"/>
        <w:rPr>
          <w:rFonts w:ascii="Garamond" w:hAnsi="Garamond"/>
        </w:rPr>
      </w:pPr>
    </w:p>
    <w:p w14:paraId="5ED07BB4" w14:textId="77777777" w:rsidR="009B6E22" w:rsidRPr="00537118" w:rsidRDefault="009B6E22" w:rsidP="009B6E22">
      <w:pPr>
        <w:spacing w:line="360" w:lineRule="auto"/>
        <w:jc w:val="both"/>
        <w:rPr>
          <w:rFonts w:ascii="Garamond" w:hAnsi="Garamond"/>
        </w:rPr>
      </w:pPr>
    </w:p>
    <w:p w14:paraId="05AC2899" w14:textId="77777777" w:rsidR="009B6E22" w:rsidRPr="00537118" w:rsidRDefault="009B6E22" w:rsidP="009B6E22">
      <w:pPr>
        <w:spacing w:line="360" w:lineRule="auto"/>
        <w:jc w:val="both"/>
        <w:rPr>
          <w:rFonts w:ascii="Garamond" w:hAnsi="Garamond"/>
        </w:rPr>
      </w:pPr>
    </w:p>
    <w:p w14:paraId="266BF831" w14:textId="77777777" w:rsidR="009B6E22" w:rsidRPr="00537118" w:rsidRDefault="009B6E22" w:rsidP="009B6E22">
      <w:pPr>
        <w:spacing w:line="360" w:lineRule="auto"/>
        <w:jc w:val="both"/>
        <w:rPr>
          <w:rFonts w:ascii="Garamond" w:hAnsi="Garamond"/>
        </w:rPr>
      </w:pPr>
    </w:p>
    <w:p w14:paraId="57EFBDA6" w14:textId="77777777" w:rsidR="009B6E22" w:rsidRPr="00537118" w:rsidRDefault="009B6E22" w:rsidP="009B6E22">
      <w:pPr>
        <w:spacing w:line="360" w:lineRule="auto"/>
        <w:jc w:val="both"/>
        <w:rPr>
          <w:rFonts w:ascii="Garamond" w:hAnsi="Garamond"/>
        </w:rPr>
      </w:pPr>
    </w:p>
    <w:p w14:paraId="1EBCCD64" w14:textId="77777777" w:rsidR="009B6E22" w:rsidRPr="00537118" w:rsidRDefault="009B6E22" w:rsidP="009B6E22">
      <w:pPr>
        <w:spacing w:line="360" w:lineRule="auto"/>
        <w:jc w:val="both"/>
        <w:rPr>
          <w:rFonts w:ascii="Garamond" w:hAnsi="Garamond"/>
        </w:rPr>
      </w:pPr>
    </w:p>
    <w:p w14:paraId="0B1A5DDF" w14:textId="77777777" w:rsidR="009B6E22" w:rsidRPr="00537118" w:rsidRDefault="009B6E22" w:rsidP="009B6E22">
      <w:pPr>
        <w:spacing w:line="360" w:lineRule="auto"/>
        <w:jc w:val="both"/>
        <w:rPr>
          <w:rFonts w:ascii="Garamond" w:hAnsi="Garamond"/>
        </w:rPr>
      </w:pPr>
    </w:p>
    <w:p w14:paraId="63E18164" w14:textId="77777777" w:rsidR="009B6E22" w:rsidRPr="00537118" w:rsidRDefault="009B6E22" w:rsidP="009B6E22">
      <w:pPr>
        <w:spacing w:line="360" w:lineRule="auto"/>
        <w:jc w:val="both"/>
        <w:rPr>
          <w:rFonts w:ascii="Garamond" w:hAnsi="Garamond"/>
        </w:rPr>
      </w:pPr>
    </w:p>
    <w:p w14:paraId="4166DA71" w14:textId="77777777" w:rsidR="009B6E22" w:rsidRPr="00537118" w:rsidRDefault="009B6E22" w:rsidP="009B6E22">
      <w:pPr>
        <w:spacing w:line="360" w:lineRule="auto"/>
        <w:jc w:val="both"/>
        <w:rPr>
          <w:rFonts w:ascii="Garamond" w:hAnsi="Garamond"/>
        </w:rPr>
      </w:pPr>
    </w:p>
    <w:p w14:paraId="50C83E76" w14:textId="77777777" w:rsidR="009B6E22" w:rsidRPr="00537118" w:rsidRDefault="009B6E22" w:rsidP="009B6E22">
      <w:pPr>
        <w:spacing w:line="360" w:lineRule="auto"/>
        <w:jc w:val="both"/>
        <w:rPr>
          <w:rFonts w:ascii="Garamond" w:hAnsi="Garamond"/>
        </w:rPr>
      </w:pPr>
    </w:p>
    <w:p w14:paraId="06451B33" w14:textId="77777777" w:rsidR="009B6E22" w:rsidRPr="00537118" w:rsidRDefault="009B6E22" w:rsidP="009B6E22">
      <w:pPr>
        <w:spacing w:line="360" w:lineRule="auto"/>
        <w:jc w:val="both"/>
        <w:rPr>
          <w:rFonts w:ascii="Garamond" w:hAnsi="Garamond"/>
        </w:rPr>
      </w:pPr>
    </w:p>
    <w:p w14:paraId="0E22127C" w14:textId="77777777" w:rsidR="009B6E22" w:rsidRPr="00537118" w:rsidRDefault="009B6E22" w:rsidP="009B6E22">
      <w:pPr>
        <w:spacing w:line="360" w:lineRule="auto"/>
        <w:jc w:val="both"/>
        <w:rPr>
          <w:rFonts w:ascii="Garamond" w:hAnsi="Garamond"/>
        </w:rPr>
      </w:pPr>
    </w:p>
    <w:p w14:paraId="4996E093" w14:textId="77777777" w:rsidR="009B6E22" w:rsidRPr="00537118" w:rsidRDefault="009B6E22" w:rsidP="009B6E22">
      <w:pPr>
        <w:spacing w:line="360" w:lineRule="auto"/>
        <w:jc w:val="both"/>
        <w:rPr>
          <w:rFonts w:ascii="Garamond" w:hAnsi="Garamond"/>
        </w:rPr>
      </w:pPr>
    </w:p>
    <w:p w14:paraId="0166774F" w14:textId="77777777" w:rsidR="009B6E22" w:rsidRPr="00537118" w:rsidRDefault="009B6E22" w:rsidP="009B6E22">
      <w:pPr>
        <w:spacing w:line="360" w:lineRule="auto"/>
        <w:jc w:val="both"/>
        <w:rPr>
          <w:rFonts w:ascii="Garamond" w:hAnsi="Garamond"/>
        </w:rPr>
      </w:pPr>
    </w:p>
    <w:p w14:paraId="208117A7" w14:textId="77777777" w:rsidR="00B463A6" w:rsidRPr="00537118" w:rsidRDefault="00B463A6" w:rsidP="009B6E22">
      <w:pPr>
        <w:spacing w:line="360" w:lineRule="auto"/>
        <w:jc w:val="both"/>
        <w:rPr>
          <w:rFonts w:ascii="Garamond" w:hAnsi="Garamond"/>
        </w:rPr>
      </w:pPr>
    </w:p>
    <w:p w14:paraId="20189D67" w14:textId="77777777" w:rsidR="009B6E22" w:rsidRPr="00537118" w:rsidRDefault="009B6E22" w:rsidP="009B6E22">
      <w:pPr>
        <w:spacing w:line="360" w:lineRule="auto"/>
        <w:jc w:val="both"/>
        <w:rPr>
          <w:rFonts w:ascii="Garamond" w:hAnsi="Garamond"/>
        </w:rPr>
      </w:pPr>
    </w:p>
    <w:p w14:paraId="42023B1D" w14:textId="1E7605EC" w:rsidR="009B6E22" w:rsidRPr="00537118" w:rsidRDefault="00462F87" w:rsidP="004B5EF6">
      <w:pPr>
        <w:pStyle w:val="Heading1"/>
        <w:spacing w:line="360" w:lineRule="auto"/>
        <w:rPr>
          <w:color w:val="auto"/>
          <w:szCs w:val="28"/>
        </w:rPr>
      </w:pPr>
      <w:bookmarkStart w:id="1" w:name="_Toc202571340"/>
      <w:r w:rsidRPr="00537118">
        <w:rPr>
          <w:color w:val="auto"/>
          <w:szCs w:val="28"/>
        </w:rPr>
        <w:lastRenderedPageBreak/>
        <w:t>2</w:t>
      </w:r>
      <w:r w:rsidR="009B6E22" w:rsidRPr="00537118">
        <w:rPr>
          <w:color w:val="auto"/>
          <w:szCs w:val="28"/>
        </w:rPr>
        <w:t>. Descrição da empresa e das atividades desenvolvidas</w:t>
      </w:r>
      <w:bookmarkEnd w:id="1"/>
      <w:r w:rsidR="009B6E22" w:rsidRPr="00537118">
        <w:rPr>
          <w:color w:val="auto"/>
          <w:szCs w:val="28"/>
        </w:rPr>
        <w:t xml:space="preserve"> </w:t>
      </w:r>
    </w:p>
    <w:p w14:paraId="6AA2ABF0" w14:textId="085FCD56" w:rsidR="009B6E22" w:rsidRPr="00537118" w:rsidRDefault="00462F87" w:rsidP="004B5EF6">
      <w:pPr>
        <w:pStyle w:val="Heading2"/>
        <w:spacing w:line="360" w:lineRule="auto"/>
        <w:rPr>
          <w:color w:val="auto"/>
          <w:szCs w:val="28"/>
        </w:rPr>
      </w:pPr>
      <w:bookmarkStart w:id="2" w:name="_Toc202571341"/>
      <w:r w:rsidRPr="00537118">
        <w:rPr>
          <w:color w:val="auto"/>
          <w:szCs w:val="28"/>
        </w:rPr>
        <w:t>2</w:t>
      </w:r>
      <w:r w:rsidR="009B6E22" w:rsidRPr="00537118">
        <w:rPr>
          <w:color w:val="auto"/>
          <w:szCs w:val="28"/>
        </w:rPr>
        <w:t>.1</w:t>
      </w:r>
      <w:r w:rsidR="00103601" w:rsidRPr="00537118">
        <w:rPr>
          <w:color w:val="auto"/>
          <w:szCs w:val="28"/>
        </w:rPr>
        <w:t>.</w:t>
      </w:r>
      <w:r w:rsidR="009B6E22" w:rsidRPr="00537118">
        <w:rPr>
          <w:color w:val="auto"/>
          <w:szCs w:val="28"/>
        </w:rPr>
        <w:t xml:space="preserve"> Descrição da empresa</w:t>
      </w:r>
      <w:bookmarkEnd w:id="2"/>
    </w:p>
    <w:p w14:paraId="7DAAFF4F" w14:textId="6FD13A07" w:rsidR="009B6E22" w:rsidRPr="00537118" w:rsidRDefault="009B6E22" w:rsidP="004B5EF6">
      <w:pPr>
        <w:spacing w:line="360" w:lineRule="auto"/>
        <w:jc w:val="both"/>
        <w:rPr>
          <w:rFonts w:ascii="Garamond" w:hAnsi="Garamond"/>
          <w:sz w:val="24"/>
          <w:szCs w:val="24"/>
        </w:rPr>
      </w:pPr>
      <w:r w:rsidRPr="00537118">
        <w:rPr>
          <w:rFonts w:ascii="Garamond" w:hAnsi="Garamond"/>
          <w:sz w:val="24"/>
          <w:szCs w:val="24"/>
        </w:rPr>
        <w:t xml:space="preserve">A Accelper </w:t>
      </w:r>
      <w:r w:rsidR="00483A58" w:rsidRPr="00537118">
        <w:rPr>
          <w:rFonts w:ascii="Garamond" w:hAnsi="Garamond"/>
          <w:sz w:val="24"/>
          <w:szCs w:val="24"/>
        </w:rPr>
        <w:t>Consulting</w:t>
      </w:r>
      <w:r w:rsidRPr="00537118">
        <w:rPr>
          <w:rFonts w:ascii="Garamond" w:hAnsi="Garamond"/>
          <w:sz w:val="24"/>
          <w:szCs w:val="24"/>
        </w:rPr>
        <w:t xml:space="preserve"> Iberia, empresa privada com sede no Porto, foi constituída no ano de 2009, tendo como inspiração a Accelper Consulting, empresa inicialmente fundada por Praveen Gupta em Chicago, nos Estados Unidos da América.</w:t>
      </w:r>
    </w:p>
    <w:p w14:paraId="241173D6" w14:textId="77777777" w:rsidR="009B6E22" w:rsidRPr="00537118" w:rsidRDefault="009B6E22" w:rsidP="009B6E22">
      <w:pPr>
        <w:spacing w:line="360" w:lineRule="auto"/>
        <w:jc w:val="both"/>
        <w:rPr>
          <w:rFonts w:ascii="Garamond" w:hAnsi="Garamond"/>
          <w:sz w:val="24"/>
          <w:szCs w:val="24"/>
        </w:rPr>
      </w:pPr>
      <w:r w:rsidRPr="00537118">
        <w:rPr>
          <w:rFonts w:ascii="Garamond" w:hAnsi="Garamond"/>
          <w:sz w:val="24"/>
          <w:szCs w:val="24"/>
        </w:rPr>
        <w:t xml:space="preserve">A empresa em questão dedica-se à análise de projetos de investimento e à prestação de serviços relacionados com o apoio à gestão de empresas, de forma adaptada às necessidades individuais dos clientes (independentemente do setor ou indústria dos mesmos). A missão da empresa é impulsionar e afinar o desempenho organizacional, mediante estratégias inovadoras e direcionadas para a obtenção de resultados. </w:t>
      </w:r>
    </w:p>
    <w:p w14:paraId="4C958F37" w14:textId="77777777" w:rsidR="009B6E22" w:rsidRPr="00537118" w:rsidRDefault="009B6E22" w:rsidP="009B6E22">
      <w:pPr>
        <w:spacing w:line="360" w:lineRule="auto"/>
        <w:jc w:val="both"/>
        <w:rPr>
          <w:rFonts w:ascii="Garamond" w:hAnsi="Garamond"/>
          <w:sz w:val="24"/>
          <w:szCs w:val="24"/>
        </w:rPr>
      </w:pPr>
      <w:r w:rsidRPr="00537118">
        <w:rPr>
          <w:rFonts w:ascii="Garamond" w:hAnsi="Garamond"/>
          <w:sz w:val="24"/>
          <w:szCs w:val="24"/>
        </w:rPr>
        <w:t xml:space="preserve">Face às diversas necessidades do tecido empresarial, a Accelper Consulting aposta no constante desenvolvimento das competências dos seus colaboradores, o que resulta num serviço altamente especializado, capaz de encontrar soluções criativas e adequadas aos desafios atuais. </w:t>
      </w:r>
    </w:p>
    <w:p w14:paraId="20A40CD8" w14:textId="77777777" w:rsidR="009B6E22" w:rsidRPr="00537118" w:rsidRDefault="009B6E22" w:rsidP="009B6E22">
      <w:pPr>
        <w:spacing w:line="360" w:lineRule="auto"/>
        <w:jc w:val="both"/>
        <w:rPr>
          <w:rFonts w:ascii="Garamond" w:hAnsi="Garamond"/>
          <w:sz w:val="24"/>
          <w:szCs w:val="24"/>
        </w:rPr>
      </w:pPr>
      <w:r w:rsidRPr="00537118">
        <w:rPr>
          <w:rFonts w:ascii="Garamond" w:hAnsi="Garamond"/>
          <w:sz w:val="24"/>
          <w:szCs w:val="24"/>
        </w:rPr>
        <w:t xml:space="preserve">Entre os diversos serviços prestados, no domínio da otimização de processos empresariais e da inovação, conta-se a consultoria com recurso a ferramentas e metodologias especializadas, tais como: Six Sigma, Business Process Management, Kaizen, análise de dados e estatísticas, DMAIC, além de muito outro </w:t>
      </w:r>
      <w:r w:rsidRPr="00537118">
        <w:rPr>
          <w:rFonts w:ascii="Garamond" w:hAnsi="Garamond"/>
          <w:i/>
          <w:sz w:val="24"/>
          <w:szCs w:val="24"/>
        </w:rPr>
        <w:t>software</w:t>
      </w:r>
      <w:r w:rsidRPr="00537118">
        <w:rPr>
          <w:rFonts w:ascii="Garamond" w:hAnsi="Garamond"/>
          <w:sz w:val="24"/>
          <w:szCs w:val="24"/>
        </w:rPr>
        <w:t xml:space="preserve"> de gestão de processos e de simuladores que acompanham o desempenho em tempo real.</w:t>
      </w:r>
    </w:p>
    <w:p w14:paraId="508D8878" w14:textId="64A1C3FE" w:rsidR="009B6E22" w:rsidRPr="00537118" w:rsidRDefault="009B6E22" w:rsidP="009B6E22">
      <w:pPr>
        <w:spacing w:line="360" w:lineRule="auto"/>
        <w:jc w:val="both"/>
        <w:rPr>
          <w:rFonts w:ascii="Garamond" w:hAnsi="Garamond"/>
          <w:sz w:val="24"/>
          <w:szCs w:val="24"/>
        </w:rPr>
      </w:pPr>
      <w:r w:rsidRPr="00537118">
        <w:rPr>
          <w:rFonts w:ascii="Garamond" w:hAnsi="Garamond"/>
          <w:sz w:val="24"/>
          <w:szCs w:val="24"/>
        </w:rPr>
        <w:t xml:space="preserve">Além do já referido, a empresa coordena e organiza a preparação, submissão, correção e acompanhamento de candidaturas a diversos fundos públicos (nomeadamente, o FEDER) e de sistemas de incentivos como o Sistema de Incentivos à Competitividade Empresarial (SICE) (por exemplo, nas vertentes de inovação produtiva e de empreendedorismo qualificado e criativo). Um serviço particularmente importante é o de prestação de apoio à qualificação e internacionalização de PMEs, com recurso a subsídios como o SI Qualificação Individuais e Conjuntos. Desta maneira, a Accelper Consulting procura aplicar uma consultoria de melhoria do alinhamento dos objetivos da empresa com os apoios e subsídios existentes, assim como de coordenação das atividades a realizar pela empresa (de forma a beneficiar dos mesmos). </w:t>
      </w:r>
    </w:p>
    <w:p w14:paraId="60B940CE" w14:textId="77777777" w:rsidR="009B6E22" w:rsidRPr="00537118" w:rsidRDefault="009B6E22" w:rsidP="009B6E22">
      <w:pPr>
        <w:spacing w:line="360" w:lineRule="auto"/>
        <w:jc w:val="both"/>
        <w:rPr>
          <w:rFonts w:ascii="Garamond" w:hAnsi="Garamond"/>
          <w:sz w:val="24"/>
          <w:szCs w:val="24"/>
        </w:rPr>
      </w:pPr>
      <w:r w:rsidRPr="00537118">
        <w:rPr>
          <w:rFonts w:ascii="Garamond" w:hAnsi="Garamond"/>
          <w:sz w:val="24"/>
          <w:szCs w:val="24"/>
        </w:rPr>
        <w:lastRenderedPageBreak/>
        <w:t xml:space="preserve">Acresce que a empresa também domina e desenvolve soluções no domínio da Sustentabilidade e Economia circular, cada vez mais importante para ir ao encontro dos projetos associados à descarbonização e eletrificação. Assim, projetos de Transição Energética e Digital são comuns, no quadro da consultora portuguesa. </w:t>
      </w:r>
    </w:p>
    <w:p w14:paraId="3DF7F72D" w14:textId="77777777" w:rsidR="009B6E22" w:rsidRPr="00537118" w:rsidRDefault="009B6E22" w:rsidP="009B6E22">
      <w:pPr>
        <w:spacing w:line="360" w:lineRule="auto"/>
        <w:jc w:val="both"/>
        <w:rPr>
          <w:rFonts w:ascii="Garamond" w:hAnsi="Garamond"/>
          <w:sz w:val="24"/>
          <w:szCs w:val="24"/>
        </w:rPr>
      </w:pPr>
      <w:r w:rsidRPr="00537118">
        <w:rPr>
          <w:rFonts w:ascii="Garamond" w:hAnsi="Garamond"/>
          <w:sz w:val="24"/>
          <w:szCs w:val="24"/>
        </w:rPr>
        <w:t xml:space="preserve">De facto, a Accelper conta com um amplo leque de projetos aprovados, demonstrando consistência e seriedade ao longo dos anos. Alguns dos projetos recentes em destaque referem-se à indústria metalomecânica, à criação de uma unidade produtiva na indústria transformadora e à indústria extrativa. Para além destes, a Accelper realizou vários projetos no âmbito da internacionalização (nomeadamente, nos setores industrial, tecnológico e hoteleiro). </w:t>
      </w:r>
    </w:p>
    <w:p w14:paraId="6CD2591B" w14:textId="77777777" w:rsidR="009B6E22" w:rsidRPr="00537118" w:rsidRDefault="009B6E22" w:rsidP="009B6E22">
      <w:pPr>
        <w:spacing w:line="360" w:lineRule="auto"/>
        <w:jc w:val="both"/>
        <w:rPr>
          <w:rFonts w:ascii="Garamond" w:hAnsi="Garamond"/>
          <w:sz w:val="24"/>
          <w:szCs w:val="24"/>
        </w:rPr>
      </w:pPr>
      <w:r w:rsidRPr="00537118">
        <w:rPr>
          <w:rFonts w:ascii="Garamond" w:hAnsi="Garamond"/>
          <w:sz w:val="24"/>
          <w:szCs w:val="24"/>
        </w:rPr>
        <w:t xml:space="preserve">Na verdade, o cuidado posto no serviço personalizado, a atenção aos pormenores e a qualidade dos projetos desenvolvidos resultam na confiança depositada pela vasta gama de clientes satisfeitos (desde empresas de pequena dimensão até empresas de renome, sendo exemplos a Lipor, a Crowne Plaza, a Mecaltex, a Energest ou a Lompostran). </w:t>
      </w:r>
    </w:p>
    <w:p w14:paraId="5CB13FE4" w14:textId="77777777" w:rsidR="009B6E22" w:rsidRPr="00537118" w:rsidRDefault="009B6E22" w:rsidP="009B6E22">
      <w:pPr>
        <w:spacing w:line="360" w:lineRule="auto"/>
        <w:jc w:val="both"/>
        <w:rPr>
          <w:rFonts w:ascii="Garamond" w:hAnsi="Garamond"/>
          <w:sz w:val="24"/>
          <w:szCs w:val="24"/>
        </w:rPr>
      </w:pPr>
      <w:r w:rsidRPr="00537118">
        <w:rPr>
          <w:rFonts w:ascii="Garamond" w:hAnsi="Garamond"/>
          <w:sz w:val="24"/>
          <w:szCs w:val="24"/>
        </w:rPr>
        <w:t xml:space="preserve">A título ilustrativo, tal como referido previamente, a empresa desenvolve múltiplos estudos no contexto dos mais variados setores (extrativo, industrial, tecnológico e energético). Na prática, alguns são planos estratégicos de </w:t>
      </w:r>
      <w:r w:rsidRPr="00537118">
        <w:rPr>
          <w:rFonts w:ascii="Garamond" w:hAnsi="Garamond"/>
          <w:i/>
          <w:sz w:val="24"/>
          <w:szCs w:val="24"/>
        </w:rPr>
        <w:t>marketing</w:t>
      </w:r>
      <w:r w:rsidRPr="00537118">
        <w:rPr>
          <w:rFonts w:ascii="Garamond" w:hAnsi="Garamond"/>
          <w:sz w:val="24"/>
          <w:szCs w:val="24"/>
        </w:rPr>
        <w:t>, estudos de mercado, de viabilidade económica, de gestão, de reestruturação, de análise e planeamento financeiro, entre muitos outros.</w:t>
      </w:r>
    </w:p>
    <w:p w14:paraId="16ECFB00" w14:textId="77777777" w:rsidR="009B6E22" w:rsidRPr="00537118" w:rsidRDefault="009B6E22" w:rsidP="009B6E22">
      <w:pPr>
        <w:spacing w:line="360" w:lineRule="auto"/>
        <w:jc w:val="both"/>
        <w:rPr>
          <w:rFonts w:ascii="Garamond" w:hAnsi="Garamond"/>
          <w:sz w:val="24"/>
          <w:szCs w:val="24"/>
        </w:rPr>
      </w:pPr>
      <w:r w:rsidRPr="00537118">
        <w:rPr>
          <w:rFonts w:ascii="Garamond" w:hAnsi="Garamond"/>
          <w:sz w:val="24"/>
          <w:szCs w:val="24"/>
        </w:rPr>
        <w:t xml:space="preserve">A equipa nuclear da Accelper Consulting Iberia é composta por sete elementos-chave, que constituem o grupo de consultores especializados responsáveis pela abordagem aos múltiplos desafios dos clientes. </w:t>
      </w:r>
    </w:p>
    <w:p w14:paraId="1C65FB6E" w14:textId="77777777" w:rsidR="009B6E22" w:rsidRPr="00537118" w:rsidRDefault="009B6E22" w:rsidP="004B5EF6">
      <w:pPr>
        <w:suppressAutoHyphens/>
        <w:spacing w:line="360" w:lineRule="auto"/>
        <w:jc w:val="both"/>
        <w:rPr>
          <w:rFonts w:ascii="Garamond" w:eastAsia="Aptos" w:hAnsi="Garamond" w:cs="Arial"/>
          <w:sz w:val="24"/>
          <w:szCs w:val="24"/>
        </w:rPr>
      </w:pPr>
      <w:r w:rsidRPr="00537118">
        <w:rPr>
          <w:rFonts w:ascii="Garamond" w:eastAsia="Aptos" w:hAnsi="Garamond" w:cs="Arial"/>
          <w:sz w:val="24"/>
          <w:szCs w:val="24"/>
        </w:rPr>
        <w:t>Assim, estes profissionais possuem competências e aptidões aplicáveis em variadíssimos setores e atividades (Energia, Sustentabilidade, Indústria 4.0, Gestão e administração de empresas, Inovação, entre outras). A abordagem de cada desafio assenta nas particularidades de cada caso e num acompanhamento contínuo das diferentes etapas dos serviços prestados.</w:t>
      </w:r>
    </w:p>
    <w:p w14:paraId="5C8AF5BE" w14:textId="23850C72" w:rsidR="009B6E22" w:rsidRPr="00537118" w:rsidRDefault="00462F87" w:rsidP="004B5EF6">
      <w:pPr>
        <w:pStyle w:val="Heading2"/>
        <w:spacing w:line="360" w:lineRule="auto"/>
        <w:rPr>
          <w:rFonts w:eastAsia="Aptos"/>
          <w:szCs w:val="28"/>
        </w:rPr>
      </w:pPr>
      <w:bookmarkStart w:id="3" w:name="_Toc202571342"/>
      <w:r w:rsidRPr="00537118">
        <w:rPr>
          <w:rFonts w:eastAsia="Aptos"/>
          <w:szCs w:val="28"/>
        </w:rPr>
        <w:t>2</w:t>
      </w:r>
      <w:r w:rsidR="009B6E22" w:rsidRPr="00537118">
        <w:rPr>
          <w:rFonts w:eastAsia="Aptos"/>
          <w:szCs w:val="28"/>
        </w:rPr>
        <w:t>.2</w:t>
      </w:r>
      <w:r w:rsidR="00103601" w:rsidRPr="00537118">
        <w:rPr>
          <w:rFonts w:eastAsia="Aptos"/>
          <w:szCs w:val="28"/>
        </w:rPr>
        <w:t>.</w:t>
      </w:r>
      <w:r w:rsidR="009B6E22" w:rsidRPr="00537118">
        <w:rPr>
          <w:rFonts w:eastAsia="Aptos"/>
          <w:szCs w:val="28"/>
        </w:rPr>
        <w:t xml:space="preserve"> Descrição das atividades desenvolvidas</w:t>
      </w:r>
      <w:bookmarkEnd w:id="3"/>
    </w:p>
    <w:p w14:paraId="5A02567C" w14:textId="77777777" w:rsidR="009B6E22" w:rsidRPr="00537118" w:rsidRDefault="009B6E22" w:rsidP="004B5EF6">
      <w:pPr>
        <w:suppressAutoHyphens/>
        <w:spacing w:line="360" w:lineRule="auto"/>
        <w:jc w:val="both"/>
        <w:rPr>
          <w:rFonts w:ascii="Garamond" w:eastAsia="Aptos" w:hAnsi="Garamond" w:cs="Arial"/>
          <w:sz w:val="24"/>
          <w:szCs w:val="24"/>
        </w:rPr>
      </w:pPr>
      <w:r w:rsidRPr="00537118">
        <w:rPr>
          <w:rFonts w:ascii="Garamond" w:eastAsia="Aptos" w:hAnsi="Garamond" w:cs="Arial"/>
          <w:sz w:val="24"/>
          <w:szCs w:val="24"/>
        </w:rPr>
        <w:t xml:space="preserve">O estágio curricular insere-se na atividade principal da empresa (a análise de projetos de investimento), incidindo, neste caso, sobretudo na internacionalização. </w:t>
      </w:r>
    </w:p>
    <w:p w14:paraId="26BCB26F" w14:textId="3AD4F69E" w:rsidR="009B6E22" w:rsidRPr="00537118" w:rsidRDefault="009B6E22" w:rsidP="009B6E22">
      <w:pPr>
        <w:suppressAutoHyphens/>
        <w:spacing w:line="360" w:lineRule="auto"/>
        <w:jc w:val="both"/>
        <w:rPr>
          <w:rFonts w:ascii="Garamond" w:eastAsia="Aptos" w:hAnsi="Garamond" w:cs="Arial"/>
          <w:sz w:val="24"/>
          <w:szCs w:val="24"/>
        </w:rPr>
      </w:pPr>
      <w:r w:rsidRPr="00537118">
        <w:rPr>
          <w:rFonts w:ascii="Garamond" w:eastAsia="Aptos" w:hAnsi="Garamond" w:cs="Arial"/>
          <w:sz w:val="24"/>
          <w:szCs w:val="24"/>
        </w:rPr>
        <w:lastRenderedPageBreak/>
        <w:t xml:space="preserve">No decorrer do estágio, pude desempenhar um papel ativo nas tarefas associadas aos projetos de investimento, sendo que acompanhei inicialmente o processo de submissão de candidaturas a diversos sistemas de incentivos (como o SI inovação). Nesta primeira fase de adaptação, que decorreu entre o mês de outubro e o início de novembro de 2024, tive ainda a oportunidade de fazer uma aprendizagem e de contribuir para a realização de relatórios do tipo </w:t>
      </w:r>
      <w:r w:rsidRPr="00537118">
        <w:rPr>
          <w:rFonts w:ascii="Garamond" w:eastAsia="Aptos" w:hAnsi="Garamond" w:cs="Arial"/>
          <w:i/>
          <w:iCs/>
          <w:sz w:val="24"/>
          <w:szCs w:val="24"/>
        </w:rPr>
        <w:t xml:space="preserve">Environmental, Social and Governance </w:t>
      </w:r>
      <w:r w:rsidRPr="00537118">
        <w:rPr>
          <w:rFonts w:ascii="Garamond" w:eastAsia="Aptos" w:hAnsi="Garamond" w:cs="Arial"/>
          <w:sz w:val="24"/>
          <w:szCs w:val="24"/>
        </w:rPr>
        <w:t xml:space="preserve">(ESG), com o intuito de entender de que maneira eles podem, ou não, condicionar a capacidade de internacionalização da empresa, num futuro próximo. O crescente impacto ambiental e social das empresas no mercado onde estão (ou podem vir a estar) inseridas representa uma preocupação cada vez mais séria, aos olhos dos </w:t>
      </w:r>
      <w:r w:rsidRPr="00537118">
        <w:rPr>
          <w:rFonts w:ascii="Garamond" w:eastAsia="Aptos" w:hAnsi="Garamond" w:cs="Arial"/>
          <w:i/>
          <w:iCs/>
          <w:sz w:val="24"/>
          <w:szCs w:val="24"/>
        </w:rPr>
        <w:t>stakeholders</w:t>
      </w:r>
      <w:r w:rsidRPr="00537118">
        <w:rPr>
          <w:rFonts w:ascii="Garamond" w:eastAsia="Aptos" w:hAnsi="Garamond" w:cs="Arial"/>
          <w:sz w:val="24"/>
          <w:szCs w:val="24"/>
        </w:rPr>
        <w:t>, pelo que é fundamental a prática da publicação e cumprimento de normas e práticas que contribuam positivamente para o meio envolvente da empresa. A título de exemplo, estes relatórios ESG – nomeadamente, aqueles que preveem o princípio de “não prejudicar significativamente”,</w:t>
      </w:r>
      <w:r w:rsidRPr="00537118">
        <w:rPr>
          <w:rFonts w:ascii="Garamond" w:eastAsia="Aptos" w:hAnsi="Garamond" w:cs="Arial"/>
          <w:b/>
          <w:bCs/>
          <w:sz w:val="24"/>
          <w:szCs w:val="24"/>
        </w:rPr>
        <w:t xml:space="preserve"> </w:t>
      </w:r>
      <w:r w:rsidRPr="00537118">
        <w:rPr>
          <w:rFonts w:ascii="Garamond" w:eastAsia="Aptos" w:hAnsi="Garamond" w:cs="Arial"/>
          <w:sz w:val="24"/>
          <w:szCs w:val="24"/>
        </w:rPr>
        <w:t xml:space="preserve">mais conhecido como </w:t>
      </w:r>
      <w:r w:rsidRPr="00537118">
        <w:rPr>
          <w:rFonts w:ascii="Garamond" w:eastAsia="Aptos" w:hAnsi="Garamond" w:cs="Arial"/>
          <w:i/>
          <w:iCs/>
          <w:sz w:val="24"/>
          <w:szCs w:val="24"/>
        </w:rPr>
        <w:t>Do No Significant Harm</w:t>
      </w:r>
      <w:r w:rsidRPr="00537118">
        <w:rPr>
          <w:rFonts w:ascii="Garamond" w:eastAsia="Aptos" w:hAnsi="Garamond" w:cs="Arial"/>
          <w:sz w:val="24"/>
          <w:szCs w:val="24"/>
        </w:rPr>
        <w:t xml:space="preserve"> (DNSH) - permitem analisar/apurar de que forma a atividade da empresa afeta o meio ambiente (sendo apresentados de forma estandardizada e estando disponíveis para consulta dos interessados). Neste sentido, certos mercados - especialmente os que revelam maior preocupação com estes aspetos - apresentam consumidores com hábitos sustentáveis, comunidades que valorizam a verificação destas práticas positivas de economia circular,</w:t>
      </w:r>
      <w:r w:rsidR="000717CA" w:rsidRPr="00537118">
        <w:rPr>
          <w:rFonts w:ascii="Garamond" w:eastAsia="Aptos" w:hAnsi="Garamond" w:cs="Arial"/>
          <w:sz w:val="24"/>
          <w:szCs w:val="24"/>
        </w:rPr>
        <w:t xml:space="preserve"> </w:t>
      </w:r>
      <w:r w:rsidRPr="00537118">
        <w:rPr>
          <w:rFonts w:ascii="Garamond" w:eastAsia="Aptos" w:hAnsi="Garamond" w:cs="Arial"/>
          <w:sz w:val="24"/>
          <w:szCs w:val="24"/>
        </w:rPr>
        <w:t xml:space="preserve">projetos não contaminantes e atividades responsáveis para com o ambiente. Assim, mesmo as empresas que não </w:t>
      </w:r>
      <w:r w:rsidR="00D67866" w:rsidRPr="00537118">
        <w:rPr>
          <w:rFonts w:ascii="Garamond" w:eastAsia="Aptos" w:hAnsi="Garamond" w:cs="Arial"/>
          <w:sz w:val="24"/>
          <w:szCs w:val="24"/>
        </w:rPr>
        <w:t>se</w:t>
      </w:r>
      <w:r w:rsidRPr="00537118">
        <w:rPr>
          <w:rFonts w:ascii="Garamond" w:eastAsia="Aptos" w:hAnsi="Garamond" w:cs="Arial"/>
          <w:sz w:val="24"/>
          <w:szCs w:val="24"/>
        </w:rPr>
        <w:t xml:space="preserve"> mostrem genuinamente preocupadas com o impacto que podem produzir, passam a ter de assegurar o cumprimento destes comportamentos “verdes”. Atualmente, verifica-se a possibilidade de obtenção de certos fundos associados a atividades alinhadas com a sustentabilidade; contudo, prevê-se que os próprios consumidores venham a descartar as empresas que não contribuam positivamente para a sustentabilidade, representado, assim, uma barreira aos mercados internacionais.  </w:t>
      </w:r>
    </w:p>
    <w:p w14:paraId="30160891" w14:textId="44384453" w:rsidR="009B6E22" w:rsidRPr="00537118" w:rsidRDefault="009B6E22" w:rsidP="009B6E22">
      <w:pPr>
        <w:suppressAutoHyphens/>
        <w:spacing w:line="360" w:lineRule="auto"/>
        <w:jc w:val="both"/>
        <w:rPr>
          <w:rFonts w:ascii="Garamond" w:hAnsi="Garamond"/>
          <w:sz w:val="24"/>
          <w:szCs w:val="24"/>
        </w:rPr>
      </w:pPr>
      <w:r w:rsidRPr="00537118">
        <w:rPr>
          <w:rFonts w:ascii="Garamond" w:hAnsi="Garamond"/>
          <w:sz w:val="24"/>
          <w:szCs w:val="24"/>
        </w:rPr>
        <w:t>Tendo concluído esta fase adaptativa, acompanhei (e contribu</w:t>
      </w:r>
      <w:r w:rsidR="000717CA" w:rsidRPr="00537118">
        <w:rPr>
          <w:rFonts w:ascii="Garamond" w:hAnsi="Garamond"/>
          <w:sz w:val="24"/>
          <w:szCs w:val="24"/>
        </w:rPr>
        <w:t>í</w:t>
      </w:r>
      <w:r w:rsidRPr="00537118">
        <w:rPr>
          <w:rFonts w:ascii="Garamond" w:hAnsi="Garamond"/>
          <w:sz w:val="24"/>
          <w:szCs w:val="24"/>
        </w:rPr>
        <w:t xml:space="preserve"> para) a preparação e realização de candidaturas associadas aos projetos de investimento de empresas do setor extrativo. Esta etapa, decorrida entre novembro de 2024 e o fim do estágio, consistiu em reuniões com os clientes, de forma a entender as suas expectativas e objetivos, para assim poder definir o rumo dos investimentos e determinar os sistemas de incentivos mais adequados. Assim, procedeu-se ao levantamento e organização dos mapas pertinentes (mapas de colaboradores, mapas </w:t>
      </w:r>
      <w:r w:rsidRPr="00537118">
        <w:rPr>
          <w:rFonts w:ascii="Garamond" w:hAnsi="Garamond"/>
          <w:sz w:val="24"/>
          <w:szCs w:val="24"/>
        </w:rPr>
        <w:lastRenderedPageBreak/>
        <w:t xml:space="preserve">financeiros e as respetivas simulações para os diferentes cenários), tendo em consideração os dados obtidos com recurso ao </w:t>
      </w:r>
      <w:r w:rsidRPr="00537118">
        <w:rPr>
          <w:rFonts w:ascii="Garamond" w:hAnsi="Garamond"/>
          <w:i/>
          <w:sz w:val="24"/>
          <w:szCs w:val="24"/>
        </w:rPr>
        <w:t>software</w:t>
      </w:r>
      <w:r w:rsidRPr="00537118">
        <w:rPr>
          <w:rFonts w:ascii="Garamond" w:hAnsi="Garamond"/>
          <w:sz w:val="24"/>
          <w:szCs w:val="24"/>
        </w:rPr>
        <w:t xml:space="preserve"> e metodologia adequados até à data do ano posterior à finalização do projeto. Uma vez concluído este processo, foi elaborada uma apresentação específica para o cliente e um vídeo promocional para a respetiva submissão e publicação. Este procedimento foi realizado para vários clientes, tendo eu tido o privilégio de participar na etapa de conclusão de alguns projetos pré-existentes e também em todas as etapas de outros. </w:t>
      </w:r>
    </w:p>
    <w:p w14:paraId="58537E03" w14:textId="4A610BE0" w:rsidR="009B6E22" w:rsidRPr="00537118" w:rsidRDefault="009B6E22" w:rsidP="009B6E22">
      <w:pPr>
        <w:suppressAutoHyphens/>
        <w:spacing w:line="360" w:lineRule="auto"/>
        <w:jc w:val="both"/>
        <w:rPr>
          <w:rFonts w:ascii="Garamond" w:hAnsi="Garamond"/>
          <w:sz w:val="24"/>
          <w:szCs w:val="24"/>
        </w:rPr>
      </w:pPr>
      <w:r w:rsidRPr="00537118">
        <w:rPr>
          <w:rFonts w:ascii="Garamond" w:hAnsi="Garamond"/>
          <w:sz w:val="24"/>
          <w:szCs w:val="24"/>
        </w:rPr>
        <w:t>Contudo, apesar das diversas atividades e desafios aos quais fui alocado, a tarefa basilar que me foi confiada consistiu no desenvolvimento do processo de internacionalização de uma empresa portuguesa do setor das baterias (mais especificamente, da produção de sistemas de armazenamento de energia). Neste sentido, o meu objetivo traduziu-se em preparar uma proposta independente e em concordância com as características próprias da empresa, a qual ainda não iniciara a comercialização dos seus produtos junto do público. Essa proposta contemplava as diversas possibilidades de entrada em mercados internacionais</w:t>
      </w:r>
      <w:r w:rsidR="007B466A" w:rsidRPr="00537118">
        <w:rPr>
          <w:rFonts w:ascii="Garamond" w:hAnsi="Garamond"/>
          <w:sz w:val="24"/>
          <w:szCs w:val="24"/>
        </w:rPr>
        <w:t>, tendo como principal foco a seleção dos países para os quais a empresa poderia expandir a sua atividade</w:t>
      </w:r>
      <w:r w:rsidRPr="00537118">
        <w:rPr>
          <w:rFonts w:ascii="Garamond" w:hAnsi="Garamond"/>
          <w:sz w:val="24"/>
          <w:szCs w:val="24"/>
        </w:rPr>
        <w:t>. O desenvolvimento desta atividade teve início durante o mês de novembro de 2024 e foi finalizada em sintonia com a conclusão do estágio curricular: fevereiro de 2025.</w:t>
      </w:r>
    </w:p>
    <w:p w14:paraId="29C2DFE6" w14:textId="77777777" w:rsidR="00605527" w:rsidRPr="00537118" w:rsidRDefault="00605527" w:rsidP="00605527">
      <w:pPr>
        <w:suppressAutoHyphens/>
        <w:spacing w:line="360" w:lineRule="auto"/>
        <w:jc w:val="both"/>
        <w:rPr>
          <w:rFonts w:ascii="Garamond" w:hAnsi="Garamond"/>
          <w:sz w:val="24"/>
          <w:szCs w:val="24"/>
        </w:rPr>
      </w:pPr>
      <w:r w:rsidRPr="00537118">
        <w:rPr>
          <w:rFonts w:ascii="Garamond" w:hAnsi="Garamond"/>
          <w:sz w:val="24"/>
          <w:szCs w:val="24"/>
        </w:rPr>
        <w:t xml:space="preserve">Relativamente à empresa de baterias, a que, por motivos de confidencialidade, se atribui o nome “BateriasX”, já era cliente da Accelper à data de início do estágio, uma vez que recorreu aos seus serviços no âmbito de submissão de uma candidatura aos sistemas de incentivo à inovação. Assim, a obtenção de informação sobre essa empresa revelou-se direta, ainda que limitada por falta de atividade. </w:t>
      </w:r>
    </w:p>
    <w:p w14:paraId="34143A52" w14:textId="77777777" w:rsidR="00605527" w:rsidRPr="00537118" w:rsidRDefault="00605527" w:rsidP="00605527">
      <w:pPr>
        <w:suppressAutoHyphens/>
        <w:spacing w:line="360" w:lineRule="auto"/>
        <w:jc w:val="both"/>
        <w:rPr>
          <w:rFonts w:ascii="Garamond" w:hAnsi="Garamond"/>
          <w:sz w:val="24"/>
          <w:szCs w:val="24"/>
        </w:rPr>
      </w:pPr>
      <w:r w:rsidRPr="00537118">
        <w:rPr>
          <w:rFonts w:ascii="Garamond" w:hAnsi="Garamond"/>
          <w:sz w:val="24"/>
          <w:szCs w:val="24"/>
        </w:rPr>
        <w:t xml:space="preserve">Dito isto, numa fase primordial, comecei por fazer a estimativa e identificação das características e necessidades da empresa, tendo concluído a importância de apresentar, pelo menos, 2 possíveis mercados a considerar a curto prazo. </w:t>
      </w:r>
    </w:p>
    <w:p w14:paraId="070E255F" w14:textId="77777777" w:rsidR="00605527" w:rsidRPr="00537118" w:rsidRDefault="00605527" w:rsidP="00605527">
      <w:pPr>
        <w:suppressAutoHyphens/>
        <w:spacing w:line="360" w:lineRule="auto"/>
        <w:jc w:val="both"/>
        <w:rPr>
          <w:rFonts w:ascii="Garamond" w:hAnsi="Garamond"/>
          <w:sz w:val="24"/>
          <w:szCs w:val="24"/>
        </w:rPr>
      </w:pPr>
      <w:r w:rsidRPr="00537118">
        <w:rPr>
          <w:rFonts w:ascii="Garamond" w:hAnsi="Garamond"/>
          <w:sz w:val="24"/>
          <w:szCs w:val="24"/>
        </w:rPr>
        <w:t xml:space="preserve">De facto, o perfil da BateriasX corresponde ao de uma PME com interesse em ponderar os passos necessários para se internacionalizar, pouco depois de começar a sua atividade no mercado nacional. Tal como fora mencionado, a empresa dedica-se à produção e comercialização de sistemas de armazenamento de energia, com foco na energia fotovoltaica. Produz dois tipos de sistemas: os de menor dimensão (para finalidades domésticas) e os de </w:t>
      </w:r>
      <w:r w:rsidRPr="00537118">
        <w:rPr>
          <w:rFonts w:ascii="Garamond" w:hAnsi="Garamond"/>
          <w:sz w:val="24"/>
          <w:szCs w:val="24"/>
        </w:rPr>
        <w:lastRenderedPageBreak/>
        <w:t xml:space="preserve">grande escala (com intuito de suprir necessidades comerciais ou até industriais). As grandes vantagens e particularidades do produto são a simplicidade de instalação, a capacidade de </w:t>
      </w:r>
      <w:r w:rsidRPr="00537118">
        <w:rPr>
          <w:rFonts w:ascii="Garamond" w:hAnsi="Garamond"/>
          <w:i/>
          <w:iCs/>
          <w:sz w:val="24"/>
          <w:szCs w:val="24"/>
        </w:rPr>
        <w:t xml:space="preserve">plug-and-play </w:t>
      </w:r>
      <w:r w:rsidRPr="00537118">
        <w:rPr>
          <w:rFonts w:ascii="Garamond" w:hAnsi="Garamond"/>
          <w:sz w:val="24"/>
          <w:szCs w:val="24"/>
        </w:rPr>
        <w:t xml:space="preserve">e o </w:t>
      </w:r>
      <w:r w:rsidRPr="00537118">
        <w:rPr>
          <w:rFonts w:ascii="Garamond" w:hAnsi="Garamond"/>
          <w:i/>
          <w:sz w:val="24"/>
          <w:szCs w:val="24"/>
        </w:rPr>
        <w:t>software</w:t>
      </w:r>
      <w:r w:rsidRPr="00537118">
        <w:rPr>
          <w:rFonts w:ascii="Garamond" w:hAnsi="Garamond"/>
          <w:sz w:val="24"/>
          <w:szCs w:val="24"/>
        </w:rPr>
        <w:t xml:space="preserve"> inteligente adaptativo</w:t>
      </w:r>
      <w:r w:rsidRPr="00537118">
        <w:rPr>
          <w:rFonts w:ascii="Garamond" w:hAnsi="Garamond"/>
          <w:i/>
          <w:iCs/>
          <w:sz w:val="24"/>
          <w:szCs w:val="24"/>
        </w:rPr>
        <w:t>.</w:t>
      </w:r>
      <w:r w:rsidRPr="00537118">
        <w:rPr>
          <w:rFonts w:ascii="Garamond" w:hAnsi="Garamond"/>
          <w:sz w:val="24"/>
          <w:szCs w:val="24"/>
        </w:rPr>
        <w:t xml:space="preserve"> Tanto um sistema como o outro permitem manter a estabilidade e suprir falhas energéticas, através do armazenamento e distribuição inteligente de energia proveniente de painéis fotovoltaicos, que posteriormente passa a integrar a rede elétrica doméstica ou industrial. Estes sistemas são acumuláveis, permitindo aumentar a capacidade energética armazenada, consoante a necessidade do utilizador. </w:t>
      </w:r>
    </w:p>
    <w:p w14:paraId="44BC6F39" w14:textId="77777777" w:rsidR="00605527" w:rsidRPr="00537118" w:rsidRDefault="00605527" w:rsidP="00605527">
      <w:pPr>
        <w:suppressAutoHyphens/>
        <w:spacing w:line="360" w:lineRule="auto"/>
        <w:jc w:val="both"/>
        <w:rPr>
          <w:rFonts w:ascii="Garamond" w:hAnsi="Garamond"/>
          <w:sz w:val="24"/>
          <w:szCs w:val="24"/>
        </w:rPr>
      </w:pPr>
      <w:r w:rsidRPr="00537118">
        <w:rPr>
          <w:rFonts w:ascii="Garamond" w:hAnsi="Garamond"/>
          <w:sz w:val="24"/>
          <w:szCs w:val="24"/>
        </w:rPr>
        <w:t xml:space="preserve">A empresa apresenta uma dimensão reduzida (especialmente, em comparação com as maiores produtoras a nível global). Além disso, a reduzida capacidade financeira da empresa e a inexistente reputação no mercado, resultante da ausência de atividade, representam algumas das condicionantes de peso identificadas.  </w:t>
      </w:r>
    </w:p>
    <w:p w14:paraId="0C03C303" w14:textId="77777777" w:rsidR="00605527" w:rsidRPr="00537118" w:rsidRDefault="00605527" w:rsidP="00605527">
      <w:pPr>
        <w:suppressAutoHyphens/>
        <w:spacing w:line="360" w:lineRule="auto"/>
        <w:jc w:val="both"/>
        <w:rPr>
          <w:rFonts w:ascii="Garamond" w:hAnsi="Garamond"/>
          <w:sz w:val="24"/>
          <w:szCs w:val="24"/>
        </w:rPr>
      </w:pPr>
      <w:r w:rsidRPr="00537118">
        <w:rPr>
          <w:rFonts w:ascii="Garamond" w:hAnsi="Garamond"/>
          <w:sz w:val="24"/>
          <w:szCs w:val="24"/>
        </w:rPr>
        <w:t>Após o levantamento das características da empresa, o passo seguinte consistiu em averiguar a existência de possíveis empresas portuguesas, com características semelhantes à BateriasX e com presença internacional, de forma a estudar e analisar o percurso destas. No entanto, não foi possível identificar qualquer informação relevante.</w:t>
      </w:r>
    </w:p>
    <w:p w14:paraId="704BDF4F" w14:textId="4376E713" w:rsidR="00605527" w:rsidRPr="00537118" w:rsidRDefault="00605527" w:rsidP="00605527">
      <w:pPr>
        <w:suppressAutoHyphens/>
        <w:spacing w:line="360" w:lineRule="auto"/>
        <w:jc w:val="both"/>
        <w:rPr>
          <w:rFonts w:ascii="Garamond" w:hAnsi="Garamond"/>
          <w:sz w:val="24"/>
          <w:szCs w:val="24"/>
        </w:rPr>
      </w:pPr>
      <w:r w:rsidRPr="00537118">
        <w:rPr>
          <w:rFonts w:ascii="Garamond" w:hAnsi="Garamond"/>
          <w:sz w:val="24"/>
          <w:szCs w:val="24"/>
        </w:rPr>
        <w:t>No seguimento do processo, a etapa mais complexa e demorada consistiu na definição de indicadores para selecionar os mercados mais apropriados, assim como na ordem de utilização e no peso relativo de cada um deles. Isto resultou da necessidade de analisar/escolher os ditos indicadores a partir das características da empresa e de considerar a importância dos mesmos face à atividade comercial, sem negligenciar o possível desenvolvimento do setor num horizonte temporal relevante</w:t>
      </w:r>
      <w:r w:rsidR="004A51E3" w:rsidRPr="00537118">
        <w:rPr>
          <w:rFonts w:ascii="Garamond" w:hAnsi="Garamond"/>
          <w:sz w:val="24"/>
          <w:szCs w:val="24"/>
        </w:rPr>
        <w:t>.</w:t>
      </w:r>
    </w:p>
    <w:p w14:paraId="1616230B" w14:textId="7B0D18BC" w:rsidR="009B6E22" w:rsidRPr="00537118" w:rsidRDefault="009B6E22" w:rsidP="009B6E22">
      <w:pPr>
        <w:suppressAutoHyphens/>
        <w:spacing w:line="360" w:lineRule="auto"/>
        <w:jc w:val="both"/>
        <w:rPr>
          <w:rFonts w:ascii="Garamond" w:hAnsi="Garamond"/>
          <w:sz w:val="24"/>
          <w:szCs w:val="24"/>
        </w:rPr>
      </w:pPr>
      <w:r w:rsidRPr="00537118">
        <w:rPr>
          <w:rFonts w:ascii="Garamond" w:hAnsi="Garamond"/>
          <w:sz w:val="24"/>
          <w:szCs w:val="24"/>
        </w:rPr>
        <w:t xml:space="preserve">De referir que obtive alguma liberdade de escolha do método que considerasse adequado à execução de dita tarefa, tendo optado por uma espécie de </w:t>
      </w:r>
      <w:r w:rsidRPr="00483A58">
        <w:rPr>
          <w:rFonts w:ascii="Garamond" w:hAnsi="Garamond"/>
          <w:i/>
          <w:iCs/>
          <w:sz w:val="24"/>
          <w:szCs w:val="24"/>
        </w:rPr>
        <w:t>Market-attractiveness framework</w:t>
      </w:r>
      <w:r w:rsidRPr="00537118">
        <w:rPr>
          <w:rFonts w:ascii="Garamond" w:hAnsi="Garamond"/>
          <w:sz w:val="24"/>
          <w:szCs w:val="24"/>
        </w:rPr>
        <w:t xml:space="preserve"> adaptado às necessidades da empresa e ao setor de baterias. A escolha desta metodologia resulta de já saber da sua utilidade, já que fora implementada num trabalho prático da unidade curricular “Mercados para a Internacionalização”. Esta metodologia permite atribuir graus de importância a determinados indicadores (ou rácios), de forma a selecionar os mercados (países) cujos valores mais se adaptem à análise empreendida - isto é, maiores ou menores. Após a primeira triagem, restringi</w:t>
      </w:r>
      <w:r w:rsidR="00223646" w:rsidRPr="00537118">
        <w:rPr>
          <w:rFonts w:ascii="Garamond" w:hAnsi="Garamond"/>
          <w:sz w:val="24"/>
          <w:szCs w:val="24"/>
        </w:rPr>
        <w:t>u-se</w:t>
      </w:r>
      <w:r w:rsidRPr="00537118">
        <w:rPr>
          <w:rFonts w:ascii="Garamond" w:hAnsi="Garamond"/>
          <w:sz w:val="24"/>
          <w:szCs w:val="24"/>
        </w:rPr>
        <w:t xml:space="preserve"> a quantidade de mercados disponíveis para a escolha feita. Posteriormente, </w:t>
      </w:r>
      <w:r w:rsidR="00223646" w:rsidRPr="00537118">
        <w:rPr>
          <w:rFonts w:ascii="Garamond" w:hAnsi="Garamond"/>
          <w:sz w:val="24"/>
          <w:szCs w:val="24"/>
        </w:rPr>
        <w:t>foi</w:t>
      </w:r>
      <w:r w:rsidRPr="00537118">
        <w:rPr>
          <w:rFonts w:ascii="Garamond" w:hAnsi="Garamond"/>
          <w:sz w:val="24"/>
          <w:szCs w:val="24"/>
        </w:rPr>
        <w:t xml:space="preserve"> </w:t>
      </w:r>
      <w:r w:rsidRPr="00537118">
        <w:rPr>
          <w:rFonts w:ascii="Garamond" w:hAnsi="Garamond"/>
          <w:sz w:val="24"/>
          <w:szCs w:val="24"/>
        </w:rPr>
        <w:lastRenderedPageBreak/>
        <w:t xml:space="preserve">possível reutilizar e/ou agregar mais indicadores e afunilar ainda mais a lista de mercados até sobrarem apenas aqueles considerados mais atraentes. </w:t>
      </w:r>
    </w:p>
    <w:p w14:paraId="18C16766" w14:textId="4A2CCD4E" w:rsidR="009B6E22" w:rsidRPr="00537118" w:rsidRDefault="009B6E22" w:rsidP="009B6E22">
      <w:pPr>
        <w:suppressAutoHyphens/>
        <w:spacing w:line="360" w:lineRule="auto"/>
        <w:jc w:val="both"/>
        <w:rPr>
          <w:rFonts w:ascii="Garamond" w:hAnsi="Garamond"/>
          <w:sz w:val="24"/>
          <w:szCs w:val="24"/>
        </w:rPr>
      </w:pPr>
      <w:r w:rsidRPr="00537118">
        <w:rPr>
          <w:rFonts w:ascii="Garamond" w:hAnsi="Garamond"/>
          <w:sz w:val="24"/>
          <w:szCs w:val="24"/>
        </w:rPr>
        <w:t xml:space="preserve">Além de me possibilitar a implementação dos conhecimentos obtidos no mestrado de economia e gestão internacional (MEGI), esta metodologia destaca-se por permitir escolher indicadores macro e microeconómicos, tendo em atenção a especificidade daquilo que a empresa poderá considerar, de facto, atraente. Na prática, é um método que permite obter resultados (mercados) a partir de dados reais, sem esquecer o conhecimento e interesse de quem realiza a análise, isto porque a seleção dos indicadores utilizados é obra da pessoa responsável pelo processo de internacionalização. Por último, uma outra vantagem assinalável é a de ser possível empreender uma análise com resultados úteis e sem grandes custos associados, ao contrário de outras alternativas mais demoradas e que carecem de valor. </w:t>
      </w:r>
    </w:p>
    <w:p w14:paraId="4EA87AA3" w14:textId="77777777" w:rsidR="009B6E22" w:rsidRPr="00537118" w:rsidRDefault="009B6E22" w:rsidP="009B6E22">
      <w:pPr>
        <w:suppressAutoHyphens/>
        <w:spacing w:line="360" w:lineRule="auto"/>
        <w:jc w:val="both"/>
        <w:rPr>
          <w:rFonts w:ascii="Garamond" w:hAnsi="Garamond"/>
          <w:sz w:val="24"/>
          <w:szCs w:val="24"/>
        </w:rPr>
      </w:pPr>
      <w:r w:rsidRPr="00537118">
        <w:rPr>
          <w:rFonts w:ascii="Garamond" w:hAnsi="Garamond"/>
          <w:sz w:val="24"/>
          <w:szCs w:val="24"/>
        </w:rPr>
        <w:t xml:space="preserve">Assim sendo, os indicadores surgiram de uma exaustiva investigação que visou adaptá-los às características do setor das baterias, sem esquecer a ligação direta com as tecnologias produtoras de energia renovável e as suas condicionantes. Paralelamente, cada etapa de triagem dos mercados foi alvo de inúmeras simulações e debates, de forma a garantir resultados que transmitissem possibilidades reais e não meramente teóricas, não aplicáveis à empresa. </w:t>
      </w:r>
    </w:p>
    <w:p w14:paraId="30759D1A" w14:textId="51E83887" w:rsidR="009B6E22" w:rsidRPr="00537118" w:rsidRDefault="009B6E22" w:rsidP="009B6E22">
      <w:pPr>
        <w:suppressAutoHyphens/>
        <w:spacing w:line="360" w:lineRule="auto"/>
        <w:jc w:val="both"/>
        <w:rPr>
          <w:rFonts w:ascii="Garamond" w:hAnsi="Garamond"/>
          <w:sz w:val="24"/>
          <w:szCs w:val="24"/>
        </w:rPr>
      </w:pPr>
      <w:r w:rsidRPr="00537118">
        <w:rPr>
          <w:rFonts w:ascii="Garamond" w:hAnsi="Garamond"/>
          <w:sz w:val="24"/>
          <w:szCs w:val="24"/>
        </w:rPr>
        <w:t xml:space="preserve">As simulações realizadas variavam quanto ao peso dos indicadores utilizados e quanto aos países inicialmente incluídos na listagem-base resultante da aplicação dos indicadores. Isto permitiu analisar diferentes cenários coincidentes com o objetivo de obter mercados viáveis para a empresa. Os detalhes sobre o método utilizado, serão apresentados na secção </w:t>
      </w:r>
      <w:r w:rsidR="00DA3970" w:rsidRPr="00537118">
        <w:rPr>
          <w:rFonts w:ascii="Garamond" w:hAnsi="Garamond"/>
          <w:sz w:val="24"/>
          <w:szCs w:val="24"/>
        </w:rPr>
        <w:t>5</w:t>
      </w:r>
      <w:r w:rsidRPr="00537118">
        <w:rPr>
          <w:rFonts w:ascii="Garamond" w:hAnsi="Garamond"/>
          <w:sz w:val="24"/>
          <w:szCs w:val="24"/>
        </w:rPr>
        <w:t xml:space="preserve"> deste relatório, juntamente com os resultados obtidos. </w:t>
      </w:r>
    </w:p>
    <w:p w14:paraId="2B18B8C7" w14:textId="77777777" w:rsidR="009B6E22" w:rsidRPr="00537118" w:rsidRDefault="009B6E22" w:rsidP="009B6E22">
      <w:pPr>
        <w:suppressAutoHyphens/>
        <w:spacing w:line="360" w:lineRule="auto"/>
        <w:jc w:val="both"/>
        <w:rPr>
          <w:rFonts w:ascii="Garamond" w:hAnsi="Garamond"/>
          <w:sz w:val="24"/>
          <w:szCs w:val="24"/>
        </w:rPr>
      </w:pPr>
      <w:r w:rsidRPr="00537118">
        <w:rPr>
          <w:rFonts w:ascii="Garamond" w:hAnsi="Garamond"/>
          <w:sz w:val="24"/>
          <w:szCs w:val="24"/>
        </w:rPr>
        <w:t xml:space="preserve">Por fim, no culminar do estágio curricular, uma tarefa foi realizada simultaneamente com esta: a tentativa de identificar ferramentas de inteligência artificial (IA) aplicáveis à análise e desagregação de informação extraída de documentos publicados referentes a avisos de Sistemas de Incentivos. Assim, dediquei-me ao desenvolvimento de um portal associado à </w:t>
      </w:r>
      <w:r w:rsidRPr="00537118">
        <w:rPr>
          <w:rFonts w:ascii="Garamond" w:hAnsi="Garamond"/>
          <w:i/>
          <w:sz w:val="24"/>
          <w:szCs w:val="24"/>
        </w:rPr>
        <w:t>newsletter</w:t>
      </w:r>
      <w:r w:rsidRPr="00537118">
        <w:rPr>
          <w:rFonts w:ascii="Garamond" w:hAnsi="Garamond"/>
          <w:sz w:val="24"/>
          <w:szCs w:val="24"/>
        </w:rPr>
        <w:t xml:space="preserve"> da empresa, que permitisse ao subscritor da mesma endereçar ao departamento jurídico questões relativas ao impacto legal e ético de algum conteúdo apresentado nessa edição, podendo esta plataforma assumir a tipologia de fórum digital para outros utilizadores.</w:t>
      </w:r>
    </w:p>
    <w:p w14:paraId="6E7564F6" w14:textId="77777777" w:rsidR="009B6E22" w:rsidRPr="00537118" w:rsidRDefault="009B6E22" w:rsidP="009B6E22">
      <w:pPr>
        <w:suppressAutoHyphens/>
        <w:spacing w:line="360" w:lineRule="auto"/>
        <w:jc w:val="both"/>
        <w:rPr>
          <w:rFonts w:ascii="Garamond" w:hAnsi="Garamond"/>
          <w:sz w:val="24"/>
          <w:szCs w:val="24"/>
        </w:rPr>
      </w:pPr>
      <w:r w:rsidRPr="00537118">
        <w:rPr>
          <w:rFonts w:ascii="Garamond" w:hAnsi="Garamond"/>
          <w:sz w:val="24"/>
          <w:szCs w:val="24"/>
        </w:rPr>
        <w:lastRenderedPageBreak/>
        <w:t xml:space="preserve">De facto, o recurso à inteligência artificial e a algumas das aplicações provenientes desta tecnologia influenciou a realização de certas tarefas, visto que a tendência de uso da IA surgiu durante o período do meu estágio curricular, tendo eu sido incentivado pelos meus colaboradores e superiores para testar as ferramentas da IA para facilitar processos usuais e repetitivos. A título de exemplo, aprouve-me recorrer a essas ferramentas ao criar </w:t>
      </w:r>
      <w:r w:rsidRPr="00537118">
        <w:rPr>
          <w:rFonts w:ascii="Garamond" w:hAnsi="Garamond"/>
          <w:i/>
          <w:iCs/>
          <w:sz w:val="24"/>
          <w:szCs w:val="24"/>
        </w:rPr>
        <w:t>templates</w:t>
      </w:r>
      <w:r w:rsidRPr="00537118">
        <w:rPr>
          <w:rFonts w:ascii="Garamond" w:hAnsi="Garamond"/>
          <w:sz w:val="24"/>
          <w:szCs w:val="24"/>
        </w:rPr>
        <w:t xml:space="preserve"> com os logótipos e marca de água dos clientes (para uso nas apresentações). Refira-se ainda o recurso a ferramentas para detetar alterações em avisos dos concursos públicos do Sistema de Incentivos.</w:t>
      </w:r>
    </w:p>
    <w:p w14:paraId="28AF13D3" w14:textId="77777777" w:rsidR="009B6E22" w:rsidRPr="00537118" w:rsidRDefault="009B6E22" w:rsidP="009B6E22">
      <w:pPr>
        <w:suppressAutoHyphens/>
        <w:spacing w:line="360" w:lineRule="auto"/>
        <w:jc w:val="both"/>
        <w:rPr>
          <w:rFonts w:ascii="Garamond" w:hAnsi="Garamond"/>
          <w:sz w:val="24"/>
          <w:szCs w:val="24"/>
        </w:rPr>
      </w:pPr>
      <w:r w:rsidRPr="00537118">
        <w:rPr>
          <w:rFonts w:ascii="Garamond" w:hAnsi="Garamond"/>
          <w:sz w:val="24"/>
          <w:szCs w:val="24"/>
        </w:rPr>
        <w:t>Este espírito inovador e ambicioso da Accelper Consulting Iberia - juntamente com o encorajamento do meu supervisor de estágio no sentido de adotar tecnologias de IA - permitiu-me alargar conhecimentos na área e cultivar um olhar mais arrojado relativamente aos novos horizontes tecnológicos, tendo impactado positivamente no meu desenvolvimento pessoal e na procura de informação relacionada com o tema de internacionalização de empresas (i.e. na recolha de noticias sobre as tendências internacionais e geopolíticas).</w:t>
      </w:r>
    </w:p>
    <w:p w14:paraId="3E65A580" w14:textId="77777777" w:rsidR="009B6E22" w:rsidRPr="00537118" w:rsidRDefault="009B6E22" w:rsidP="009B6E22">
      <w:pPr>
        <w:suppressAutoHyphens/>
        <w:spacing w:line="360" w:lineRule="auto"/>
        <w:jc w:val="both"/>
        <w:rPr>
          <w:rFonts w:ascii="Garamond" w:eastAsia="Aptos" w:hAnsi="Garamond" w:cs="Arial"/>
          <w:sz w:val="24"/>
          <w:szCs w:val="24"/>
        </w:rPr>
      </w:pPr>
    </w:p>
    <w:p w14:paraId="254ACF5F" w14:textId="77777777" w:rsidR="009B6E22" w:rsidRPr="00537118" w:rsidRDefault="009B6E22" w:rsidP="009B6E22">
      <w:pPr>
        <w:spacing w:line="360" w:lineRule="auto"/>
        <w:jc w:val="both"/>
        <w:rPr>
          <w:rFonts w:ascii="Garamond" w:hAnsi="Garamond"/>
        </w:rPr>
      </w:pPr>
    </w:p>
    <w:p w14:paraId="2B116F0C" w14:textId="77777777" w:rsidR="00E7551C" w:rsidRPr="00537118" w:rsidRDefault="00E7551C" w:rsidP="009B6E22">
      <w:pPr>
        <w:spacing w:line="360" w:lineRule="auto"/>
        <w:jc w:val="both"/>
        <w:rPr>
          <w:rFonts w:ascii="Garamond" w:hAnsi="Garamond"/>
        </w:rPr>
      </w:pPr>
    </w:p>
    <w:p w14:paraId="185E1CDD" w14:textId="77777777" w:rsidR="00E7551C" w:rsidRPr="00537118" w:rsidRDefault="00E7551C" w:rsidP="009B6E22">
      <w:pPr>
        <w:spacing w:line="360" w:lineRule="auto"/>
        <w:jc w:val="both"/>
        <w:rPr>
          <w:rFonts w:ascii="Garamond" w:hAnsi="Garamond"/>
        </w:rPr>
      </w:pPr>
    </w:p>
    <w:p w14:paraId="49C3A3BC" w14:textId="77777777" w:rsidR="00E7551C" w:rsidRPr="00537118" w:rsidRDefault="00E7551C" w:rsidP="009B6E22">
      <w:pPr>
        <w:spacing w:line="360" w:lineRule="auto"/>
        <w:jc w:val="both"/>
        <w:rPr>
          <w:rFonts w:ascii="Garamond" w:hAnsi="Garamond"/>
        </w:rPr>
      </w:pPr>
    </w:p>
    <w:p w14:paraId="0622C126" w14:textId="77777777" w:rsidR="00E7551C" w:rsidRPr="00537118" w:rsidRDefault="00E7551C" w:rsidP="009B6E22">
      <w:pPr>
        <w:spacing w:line="360" w:lineRule="auto"/>
        <w:jc w:val="both"/>
        <w:rPr>
          <w:rFonts w:ascii="Garamond" w:hAnsi="Garamond"/>
        </w:rPr>
      </w:pPr>
    </w:p>
    <w:p w14:paraId="270EB8DC" w14:textId="77777777" w:rsidR="00E7551C" w:rsidRPr="00537118" w:rsidRDefault="00E7551C" w:rsidP="009B6E22">
      <w:pPr>
        <w:spacing w:line="360" w:lineRule="auto"/>
        <w:jc w:val="both"/>
        <w:rPr>
          <w:rFonts w:ascii="Garamond" w:hAnsi="Garamond"/>
        </w:rPr>
      </w:pPr>
    </w:p>
    <w:p w14:paraId="17D3F42C" w14:textId="77777777" w:rsidR="00E7551C" w:rsidRPr="00537118" w:rsidRDefault="00E7551C" w:rsidP="009B6E22">
      <w:pPr>
        <w:spacing w:line="360" w:lineRule="auto"/>
        <w:jc w:val="both"/>
        <w:rPr>
          <w:rFonts w:ascii="Garamond" w:hAnsi="Garamond"/>
        </w:rPr>
      </w:pPr>
    </w:p>
    <w:p w14:paraId="0A025CDB" w14:textId="77777777" w:rsidR="00E7551C" w:rsidRPr="00537118" w:rsidRDefault="00E7551C" w:rsidP="009B6E22">
      <w:pPr>
        <w:spacing w:line="360" w:lineRule="auto"/>
        <w:jc w:val="both"/>
        <w:rPr>
          <w:rFonts w:ascii="Garamond" w:hAnsi="Garamond"/>
        </w:rPr>
      </w:pPr>
    </w:p>
    <w:p w14:paraId="78838A4D" w14:textId="77777777" w:rsidR="00E7551C" w:rsidRPr="00537118" w:rsidRDefault="00E7551C" w:rsidP="009B6E22">
      <w:pPr>
        <w:spacing w:line="360" w:lineRule="auto"/>
        <w:jc w:val="both"/>
        <w:rPr>
          <w:rFonts w:ascii="Garamond" w:hAnsi="Garamond"/>
        </w:rPr>
      </w:pPr>
    </w:p>
    <w:p w14:paraId="4B077C0F" w14:textId="77777777" w:rsidR="00E7551C" w:rsidRPr="00537118" w:rsidRDefault="00E7551C" w:rsidP="009B6E22">
      <w:pPr>
        <w:spacing w:line="360" w:lineRule="auto"/>
        <w:jc w:val="both"/>
        <w:rPr>
          <w:rFonts w:ascii="Garamond" w:hAnsi="Garamond"/>
        </w:rPr>
      </w:pPr>
    </w:p>
    <w:p w14:paraId="1FD90384" w14:textId="77777777" w:rsidR="00E7551C" w:rsidRPr="00537118" w:rsidRDefault="00E7551C" w:rsidP="009B6E22">
      <w:pPr>
        <w:spacing w:line="360" w:lineRule="auto"/>
        <w:jc w:val="both"/>
        <w:rPr>
          <w:rFonts w:ascii="Garamond" w:hAnsi="Garamond"/>
        </w:rPr>
      </w:pPr>
    </w:p>
    <w:p w14:paraId="0C3A02EC" w14:textId="77777777" w:rsidR="00E7551C" w:rsidRPr="00537118" w:rsidRDefault="00E7551C" w:rsidP="009B6E22">
      <w:pPr>
        <w:spacing w:line="360" w:lineRule="auto"/>
        <w:jc w:val="both"/>
        <w:rPr>
          <w:rFonts w:ascii="Garamond" w:hAnsi="Garamond"/>
        </w:rPr>
      </w:pPr>
    </w:p>
    <w:p w14:paraId="000549B0" w14:textId="2F2017DE" w:rsidR="00E7551C" w:rsidRPr="00537118" w:rsidRDefault="00462F87" w:rsidP="004B5EF6">
      <w:pPr>
        <w:pStyle w:val="Heading1"/>
        <w:spacing w:line="360" w:lineRule="auto"/>
        <w:rPr>
          <w:color w:val="auto"/>
          <w:szCs w:val="28"/>
        </w:rPr>
      </w:pPr>
      <w:bookmarkStart w:id="4" w:name="_Toc202571343"/>
      <w:r w:rsidRPr="00537118">
        <w:rPr>
          <w:color w:val="auto"/>
          <w:szCs w:val="28"/>
        </w:rPr>
        <w:lastRenderedPageBreak/>
        <w:t>3</w:t>
      </w:r>
      <w:r w:rsidR="00E7551C" w:rsidRPr="00537118">
        <w:rPr>
          <w:color w:val="auto"/>
          <w:szCs w:val="28"/>
        </w:rPr>
        <w:t>.</w:t>
      </w:r>
      <w:r w:rsidR="004F73A7" w:rsidRPr="00537118">
        <w:rPr>
          <w:color w:val="auto"/>
          <w:szCs w:val="28"/>
        </w:rPr>
        <w:t xml:space="preserve"> </w:t>
      </w:r>
      <w:r w:rsidR="00E7551C" w:rsidRPr="00537118">
        <w:rPr>
          <w:color w:val="auto"/>
          <w:szCs w:val="28"/>
        </w:rPr>
        <w:t>Revisão de literatura</w:t>
      </w:r>
      <w:bookmarkEnd w:id="4"/>
      <w:r w:rsidR="00E7551C" w:rsidRPr="00537118">
        <w:rPr>
          <w:color w:val="auto"/>
          <w:szCs w:val="28"/>
        </w:rPr>
        <w:t xml:space="preserve"> </w:t>
      </w:r>
    </w:p>
    <w:p w14:paraId="65E8A620" w14:textId="27E29DEA" w:rsidR="00E7551C" w:rsidRPr="00537118" w:rsidRDefault="00E7551C" w:rsidP="004B5EF6">
      <w:pPr>
        <w:spacing w:line="360" w:lineRule="auto"/>
        <w:jc w:val="both"/>
        <w:rPr>
          <w:rFonts w:ascii="Garamond" w:hAnsi="Garamond"/>
          <w:sz w:val="24"/>
          <w:szCs w:val="24"/>
        </w:rPr>
      </w:pPr>
      <w:r w:rsidRPr="00537118">
        <w:rPr>
          <w:rFonts w:ascii="Garamond" w:hAnsi="Garamond"/>
          <w:sz w:val="24"/>
          <w:szCs w:val="24"/>
        </w:rPr>
        <w:t xml:space="preserve">Esta secção do relatório visa apresentar o referencial teórico que proporciona uma contextualização clara das diversas etapas necessárias ao processo de internacionalização de uma empresa do setor de baterias. Dito isto, esta secção inclui algumas teorias de internacionalização, as motivações que induzem a empresa a implementar este processo, bem como os modos de entrada, as barreiras enfrentadas durante a internacionalização e o processo de seleção de mercados. Por fim, inclui ainda um esclarecimento acerca dos sistemas de armazenamento de energia, evidenciando a sua relevância em diversos contextos. </w:t>
      </w:r>
    </w:p>
    <w:p w14:paraId="2939F484" w14:textId="53E3B605" w:rsidR="00E7551C" w:rsidRPr="00537118" w:rsidRDefault="00462F87" w:rsidP="004B5EF6">
      <w:pPr>
        <w:pStyle w:val="Heading2"/>
        <w:spacing w:line="360" w:lineRule="auto"/>
        <w:rPr>
          <w:color w:val="auto"/>
          <w:szCs w:val="28"/>
        </w:rPr>
      </w:pPr>
      <w:bookmarkStart w:id="5" w:name="_Toc202571344"/>
      <w:r w:rsidRPr="00537118">
        <w:rPr>
          <w:color w:val="auto"/>
          <w:szCs w:val="28"/>
        </w:rPr>
        <w:t>3</w:t>
      </w:r>
      <w:r w:rsidR="00E7551C" w:rsidRPr="00537118">
        <w:rPr>
          <w:color w:val="auto"/>
          <w:szCs w:val="28"/>
        </w:rPr>
        <w:t>.1</w:t>
      </w:r>
      <w:r w:rsidR="00103601" w:rsidRPr="00537118">
        <w:rPr>
          <w:color w:val="auto"/>
          <w:szCs w:val="28"/>
        </w:rPr>
        <w:t>.</w:t>
      </w:r>
      <w:r w:rsidR="004F73A7" w:rsidRPr="00537118">
        <w:rPr>
          <w:color w:val="auto"/>
          <w:szCs w:val="28"/>
        </w:rPr>
        <w:t xml:space="preserve"> </w:t>
      </w:r>
      <w:r w:rsidR="00E7551C" w:rsidRPr="00537118">
        <w:rPr>
          <w:rStyle w:val="SubtitleChar"/>
          <w:color w:val="auto"/>
        </w:rPr>
        <w:t>Teorias de Internacionalização</w:t>
      </w:r>
      <w:bookmarkEnd w:id="5"/>
    </w:p>
    <w:p w14:paraId="2F6639F4" w14:textId="7FB23253" w:rsidR="00E7551C" w:rsidRPr="00537118" w:rsidRDefault="00E53177" w:rsidP="004B5EF6">
      <w:pPr>
        <w:pStyle w:val="Heading3"/>
        <w:spacing w:line="360" w:lineRule="auto"/>
        <w:rPr>
          <w:color w:val="auto"/>
          <w:sz w:val="26"/>
          <w:szCs w:val="26"/>
        </w:rPr>
      </w:pPr>
      <w:bookmarkStart w:id="6" w:name="_Toc202571345"/>
      <w:r w:rsidRPr="00537118">
        <w:rPr>
          <w:color w:val="auto"/>
          <w:sz w:val="26"/>
          <w:szCs w:val="26"/>
        </w:rPr>
        <w:t>3</w:t>
      </w:r>
      <w:r w:rsidR="00E7551C" w:rsidRPr="00537118">
        <w:rPr>
          <w:color w:val="auto"/>
          <w:sz w:val="26"/>
          <w:szCs w:val="26"/>
        </w:rPr>
        <w:t>.1.1</w:t>
      </w:r>
      <w:r w:rsidR="00103601" w:rsidRPr="00537118">
        <w:rPr>
          <w:color w:val="auto"/>
          <w:sz w:val="26"/>
          <w:szCs w:val="26"/>
        </w:rPr>
        <w:t>.</w:t>
      </w:r>
      <w:r w:rsidR="004F73A7" w:rsidRPr="00537118">
        <w:rPr>
          <w:color w:val="auto"/>
          <w:sz w:val="26"/>
          <w:szCs w:val="26"/>
        </w:rPr>
        <w:t xml:space="preserve"> </w:t>
      </w:r>
      <w:r w:rsidR="00E7551C" w:rsidRPr="00537118">
        <w:rPr>
          <w:rStyle w:val="SubtitleChar"/>
          <w:color w:val="auto"/>
          <w:sz w:val="26"/>
          <w:szCs w:val="26"/>
        </w:rPr>
        <w:t>Teoria de Uppsala</w:t>
      </w:r>
      <w:bookmarkEnd w:id="6"/>
    </w:p>
    <w:p w14:paraId="08A7DD8A" w14:textId="6FF94340" w:rsidR="00E7551C" w:rsidRPr="00537118" w:rsidRDefault="00E7551C" w:rsidP="00E7551C">
      <w:pPr>
        <w:spacing w:line="360" w:lineRule="auto"/>
        <w:jc w:val="both"/>
        <w:rPr>
          <w:rFonts w:ascii="Garamond" w:hAnsi="Garamond"/>
          <w:color w:val="000000"/>
          <w:sz w:val="24"/>
          <w:szCs w:val="24"/>
        </w:rPr>
      </w:pPr>
      <w:r w:rsidRPr="00537118">
        <w:rPr>
          <w:rFonts w:ascii="Garamond" w:hAnsi="Garamond"/>
          <w:sz w:val="24"/>
          <w:szCs w:val="24"/>
        </w:rPr>
        <w:t xml:space="preserve">Esta teoria de internacionalização foi concebida na década de 1970 por Johanson e Vahlne. Originalmente, fundamentava-se nos conceitos teóricos e no trabalho de investigação de Edith Penrose presentes na sua obra </w:t>
      </w:r>
      <w:r w:rsidRPr="00537118">
        <w:rPr>
          <w:rFonts w:ascii="Garamond" w:hAnsi="Garamond"/>
          <w:i/>
          <w:iCs/>
          <w:sz w:val="24"/>
          <w:szCs w:val="24"/>
        </w:rPr>
        <w:t>Growth of the firm</w:t>
      </w:r>
      <w:r w:rsidRPr="00537118">
        <w:rPr>
          <w:rFonts w:ascii="Garamond" w:hAnsi="Garamond"/>
          <w:sz w:val="24"/>
          <w:szCs w:val="24"/>
        </w:rPr>
        <w:t xml:space="preserve"> </w:t>
      </w:r>
      <w:r w:rsidR="001C3B33" w:rsidRPr="00537118">
        <w:rPr>
          <w:rFonts w:ascii="Garamond" w:hAnsi="Garamond"/>
          <w:sz w:val="24"/>
          <w:szCs w:val="24"/>
        </w:rPr>
        <w:t>(</w:t>
      </w:r>
      <w:r w:rsidR="001C3B33" w:rsidRPr="00537118">
        <w:rPr>
          <w:rFonts w:ascii="Garamond" w:hAnsi="Garamond"/>
          <w:color w:val="000000"/>
          <w:sz w:val="24"/>
          <w:szCs w:val="24"/>
        </w:rPr>
        <w:t>Schellenberg et al</w:t>
      </w:r>
      <w:r w:rsidRPr="00537118">
        <w:rPr>
          <w:rFonts w:ascii="Garamond" w:hAnsi="Garamond"/>
          <w:color w:val="000000"/>
          <w:sz w:val="24"/>
          <w:szCs w:val="24"/>
        </w:rPr>
        <w:t>.</w:t>
      </w:r>
      <w:r w:rsidR="001C3B33" w:rsidRPr="00537118">
        <w:rPr>
          <w:rFonts w:ascii="Garamond" w:hAnsi="Garamond"/>
          <w:color w:val="000000"/>
          <w:sz w:val="24"/>
          <w:szCs w:val="24"/>
        </w:rPr>
        <w:t>, 2018).</w:t>
      </w:r>
      <w:r w:rsidRPr="00537118">
        <w:rPr>
          <w:rFonts w:ascii="Garamond" w:hAnsi="Garamond"/>
          <w:color w:val="000000"/>
          <w:sz w:val="24"/>
          <w:szCs w:val="24"/>
        </w:rPr>
        <w:t>De facto, esta teoria foca-se essencialmente num processo de internacionalização gradual, resultante da aprendizagem por parte da empresa, tal como originalmente referido por Johanson e Vahlne (1977).</w:t>
      </w:r>
    </w:p>
    <w:p w14:paraId="2AEAB09B" w14:textId="77777777" w:rsidR="00E7551C" w:rsidRPr="00537118" w:rsidRDefault="00E7551C" w:rsidP="00E7551C">
      <w:pPr>
        <w:spacing w:line="360" w:lineRule="auto"/>
        <w:jc w:val="both"/>
        <w:rPr>
          <w:rFonts w:ascii="Garamond" w:hAnsi="Garamond"/>
          <w:color w:val="000000"/>
          <w:sz w:val="24"/>
          <w:szCs w:val="24"/>
        </w:rPr>
      </w:pPr>
      <w:r w:rsidRPr="00537118">
        <w:rPr>
          <w:rFonts w:ascii="Garamond" w:hAnsi="Garamond"/>
          <w:color w:val="000000"/>
          <w:sz w:val="24"/>
          <w:szCs w:val="24"/>
        </w:rPr>
        <w:t>O modelo propõe que o conhecimento adquirido, a experiência de mercado angariada e os recursos disponibilizados afetam a tomada de decisões por parte da empresa. Andersen (1993) defende que a contínua afetação de recursos e a aprendizagem feita fomentam um ciclo contínuo repetitivo, que introduz as empresas num processo de aprendizagem e de angariação de experiência e as impele a empregarem mais recursos e a terem um maior grau de envolvimento nesse determinado mercado. Este processo vem a refletir-se na tomada de decisão das empresas: na forma como, em mercados mais distantes, elas abordam temas como cultura, educação, língua, entre outros (Ruzzieer et al., 2006).</w:t>
      </w:r>
    </w:p>
    <w:p w14:paraId="0885EA00" w14:textId="635338FD" w:rsidR="00E7551C" w:rsidRPr="00537118" w:rsidRDefault="00E7551C" w:rsidP="00E7551C">
      <w:pPr>
        <w:spacing w:line="360" w:lineRule="auto"/>
        <w:jc w:val="both"/>
        <w:rPr>
          <w:rFonts w:ascii="Garamond" w:hAnsi="Garamond"/>
          <w:color w:val="000000"/>
          <w:sz w:val="24"/>
          <w:szCs w:val="24"/>
        </w:rPr>
      </w:pPr>
      <w:r w:rsidRPr="00537118">
        <w:rPr>
          <w:rFonts w:ascii="Garamond" w:hAnsi="Garamond"/>
          <w:color w:val="000000"/>
          <w:sz w:val="24"/>
          <w:szCs w:val="24"/>
        </w:rPr>
        <w:t xml:space="preserve">Este modelo implica que o processo de internacionalização seja gradual, uma vez que, por falta de informação e conhecimento, acabam por ser </w:t>
      </w:r>
      <w:r w:rsidR="00781662" w:rsidRPr="00537118">
        <w:rPr>
          <w:rFonts w:ascii="Garamond" w:hAnsi="Garamond"/>
          <w:color w:val="000000"/>
          <w:sz w:val="24"/>
          <w:szCs w:val="24"/>
        </w:rPr>
        <w:t>limitados</w:t>
      </w:r>
      <w:r w:rsidRPr="00537118">
        <w:rPr>
          <w:rFonts w:ascii="Garamond" w:hAnsi="Garamond"/>
          <w:color w:val="000000"/>
          <w:sz w:val="24"/>
          <w:szCs w:val="24"/>
        </w:rPr>
        <w:t xml:space="preserve"> os recursos disponibilizados e relativamente fraco o grau de compromisso, o que se verifica em modos de entrada caracterizados por menor risco (Johanson e Wiedersheim-Paul, 1975). Johanson e Vahlne (1977) notaram que a existência de diferentes passos dados pelas empresas cria diferentes patamares, </w:t>
      </w:r>
      <w:r w:rsidRPr="00537118">
        <w:rPr>
          <w:rFonts w:ascii="Garamond" w:hAnsi="Garamond"/>
          <w:color w:val="000000"/>
          <w:sz w:val="24"/>
          <w:szCs w:val="24"/>
        </w:rPr>
        <w:lastRenderedPageBreak/>
        <w:t xml:space="preserve">sendo umas caracterizadas por atitudes associadas a modos e atividades de maior ou menor compromisso do que outras. Trata-se, neste caso, de modos de entrada que variam desde o menor grau de compromisso (exportação) até ao estabelecimento de subsidiárias produtivas e de vendas no exterior, começando as empresas por procurar mercados com base em critérios de cultura, estrutura política e proximidade geográfica. </w:t>
      </w:r>
    </w:p>
    <w:p w14:paraId="146EC49D" w14:textId="77777777" w:rsidR="00E7551C" w:rsidRPr="00537118" w:rsidRDefault="00E7551C" w:rsidP="00E7551C">
      <w:pPr>
        <w:spacing w:line="360" w:lineRule="auto"/>
        <w:jc w:val="both"/>
        <w:rPr>
          <w:rFonts w:ascii="Garamond" w:hAnsi="Garamond"/>
          <w:color w:val="000000"/>
          <w:sz w:val="24"/>
          <w:szCs w:val="24"/>
        </w:rPr>
      </w:pPr>
      <w:r w:rsidRPr="00537118">
        <w:rPr>
          <w:rFonts w:ascii="Garamond" w:hAnsi="Garamond"/>
          <w:color w:val="000000"/>
          <w:sz w:val="24"/>
          <w:szCs w:val="24"/>
        </w:rPr>
        <w:t xml:space="preserve">Refira-se ainda a questão do estado fixo - isto é, aquilo de que a empresa dispõe quando decide internacionalizar-se (por exemplo, os recursos e o conhecimento). Já o estado de mudança vem a ser aquilo que altera o estado fixo. Neste caso, trata-se da experiência adquirida no mercado e da adaptação da ideia de alterar (ou não) o compromisso com esse determinado mercado (Andersen, 1993). Na prática, o grau de envolvimento da empresa com o mercado externo assume vários aspetos. O primeiro deles consiste na exportação inconstante (em função de excessos de </w:t>
      </w:r>
      <w:r w:rsidRPr="00537118">
        <w:rPr>
          <w:rFonts w:ascii="Garamond" w:hAnsi="Garamond"/>
          <w:i/>
          <w:color w:val="000000"/>
          <w:sz w:val="24"/>
          <w:szCs w:val="24"/>
        </w:rPr>
        <w:t>stock</w:t>
      </w:r>
      <w:r w:rsidRPr="00537118">
        <w:rPr>
          <w:rFonts w:ascii="Garamond" w:hAnsi="Garamond"/>
          <w:color w:val="000000"/>
          <w:sz w:val="24"/>
          <w:szCs w:val="24"/>
        </w:rPr>
        <w:t xml:space="preserve">, por exemplo). Após um período de aprendizagem, a empresa irá seguidamente recorrer a um agente ou intermediário (tal como uma </w:t>
      </w:r>
      <w:r w:rsidRPr="00537118">
        <w:rPr>
          <w:rFonts w:ascii="Garamond" w:hAnsi="Garamond"/>
          <w:i/>
          <w:iCs/>
          <w:color w:val="000000"/>
          <w:sz w:val="24"/>
          <w:szCs w:val="24"/>
        </w:rPr>
        <w:t>Trading Company</w:t>
      </w:r>
      <w:r w:rsidRPr="00537118">
        <w:rPr>
          <w:rFonts w:ascii="Garamond" w:hAnsi="Garamond"/>
          <w:color w:val="000000"/>
          <w:sz w:val="24"/>
          <w:szCs w:val="24"/>
        </w:rPr>
        <w:t>) - ou seja, exportar indiretamente. De seguida, o grau de envolvimento e compromisso aumenta, conduzindo a empresa a estabelecer uma subsidiária de vendas no exterior e, por fim, o último patamar é o da consolidação de uma unidade produtiva (ou seja, uma subsidiaria de produção).</w:t>
      </w:r>
    </w:p>
    <w:p w14:paraId="787980DD" w14:textId="77777777" w:rsidR="00E7551C" w:rsidRPr="00537118" w:rsidRDefault="00E7551C" w:rsidP="00E7551C">
      <w:pPr>
        <w:spacing w:line="360" w:lineRule="auto"/>
        <w:jc w:val="both"/>
        <w:rPr>
          <w:rFonts w:ascii="Garamond" w:hAnsi="Garamond"/>
          <w:color w:val="000000"/>
          <w:sz w:val="24"/>
          <w:szCs w:val="24"/>
        </w:rPr>
      </w:pPr>
      <w:r w:rsidRPr="00537118">
        <w:rPr>
          <w:rFonts w:ascii="Garamond" w:hAnsi="Garamond"/>
          <w:color w:val="000000"/>
          <w:sz w:val="24"/>
          <w:szCs w:val="24"/>
        </w:rPr>
        <w:t xml:space="preserve">Contudo, embora se trate de um válido contributo para as teorias de internacionalização, vários autores criticam o mesmo. Alguns destes autores – nomeadamente, Reid (1981) - afirmam que o modelo prevê um processo/incremento demasiado fixo e determinista, circunstância que não se verifica, na prática. Autores como Madsen e Servais (1997) e Oviatt e McDougall (1995, 1994) defendem que, na prática, as empresas não seguem um percurso tão linear. </w:t>
      </w:r>
    </w:p>
    <w:p w14:paraId="6851A993" w14:textId="38D60F0E" w:rsidR="00E7551C" w:rsidRPr="00537118" w:rsidRDefault="00E7551C" w:rsidP="00E7551C">
      <w:pPr>
        <w:spacing w:line="360" w:lineRule="auto"/>
        <w:jc w:val="both"/>
        <w:rPr>
          <w:rFonts w:ascii="Garamond" w:hAnsi="Garamond"/>
          <w:color w:val="000000"/>
          <w:sz w:val="24"/>
          <w:szCs w:val="24"/>
        </w:rPr>
      </w:pPr>
      <w:r w:rsidRPr="00537118">
        <w:rPr>
          <w:rFonts w:ascii="Garamond" w:hAnsi="Garamond"/>
          <w:color w:val="000000"/>
          <w:sz w:val="24"/>
          <w:szCs w:val="24"/>
        </w:rPr>
        <w:t xml:space="preserve">De facto, inúmeros autores questionaram a aplicabilidade e relevância desta teoria, especialmente no que toca ao argumento da distância psíquica, já que os mercados tendem a assumir um </w:t>
      </w:r>
      <w:r w:rsidR="00483A58" w:rsidRPr="00537118">
        <w:rPr>
          <w:rFonts w:ascii="Garamond" w:hAnsi="Garamond"/>
          <w:color w:val="000000"/>
          <w:sz w:val="24"/>
          <w:szCs w:val="24"/>
        </w:rPr>
        <w:t>carácter</w:t>
      </w:r>
      <w:r w:rsidRPr="00537118">
        <w:rPr>
          <w:rFonts w:ascii="Garamond" w:hAnsi="Garamond"/>
          <w:color w:val="000000"/>
          <w:sz w:val="24"/>
          <w:szCs w:val="24"/>
        </w:rPr>
        <w:t xml:space="preserve"> homogéneo face aos avanços na comunicação e na infraestrutura de transporte, como referem Nordstrom, Czinkota e Ursic (1991; 1987, citados por Schellenberg et al, 2018). </w:t>
      </w:r>
    </w:p>
    <w:p w14:paraId="5948B32C" w14:textId="77777777" w:rsidR="007B22A4" w:rsidRPr="00537118" w:rsidRDefault="00E7551C" w:rsidP="00E7551C">
      <w:pPr>
        <w:spacing w:line="360" w:lineRule="auto"/>
        <w:jc w:val="both"/>
        <w:rPr>
          <w:rFonts w:ascii="Garamond" w:hAnsi="Garamond"/>
          <w:color w:val="000000"/>
          <w:sz w:val="24"/>
          <w:szCs w:val="24"/>
        </w:rPr>
      </w:pPr>
      <w:r w:rsidRPr="00537118">
        <w:rPr>
          <w:rFonts w:ascii="Garamond" w:hAnsi="Garamond"/>
          <w:color w:val="000000"/>
          <w:sz w:val="24"/>
          <w:szCs w:val="24"/>
        </w:rPr>
        <w:t xml:space="preserve">Uma das evidências empíricas decisivas no sentido de as empresas não seguirem todas elas o processo incremental defendido pelo modelo é a existência de empresas denominadas Born Globals ou International New Ventures. </w:t>
      </w:r>
    </w:p>
    <w:p w14:paraId="70E75DB4" w14:textId="158CE563" w:rsidR="00E7551C" w:rsidRPr="00537118" w:rsidRDefault="009C1D31" w:rsidP="00E7551C">
      <w:pPr>
        <w:spacing w:line="360" w:lineRule="auto"/>
        <w:jc w:val="both"/>
        <w:rPr>
          <w:rFonts w:ascii="Garamond" w:hAnsi="Garamond"/>
          <w:color w:val="000000"/>
          <w:sz w:val="24"/>
          <w:szCs w:val="24"/>
        </w:rPr>
      </w:pPr>
      <w:r w:rsidRPr="00537118">
        <w:rPr>
          <w:rFonts w:ascii="Garamond" w:hAnsi="Garamond"/>
          <w:color w:val="000000"/>
          <w:sz w:val="24"/>
          <w:szCs w:val="24"/>
        </w:rPr>
        <w:lastRenderedPageBreak/>
        <w:t xml:space="preserve">Minbaeva et al. (2003) </w:t>
      </w:r>
      <w:r w:rsidR="00E7551C" w:rsidRPr="00537118">
        <w:rPr>
          <w:rFonts w:ascii="Garamond" w:hAnsi="Garamond"/>
          <w:color w:val="000000"/>
          <w:sz w:val="24"/>
          <w:szCs w:val="24"/>
        </w:rPr>
        <w:t xml:space="preserve">refere que “The incremental internationalization view, admittedly proposed in a different era, could not fully explain the rise of born global ﬁrms” (p. 5), o que deixa um vácuo na utilização desta teoria gradual no contexto deste tipo de empresas. </w:t>
      </w:r>
    </w:p>
    <w:p w14:paraId="7702C3F0" w14:textId="38B2E580" w:rsidR="00E7551C" w:rsidRPr="00537118" w:rsidRDefault="00E7551C" w:rsidP="00E7551C">
      <w:pPr>
        <w:spacing w:line="360" w:lineRule="auto"/>
        <w:jc w:val="both"/>
        <w:rPr>
          <w:rFonts w:ascii="Garamond" w:hAnsi="Garamond"/>
          <w:color w:val="000000"/>
          <w:sz w:val="24"/>
          <w:szCs w:val="24"/>
        </w:rPr>
      </w:pPr>
      <w:r w:rsidRPr="00537118">
        <w:rPr>
          <w:rFonts w:ascii="Garamond" w:hAnsi="Garamond"/>
          <w:color w:val="000000"/>
          <w:sz w:val="24"/>
          <w:szCs w:val="24"/>
        </w:rPr>
        <w:t>De acordo com os dados compilados por Schellenberg et al. (2018), autores como Hedlund e Kverneland (1985) e Young (1987) relacionaram a omissão de alguns passos das empresas nesta cadeia gradual de internacionalização de determinados setores com algum tipo de pressão exercida (nomeadamente, no mercado de alta tecnologia e ambiente, em que se regista evolução acelerada). Paralelamente, McDougall et al</w:t>
      </w:r>
      <w:r w:rsidR="007162FF" w:rsidRPr="00537118">
        <w:rPr>
          <w:rFonts w:ascii="Garamond" w:hAnsi="Garamond"/>
          <w:color w:val="000000"/>
          <w:sz w:val="24"/>
          <w:szCs w:val="24"/>
        </w:rPr>
        <w:t xml:space="preserve">. </w:t>
      </w:r>
      <w:r w:rsidRPr="00537118">
        <w:rPr>
          <w:rFonts w:ascii="Garamond" w:hAnsi="Garamond"/>
          <w:color w:val="000000"/>
          <w:sz w:val="24"/>
          <w:szCs w:val="24"/>
        </w:rPr>
        <w:t xml:space="preserve">(1994) e Autio et al. (2000) complementam a afirmação anterior com o facto de que, para as empresas a atuar em mercados com ambientes voláteis e com alto grau de concorrência, a aquisição de informação (defendida pelo modelo de Uppsala) acaba por ser menos importante, face à capacidade de adaptação e pragmatismo demonstrada pelas empresas. </w:t>
      </w:r>
    </w:p>
    <w:p w14:paraId="17FEC437" w14:textId="21B80F8F" w:rsidR="005E408D" w:rsidRPr="00537118" w:rsidRDefault="00E53177" w:rsidP="004B5EF6">
      <w:pPr>
        <w:pStyle w:val="Heading3"/>
        <w:spacing w:line="360" w:lineRule="auto"/>
        <w:rPr>
          <w:rStyle w:val="Heading3Char"/>
          <w:b/>
          <w:bCs/>
          <w:sz w:val="26"/>
          <w:szCs w:val="26"/>
        </w:rPr>
      </w:pPr>
      <w:bookmarkStart w:id="7" w:name="_Toc202571346"/>
      <w:r w:rsidRPr="00537118">
        <w:rPr>
          <w:bCs/>
          <w:color w:val="000000"/>
          <w:sz w:val="26"/>
          <w:szCs w:val="26"/>
        </w:rPr>
        <w:t>3</w:t>
      </w:r>
      <w:r w:rsidR="005E408D" w:rsidRPr="00537118">
        <w:rPr>
          <w:bCs/>
          <w:color w:val="000000"/>
          <w:sz w:val="26"/>
          <w:szCs w:val="26"/>
        </w:rPr>
        <w:t>.1.2</w:t>
      </w:r>
      <w:r w:rsidR="00103601" w:rsidRPr="00537118">
        <w:rPr>
          <w:bCs/>
          <w:color w:val="000000"/>
          <w:sz w:val="26"/>
          <w:szCs w:val="26"/>
        </w:rPr>
        <w:t>.</w:t>
      </w:r>
      <w:r w:rsidR="00A73DC5" w:rsidRPr="00537118">
        <w:rPr>
          <w:bCs/>
          <w:color w:val="000000"/>
          <w:sz w:val="26"/>
          <w:szCs w:val="26"/>
        </w:rPr>
        <w:t xml:space="preserve"> </w:t>
      </w:r>
      <w:r w:rsidR="005E408D" w:rsidRPr="00537118">
        <w:rPr>
          <w:rStyle w:val="Heading3Char"/>
          <w:b/>
          <w:bCs/>
          <w:sz w:val="26"/>
          <w:szCs w:val="26"/>
        </w:rPr>
        <w:t>Teoria das Born Globals</w:t>
      </w:r>
      <w:bookmarkEnd w:id="7"/>
    </w:p>
    <w:p w14:paraId="23BA2097" w14:textId="437C699D" w:rsidR="005E408D" w:rsidRPr="00537118" w:rsidRDefault="005E408D" w:rsidP="004B5EF6">
      <w:pPr>
        <w:spacing w:line="360" w:lineRule="auto"/>
        <w:jc w:val="both"/>
        <w:rPr>
          <w:rFonts w:ascii="Garamond" w:hAnsi="Garamond"/>
          <w:color w:val="000000"/>
          <w:sz w:val="24"/>
          <w:szCs w:val="24"/>
        </w:rPr>
      </w:pPr>
      <w:r w:rsidRPr="00537118">
        <w:rPr>
          <w:rFonts w:ascii="Garamond" w:hAnsi="Garamond"/>
          <w:color w:val="000000"/>
          <w:sz w:val="24"/>
          <w:szCs w:val="24"/>
        </w:rPr>
        <w:t xml:space="preserve">Atendendo ao facto de existir a possibilidade de a empresa em questão (BateriasX) poder vir a ser considerada uma Born global, é relevante abordar o teor desta teoria de internacionalização. De acordo com os critérios de vários autores - nomeadamente, o foco nos mercados internacionais, desde a sua constituição, e a presença de características que incitem à procura de oportunidades globais (por exemplo, a reduzida dimensão do mercado doméstico e o facto de </w:t>
      </w:r>
      <w:r w:rsidR="002F200E" w:rsidRPr="00537118">
        <w:rPr>
          <w:rFonts w:ascii="Garamond" w:hAnsi="Garamond"/>
          <w:color w:val="000000"/>
          <w:sz w:val="24"/>
          <w:szCs w:val="24"/>
        </w:rPr>
        <w:t xml:space="preserve">haver </w:t>
      </w:r>
      <w:r w:rsidR="006742CD" w:rsidRPr="00537118">
        <w:rPr>
          <w:rFonts w:ascii="Garamond" w:hAnsi="Garamond"/>
          <w:color w:val="000000"/>
          <w:sz w:val="24"/>
          <w:szCs w:val="24"/>
        </w:rPr>
        <w:t xml:space="preserve">uma forte procura </w:t>
      </w:r>
      <w:r w:rsidRPr="00537118">
        <w:rPr>
          <w:rFonts w:ascii="Garamond" w:hAnsi="Garamond"/>
          <w:color w:val="000000"/>
          <w:sz w:val="24"/>
          <w:szCs w:val="24"/>
        </w:rPr>
        <w:t>pela tecnologia de baterias</w:t>
      </w:r>
      <w:r w:rsidR="006742CD" w:rsidRPr="00537118">
        <w:rPr>
          <w:rFonts w:ascii="Garamond" w:hAnsi="Garamond"/>
          <w:color w:val="000000"/>
          <w:sz w:val="24"/>
          <w:szCs w:val="24"/>
        </w:rPr>
        <w:t xml:space="preserve"> nos mercados internacionais</w:t>
      </w:r>
      <w:r w:rsidRPr="00537118">
        <w:rPr>
          <w:rFonts w:ascii="Garamond" w:hAnsi="Garamond"/>
          <w:color w:val="000000"/>
          <w:sz w:val="24"/>
          <w:szCs w:val="24"/>
        </w:rPr>
        <w:t xml:space="preserve">) - o evento que determinará se a BateriasX é (ou não) considerada uma Born global é a possibilidade de a mesma decidir, de facto, abordar o mercado global, preenchendo, na prática, os requisitos supracitados.  </w:t>
      </w:r>
    </w:p>
    <w:p w14:paraId="3680F395" w14:textId="77777777" w:rsidR="005E408D" w:rsidRPr="00537118" w:rsidRDefault="005E408D" w:rsidP="005E408D">
      <w:pPr>
        <w:spacing w:line="360" w:lineRule="auto"/>
        <w:jc w:val="both"/>
        <w:rPr>
          <w:rFonts w:ascii="Garamond" w:hAnsi="Garamond"/>
          <w:color w:val="000000"/>
          <w:sz w:val="24"/>
          <w:szCs w:val="24"/>
        </w:rPr>
      </w:pPr>
      <w:r w:rsidRPr="00537118">
        <w:rPr>
          <w:rFonts w:ascii="Garamond" w:hAnsi="Garamond"/>
          <w:color w:val="000000"/>
          <w:sz w:val="24"/>
          <w:szCs w:val="24"/>
        </w:rPr>
        <w:t xml:space="preserve">As Born globals, também referidas como International New Ventures, são fruto de uma época de globalização e dos avanços tecnológicos e industriais </w:t>
      </w:r>
      <w:r w:rsidRPr="00537118">
        <w:rPr>
          <w:rFonts w:ascii="Garamond" w:eastAsia="Times New Roman" w:hAnsi="Garamond"/>
          <w:color w:val="000000"/>
          <w:sz w:val="24"/>
          <w:szCs w:val="24"/>
        </w:rPr>
        <w:t>(Knight e Cavusgil, 2004)</w:t>
      </w:r>
      <w:r w:rsidRPr="00537118">
        <w:rPr>
          <w:rFonts w:ascii="Garamond" w:hAnsi="Garamond"/>
          <w:color w:val="000000"/>
          <w:sz w:val="24"/>
          <w:szCs w:val="24"/>
        </w:rPr>
        <w:t>. Segundo diversos autores, elas podem ser caracterizadas como empresas ou organizações que escolhem desde o seu início (ou fundação) expandir o seu horizonte económico para o exterior, visando alcançar melhor desempenho mediante a sua atividade económica (Autio et al., 2000; Knight e Cavusgil, 1996; Rennie, 1993)</w:t>
      </w:r>
    </w:p>
    <w:p w14:paraId="0C0D73D9" w14:textId="77777777" w:rsidR="005E408D" w:rsidRPr="00537118" w:rsidRDefault="005E408D" w:rsidP="005E408D">
      <w:pPr>
        <w:spacing w:line="360" w:lineRule="auto"/>
        <w:jc w:val="both"/>
        <w:rPr>
          <w:rFonts w:ascii="Garamond" w:hAnsi="Garamond"/>
          <w:color w:val="000000"/>
          <w:sz w:val="24"/>
          <w:szCs w:val="24"/>
        </w:rPr>
      </w:pPr>
      <w:r w:rsidRPr="00537118">
        <w:rPr>
          <w:rFonts w:ascii="Garamond" w:hAnsi="Garamond"/>
          <w:color w:val="000000"/>
          <w:sz w:val="24"/>
          <w:szCs w:val="24"/>
        </w:rPr>
        <w:t xml:space="preserve">De facto, a maior diferença entre este tipo de organizações e aquelas que, para se internacionalizarem, passam por um processo gradual (por etapas) é que estas Born Global </w:t>
      </w:r>
      <w:r w:rsidRPr="00537118">
        <w:rPr>
          <w:rFonts w:ascii="Garamond" w:hAnsi="Garamond"/>
          <w:color w:val="000000"/>
          <w:sz w:val="24"/>
          <w:szCs w:val="24"/>
        </w:rPr>
        <w:lastRenderedPageBreak/>
        <w:t xml:space="preserve">demonstram uma visão global desde a sua gestão (desde os primórdios da sua vida empresarial). Segundo Knight e Cavusgil (2004), as Born globals têm este comportamento característico, que contrasta com teorias como a de Johanson e Vahlne (1977) sobre o processo de internacionalização. </w:t>
      </w:r>
    </w:p>
    <w:p w14:paraId="62A8473B" w14:textId="6063AC02" w:rsidR="005E408D" w:rsidRPr="00537118" w:rsidRDefault="005E408D" w:rsidP="005E408D">
      <w:pPr>
        <w:spacing w:line="360" w:lineRule="auto"/>
        <w:jc w:val="both"/>
        <w:rPr>
          <w:rFonts w:ascii="Garamond" w:hAnsi="Garamond"/>
          <w:color w:val="000000"/>
          <w:sz w:val="24"/>
          <w:szCs w:val="24"/>
        </w:rPr>
      </w:pPr>
      <w:r w:rsidRPr="00537118">
        <w:rPr>
          <w:rFonts w:ascii="Garamond" w:hAnsi="Garamond"/>
          <w:color w:val="000000"/>
          <w:sz w:val="24"/>
          <w:szCs w:val="24"/>
        </w:rPr>
        <w:t xml:space="preserve">Este tipo de empresas surge, inicialmente, em países cujo mercado doméstico carece de dimensão. Contudo, tem-se verificado o surgimento de </w:t>
      </w:r>
      <w:r w:rsidRPr="00537118">
        <w:rPr>
          <w:rFonts w:ascii="Garamond" w:hAnsi="Garamond"/>
          <w:i/>
          <w:color w:val="000000"/>
          <w:sz w:val="24"/>
          <w:szCs w:val="24"/>
        </w:rPr>
        <w:t>International new ventures</w:t>
      </w:r>
      <w:r w:rsidRPr="00537118">
        <w:rPr>
          <w:rFonts w:ascii="Garamond" w:hAnsi="Garamond"/>
          <w:color w:val="000000"/>
          <w:sz w:val="24"/>
          <w:szCs w:val="24"/>
        </w:rPr>
        <w:t xml:space="preserve"> espalhadas por mercados que não partilham esta característica (Nikkei Sangyoo Shimbun, 1995).</w:t>
      </w:r>
      <w:r w:rsidR="008A6A59" w:rsidRPr="00537118">
        <w:rPr>
          <w:rFonts w:ascii="Garamond" w:hAnsi="Garamond"/>
          <w:color w:val="000000"/>
          <w:sz w:val="24"/>
          <w:szCs w:val="24"/>
        </w:rPr>
        <w:t xml:space="preserve"> </w:t>
      </w:r>
      <w:r w:rsidRPr="00537118">
        <w:rPr>
          <w:rFonts w:ascii="Garamond" w:hAnsi="Garamond"/>
          <w:color w:val="000000"/>
          <w:sz w:val="24"/>
          <w:szCs w:val="24"/>
        </w:rPr>
        <w:t>A literatura sugere que uma das grandes motivações para este tipo de comportamento de internacionalização súbita advém do facto de as Born globals, ao contrário das empresas de conduta tradicional, não dependerem da sua capacidade de acumular recursos financeiros, adquirindo, isso sim, estes recursos através de fontes externas (McNaughton e Bell, 2000)</w:t>
      </w:r>
    </w:p>
    <w:p w14:paraId="6CC1918D" w14:textId="6EA1BCE2" w:rsidR="005E408D" w:rsidRPr="00537118" w:rsidRDefault="005E408D" w:rsidP="005E408D">
      <w:pPr>
        <w:spacing w:line="360" w:lineRule="auto"/>
        <w:jc w:val="both"/>
        <w:rPr>
          <w:rFonts w:ascii="Garamond" w:hAnsi="Garamond"/>
          <w:color w:val="000000"/>
          <w:sz w:val="24"/>
          <w:szCs w:val="24"/>
        </w:rPr>
      </w:pPr>
      <w:r w:rsidRPr="00537118">
        <w:rPr>
          <w:rFonts w:ascii="Garamond" w:hAnsi="Garamond"/>
          <w:sz w:val="24"/>
          <w:szCs w:val="24"/>
        </w:rPr>
        <w:t xml:space="preserve"> Na verdade, apesar da extensa lista de estudos e análises sobre este tipo de empresas e da comparação com outras teorias, existe uma lacuna nos trabalhos de investigação e nos estudos empíricos sobre a longevidade das Born Globals e das suas características (Cavusgil e Knight, 2015; Johanson e Martín, 2015). Existe ainda o facto de Kuivalainen et al. (2007) terem alertado para a existência de distinções </w:t>
      </w:r>
      <w:r w:rsidR="00FF5299" w:rsidRPr="00537118">
        <w:rPr>
          <w:rFonts w:ascii="Garamond" w:hAnsi="Garamond"/>
          <w:sz w:val="24"/>
          <w:szCs w:val="24"/>
        </w:rPr>
        <w:t>de</w:t>
      </w:r>
      <w:r w:rsidRPr="00537118">
        <w:rPr>
          <w:rFonts w:ascii="Garamond" w:hAnsi="Garamond"/>
          <w:sz w:val="24"/>
          <w:szCs w:val="24"/>
        </w:rPr>
        <w:t xml:space="preserve"> Born Globals (consoante o tipo de atividade que realizam): uma exportação para um mercado próximo ou uma operação direcionada para mercados realmente distantes e em várias regiões (1996, citado por </w:t>
      </w:r>
      <w:sdt>
        <w:sdtPr>
          <w:rPr>
            <w:rFonts w:ascii="Garamond" w:hAnsi="Garamond"/>
            <w:color w:val="000000"/>
            <w:sz w:val="24"/>
            <w:szCs w:val="24"/>
          </w:rPr>
          <w:tag w:val="MENDELEY_CITATION_v3_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"/>
          <w:id w:val="2064364848"/>
          <w:placeholder>
            <w:docPart w:val="089960F318164D0E84FE0A87B9968CF6"/>
          </w:placeholder>
        </w:sdtPr>
        <w:sdtContent>
          <w:r w:rsidRPr="00537118">
            <w:rPr>
              <w:rFonts w:ascii="Garamond" w:hAnsi="Garamond"/>
              <w:color w:val="000000"/>
              <w:sz w:val="24"/>
              <w:szCs w:val="24"/>
            </w:rPr>
            <w:t>Dzikowski, (2018)</w:t>
          </w:r>
        </w:sdtContent>
      </w:sdt>
      <w:r w:rsidRPr="00537118">
        <w:rPr>
          <w:rFonts w:ascii="Garamond" w:hAnsi="Garamond"/>
          <w:color w:val="000000"/>
          <w:sz w:val="24"/>
          <w:szCs w:val="24"/>
        </w:rPr>
        <w:t>.</w:t>
      </w:r>
    </w:p>
    <w:p w14:paraId="58F9B65F" w14:textId="6285B3CC" w:rsidR="005E408D" w:rsidRPr="00537118" w:rsidRDefault="00E53177" w:rsidP="004B5EF6">
      <w:pPr>
        <w:pStyle w:val="Heading3"/>
        <w:spacing w:line="360" w:lineRule="auto"/>
        <w:rPr>
          <w:sz w:val="26"/>
          <w:szCs w:val="26"/>
        </w:rPr>
      </w:pPr>
      <w:bookmarkStart w:id="8" w:name="_Toc202571347"/>
      <w:r w:rsidRPr="00537118">
        <w:rPr>
          <w:sz w:val="26"/>
          <w:szCs w:val="26"/>
        </w:rPr>
        <w:t>3</w:t>
      </w:r>
      <w:r w:rsidR="005E408D" w:rsidRPr="00537118">
        <w:rPr>
          <w:sz w:val="26"/>
          <w:szCs w:val="26"/>
        </w:rPr>
        <w:t>.1.3</w:t>
      </w:r>
      <w:r w:rsidR="00103601" w:rsidRPr="00537118">
        <w:rPr>
          <w:sz w:val="26"/>
          <w:szCs w:val="26"/>
        </w:rPr>
        <w:t>.</w:t>
      </w:r>
      <w:r w:rsidR="00A73DC5" w:rsidRPr="00537118">
        <w:rPr>
          <w:sz w:val="26"/>
          <w:szCs w:val="26"/>
        </w:rPr>
        <w:t xml:space="preserve"> </w:t>
      </w:r>
      <w:r w:rsidR="005E408D" w:rsidRPr="00537118">
        <w:rPr>
          <w:sz w:val="26"/>
          <w:szCs w:val="26"/>
        </w:rPr>
        <w:t>Transaction Cost theory</w:t>
      </w:r>
      <w:bookmarkEnd w:id="8"/>
      <w:r w:rsidR="005E408D" w:rsidRPr="00537118">
        <w:rPr>
          <w:sz w:val="26"/>
          <w:szCs w:val="26"/>
        </w:rPr>
        <w:t xml:space="preserve"> </w:t>
      </w:r>
    </w:p>
    <w:p w14:paraId="7ED646EE" w14:textId="77777777" w:rsidR="005E408D" w:rsidRPr="00537118" w:rsidRDefault="005E408D" w:rsidP="004B5EF6">
      <w:pPr>
        <w:spacing w:line="360" w:lineRule="auto"/>
        <w:jc w:val="both"/>
        <w:rPr>
          <w:rFonts w:ascii="Garamond" w:hAnsi="Garamond"/>
          <w:sz w:val="24"/>
          <w:szCs w:val="24"/>
        </w:rPr>
      </w:pPr>
      <w:r w:rsidRPr="00537118">
        <w:rPr>
          <w:rFonts w:ascii="Garamond" w:hAnsi="Garamond"/>
          <w:sz w:val="24"/>
          <w:szCs w:val="24"/>
        </w:rPr>
        <w:t xml:space="preserve">Esta teoria de internacionalização reveste-se de grande importância para a literatura, uma vez que é uma das mais utilizadas na análise de modos de entrada das empresas, aquando do processo de internacionalização (Canabal e White, 2008). De acordo com Williamson (1981), a transação é a medida mais básica de medida e foca-se nas dimensões de esforço, recursos ou custos (necessárias para as duas partes concluírem a transação). Podemos ainda definir os custos de transação como todos aqueles que, além dos custos da produção, sejam necessários para efetuar a troca de um produto ou serviço, sendo o principal objetivo o de maximizar o desempenho da transação e diminuir os custos </w:t>
      </w:r>
      <w:sdt>
        <w:sdtPr>
          <w:rPr>
            <w:rFonts w:ascii="Garamond" w:hAnsi="Garamond"/>
            <w:color w:val="000000"/>
            <w:sz w:val="24"/>
            <w:szCs w:val="24"/>
          </w:rPr>
          <w:tag w:val="MENDELEY_CITATION_v3_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"/>
          <w:id w:val="892075521"/>
          <w:placeholder>
            <w:docPart w:val="5758340E399E48E78198B5689C102884"/>
          </w:placeholder>
        </w:sdtPr>
        <w:sdtContent>
          <w:r w:rsidRPr="00537118">
            <w:rPr>
              <w:rFonts w:ascii="Garamond" w:hAnsi="Garamond"/>
              <w:color w:val="000000"/>
              <w:sz w:val="24"/>
              <w:szCs w:val="24"/>
            </w:rPr>
            <w:t>(Sarkis et al., 2011)</w:t>
          </w:r>
        </w:sdtContent>
      </w:sdt>
      <w:r w:rsidRPr="00537118">
        <w:rPr>
          <w:rFonts w:ascii="Garamond" w:hAnsi="Garamond"/>
          <w:sz w:val="24"/>
          <w:szCs w:val="24"/>
        </w:rPr>
        <w:t>.</w:t>
      </w:r>
    </w:p>
    <w:p w14:paraId="7D6C124A" w14:textId="63E22476" w:rsidR="005E408D" w:rsidRPr="00537118" w:rsidRDefault="005E408D" w:rsidP="005E408D">
      <w:pPr>
        <w:spacing w:line="360" w:lineRule="auto"/>
        <w:jc w:val="both"/>
        <w:rPr>
          <w:rFonts w:ascii="Garamond" w:hAnsi="Garamond"/>
          <w:sz w:val="24"/>
          <w:szCs w:val="24"/>
        </w:rPr>
      </w:pPr>
      <w:r w:rsidRPr="00537118">
        <w:rPr>
          <w:rFonts w:ascii="Garamond" w:hAnsi="Garamond"/>
          <w:sz w:val="24"/>
          <w:szCs w:val="24"/>
        </w:rPr>
        <w:t xml:space="preserve">Segundo esta teoria, as organizações agem consoante um conjunto de decisões racionais. Porém, podem ocasionalmente assumir um comportamento oportunístico (Seggei, 2012), sendo que </w:t>
      </w:r>
      <w:r w:rsidRPr="00537118">
        <w:rPr>
          <w:rFonts w:ascii="Garamond" w:hAnsi="Garamond"/>
          <w:sz w:val="24"/>
          <w:szCs w:val="24"/>
        </w:rPr>
        <w:lastRenderedPageBreak/>
        <w:t>certos autores defendem que este tipo de comportamento ocorre entre empresas com bases culturais diferentes (Luo</w:t>
      </w:r>
      <w:r w:rsidR="003B76C0" w:rsidRPr="00537118">
        <w:rPr>
          <w:rFonts w:ascii="Garamond" w:hAnsi="Garamond"/>
          <w:sz w:val="24"/>
          <w:szCs w:val="24"/>
        </w:rPr>
        <w:t>,</w:t>
      </w:r>
      <w:r w:rsidRPr="00537118">
        <w:rPr>
          <w:rFonts w:ascii="Garamond" w:hAnsi="Garamond"/>
          <w:sz w:val="24"/>
          <w:szCs w:val="24"/>
        </w:rPr>
        <w:t xml:space="preserve"> 2007), sendo estas capazes de cometer ilegalidades tais como defraudar, mentir e incumprir acordos, em prol de benefício próprio (Williamson 1975). </w:t>
      </w:r>
    </w:p>
    <w:p w14:paraId="3606AE93" w14:textId="072F15DE" w:rsidR="005E408D" w:rsidRPr="00537118" w:rsidRDefault="005E408D" w:rsidP="005E408D">
      <w:pPr>
        <w:spacing w:line="360" w:lineRule="auto"/>
        <w:jc w:val="both"/>
        <w:rPr>
          <w:rFonts w:ascii="Garamond" w:hAnsi="Garamond"/>
          <w:sz w:val="24"/>
          <w:szCs w:val="24"/>
        </w:rPr>
      </w:pPr>
      <w:r w:rsidRPr="00537118">
        <w:rPr>
          <w:rFonts w:ascii="Garamond" w:hAnsi="Garamond"/>
          <w:sz w:val="24"/>
          <w:szCs w:val="24"/>
        </w:rPr>
        <w:t xml:space="preserve">À luz da literatura, autores como Anderson e Gatignon (1986) defendem que o modo de entrada mais adequado consiste num equilíbrio entre controlo e custo da alocação de recursos. Por outro lado, em mercados com elevado grau de imprevisibilidade, a teoria sugere um maior grau de integração vertical (Morschett et al., 2010). Além disto, face à alteração das condições do meio envolvente, devem considerar-se os custos e a necessidade de modificar contratos com empresas parceiras (Anderson e Gatignon, 1986). </w:t>
      </w:r>
    </w:p>
    <w:p w14:paraId="39640376" w14:textId="77777777" w:rsidR="005E408D" w:rsidRPr="00537118" w:rsidRDefault="005E408D" w:rsidP="005E408D">
      <w:pPr>
        <w:tabs>
          <w:tab w:val="left" w:pos="3420"/>
        </w:tabs>
        <w:spacing w:line="360" w:lineRule="auto"/>
        <w:jc w:val="both"/>
        <w:rPr>
          <w:rFonts w:ascii="Garamond" w:hAnsi="Garamond"/>
          <w:sz w:val="24"/>
          <w:szCs w:val="24"/>
        </w:rPr>
      </w:pPr>
      <w:r w:rsidRPr="00537118">
        <w:rPr>
          <w:rFonts w:ascii="Garamond" w:hAnsi="Garamond"/>
          <w:sz w:val="24"/>
          <w:szCs w:val="24"/>
        </w:rPr>
        <w:t>De uma forma geral, a teoria defende que, não sendo possível analisar e prever fielmente as condições e o valor de uma oportunidade internacional, as organizações devem manter o investimento inicial relativamente baixo, prevendo a opção de aumentar no futuro (Brouthers et al. 2008) ou, alternativamente, entrar mediante uma parceira ou cooperação com outra organização, para mitigar quaisquer possíveis complicações (Morschett et al., 2010).</w:t>
      </w:r>
    </w:p>
    <w:p w14:paraId="0749207C" w14:textId="0E033AF7" w:rsidR="00922FE9" w:rsidRPr="00537118" w:rsidRDefault="005E408D" w:rsidP="005E408D">
      <w:pPr>
        <w:spacing w:line="360" w:lineRule="auto"/>
        <w:jc w:val="both"/>
        <w:rPr>
          <w:rFonts w:ascii="Garamond" w:hAnsi="Garamond"/>
          <w:sz w:val="24"/>
          <w:szCs w:val="24"/>
        </w:rPr>
      </w:pPr>
      <w:r w:rsidRPr="00537118">
        <w:rPr>
          <w:rFonts w:ascii="Garamond" w:hAnsi="Garamond"/>
          <w:sz w:val="24"/>
          <w:szCs w:val="24"/>
        </w:rPr>
        <w:t>Refira-se que esta teoria é mais relevante para as multinacionais, uma vez que estas escolhem o modo de entrada consoante o maior retorno face ao risco, ao passo que, para empresas com menor disponibilidade de recursos, a teoria resulta limitada para explicar as decisões de entrada nos mercados externos (Whitelook, 2002; Burgel e Murray, 2000).</w:t>
      </w:r>
    </w:p>
    <w:p w14:paraId="44F26CBF" w14:textId="55E75E76" w:rsidR="0043189B" w:rsidRPr="00537118" w:rsidRDefault="00E53177" w:rsidP="004B5EF6">
      <w:pPr>
        <w:pStyle w:val="Heading3"/>
        <w:spacing w:line="360" w:lineRule="auto"/>
        <w:rPr>
          <w:sz w:val="26"/>
          <w:szCs w:val="26"/>
        </w:rPr>
      </w:pPr>
      <w:bookmarkStart w:id="9" w:name="_Toc202571348"/>
      <w:r w:rsidRPr="00537118">
        <w:rPr>
          <w:sz w:val="26"/>
          <w:szCs w:val="26"/>
        </w:rPr>
        <w:t>3</w:t>
      </w:r>
      <w:r w:rsidR="0043189B" w:rsidRPr="00537118">
        <w:rPr>
          <w:sz w:val="26"/>
          <w:szCs w:val="26"/>
        </w:rPr>
        <w:t>.1.4</w:t>
      </w:r>
      <w:r w:rsidR="00103601" w:rsidRPr="00537118">
        <w:rPr>
          <w:sz w:val="26"/>
          <w:szCs w:val="26"/>
        </w:rPr>
        <w:t>.</w:t>
      </w:r>
      <w:r w:rsidR="0043189B" w:rsidRPr="00537118">
        <w:rPr>
          <w:sz w:val="26"/>
          <w:szCs w:val="26"/>
        </w:rPr>
        <w:t xml:space="preserve"> Paradigma eclético (OLI) - Teoria de IDE</w:t>
      </w:r>
      <w:bookmarkEnd w:id="9"/>
    </w:p>
    <w:p w14:paraId="2342BD3F" w14:textId="18A71FCA" w:rsidR="0043189B" w:rsidRPr="00537118" w:rsidRDefault="0043189B" w:rsidP="004B5EF6">
      <w:pPr>
        <w:spacing w:line="360" w:lineRule="auto"/>
        <w:jc w:val="both"/>
        <w:rPr>
          <w:rFonts w:ascii="Garamond" w:hAnsi="Garamond"/>
          <w:color w:val="000000"/>
          <w:sz w:val="24"/>
          <w:szCs w:val="24"/>
        </w:rPr>
      </w:pPr>
      <w:r w:rsidRPr="00537118">
        <w:rPr>
          <w:rFonts w:ascii="Garamond" w:hAnsi="Garamond"/>
          <w:sz w:val="24"/>
          <w:szCs w:val="24"/>
        </w:rPr>
        <w:t>A meados da década de 70, John Dunning (1977) apresentou a sua teoria de internacionalização, de forma a poder explicar e relacionar o comportamento das empresas no exterior e a decisão, por parte destas, de produzir ou abordar mercados externos</w:t>
      </w:r>
      <w:r w:rsidRPr="00537118">
        <w:rPr>
          <w:rFonts w:ascii="Garamond" w:hAnsi="Garamond"/>
          <w:color w:val="000000"/>
          <w:sz w:val="24"/>
          <w:szCs w:val="24"/>
        </w:rPr>
        <w:t xml:space="preserve">. </w:t>
      </w:r>
      <w:r w:rsidRPr="00537118">
        <w:rPr>
          <w:rFonts w:ascii="Garamond" w:hAnsi="Garamond"/>
          <w:sz w:val="24"/>
          <w:szCs w:val="24"/>
        </w:rPr>
        <w:t xml:space="preserve">De referir, ainda, que existem posições contrastantes relativamente à teoria OLI e à sua afiliação com as teorias clássicas de internacionalização. Esta teoria sofreu críticas desde a sua génese e continua a gerar discussões, uma vez que é comum haver publicações e estudos que a consideram uma teoria de internacionalização, ao passo que outros defendem que ela se limita a explicar movimentos de investimento direto estrangeiro das empresas (IDE). O próprio Dunning (1980) propõe, em </w:t>
      </w:r>
      <w:r w:rsidRPr="00537118">
        <w:rPr>
          <w:rFonts w:ascii="Garamond" w:hAnsi="Garamond"/>
          <w:i/>
          <w:iCs/>
          <w:sz w:val="24"/>
          <w:szCs w:val="24"/>
        </w:rPr>
        <w:t>Toward an Eclectic Theory of International Production: Some Empirical Tests</w:t>
      </w:r>
      <w:r w:rsidRPr="00537118">
        <w:rPr>
          <w:rFonts w:ascii="Garamond" w:hAnsi="Garamond"/>
          <w:sz w:val="24"/>
          <w:szCs w:val="24"/>
        </w:rPr>
        <w:t xml:space="preserve">, que a propensão da produção internacional através de IDE depende de três determinantes principais, o que aponta </w:t>
      </w:r>
      <w:r w:rsidRPr="00537118">
        <w:rPr>
          <w:rFonts w:ascii="Garamond" w:hAnsi="Garamond"/>
          <w:sz w:val="24"/>
          <w:szCs w:val="24"/>
        </w:rPr>
        <w:lastRenderedPageBreak/>
        <w:t>para uma teoria do comportamento das empresas. Apesar de não a podermos considerar uma teoria de internacionalização, a sua popularidade e o contributo dado para o estudo do comportamento das organizações torna a sua referência relevante, apresentando-se como</w:t>
      </w:r>
      <w:r w:rsidRPr="00537118">
        <w:rPr>
          <w:rFonts w:ascii="Garamond" w:hAnsi="Garamond"/>
          <w:color w:val="000000"/>
          <w:sz w:val="24"/>
          <w:szCs w:val="24"/>
        </w:rPr>
        <w:t xml:space="preserve"> uma das teorias mais abordadas nos dias de hoje, recorrendo-se a ela para analisar os modos de entrada (Canabal e White, 2008).</w:t>
      </w:r>
    </w:p>
    <w:p w14:paraId="5262D5E7" w14:textId="68D75EEF" w:rsidR="0043189B" w:rsidRPr="00537118" w:rsidRDefault="0043189B" w:rsidP="0043189B">
      <w:pPr>
        <w:tabs>
          <w:tab w:val="left" w:pos="3420"/>
        </w:tabs>
        <w:spacing w:line="360" w:lineRule="auto"/>
        <w:jc w:val="both"/>
        <w:rPr>
          <w:rFonts w:ascii="Garamond" w:hAnsi="Garamond"/>
          <w:color w:val="000000"/>
          <w:sz w:val="24"/>
          <w:szCs w:val="24"/>
        </w:rPr>
      </w:pPr>
      <w:r w:rsidRPr="00537118">
        <w:rPr>
          <w:rFonts w:ascii="Garamond" w:hAnsi="Garamond"/>
          <w:color w:val="000000"/>
          <w:sz w:val="24"/>
          <w:szCs w:val="24"/>
        </w:rPr>
        <w:t>Segundo Dunning (1993; 1988), este modelo, também designado como OLI, considera que as empresas recorrem a três fatores: propriedade, localização e internalização. Relativamente à vantagem da propriedade (</w:t>
      </w:r>
      <w:r w:rsidRPr="00506F5B">
        <w:rPr>
          <w:rFonts w:ascii="Garamond" w:hAnsi="Garamond"/>
          <w:i/>
          <w:iCs/>
          <w:color w:val="000000"/>
          <w:sz w:val="24"/>
          <w:szCs w:val="24"/>
        </w:rPr>
        <w:t>Ownership</w:t>
      </w:r>
      <w:r w:rsidRPr="00537118">
        <w:rPr>
          <w:rFonts w:ascii="Garamond" w:hAnsi="Garamond"/>
          <w:color w:val="000000"/>
          <w:sz w:val="24"/>
          <w:szCs w:val="24"/>
        </w:rPr>
        <w:t xml:space="preserve">), equivale aos ativos que são propriedade da empresa, que lhes permite obter uma vantagem competitiva relativamente aos restantes </w:t>
      </w:r>
      <w:r w:rsidRPr="00506F5B">
        <w:rPr>
          <w:rFonts w:ascii="Garamond" w:hAnsi="Garamond"/>
          <w:i/>
          <w:iCs/>
          <w:color w:val="000000"/>
          <w:sz w:val="24"/>
          <w:szCs w:val="24"/>
        </w:rPr>
        <w:t>players</w:t>
      </w:r>
      <w:r w:rsidRPr="00537118">
        <w:rPr>
          <w:rFonts w:ascii="Garamond" w:hAnsi="Garamond"/>
          <w:color w:val="000000"/>
          <w:sz w:val="24"/>
          <w:szCs w:val="24"/>
        </w:rPr>
        <w:t xml:space="preserve"> do mercado-destino. Estes podem ser intangíveis, capacidades e competências próprias da empresa (Dunning, 1993) ou podem traduzir-se na capacidade de coordenação de maneira eficiente. De seguida, se a primeira condição se verificar (a vantagem da propriedade), a empresa deve possuir uma vantagem de localização (</w:t>
      </w:r>
      <w:r w:rsidRPr="00506F5B">
        <w:rPr>
          <w:rFonts w:ascii="Garamond" w:hAnsi="Garamond"/>
          <w:i/>
          <w:iCs/>
          <w:color w:val="000000"/>
          <w:sz w:val="24"/>
          <w:szCs w:val="24"/>
        </w:rPr>
        <w:t>Location</w:t>
      </w:r>
      <w:r w:rsidRPr="00537118">
        <w:rPr>
          <w:rFonts w:ascii="Garamond" w:hAnsi="Garamond"/>
          <w:color w:val="000000"/>
          <w:sz w:val="24"/>
          <w:szCs w:val="24"/>
        </w:rPr>
        <w:t>). Na prática, isso significa que é benéfico para uma empresa explorar e aproveitar a sua vantagem da propriedade num mercado externo (face ao doméstico). Finalmente, surge a vantagem de internalização (</w:t>
      </w:r>
      <w:r w:rsidRPr="00506F5B">
        <w:rPr>
          <w:rFonts w:ascii="Garamond" w:hAnsi="Garamond"/>
          <w:i/>
          <w:iCs/>
          <w:color w:val="000000"/>
          <w:sz w:val="24"/>
          <w:szCs w:val="24"/>
        </w:rPr>
        <w:t>Internalisation</w:t>
      </w:r>
      <w:r w:rsidRPr="00537118">
        <w:rPr>
          <w:rFonts w:ascii="Garamond" w:hAnsi="Garamond"/>
          <w:color w:val="000000"/>
          <w:sz w:val="24"/>
          <w:szCs w:val="24"/>
        </w:rPr>
        <w:t xml:space="preserve">). Esta advém do facto de ser mais rentável realizar internamente as atividades da cadeia de valor do que recorrer ao mercado ou a uma outra entidade para o fazer (Ruzzier et al. 2006). </w:t>
      </w:r>
    </w:p>
    <w:p w14:paraId="34B4EBB7" w14:textId="56AC73D0" w:rsidR="0043189B" w:rsidRPr="00537118" w:rsidRDefault="0043189B" w:rsidP="0043189B">
      <w:pPr>
        <w:tabs>
          <w:tab w:val="left" w:pos="3420"/>
        </w:tabs>
        <w:spacing w:line="360" w:lineRule="auto"/>
        <w:jc w:val="both"/>
        <w:rPr>
          <w:rFonts w:ascii="Garamond" w:hAnsi="Garamond"/>
          <w:color w:val="000000"/>
          <w:sz w:val="24"/>
          <w:szCs w:val="24"/>
        </w:rPr>
      </w:pPr>
      <w:r w:rsidRPr="00537118">
        <w:rPr>
          <w:rFonts w:ascii="Garamond" w:hAnsi="Garamond"/>
          <w:color w:val="000000"/>
          <w:sz w:val="24"/>
          <w:szCs w:val="24"/>
        </w:rPr>
        <w:t>Dito isto, segundo Le</w:t>
      </w:r>
      <w:r w:rsidR="00F612ED" w:rsidRPr="00537118">
        <w:rPr>
          <w:rFonts w:ascii="Garamond" w:hAnsi="Garamond"/>
          <w:color w:val="000000"/>
          <w:sz w:val="24"/>
          <w:szCs w:val="24"/>
        </w:rPr>
        <w:t>m</w:t>
      </w:r>
      <w:r w:rsidRPr="00537118">
        <w:rPr>
          <w:rFonts w:ascii="Garamond" w:hAnsi="Garamond"/>
          <w:color w:val="000000"/>
          <w:sz w:val="24"/>
          <w:szCs w:val="24"/>
        </w:rPr>
        <w:t>a</w:t>
      </w:r>
      <w:r w:rsidR="00F9631B" w:rsidRPr="00537118">
        <w:rPr>
          <w:rFonts w:ascii="Garamond" w:hAnsi="Garamond"/>
          <w:color w:val="000000"/>
          <w:sz w:val="24"/>
          <w:szCs w:val="24"/>
        </w:rPr>
        <w:t>ire</w:t>
      </w:r>
      <w:r w:rsidRPr="00537118">
        <w:rPr>
          <w:rFonts w:ascii="Garamond" w:hAnsi="Garamond"/>
          <w:color w:val="000000"/>
          <w:sz w:val="24"/>
          <w:szCs w:val="24"/>
        </w:rPr>
        <w:t xml:space="preserve"> (1999), se se verificarem as três vantagens, a empresa vai preferir realizar a entrada num outro mercado recorrendo a investimento direto estrangeiro. Se a vantagem de internalização não se verificar, ao contrário das outras duas, a empresa irá proceder mediante licenciamento. Finalmente, se tiver unicamente a vantagem de propriedade, a empresa irá exportar para o mercado de destino. Dunning (1993) abordou ainda algumas motivações para as empresas realizarem investimento direto estrangeiro: a procura de maior eficiência, de recursos ou de mercado. Porém, esse tópico será abordado posteriormente. </w:t>
      </w:r>
    </w:p>
    <w:p w14:paraId="295E4AB1" w14:textId="2961D6F5" w:rsidR="0043189B" w:rsidRPr="00537118" w:rsidRDefault="0043189B" w:rsidP="0043189B">
      <w:pPr>
        <w:tabs>
          <w:tab w:val="left" w:pos="3420"/>
        </w:tabs>
        <w:spacing w:line="360" w:lineRule="auto"/>
        <w:jc w:val="both"/>
        <w:rPr>
          <w:rFonts w:ascii="Garamond" w:hAnsi="Garamond"/>
          <w:color w:val="000000"/>
          <w:sz w:val="24"/>
          <w:szCs w:val="24"/>
        </w:rPr>
      </w:pPr>
      <w:r w:rsidRPr="00537118">
        <w:rPr>
          <w:rFonts w:ascii="Garamond" w:hAnsi="Garamond"/>
          <w:color w:val="000000"/>
          <w:sz w:val="24"/>
          <w:szCs w:val="24"/>
        </w:rPr>
        <w:t xml:space="preserve">Quanto à aplicabilidade das </w:t>
      </w:r>
      <w:r w:rsidR="00F375F6" w:rsidRPr="00537118">
        <w:rPr>
          <w:rFonts w:ascii="Garamond" w:hAnsi="Garamond"/>
          <w:color w:val="000000"/>
          <w:sz w:val="24"/>
          <w:szCs w:val="24"/>
        </w:rPr>
        <w:t>PME</w:t>
      </w:r>
      <w:r w:rsidRPr="00537118">
        <w:rPr>
          <w:rFonts w:ascii="Garamond" w:hAnsi="Garamond"/>
          <w:color w:val="000000"/>
          <w:sz w:val="24"/>
          <w:szCs w:val="24"/>
        </w:rPr>
        <w:t>, existe um maior número de estudos relativos às MNEs (Ruzzier et al. 2006). Contudo, verificou-se que o efeito das vantagens de propriedade e de localização influencia de maneira semelhante os modos de entrada das empresas de menor dimensão (Brouthers et al. 1996).</w:t>
      </w:r>
    </w:p>
    <w:p w14:paraId="21642B70" w14:textId="141F484C" w:rsidR="0043189B" w:rsidRPr="00537118" w:rsidRDefault="00E53177" w:rsidP="004B5EF6">
      <w:pPr>
        <w:pStyle w:val="Heading3"/>
        <w:spacing w:line="360" w:lineRule="auto"/>
        <w:rPr>
          <w:sz w:val="26"/>
          <w:szCs w:val="26"/>
        </w:rPr>
      </w:pPr>
      <w:bookmarkStart w:id="10" w:name="_Toc202571349"/>
      <w:r w:rsidRPr="00537118">
        <w:rPr>
          <w:sz w:val="26"/>
          <w:szCs w:val="26"/>
        </w:rPr>
        <w:lastRenderedPageBreak/>
        <w:t>3</w:t>
      </w:r>
      <w:r w:rsidR="0043189B" w:rsidRPr="00537118">
        <w:rPr>
          <w:sz w:val="26"/>
          <w:szCs w:val="26"/>
        </w:rPr>
        <w:t>.1.5</w:t>
      </w:r>
      <w:r w:rsidR="00103601" w:rsidRPr="00537118">
        <w:rPr>
          <w:sz w:val="26"/>
          <w:szCs w:val="26"/>
        </w:rPr>
        <w:t>.</w:t>
      </w:r>
      <w:r w:rsidR="0043189B" w:rsidRPr="00537118">
        <w:rPr>
          <w:sz w:val="26"/>
          <w:szCs w:val="26"/>
        </w:rPr>
        <w:t xml:space="preserve"> Teoria de empreendedorismo Internacional</w:t>
      </w:r>
      <w:bookmarkEnd w:id="10"/>
      <w:r w:rsidR="0043189B" w:rsidRPr="00537118">
        <w:rPr>
          <w:sz w:val="26"/>
          <w:szCs w:val="26"/>
        </w:rPr>
        <w:t xml:space="preserve"> </w:t>
      </w:r>
    </w:p>
    <w:p w14:paraId="1AE337F0" w14:textId="77777777" w:rsidR="0043189B" w:rsidRPr="00537118" w:rsidRDefault="0043189B" w:rsidP="004B5EF6">
      <w:pPr>
        <w:tabs>
          <w:tab w:val="left" w:pos="3420"/>
        </w:tabs>
        <w:spacing w:line="360" w:lineRule="auto"/>
        <w:jc w:val="both"/>
        <w:rPr>
          <w:rFonts w:ascii="Garamond" w:hAnsi="Garamond"/>
          <w:sz w:val="24"/>
          <w:szCs w:val="24"/>
        </w:rPr>
      </w:pPr>
      <w:r w:rsidRPr="00537118">
        <w:rPr>
          <w:rFonts w:ascii="Garamond" w:hAnsi="Garamond"/>
          <w:sz w:val="24"/>
          <w:szCs w:val="24"/>
        </w:rPr>
        <w:t xml:space="preserve">Esta teoria ainda não detém uma definição que agrade a todos os autores que contribuem para o desenvolvimento deste âmbito teórico, pelo que são várias as definições. </w:t>
      </w:r>
    </w:p>
    <w:p w14:paraId="19E5BA45" w14:textId="77777777" w:rsidR="0043189B" w:rsidRPr="00537118" w:rsidRDefault="0043189B" w:rsidP="0043189B">
      <w:pPr>
        <w:tabs>
          <w:tab w:val="left" w:pos="3420"/>
        </w:tabs>
        <w:spacing w:line="360" w:lineRule="auto"/>
        <w:jc w:val="both"/>
        <w:rPr>
          <w:rFonts w:ascii="Garamond" w:hAnsi="Garamond"/>
          <w:sz w:val="24"/>
          <w:szCs w:val="24"/>
        </w:rPr>
      </w:pPr>
      <w:r w:rsidRPr="00537118">
        <w:rPr>
          <w:rFonts w:ascii="Garamond" w:hAnsi="Garamond"/>
          <w:sz w:val="24"/>
          <w:szCs w:val="24"/>
        </w:rPr>
        <w:t xml:space="preserve">Inicialmente, o termo surgiu com Morrow (1988) (citado por McDougall e Oviatt, 2003, p. 3), que defende que os avanços tecnológicos e as características culturais permitem às novas empresas ter acesso a mercados externos anteriormente inacessíveis. A partir desta definição, Mcdougall e Oviatt (1997) acrescentam que o empreendedorismo internacional está composto por atividades inovadoras, cujo objetivo é a criação de valor e a promoção de crescimento organizacional. Posteriormente, foi ainda incluída a influência de traços comportamentais que impulsionam a atitude empreendedora, assim como a internacionalização </w:t>
      </w:r>
      <w:sdt>
        <w:sdtPr>
          <w:rPr>
            <w:rFonts w:ascii="Garamond" w:hAnsi="Garamond"/>
            <w:color w:val="000000"/>
            <w:sz w:val="24"/>
            <w:szCs w:val="24"/>
          </w:rPr>
          <w:tag w:val="MENDELEY_CITATION_v3_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"/>
          <w:id w:val="518591632"/>
          <w:placeholder>
            <w:docPart w:val="83846677A621427695D1E4DB94D046C2"/>
          </w:placeholder>
        </w:sdtPr>
        <w:sdtContent>
          <w:r w:rsidRPr="00537118">
            <w:rPr>
              <w:rFonts w:ascii="Garamond" w:eastAsia="Times New Roman" w:hAnsi="Garamond"/>
              <w:color w:val="000000"/>
              <w:sz w:val="24"/>
              <w:szCs w:val="24"/>
            </w:rPr>
            <w:t>(McDougall e Oviatt, 2000)</w:t>
          </w:r>
        </w:sdtContent>
      </w:sdt>
      <w:r w:rsidRPr="00537118">
        <w:rPr>
          <w:rFonts w:ascii="Garamond" w:hAnsi="Garamond"/>
          <w:color w:val="000000"/>
          <w:sz w:val="24"/>
          <w:szCs w:val="24"/>
        </w:rPr>
        <w:t xml:space="preserve">. </w:t>
      </w:r>
      <w:r w:rsidRPr="00537118">
        <w:rPr>
          <w:rFonts w:ascii="Garamond" w:hAnsi="Garamond"/>
          <w:sz w:val="24"/>
          <w:szCs w:val="24"/>
        </w:rPr>
        <w:t xml:space="preserve">Anos depois, os autores previamente mencionados aperfeiçoaram a definição, incluindo os conceitos de descobrir, pôr em marcha, avaliar e explorar as oportunidades no exterior (Oviatt e McDougall (2005). </w:t>
      </w:r>
    </w:p>
    <w:p w14:paraId="1D27B8DE" w14:textId="77777777" w:rsidR="0043189B" w:rsidRPr="00537118" w:rsidRDefault="0043189B" w:rsidP="0043189B">
      <w:pPr>
        <w:tabs>
          <w:tab w:val="left" w:pos="3420"/>
        </w:tabs>
        <w:spacing w:line="360" w:lineRule="auto"/>
        <w:jc w:val="both"/>
        <w:rPr>
          <w:rFonts w:ascii="Garamond" w:hAnsi="Garamond"/>
          <w:sz w:val="24"/>
          <w:szCs w:val="24"/>
        </w:rPr>
      </w:pPr>
      <w:r w:rsidRPr="00537118">
        <w:rPr>
          <w:rFonts w:ascii="Garamond" w:hAnsi="Garamond"/>
          <w:sz w:val="24"/>
          <w:szCs w:val="24"/>
        </w:rPr>
        <w:t>Relativamente aos conceitos recém-introduzidos, quando, a respeito de uma empresa, se fala em “descobrir”, isso implica conseguir pela primeira vez ter uma ideia/conhecimento de uma oportunidade, ao passo que “pôr em prática” (</w:t>
      </w:r>
      <w:r w:rsidRPr="009B0925">
        <w:rPr>
          <w:rFonts w:ascii="Garamond" w:hAnsi="Garamond"/>
          <w:i/>
          <w:iCs/>
          <w:sz w:val="24"/>
          <w:szCs w:val="24"/>
        </w:rPr>
        <w:t>enact</w:t>
      </w:r>
      <w:r w:rsidRPr="00537118">
        <w:rPr>
          <w:rFonts w:ascii="Garamond" w:hAnsi="Garamond"/>
          <w:sz w:val="24"/>
          <w:szCs w:val="24"/>
        </w:rPr>
        <w:t xml:space="preserve">) significa realizar atividades da empresa fora das fronteiras nacionais. Quanto aos restantes conceitos, os gestores/empreendedores são responsáveis por serem ativos no processo de encontrar/decifrar oportunidades atraentes e por, graças às suas capacidades e características pessoais, atuarem de forma a entrarem em mercados externos. </w:t>
      </w:r>
    </w:p>
    <w:p w14:paraId="17EBE149" w14:textId="77777777" w:rsidR="0043189B" w:rsidRPr="00537118" w:rsidRDefault="0043189B" w:rsidP="0043189B">
      <w:pPr>
        <w:tabs>
          <w:tab w:val="left" w:pos="3420"/>
        </w:tabs>
        <w:spacing w:line="360" w:lineRule="auto"/>
        <w:jc w:val="both"/>
        <w:rPr>
          <w:rFonts w:ascii="Garamond" w:hAnsi="Garamond"/>
          <w:sz w:val="24"/>
          <w:szCs w:val="24"/>
        </w:rPr>
      </w:pPr>
      <w:r w:rsidRPr="00537118">
        <w:rPr>
          <w:rFonts w:ascii="Garamond" w:hAnsi="Garamond"/>
          <w:sz w:val="24"/>
          <w:szCs w:val="24"/>
        </w:rPr>
        <w:t xml:space="preserve">De forma resumida, não há consenso a 100% quanto a saber se se trata uma nova área de estudo e se pode ser separada das três grandes áreas, sendo estas o empreendedorismo, os negócios internacionais e a gestão estratégica (Wach, 2015, p. 12). De acordo com Covin e Miller (2014), tem-se descoberto uma relação positiva entre esta teoria/visão e alguns indicadores de performance (tais como a preponderância das organizações na procura ativa de oportunidades e a venda de produtos e serviços em outros mercados). </w:t>
      </w:r>
    </w:p>
    <w:p w14:paraId="4F2E6FAE" w14:textId="7345F252" w:rsidR="0043189B" w:rsidRPr="00537118" w:rsidRDefault="0043189B" w:rsidP="0043189B">
      <w:pPr>
        <w:tabs>
          <w:tab w:val="left" w:pos="3420"/>
        </w:tabs>
        <w:spacing w:line="360" w:lineRule="auto"/>
        <w:jc w:val="both"/>
        <w:rPr>
          <w:rFonts w:ascii="Garamond" w:hAnsi="Garamond"/>
          <w:sz w:val="24"/>
          <w:szCs w:val="24"/>
        </w:rPr>
      </w:pPr>
      <w:r w:rsidRPr="00537118">
        <w:rPr>
          <w:rFonts w:ascii="Garamond" w:hAnsi="Garamond"/>
          <w:sz w:val="24"/>
          <w:szCs w:val="24"/>
        </w:rPr>
        <w:t>Para finalizar, esta visão de empreendedorismo internacional</w:t>
      </w:r>
      <w:r w:rsidR="00345E8D" w:rsidRPr="00537118">
        <w:rPr>
          <w:rFonts w:ascii="Garamond" w:hAnsi="Garamond"/>
          <w:sz w:val="24"/>
          <w:szCs w:val="24"/>
        </w:rPr>
        <w:t xml:space="preserve"> </w:t>
      </w:r>
      <w:r w:rsidRPr="00537118">
        <w:rPr>
          <w:rFonts w:ascii="Garamond" w:hAnsi="Garamond"/>
          <w:sz w:val="24"/>
          <w:szCs w:val="24"/>
        </w:rPr>
        <w:t xml:space="preserve">está associada a resultados positivos em indicadores que medem o desempenho das empresas e assevera que o </w:t>
      </w:r>
      <w:r w:rsidRPr="00537118">
        <w:rPr>
          <w:rFonts w:ascii="Garamond" w:hAnsi="Garamond"/>
          <w:sz w:val="24"/>
          <w:szCs w:val="24"/>
        </w:rPr>
        <w:lastRenderedPageBreak/>
        <w:t>gestor/empreendedor tem influência na decisão e aproveitamento de oportunidades, quando se trata de explorar mercados externos (Allen, 2016).</w:t>
      </w:r>
    </w:p>
    <w:p w14:paraId="43FFC6B3" w14:textId="77777777" w:rsidR="00922FE9" w:rsidRPr="00537118" w:rsidRDefault="00922FE9" w:rsidP="0043189B">
      <w:pPr>
        <w:tabs>
          <w:tab w:val="left" w:pos="3420"/>
        </w:tabs>
        <w:spacing w:line="360" w:lineRule="auto"/>
        <w:jc w:val="both"/>
        <w:rPr>
          <w:rFonts w:ascii="Garamond" w:hAnsi="Garamond"/>
          <w:sz w:val="24"/>
          <w:szCs w:val="24"/>
        </w:rPr>
      </w:pPr>
    </w:p>
    <w:p w14:paraId="0DC4B86D" w14:textId="04A5337D" w:rsidR="005A5BF6" w:rsidRPr="00537118" w:rsidRDefault="00E53177" w:rsidP="004B5EF6">
      <w:pPr>
        <w:pStyle w:val="Heading2"/>
        <w:spacing w:line="360" w:lineRule="auto"/>
      </w:pPr>
      <w:bookmarkStart w:id="11" w:name="_Toc202571350"/>
      <w:r w:rsidRPr="00537118">
        <w:t>3</w:t>
      </w:r>
      <w:r w:rsidR="005A5BF6" w:rsidRPr="00537118">
        <w:t>.2</w:t>
      </w:r>
      <w:r w:rsidR="00103601" w:rsidRPr="00537118">
        <w:t>.</w:t>
      </w:r>
      <w:r w:rsidR="004F73A7" w:rsidRPr="00537118">
        <w:t xml:space="preserve"> </w:t>
      </w:r>
      <w:r w:rsidR="005A5BF6" w:rsidRPr="00537118">
        <w:t>Motivações para a internacionalização</w:t>
      </w:r>
      <w:bookmarkEnd w:id="11"/>
      <w:r w:rsidR="005A5BF6" w:rsidRPr="00537118">
        <w:t xml:space="preserve"> </w:t>
      </w:r>
    </w:p>
    <w:p w14:paraId="4EE3E0E2" w14:textId="77777777" w:rsidR="005A5BF6" w:rsidRPr="00537118" w:rsidRDefault="005A5BF6" w:rsidP="004B5EF6">
      <w:pPr>
        <w:spacing w:line="360" w:lineRule="auto"/>
        <w:jc w:val="both"/>
        <w:rPr>
          <w:rFonts w:ascii="Garamond" w:hAnsi="Garamond"/>
          <w:sz w:val="24"/>
          <w:szCs w:val="24"/>
        </w:rPr>
      </w:pPr>
      <w:r w:rsidRPr="00537118">
        <w:rPr>
          <w:rFonts w:ascii="Garamond" w:hAnsi="Garamond"/>
          <w:sz w:val="24"/>
          <w:szCs w:val="24"/>
        </w:rPr>
        <w:t xml:space="preserve">Relativamente às motivações pelas quais as empresas recorrem aos mercados internacionais, podemos analisá-las a partir de Dunning e Lundan (2008), autores que atribuem 4 motivações primárias e um conjunto de secundárias. No entanto, é importante notar que uma empresa pode iniciar o seu processo de internacionalização com base numa determinada motivação e, posteriormente, prosseguir no sentido de outra. </w:t>
      </w:r>
    </w:p>
    <w:p w14:paraId="173723C8" w14:textId="240432FC" w:rsidR="005A5BF6" w:rsidRPr="00537118" w:rsidRDefault="00E53177" w:rsidP="004D5473">
      <w:pPr>
        <w:pStyle w:val="Heading3"/>
        <w:spacing w:line="360" w:lineRule="auto"/>
        <w:rPr>
          <w:sz w:val="26"/>
          <w:szCs w:val="26"/>
        </w:rPr>
      </w:pPr>
      <w:bookmarkStart w:id="12" w:name="_Toc202571351"/>
      <w:r w:rsidRPr="00537118">
        <w:rPr>
          <w:sz w:val="26"/>
          <w:szCs w:val="26"/>
        </w:rPr>
        <w:t>3</w:t>
      </w:r>
      <w:r w:rsidR="005A5BF6" w:rsidRPr="00537118">
        <w:rPr>
          <w:sz w:val="26"/>
          <w:szCs w:val="26"/>
        </w:rPr>
        <w:t>.2.1</w:t>
      </w:r>
      <w:r w:rsidR="00103601" w:rsidRPr="00537118">
        <w:rPr>
          <w:sz w:val="26"/>
          <w:szCs w:val="26"/>
        </w:rPr>
        <w:t>.</w:t>
      </w:r>
      <w:r w:rsidR="005A5BF6" w:rsidRPr="00537118">
        <w:rPr>
          <w:sz w:val="26"/>
          <w:szCs w:val="26"/>
        </w:rPr>
        <w:t xml:space="preserve"> Motivações primárias</w:t>
      </w:r>
      <w:bookmarkEnd w:id="12"/>
      <w:r w:rsidR="005A5BF6" w:rsidRPr="00537118">
        <w:rPr>
          <w:sz w:val="26"/>
          <w:szCs w:val="26"/>
        </w:rPr>
        <w:t xml:space="preserve"> </w:t>
      </w:r>
    </w:p>
    <w:p w14:paraId="396475CA" w14:textId="5C009C69" w:rsidR="005A5BF6" w:rsidRPr="00537118" w:rsidRDefault="005A5BF6" w:rsidP="004D5473">
      <w:pPr>
        <w:spacing w:line="360" w:lineRule="auto"/>
        <w:jc w:val="both"/>
        <w:rPr>
          <w:rFonts w:ascii="Garamond" w:hAnsi="Garamond"/>
          <w:sz w:val="24"/>
          <w:szCs w:val="24"/>
        </w:rPr>
      </w:pPr>
      <w:r w:rsidRPr="00537118">
        <w:rPr>
          <w:rFonts w:ascii="Garamond" w:hAnsi="Garamond"/>
          <w:sz w:val="24"/>
          <w:szCs w:val="24"/>
        </w:rPr>
        <w:t>A primeira motivação é a procura de mercados (</w:t>
      </w:r>
      <w:r w:rsidRPr="00537118">
        <w:rPr>
          <w:rFonts w:ascii="Garamond" w:hAnsi="Garamond"/>
          <w:i/>
          <w:iCs/>
          <w:sz w:val="24"/>
          <w:szCs w:val="24"/>
        </w:rPr>
        <w:t>market-seeking</w:t>
      </w:r>
      <w:r w:rsidRPr="00537118">
        <w:rPr>
          <w:rFonts w:ascii="Garamond" w:hAnsi="Garamond"/>
          <w:sz w:val="24"/>
          <w:szCs w:val="24"/>
        </w:rPr>
        <w:t>) e consiste em explorar, através de exportações, novos mercados (em novos territórios ou em outros já explorados). Isto pode envolver diferentes aspetos, como, por exemplo, acompanhar a expansão internacional de clientes, evitar barreiras às exportações ou adotar uma estratégia que exija uma presença física. De seguida, existe a procura de recursos (</w:t>
      </w:r>
      <w:r w:rsidRPr="00537118">
        <w:rPr>
          <w:rFonts w:ascii="Garamond" w:hAnsi="Garamond"/>
          <w:i/>
          <w:iCs/>
          <w:sz w:val="24"/>
          <w:szCs w:val="24"/>
        </w:rPr>
        <w:t>resource-seeking</w:t>
      </w:r>
      <w:r w:rsidRPr="00537118">
        <w:rPr>
          <w:rFonts w:ascii="Garamond" w:hAnsi="Garamond"/>
          <w:sz w:val="24"/>
          <w:szCs w:val="24"/>
        </w:rPr>
        <w:t>)</w:t>
      </w:r>
      <w:r w:rsidRPr="00537118">
        <w:rPr>
          <w:rFonts w:ascii="Garamond" w:hAnsi="Garamond"/>
          <w:b/>
          <w:bCs/>
          <w:sz w:val="24"/>
          <w:szCs w:val="24"/>
        </w:rPr>
        <w:t xml:space="preserve"> </w:t>
      </w:r>
      <w:r w:rsidRPr="00537118">
        <w:rPr>
          <w:rFonts w:ascii="Garamond" w:hAnsi="Garamond"/>
          <w:sz w:val="24"/>
          <w:szCs w:val="24"/>
        </w:rPr>
        <w:t>e, tal como o nome indica, traduz-se em explorar novos mercados que viabilizem a obtenção de recursos de melhor qualidade ou inexistentes no mercado de origem. Isso pode-se significar garantir a estabilidade do fornecimento de um determinado recurso e aceder a recursos economicamente mais baratos e/ou não presentes no mercado doméstico da empresa (Lehmann, 2023). Para além destas duas motivações, as empresas podem dedicar-se a racionalizar a sua estrutura de abastecimento e de distribuição. A esta motivação principal dá-se o nome de procura de eficiência (</w:t>
      </w:r>
      <w:r w:rsidRPr="00537118">
        <w:rPr>
          <w:rFonts w:ascii="Garamond" w:hAnsi="Garamond"/>
          <w:i/>
          <w:iCs/>
          <w:sz w:val="24"/>
          <w:szCs w:val="24"/>
        </w:rPr>
        <w:t>efficiency-seeking</w:t>
      </w:r>
      <w:r w:rsidRPr="00537118">
        <w:rPr>
          <w:rFonts w:ascii="Garamond" w:hAnsi="Garamond"/>
          <w:sz w:val="24"/>
          <w:szCs w:val="24"/>
        </w:rPr>
        <w:t>), podendo consistir na redução de custos de transporte, na exploração de economias de escala e gama ou na diminuição do risco. Adicionalmente, existe a procura de ativos estratégicos (</w:t>
      </w:r>
      <w:r w:rsidRPr="00537118">
        <w:rPr>
          <w:rFonts w:ascii="Garamond" w:hAnsi="Garamond"/>
          <w:i/>
          <w:iCs/>
          <w:sz w:val="24"/>
          <w:szCs w:val="24"/>
        </w:rPr>
        <w:t>strategic asset-seeking</w:t>
      </w:r>
      <w:r w:rsidRPr="00537118">
        <w:rPr>
          <w:rFonts w:ascii="Garamond" w:hAnsi="Garamond"/>
          <w:sz w:val="24"/>
          <w:szCs w:val="24"/>
        </w:rPr>
        <w:t>), a qual consiste em adquirir recursos específicos que não estão facilmente disponíveis ou que são inalcançáveis no mercado de origem, sendo este expediente normalmente associado a estratégias de longo prazo. Também é comum isto estar articulado com a aquisição de informação, ativos únicos ou ativos que possam proporcionar uma vantagem competitiva.</w:t>
      </w:r>
    </w:p>
    <w:p w14:paraId="5E07A0D2" w14:textId="12E67650" w:rsidR="005A5BF6" w:rsidRPr="00537118" w:rsidRDefault="00E53177" w:rsidP="004D5473">
      <w:pPr>
        <w:pStyle w:val="Heading3"/>
        <w:spacing w:line="360" w:lineRule="auto"/>
        <w:rPr>
          <w:sz w:val="26"/>
          <w:szCs w:val="26"/>
        </w:rPr>
      </w:pPr>
      <w:bookmarkStart w:id="13" w:name="_Toc202571352"/>
      <w:r w:rsidRPr="00537118">
        <w:rPr>
          <w:sz w:val="26"/>
          <w:szCs w:val="26"/>
        </w:rPr>
        <w:lastRenderedPageBreak/>
        <w:t>3</w:t>
      </w:r>
      <w:r w:rsidR="005A5BF6" w:rsidRPr="00537118">
        <w:rPr>
          <w:sz w:val="26"/>
          <w:szCs w:val="26"/>
        </w:rPr>
        <w:t>.2.2</w:t>
      </w:r>
      <w:r w:rsidR="00B213A0" w:rsidRPr="00537118">
        <w:rPr>
          <w:sz w:val="26"/>
          <w:szCs w:val="26"/>
        </w:rPr>
        <w:t>.</w:t>
      </w:r>
      <w:r w:rsidR="005A5BF6" w:rsidRPr="00537118">
        <w:rPr>
          <w:sz w:val="26"/>
          <w:szCs w:val="26"/>
        </w:rPr>
        <w:t xml:space="preserve"> Motivações secundárias</w:t>
      </w:r>
      <w:bookmarkEnd w:id="13"/>
      <w:r w:rsidR="005A5BF6" w:rsidRPr="00537118">
        <w:rPr>
          <w:sz w:val="26"/>
          <w:szCs w:val="26"/>
        </w:rPr>
        <w:t xml:space="preserve"> </w:t>
      </w:r>
    </w:p>
    <w:p w14:paraId="65B17B58" w14:textId="77777777" w:rsidR="005A5BF6" w:rsidRPr="00537118" w:rsidRDefault="005A5BF6" w:rsidP="004D5473">
      <w:pPr>
        <w:spacing w:line="360" w:lineRule="auto"/>
        <w:jc w:val="both"/>
        <w:rPr>
          <w:rFonts w:ascii="Garamond" w:hAnsi="Garamond"/>
          <w:sz w:val="24"/>
          <w:szCs w:val="24"/>
        </w:rPr>
      </w:pPr>
      <w:r w:rsidRPr="00537118">
        <w:rPr>
          <w:rFonts w:ascii="Garamond" w:hAnsi="Garamond"/>
          <w:sz w:val="24"/>
          <w:szCs w:val="24"/>
        </w:rPr>
        <w:t>Estas motivações são igualmente importantes devido às condições e ao comportamento das empresas, na atualidade (Cuervo-Cazurra e Narula, 2015), sendo que, de entre esses fatores, se destaca particularmente a “fuga a restrições no país de origem” (</w:t>
      </w:r>
      <w:r w:rsidRPr="00537118">
        <w:rPr>
          <w:rFonts w:ascii="Garamond" w:hAnsi="Garamond"/>
          <w:i/>
          <w:iCs/>
          <w:sz w:val="24"/>
          <w:szCs w:val="24"/>
        </w:rPr>
        <w:t>escape investments</w:t>
      </w:r>
      <w:r w:rsidRPr="00537118">
        <w:rPr>
          <w:rFonts w:ascii="Garamond" w:hAnsi="Garamond"/>
          <w:sz w:val="24"/>
          <w:szCs w:val="24"/>
        </w:rPr>
        <w:t>), que consiste em relocalizar as atividades da empresa para evitar legislações e políticas prejudiciais no mercado doméstico. Uma outra motivação secundária consiste em investimentos complementares (</w:t>
      </w:r>
      <w:r w:rsidRPr="00537118">
        <w:rPr>
          <w:rFonts w:ascii="Garamond" w:hAnsi="Garamond"/>
          <w:i/>
          <w:iCs/>
          <w:sz w:val="24"/>
          <w:szCs w:val="24"/>
        </w:rPr>
        <w:t>support investments</w:t>
      </w:r>
      <w:r w:rsidRPr="00537118">
        <w:rPr>
          <w:rFonts w:ascii="Garamond" w:hAnsi="Garamond"/>
          <w:sz w:val="24"/>
          <w:szCs w:val="24"/>
        </w:rPr>
        <w:t xml:space="preserve">), os quais se destinam a reforçar ou proteger as atividades principais da empresa, através de investimentos em outras áreas geográficas - nomeadamente, através de subsidiárias em locais estratégicos. </w:t>
      </w:r>
    </w:p>
    <w:p w14:paraId="5E291723" w14:textId="07EC89DE" w:rsidR="00674C5C" w:rsidRPr="00537118" w:rsidRDefault="005A5BF6" w:rsidP="005A5BF6">
      <w:pPr>
        <w:spacing w:line="360" w:lineRule="auto"/>
        <w:jc w:val="both"/>
        <w:rPr>
          <w:rFonts w:ascii="Garamond" w:hAnsi="Garamond"/>
          <w:sz w:val="24"/>
          <w:szCs w:val="24"/>
        </w:rPr>
      </w:pPr>
      <w:r w:rsidRPr="00537118">
        <w:rPr>
          <w:rFonts w:ascii="Garamond" w:hAnsi="Garamond"/>
          <w:sz w:val="24"/>
          <w:szCs w:val="24"/>
        </w:rPr>
        <w:t>Tendo em conta a particularidade das Born globals, podemos destacar algumas motivações mais específicas a esta categoria de empresas. Um</w:t>
      </w:r>
      <w:r w:rsidR="009B0925">
        <w:rPr>
          <w:rFonts w:ascii="Garamond" w:hAnsi="Garamond"/>
          <w:sz w:val="24"/>
          <w:szCs w:val="24"/>
        </w:rPr>
        <w:t>a</w:t>
      </w:r>
      <w:r w:rsidRPr="00537118">
        <w:rPr>
          <w:rFonts w:ascii="Garamond" w:hAnsi="Garamond"/>
          <w:sz w:val="24"/>
          <w:szCs w:val="24"/>
        </w:rPr>
        <w:t xml:space="preserve"> dessas motivações é a reduzida dimensão do mercado doméstico, que condiciona fortemente a necessidade de procurar novos mercados desde o surgimento da empresa (Gabrielsson e Gabrielsson, 2011). Paralelamente, estas empresas costumam focar-se em nichos, com atividades altamente inovadoras ou especializadas (Freeman et al. 2006; Knight e Cavusgil, 2004), o que também condiciona a procura de clientes numa base global.</w:t>
      </w:r>
    </w:p>
    <w:p w14:paraId="0EAAF2F1" w14:textId="77777777" w:rsidR="00674C5C" w:rsidRPr="00537118" w:rsidRDefault="00674C5C" w:rsidP="005A5BF6">
      <w:pPr>
        <w:spacing w:line="360" w:lineRule="auto"/>
        <w:jc w:val="both"/>
        <w:rPr>
          <w:rFonts w:ascii="Garamond" w:hAnsi="Garamond"/>
          <w:sz w:val="24"/>
          <w:szCs w:val="24"/>
        </w:rPr>
      </w:pPr>
    </w:p>
    <w:p w14:paraId="291C6D93" w14:textId="5577C1B6" w:rsidR="00CD4D49" w:rsidRPr="00537118" w:rsidRDefault="00E53177" w:rsidP="004D5473">
      <w:pPr>
        <w:pStyle w:val="Heading2"/>
        <w:spacing w:line="360" w:lineRule="auto"/>
      </w:pPr>
      <w:bookmarkStart w:id="14" w:name="_Toc202571353"/>
      <w:r w:rsidRPr="00537118">
        <w:t>3</w:t>
      </w:r>
      <w:r w:rsidR="00CD4D49" w:rsidRPr="00537118">
        <w:t>.3</w:t>
      </w:r>
      <w:r w:rsidR="00B213A0" w:rsidRPr="00537118">
        <w:t>.</w:t>
      </w:r>
      <w:r w:rsidR="004F73A7" w:rsidRPr="00537118">
        <w:t xml:space="preserve"> </w:t>
      </w:r>
      <w:r w:rsidR="00CD4D49" w:rsidRPr="00537118">
        <w:t>Modos de entrada</w:t>
      </w:r>
      <w:bookmarkEnd w:id="14"/>
      <w:r w:rsidR="00CD4D49" w:rsidRPr="00537118">
        <w:t xml:space="preserve"> </w:t>
      </w:r>
    </w:p>
    <w:p w14:paraId="42A47A2B" w14:textId="77777777" w:rsidR="00CD4D49" w:rsidRPr="00537118" w:rsidRDefault="00CD4D49" w:rsidP="004D5473">
      <w:pPr>
        <w:spacing w:line="360" w:lineRule="auto"/>
        <w:jc w:val="both"/>
        <w:rPr>
          <w:rFonts w:ascii="Garamond" w:hAnsi="Garamond"/>
          <w:sz w:val="24"/>
          <w:szCs w:val="24"/>
        </w:rPr>
      </w:pPr>
      <w:r w:rsidRPr="00537118">
        <w:rPr>
          <w:rFonts w:ascii="Garamond" w:hAnsi="Garamond"/>
          <w:sz w:val="24"/>
          <w:szCs w:val="24"/>
        </w:rPr>
        <w:t xml:space="preserve">Este tem sido um assunto amplamente discutido ao longo de décadas, devido à sua importância no quadro do desempenho de uma empresa em processo de internacionalização (Anderson e Gatignon, 1986). Por esse motivo, existe inúmera literatura relacionada com o conceito de modos de entrada e, simultaneamente, uma grande diversidade de critérios para categorizar esses modos (Canabal e White, 2008; Benito et al. 2009; Morschett et al., 2010). Contudo, é tendência dos estudos atuais uma postura de evitar incidir a atenção na categorização, uma vez que existem modos mistos e bastante flexíveis (Schellenber et al. 2018). </w:t>
      </w:r>
    </w:p>
    <w:p w14:paraId="3AEF8E53" w14:textId="77777777" w:rsidR="00CD4D49" w:rsidRPr="00537118" w:rsidRDefault="00CD4D49" w:rsidP="00CD4D49">
      <w:pPr>
        <w:spacing w:line="360" w:lineRule="auto"/>
        <w:jc w:val="both"/>
        <w:rPr>
          <w:rFonts w:ascii="Garamond" w:hAnsi="Garamond"/>
          <w:sz w:val="24"/>
          <w:szCs w:val="24"/>
        </w:rPr>
      </w:pPr>
      <w:r w:rsidRPr="00537118">
        <w:rPr>
          <w:rFonts w:ascii="Garamond" w:hAnsi="Garamond"/>
          <w:sz w:val="24"/>
          <w:szCs w:val="24"/>
        </w:rPr>
        <w:t xml:space="preserve">Dito isto, vamos analisar os modos de entrada dividindo-os dois grupos: </w:t>
      </w:r>
      <w:r w:rsidRPr="00537118">
        <w:rPr>
          <w:rFonts w:ascii="Garamond" w:hAnsi="Garamond"/>
          <w:i/>
          <w:sz w:val="24"/>
          <w:szCs w:val="24"/>
        </w:rPr>
        <w:t>Equity modes e Non-equity modes</w:t>
      </w:r>
      <w:r w:rsidRPr="00537118">
        <w:rPr>
          <w:rFonts w:ascii="Garamond" w:hAnsi="Garamond"/>
          <w:sz w:val="24"/>
          <w:szCs w:val="24"/>
        </w:rPr>
        <w:t xml:space="preserve">, categorização inicialmente proposta por Kumar e Subramaniam (1997) e Pan e Tse (2000) </w:t>
      </w:r>
      <w:r w:rsidRPr="00537118">
        <w:rPr>
          <w:rFonts w:ascii="Garamond" w:hAnsi="Garamond"/>
          <w:sz w:val="24"/>
          <w:szCs w:val="24"/>
        </w:rPr>
        <w:lastRenderedPageBreak/>
        <w:t>em “The Hierarchical Model of Market Entry Modes”, para diferenciar os modos de entrada consoante a propriedade e a contratualidade (Schellenber et al. 2018).</w:t>
      </w:r>
    </w:p>
    <w:p w14:paraId="1333E3AA" w14:textId="2B2A7DB8" w:rsidR="00CD4D49" w:rsidRPr="00537118" w:rsidRDefault="00E53177" w:rsidP="004D5473">
      <w:pPr>
        <w:pStyle w:val="Heading3"/>
        <w:spacing w:line="360" w:lineRule="auto"/>
        <w:rPr>
          <w:sz w:val="26"/>
          <w:szCs w:val="26"/>
        </w:rPr>
      </w:pPr>
      <w:bookmarkStart w:id="15" w:name="_Toc202571354"/>
      <w:r w:rsidRPr="00537118">
        <w:rPr>
          <w:sz w:val="26"/>
          <w:szCs w:val="26"/>
        </w:rPr>
        <w:t>3</w:t>
      </w:r>
      <w:r w:rsidR="00CD4D49" w:rsidRPr="00537118">
        <w:rPr>
          <w:sz w:val="26"/>
          <w:szCs w:val="26"/>
        </w:rPr>
        <w:t>.3.1</w:t>
      </w:r>
      <w:r w:rsidR="00103601" w:rsidRPr="00537118">
        <w:rPr>
          <w:sz w:val="26"/>
          <w:szCs w:val="26"/>
        </w:rPr>
        <w:t>.</w:t>
      </w:r>
      <w:r w:rsidR="00CD4D49" w:rsidRPr="00537118">
        <w:rPr>
          <w:sz w:val="26"/>
          <w:szCs w:val="26"/>
        </w:rPr>
        <w:t xml:space="preserve"> Equity based</w:t>
      </w:r>
      <w:bookmarkEnd w:id="15"/>
      <w:r w:rsidR="00CD4D49" w:rsidRPr="00537118">
        <w:rPr>
          <w:sz w:val="26"/>
          <w:szCs w:val="26"/>
        </w:rPr>
        <w:t xml:space="preserve"> </w:t>
      </w:r>
    </w:p>
    <w:p w14:paraId="48B1BE9C" w14:textId="77777777" w:rsidR="00CD4D49" w:rsidRPr="00537118" w:rsidRDefault="00CD4D49" w:rsidP="004D5473">
      <w:pPr>
        <w:spacing w:line="360" w:lineRule="auto"/>
        <w:jc w:val="both"/>
        <w:rPr>
          <w:rFonts w:ascii="Garamond" w:hAnsi="Garamond"/>
          <w:sz w:val="24"/>
          <w:szCs w:val="24"/>
        </w:rPr>
      </w:pPr>
      <w:r w:rsidRPr="00537118">
        <w:rPr>
          <w:rFonts w:ascii="Garamond" w:hAnsi="Garamond"/>
          <w:sz w:val="24"/>
          <w:szCs w:val="24"/>
        </w:rPr>
        <w:t>Nesta categoria, entram os modos de entrada de maior controlo, compromisso e, por norma, investimento, sendo necessário o estabelecimento de operações próprias da empresa (Anderson e Gatignon, 1986).</w:t>
      </w:r>
    </w:p>
    <w:p w14:paraId="6524657F" w14:textId="6085AF0E" w:rsidR="00CD4D49" w:rsidRPr="00537118" w:rsidRDefault="00CD4D49" w:rsidP="00CD4D49">
      <w:pPr>
        <w:spacing w:line="360" w:lineRule="auto"/>
        <w:jc w:val="both"/>
        <w:rPr>
          <w:rFonts w:ascii="Garamond" w:hAnsi="Garamond"/>
          <w:sz w:val="24"/>
          <w:szCs w:val="24"/>
        </w:rPr>
      </w:pPr>
      <w:r w:rsidRPr="00537118">
        <w:rPr>
          <w:rFonts w:ascii="Garamond" w:hAnsi="Garamond"/>
          <w:sz w:val="24"/>
          <w:szCs w:val="24"/>
        </w:rPr>
        <w:t xml:space="preserve">Assumindo esta categorização, podemos, neste grupo, falar nas </w:t>
      </w:r>
      <w:r w:rsidRPr="00537118">
        <w:rPr>
          <w:rFonts w:ascii="Garamond" w:hAnsi="Garamond"/>
          <w:i/>
          <w:sz w:val="24"/>
          <w:szCs w:val="24"/>
        </w:rPr>
        <w:t>joint-ventures</w:t>
      </w:r>
      <w:r w:rsidRPr="00537118">
        <w:rPr>
          <w:rFonts w:ascii="Garamond" w:hAnsi="Garamond"/>
          <w:sz w:val="24"/>
          <w:szCs w:val="24"/>
        </w:rPr>
        <w:t xml:space="preserve"> e subsidiárias a 100%. Quanto à primeira, consiste numa nova entidade jurídica formada a partir do investimento de duas ou mais empresas-mãe, com o risco, lucro, recursos e tomada de decisão a serem partilhados com a outra empresa-mãe, havendo também a possibilidade de criar sinergias e de atenuar as dificuldades do processo de internacionalização (Dow e Karunaratna, 2006). Contrariamente, a subsidiária a 100% envolve maior controlo sobre as operações e não existe partilha de recursos com outra empresa, acarretando a empresa em causa os riscos e benefícios da independência, nos mercados internacionais (Peng, 2009) (Lehmann, 2023).</w:t>
      </w:r>
    </w:p>
    <w:p w14:paraId="40569825" w14:textId="563DDF08" w:rsidR="00CD4D49" w:rsidRPr="00537118" w:rsidRDefault="00E53177" w:rsidP="004D5473">
      <w:pPr>
        <w:pStyle w:val="Heading3"/>
        <w:spacing w:line="360" w:lineRule="auto"/>
        <w:rPr>
          <w:sz w:val="26"/>
          <w:szCs w:val="26"/>
        </w:rPr>
      </w:pPr>
      <w:bookmarkStart w:id="16" w:name="_Toc202571355"/>
      <w:r w:rsidRPr="00537118">
        <w:rPr>
          <w:sz w:val="26"/>
          <w:szCs w:val="26"/>
        </w:rPr>
        <w:t>3</w:t>
      </w:r>
      <w:r w:rsidR="00CD4D49" w:rsidRPr="00537118">
        <w:rPr>
          <w:sz w:val="26"/>
          <w:szCs w:val="26"/>
        </w:rPr>
        <w:t>.3.2</w:t>
      </w:r>
      <w:r w:rsidR="00103601" w:rsidRPr="00537118">
        <w:rPr>
          <w:sz w:val="26"/>
          <w:szCs w:val="26"/>
        </w:rPr>
        <w:t>.</w:t>
      </w:r>
      <w:r w:rsidR="00CD4D49" w:rsidRPr="00537118">
        <w:rPr>
          <w:sz w:val="26"/>
          <w:szCs w:val="26"/>
        </w:rPr>
        <w:t xml:space="preserve"> Non-equity based</w:t>
      </w:r>
      <w:bookmarkEnd w:id="16"/>
      <w:r w:rsidR="00CD4D49" w:rsidRPr="00537118">
        <w:rPr>
          <w:sz w:val="26"/>
          <w:szCs w:val="26"/>
        </w:rPr>
        <w:t xml:space="preserve"> </w:t>
      </w:r>
    </w:p>
    <w:p w14:paraId="5517A991" w14:textId="77777777" w:rsidR="00CD4D49" w:rsidRPr="00537118" w:rsidRDefault="00CD4D49" w:rsidP="004D5473">
      <w:pPr>
        <w:spacing w:line="360" w:lineRule="auto"/>
        <w:jc w:val="both"/>
        <w:rPr>
          <w:rFonts w:ascii="Garamond" w:hAnsi="Garamond"/>
          <w:sz w:val="24"/>
          <w:szCs w:val="24"/>
        </w:rPr>
      </w:pPr>
      <w:r w:rsidRPr="00537118">
        <w:rPr>
          <w:rFonts w:ascii="Garamond" w:hAnsi="Garamond"/>
          <w:sz w:val="24"/>
          <w:szCs w:val="24"/>
        </w:rPr>
        <w:t xml:space="preserve">Em contraste com os </w:t>
      </w:r>
      <w:r w:rsidRPr="00537118">
        <w:rPr>
          <w:rFonts w:ascii="Garamond" w:hAnsi="Garamond"/>
          <w:i/>
          <w:sz w:val="24"/>
          <w:szCs w:val="24"/>
        </w:rPr>
        <w:t>equity based modes</w:t>
      </w:r>
      <w:r w:rsidRPr="00537118">
        <w:rPr>
          <w:rFonts w:ascii="Garamond" w:hAnsi="Garamond"/>
          <w:sz w:val="24"/>
          <w:szCs w:val="24"/>
        </w:rPr>
        <w:t>, não é necessário verificar-se o desenvolvimento de uma organização própria, podendo ser tudo gerido unicamente através de contratos. Na prática, existe menor grau de compromisso e alocação de recursos, assim como de risco. Todavia, a empresa, por sua vez, detém menor controlo (Pan e Tse, 2000).</w:t>
      </w:r>
    </w:p>
    <w:p w14:paraId="07D10F9F" w14:textId="77777777" w:rsidR="00CD4D49" w:rsidRPr="00537118" w:rsidRDefault="00CD4D49" w:rsidP="00CD4D49">
      <w:pPr>
        <w:spacing w:line="360" w:lineRule="auto"/>
        <w:jc w:val="both"/>
        <w:rPr>
          <w:rFonts w:ascii="Garamond" w:hAnsi="Garamond"/>
          <w:sz w:val="24"/>
          <w:szCs w:val="24"/>
        </w:rPr>
      </w:pPr>
      <w:r w:rsidRPr="00537118">
        <w:rPr>
          <w:rFonts w:ascii="Garamond" w:hAnsi="Garamond"/>
          <w:sz w:val="24"/>
          <w:szCs w:val="24"/>
        </w:rPr>
        <w:t>Como ponto de partida, podemos falar das exportações, etapa considerada o passo inicial para a internacionalização (Johanson e Vahlne 1977). Este modo de entrada é comum em empresas que não conseguem (ou não estão dispostas a) alocar elevados recursos. Este modo pode ainda ser subdividido em exportações indiretas e exportações diretas, sendo que a diferença reside na existência de um intermediário externo à empresa: colocação do produto no exterior (exportação indireta) ou colocação diretamente através da própria empresa (exportação direta).</w:t>
      </w:r>
    </w:p>
    <w:p w14:paraId="7A510878" w14:textId="77777777" w:rsidR="00CD4D49" w:rsidRPr="00537118" w:rsidRDefault="00CD4D49" w:rsidP="00CD4D49">
      <w:pPr>
        <w:spacing w:line="360" w:lineRule="auto"/>
        <w:jc w:val="both"/>
        <w:rPr>
          <w:rFonts w:ascii="Garamond" w:hAnsi="Garamond"/>
          <w:sz w:val="24"/>
          <w:szCs w:val="24"/>
        </w:rPr>
      </w:pPr>
      <w:r w:rsidRPr="00537118">
        <w:rPr>
          <w:rFonts w:ascii="Garamond" w:hAnsi="Garamond"/>
          <w:sz w:val="24"/>
          <w:szCs w:val="24"/>
        </w:rPr>
        <w:t xml:space="preserve">Na primeira vertente de exportação, a vantagem consiste na existência de um intermediário que trata do processo, verificando-se redução do risco; para além disso, agiliza-se a colocação do produto no mercado. Porém, esta opção condiciona o processo de aprendizagem e cria uma </w:t>
      </w:r>
      <w:r w:rsidRPr="00537118">
        <w:rPr>
          <w:rFonts w:ascii="Garamond" w:hAnsi="Garamond"/>
          <w:sz w:val="24"/>
          <w:szCs w:val="24"/>
        </w:rPr>
        <w:lastRenderedPageBreak/>
        <w:t xml:space="preserve">possível dependência para com o agente (Viana e Hortinha, 2005). Por outro lado, a exportação direta permite controlar melhor o processo de vendas e tirar maior proveito do conhecimento disponível, sempre que a empresa saiba lidar com a colocação do produto e com todos os processos associados ao desempenho da atividade no mercado externo. </w:t>
      </w:r>
    </w:p>
    <w:p w14:paraId="11BEEF43" w14:textId="77777777" w:rsidR="00CD4D49" w:rsidRPr="00537118" w:rsidRDefault="00CD4D49" w:rsidP="00CD4D49">
      <w:pPr>
        <w:spacing w:line="360" w:lineRule="auto"/>
        <w:jc w:val="both"/>
        <w:rPr>
          <w:rFonts w:ascii="Garamond" w:hAnsi="Garamond"/>
          <w:sz w:val="24"/>
          <w:szCs w:val="24"/>
        </w:rPr>
      </w:pPr>
      <w:r w:rsidRPr="00537118">
        <w:rPr>
          <w:rFonts w:ascii="Garamond" w:hAnsi="Garamond"/>
          <w:sz w:val="24"/>
          <w:szCs w:val="24"/>
        </w:rPr>
        <w:t xml:space="preserve">Relativamente ao licenciamento e </w:t>
      </w:r>
      <w:r w:rsidRPr="00537118">
        <w:rPr>
          <w:rFonts w:ascii="Garamond" w:hAnsi="Garamond"/>
          <w:i/>
          <w:sz w:val="24"/>
          <w:szCs w:val="24"/>
        </w:rPr>
        <w:t>franchising</w:t>
      </w:r>
      <w:r w:rsidRPr="00537118">
        <w:rPr>
          <w:rFonts w:ascii="Garamond" w:hAnsi="Garamond"/>
          <w:sz w:val="24"/>
          <w:szCs w:val="24"/>
        </w:rPr>
        <w:t xml:space="preserve">, ambos exigem a venda de um direito, (nomeadamente, o de produzir ou comercializar bens da empresa ou uma determinada tecnologia), sendo estipulado um período de vigência e uma contraparte monetária, denominada </w:t>
      </w:r>
      <w:r w:rsidRPr="00537118">
        <w:rPr>
          <w:rFonts w:ascii="Garamond" w:hAnsi="Garamond"/>
          <w:i/>
          <w:iCs/>
          <w:sz w:val="24"/>
          <w:szCs w:val="24"/>
        </w:rPr>
        <w:t>royalties</w:t>
      </w:r>
      <w:r w:rsidRPr="00537118">
        <w:rPr>
          <w:rFonts w:ascii="Garamond" w:hAnsi="Garamond"/>
          <w:sz w:val="24"/>
          <w:szCs w:val="24"/>
        </w:rPr>
        <w:t xml:space="preserve">. No caso do </w:t>
      </w:r>
      <w:r w:rsidRPr="00537118">
        <w:rPr>
          <w:rFonts w:ascii="Garamond" w:hAnsi="Garamond"/>
          <w:i/>
          <w:sz w:val="24"/>
          <w:szCs w:val="24"/>
        </w:rPr>
        <w:t>franchising</w:t>
      </w:r>
      <w:r w:rsidRPr="00537118">
        <w:rPr>
          <w:rFonts w:ascii="Garamond" w:hAnsi="Garamond"/>
          <w:sz w:val="24"/>
          <w:szCs w:val="24"/>
        </w:rPr>
        <w:t xml:space="preserve">, este modo está associado à utilização do direito de imagem de uma marca, com determinadas regras previamente estipuladas (Lehman, 2023; Cateora e Graham, 2001). Este tipo de relação contratual permite ao franchisado a obtenção de </w:t>
      </w:r>
      <w:r w:rsidRPr="00537118">
        <w:rPr>
          <w:rFonts w:ascii="Garamond" w:hAnsi="Garamond"/>
          <w:i/>
          <w:sz w:val="24"/>
          <w:szCs w:val="24"/>
        </w:rPr>
        <w:t>know-how</w:t>
      </w:r>
      <w:r w:rsidRPr="00537118">
        <w:rPr>
          <w:rFonts w:ascii="Garamond" w:hAnsi="Garamond"/>
          <w:sz w:val="24"/>
          <w:szCs w:val="24"/>
        </w:rPr>
        <w:t xml:space="preserve">, reputação e equipamentos de maneira pouco onerosa, podendo o franchisador, por sua vez, usufruir da expansão internacional sem, necessariamente, incorrer na maior parte dos custos associados a esse processo. Negativamente, o uso indevido da imagem ou da tecnologia por parte do licenciado/franchisado pode afetar de forma nefasta a perceção do consumidor e provocar a generalização de defeitos/falhas pontuais à totalidade da marca, da tecnologia ou do processo associado. </w:t>
      </w:r>
    </w:p>
    <w:p w14:paraId="64EDA6FE" w14:textId="77777777" w:rsidR="00CD4D49" w:rsidRPr="00537118" w:rsidRDefault="00CD4D49" w:rsidP="00CD4D49">
      <w:pPr>
        <w:spacing w:line="360" w:lineRule="auto"/>
        <w:jc w:val="both"/>
        <w:rPr>
          <w:rFonts w:ascii="Garamond" w:hAnsi="Garamond"/>
          <w:sz w:val="24"/>
          <w:szCs w:val="24"/>
        </w:rPr>
      </w:pPr>
      <w:r w:rsidRPr="00537118">
        <w:rPr>
          <w:rFonts w:ascii="Garamond" w:hAnsi="Garamond"/>
          <w:sz w:val="24"/>
          <w:szCs w:val="24"/>
        </w:rPr>
        <w:t>De seguida, existe a subcontratação. Este modo de entrada de índole contratual, segundo a definição da EBA (European Banking Authority), consiste em:</w:t>
      </w:r>
    </w:p>
    <w:p w14:paraId="0C2C4D52" w14:textId="77777777" w:rsidR="00CD4D49" w:rsidRPr="00537118" w:rsidRDefault="00CD4D49" w:rsidP="00CD4D49">
      <w:pPr>
        <w:spacing w:line="360" w:lineRule="auto"/>
        <w:ind w:left="720"/>
        <w:jc w:val="both"/>
        <w:rPr>
          <w:rFonts w:ascii="Garamond" w:hAnsi="Garamond"/>
          <w:sz w:val="24"/>
          <w:szCs w:val="24"/>
        </w:rPr>
      </w:pPr>
      <w:r w:rsidRPr="00537118">
        <w:rPr>
          <w:rFonts w:ascii="Garamond" w:hAnsi="Garamond"/>
          <w:sz w:val="24"/>
          <w:szCs w:val="24"/>
        </w:rPr>
        <w:t>“Um acordo, independentemente da sua forma, celebrado entre uma instituição (…) e um prestador de serviços, nos termos do qual esse prestador de serviços realiza um processo, presta um serviço ou desenvolve uma atividade que, de outro modo, seriam realizados pela própria instituição (…)”. (p. 4-5)</w:t>
      </w:r>
    </w:p>
    <w:p w14:paraId="1A9EFD9C" w14:textId="77777777" w:rsidR="00CD4D49" w:rsidRPr="00537118" w:rsidRDefault="00CD4D49" w:rsidP="00CD4D49">
      <w:pPr>
        <w:spacing w:line="360" w:lineRule="auto"/>
        <w:jc w:val="both"/>
        <w:rPr>
          <w:rFonts w:ascii="Garamond" w:hAnsi="Garamond"/>
          <w:sz w:val="24"/>
          <w:szCs w:val="24"/>
        </w:rPr>
      </w:pPr>
      <w:r w:rsidRPr="00537118">
        <w:rPr>
          <w:rFonts w:ascii="Garamond" w:hAnsi="Garamond"/>
          <w:sz w:val="24"/>
          <w:szCs w:val="24"/>
        </w:rPr>
        <w:t xml:space="preserve">É comum recorrer à subcontratação como forma de reduzir a estrutura de custos e de permitir o acesso a melhores práticas operacionais, a práticas inexistentes ou às que se revelem demasiado dispendiosas de desenvolver, a nível doméstico. Como desvantagem, a empresa subcontratada pode comportar-se de maneira oportunista e pôr em causa a confidencialidade/exclusividade do produto em questão (Lehmann, 2023). Alternativamente, um outro modo de entrada contratual consiste nos contratos de gestão, os quais proporcionam uma forma de utilizar as competências, experiência, capacidades e outros recursos através da contratação de uma entidade gestora. Neste </w:t>
      </w:r>
      <w:r w:rsidRPr="00537118">
        <w:rPr>
          <w:rFonts w:ascii="Garamond" w:hAnsi="Garamond"/>
          <w:sz w:val="24"/>
          <w:szCs w:val="24"/>
        </w:rPr>
        <w:lastRenderedPageBreak/>
        <w:t xml:space="preserve">caso, não se regista alteração da propriedade do ativo, verificando-se apenas o controlo operacional por um determinado período, em troca de uma taxa e em prol dos objetivos da empresa contratante (World Bank Organisation, 1987). </w:t>
      </w:r>
    </w:p>
    <w:p w14:paraId="607413B3" w14:textId="77777777" w:rsidR="00CD4D49" w:rsidRPr="00537118" w:rsidRDefault="00CD4D49" w:rsidP="00CD4D49">
      <w:pPr>
        <w:spacing w:line="360" w:lineRule="auto"/>
        <w:jc w:val="both"/>
        <w:rPr>
          <w:rFonts w:ascii="Garamond" w:hAnsi="Garamond"/>
          <w:sz w:val="24"/>
          <w:szCs w:val="24"/>
        </w:rPr>
      </w:pPr>
      <w:r w:rsidRPr="00537118">
        <w:rPr>
          <w:rFonts w:ascii="Garamond" w:hAnsi="Garamond"/>
          <w:sz w:val="24"/>
          <w:szCs w:val="24"/>
        </w:rPr>
        <w:t xml:space="preserve">Posteriormente, aplica-se o contrato de partilha de produção sempre que exista um acordo de partilha da exploração de uma atividade (nomeadamente, a produção ou extração de algum recurso, através do qual as empresas colaboram e definem a quantidade do </w:t>
      </w:r>
      <w:r w:rsidRPr="00537118">
        <w:rPr>
          <w:rFonts w:ascii="Garamond" w:hAnsi="Garamond"/>
          <w:i/>
          <w:sz w:val="24"/>
          <w:szCs w:val="24"/>
        </w:rPr>
        <w:t>output</w:t>
      </w:r>
      <w:r w:rsidRPr="00537118">
        <w:rPr>
          <w:rFonts w:ascii="Garamond" w:hAnsi="Garamond"/>
          <w:sz w:val="24"/>
          <w:szCs w:val="24"/>
        </w:rPr>
        <w:t xml:space="preserve"> atribuído a cada uma). É associado ao setor petrolífero e a projetos de extração mineira, uma vez que os riscos inerentes à atividade são consideráveis e o investimento dispendioso (Lehmann, 2023).</w:t>
      </w:r>
    </w:p>
    <w:p w14:paraId="78EFDECC" w14:textId="640DC6D0" w:rsidR="00CD4D49" w:rsidRPr="00537118" w:rsidRDefault="00CD4D49" w:rsidP="00CD4D49">
      <w:pPr>
        <w:spacing w:line="360" w:lineRule="auto"/>
        <w:jc w:val="both"/>
      </w:pPr>
      <w:r w:rsidRPr="00537118">
        <w:rPr>
          <w:rFonts w:ascii="Garamond" w:hAnsi="Garamond"/>
          <w:sz w:val="24"/>
          <w:szCs w:val="24"/>
        </w:rPr>
        <w:t>Os contratos chave-na-mão (</w:t>
      </w:r>
      <w:r w:rsidRPr="00537118">
        <w:rPr>
          <w:rFonts w:ascii="Garamond" w:hAnsi="Garamond"/>
          <w:i/>
          <w:iCs/>
          <w:sz w:val="24"/>
          <w:szCs w:val="24"/>
        </w:rPr>
        <w:t>turn key projects</w:t>
      </w:r>
      <w:r w:rsidRPr="00537118">
        <w:rPr>
          <w:rFonts w:ascii="Garamond" w:hAnsi="Garamond"/>
          <w:sz w:val="24"/>
          <w:szCs w:val="24"/>
        </w:rPr>
        <w:t xml:space="preserve">) estabelecem-se entre um contratante que detém um projeto e um contraente que fica encarregado de o executar. Este tipo de entrada é habitual sempre que os novos mercados estejam condicionados por entraves ou que o investimento inicial seja muito elevado (Field &amp; Keller, 1998). Estes contratos surgem regularmente em mercados externos, pelo que constituem uma forma de internacionalização, muito utilizada pelas empresas de construção civil. </w:t>
      </w:r>
    </w:p>
    <w:p w14:paraId="25432A61" w14:textId="77777777" w:rsidR="00CD4D49" w:rsidRPr="00537118" w:rsidRDefault="00CD4D49" w:rsidP="00CD4D49">
      <w:pPr>
        <w:spacing w:line="360" w:lineRule="auto"/>
        <w:jc w:val="both"/>
        <w:rPr>
          <w:rFonts w:ascii="Garamond" w:hAnsi="Garamond"/>
          <w:sz w:val="24"/>
          <w:szCs w:val="24"/>
        </w:rPr>
      </w:pPr>
      <w:r w:rsidRPr="00537118">
        <w:rPr>
          <w:rFonts w:ascii="Garamond" w:hAnsi="Garamond"/>
          <w:sz w:val="24"/>
          <w:szCs w:val="24"/>
        </w:rPr>
        <w:t xml:space="preserve">Finalmente, as alianças estratégicas são acordos cooperativos entre empresas e restritos a um certo prazo de vigência, com duas ou mais entidades a estabelecerem parceria num determinado negócio, mediante conjugação de esforços e capacidades. Normalmente, aplica-se mais em casos de desenvolvimento de um projeto ou produto, no setor de distribuição e logística, entre outros, permitindo assim a aprendizagem mútua e a partilha de riscos. Todavia, existe a possibilidade de ocorrência de problemas de coordenação e de comportamentos pouco éticos, por parte da empresa aliada (Lehmann, 2023; Hagedoorn e Narula, 1996). </w:t>
      </w:r>
    </w:p>
    <w:p w14:paraId="68AA59DB" w14:textId="77777777" w:rsidR="0035351D" w:rsidRPr="00537118" w:rsidRDefault="0035351D" w:rsidP="00CD4D49">
      <w:pPr>
        <w:spacing w:line="360" w:lineRule="auto"/>
        <w:jc w:val="both"/>
        <w:rPr>
          <w:rFonts w:ascii="Garamond" w:hAnsi="Garamond"/>
          <w:sz w:val="24"/>
          <w:szCs w:val="24"/>
        </w:rPr>
      </w:pPr>
    </w:p>
    <w:p w14:paraId="15A6166B" w14:textId="66955AF9" w:rsidR="00077196" w:rsidRPr="00537118" w:rsidRDefault="00E53177" w:rsidP="00D74679">
      <w:pPr>
        <w:pStyle w:val="Heading2"/>
        <w:spacing w:line="360" w:lineRule="auto"/>
      </w:pPr>
      <w:bookmarkStart w:id="17" w:name="_Toc202571356"/>
      <w:r w:rsidRPr="00537118">
        <w:t>3</w:t>
      </w:r>
      <w:r w:rsidR="00077196" w:rsidRPr="00537118">
        <w:t>.4</w:t>
      </w:r>
      <w:r w:rsidR="00103601" w:rsidRPr="00537118">
        <w:t xml:space="preserve">. </w:t>
      </w:r>
      <w:r w:rsidR="00077196" w:rsidRPr="00537118">
        <w:t>Barreiras à internacionalização</w:t>
      </w:r>
      <w:bookmarkEnd w:id="17"/>
      <w:r w:rsidR="00077196" w:rsidRPr="00537118">
        <w:t xml:space="preserve"> </w:t>
      </w:r>
    </w:p>
    <w:p w14:paraId="1FB6CAC2" w14:textId="77777777" w:rsidR="00077196" w:rsidRPr="00537118" w:rsidRDefault="00077196" w:rsidP="00D74679">
      <w:pPr>
        <w:spacing w:line="360" w:lineRule="auto"/>
        <w:jc w:val="both"/>
        <w:rPr>
          <w:rFonts w:ascii="Garamond" w:hAnsi="Garamond"/>
          <w:sz w:val="24"/>
          <w:szCs w:val="24"/>
        </w:rPr>
      </w:pPr>
      <w:r w:rsidRPr="00537118">
        <w:rPr>
          <w:rFonts w:ascii="Garamond" w:hAnsi="Garamond"/>
          <w:sz w:val="24"/>
          <w:szCs w:val="24"/>
        </w:rPr>
        <w:t xml:space="preserve">Normalmente, as barreiras são separadas em duas categorias: internas e externas (Urban et al., 2023). As barreiras internas estão associadas à empresa: caso da distância psíquica, que, por sua vez, inclui diferenças linguísticas, de educação e culturais (Johanson &amp; Vahlne, 1977). </w:t>
      </w:r>
    </w:p>
    <w:p w14:paraId="428D3DAF" w14:textId="7C2C7610" w:rsidR="00077196" w:rsidRPr="00537118" w:rsidRDefault="00077196" w:rsidP="00077196">
      <w:pPr>
        <w:spacing w:line="360" w:lineRule="auto"/>
        <w:jc w:val="both"/>
        <w:rPr>
          <w:rFonts w:ascii="Garamond" w:hAnsi="Garamond"/>
          <w:sz w:val="24"/>
          <w:szCs w:val="24"/>
        </w:rPr>
      </w:pPr>
      <w:r w:rsidRPr="00537118">
        <w:rPr>
          <w:rFonts w:ascii="Garamond" w:hAnsi="Garamond"/>
          <w:sz w:val="24"/>
          <w:szCs w:val="24"/>
        </w:rPr>
        <w:t xml:space="preserve">De forma semelhante, outra barreira interna são os recursos disponíveis: falta de conhecimento, aversão ao risco e custos de transação (Dunning, 1988; Anderson e Gatignon, 1986; Korsakiene, </w:t>
      </w:r>
      <w:r w:rsidRPr="00537118">
        <w:rPr>
          <w:rFonts w:ascii="Garamond" w:hAnsi="Garamond"/>
          <w:sz w:val="24"/>
          <w:szCs w:val="24"/>
        </w:rPr>
        <w:lastRenderedPageBreak/>
        <w:t xml:space="preserve">2014; Kanda et al., 2016). Relativamente às </w:t>
      </w:r>
      <w:r w:rsidR="00F96BB6" w:rsidRPr="00537118">
        <w:rPr>
          <w:rFonts w:ascii="Garamond" w:hAnsi="Garamond"/>
          <w:sz w:val="24"/>
          <w:szCs w:val="24"/>
        </w:rPr>
        <w:t>PME</w:t>
      </w:r>
      <w:r w:rsidRPr="00537118">
        <w:rPr>
          <w:rFonts w:ascii="Garamond" w:hAnsi="Garamond"/>
          <w:sz w:val="24"/>
          <w:szCs w:val="24"/>
        </w:rPr>
        <w:t xml:space="preserve">, estas barreiras são mais significativas, uma vez que os recursos são mais limitados (Kahiya, 2013). </w:t>
      </w:r>
    </w:p>
    <w:p w14:paraId="4BF803BE" w14:textId="3F60929D" w:rsidR="00077196" w:rsidRPr="00537118" w:rsidRDefault="00077196" w:rsidP="00077196">
      <w:pPr>
        <w:spacing w:line="360" w:lineRule="auto"/>
        <w:jc w:val="both"/>
        <w:rPr>
          <w:rFonts w:ascii="Garamond" w:hAnsi="Garamond"/>
          <w:sz w:val="24"/>
          <w:szCs w:val="24"/>
        </w:rPr>
      </w:pPr>
      <w:r w:rsidRPr="00537118">
        <w:rPr>
          <w:rFonts w:ascii="Garamond" w:hAnsi="Garamond"/>
          <w:sz w:val="24"/>
          <w:szCs w:val="24"/>
        </w:rPr>
        <w:t xml:space="preserve">Por outro lado, as barreiras externas devem ser analisadas consoante o contexto doméstico e o mercado alvo (Urban et al., 2023). Estas barreiras incluem barreiras de procedimentos: caso da falta de conhecimento sobre metodologias e tecnicalidades, no âmbito do pagamento. Outras barreiras incluem as governamentais e as relacionadas com a </w:t>
      </w:r>
      <w:r w:rsidR="0023344C" w:rsidRPr="00537118">
        <w:rPr>
          <w:rFonts w:ascii="Garamond" w:hAnsi="Garamond"/>
          <w:sz w:val="24"/>
          <w:szCs w:val="24"/>
        </w:rPr>
        <w:t>infamiliaridade</w:t>
      </w:r>
      <w:r w:rsidRPr="00537118">
        <w:rPr>
          <w:rFonts w:ascii="Garamond" w:hAnsi="Garamond"/>
          <w:sz w:val="24"/>
          <w:szCs w:val="24"/>
        </w:rPr>
        <w:t xml:space="preserve"> com a envolvente (Clark e Pugh, 2001).</w:t>
      </w:r>
      <w:r w:rsidR="00C9332B" w:rsidRPr="00537118">
        <w:rPr>
          <w:rFonts w:ascii="Garamond" w:hAnsi="Garamond"/>
          <w:sz w:val="24"/>
          <w:szCs w:val="24"/>
        </w:rPr>
        <w:t xml:space="preserve"> </w:t>
      </w:r>
      <w:r w:rsidRPr="00537118">
        <w:rPr>
          <w:rFonts w:ascii="Garamond" w:hAnsi="Garamond"/>
          <w:sz w:val="24"/>
          <w:szCs w:val="24"/>
        </w:rPr>
        <w:t xml:space="preserve">De acordo com autores como Hutchinson et al. (2009) e Gardó et al. (2015), entre os dois tipos de barreiras, as internas sobrepõem-se às externas, no que diz respeito às </w:t>
      </w:r>
      <w:r w:rsidR="00363936" w:rsidRPr="00537118">
        <w:rPr>
          <w:rFonts w:ascii="Garamond" w:hAnsi="Garamond"/>
          <w:sz w:val="24"/>
          <w:szCs w:val="24"/>
        </w:rPr>
        <w:t>PME</w:t>
      </w:r>
      <w:r w:rsidRPr="00537118">
        <w:rPr>
          <w:rFonts w:ascii="Garamond" w:hAnsi="Garamond"/>
          <w:sz w:val="24"/>
          <w:szCs w:val="24"/>
        </w:rPr>
        <w:t>, e deve atentar-se às atividades básicas da empresa, tais como as da produção e logística (Mula, 2014).</w:t>
      </w:r>
    </w:p>
    <w:p w14:paraId="04B47E2C" w14:textId="77777777" w:rsidR="00077196" w:rsidRPr="00537118" w:rsidRDefault="00077196" w:rsidP="00077196">
      <w:pPr>
        <w:spacing w:line="360" w:lineRule="auto"/>
        <w:jc w:val="both"/>
        <w:rPr>
          <w:rFonts w:ascii="Garamond" w:hAnsi="Garamond"/>
          <w:sz w:val="24"/>
          <w:szCs w:val="24"/>
        </w:rPr>
      </w:pPr>
    </w:p>
    <w:p w14:paraId="1B5911EA" w14:textId="60818C08" w:rsidR="00077196" w:rsidRPr="00537118" w:rsidRDefault="00E53177" w:rsidP="004D5473">
      <w:pPr>
        <w:pStyle w:val="Heading2"/>
        <w:spacing w:line="360" w:lineRule="auto"/>
      </w:pPr>
      <w:bookmarkStart w:id="18" w:name="_Toc202571357"/>
      <w:r w:rsidRPr="00537118">
        <w:t>3</w:t>
      </w:r>
      <w:r w:rsidR="00077196" w:rsidRPr="00537118">
        <w:t>.5</w:t>
      </w:r>
      <w:r w:rsidR="00103601" w:rsidRPr="00537118">
        <w:t xml:space="preserve">. </w:t>
      </w:r>
      <w:r w:rsidR="00077196" w:rsidRPr="00537118">
        <w:t>Seleção de mercados</w:t>
      </w:r>
      <w:bookmarkEnd w:id="18"/>
      <w:r w:rsidR="00077196" w:rsidRPr="00537118">
        <w:t xml:space="preserve"> </w:t>
      </w:r>
    </w:p>
    <w:p w14:paraId="4310ECC3" w14:textId="4E8B7709" w:rsidR="00077196" w:rsidRPr="00537118" w:rsidRDefault="00077196" w:rsidP="004D5473">
      <w:pPr>
        <w:spacing w:line="360" w:lineRule="auto"/>
        <w:jc w:val="both"/>
        <w:rPr>
          <w:rFonts w:ascii="Garamond" w:hAnsi="Garamond"/>
          <w:sz w:val="24"/>
          <w:szCs w:val="24"/>
        </w:rPr>
      </w:pPr>
      <w:r w:rsidRPr="00537118">
        <w:rPr>
          <w:rFonts w:ascii="Garamond" w:hAnsi="Garamond"/>
          <w:sz w:val="24"/>
          <w:szCs w:val="24"/>
        </w:rPr>
        <w:t xml:space="preserve">A escolha de mercados externos no processo de internacionalização tem sido amplamente estudada à luz de diferentes perspetivas teóricas. De acordo com Johanson e Wiedersheim-Paul (1975) e, posteriormente, Johanson e Vahlne (1977), a internacionalização ocorre de forma sequencial, privilegiando-se a entrada em mercados culturalmente próximos, com reduzida distância psíquica. Esta distância refere-se à perceção de barreiras, aquando do acesso à informação sobre um mercado estrangeiro, englobando diferenças culturais, linguísticas, institucionais e políticas (Johanson e Vahlne, 1977; Kogut e Singh, 1988). Por isso, as empresas tendem a selecionar mercados externos que apresentem características similares às do seu país de origem (em termos económicos, culturais e políticos). A existência de Born globals questiona os conceitos de distancia cultural e de processo sequencial, uma vez que as Born globals atuam em modo global, tendo por base a existência de plataformas de informação e reduzidos mercados domésticos, tal como se verifica em empresas de </w:t>
      </w:r>
      <w:r w:rsidRPr="00537118">
        <w:rPr>
          <w:rFonts w:ascii="Garamond" w:hAnsi="Garamond"/>
          <w:i/>
          <w:iCs/>
          <w:sz w:val="24"/>
          <w:szCs w:val="24"/>
        </w:rPr>
        <w:t>e-commerce</w:t>
      </w:r>
      <w:r w:rsidRPr="00537118">
        <w:rPr>
          <w:rFonts w:ascii="Garamond" w:hAnsi="Garamond"/>
          <w:sz w:val="24"/>
          <w:szCs w:val="24"/>
        </w:rPr>
        <w:t>, empresas com atividades para nichos e em presas altamente tecnológicas (Knight e Cavusgil, 1996, 2004)</w:t>
      </w:r>
      <w:r w:rsidRPr="00537118">
        <w:rPr>
          <w:sz w:val="26"/>
          <w:szCs w:val="26"/>
          <w:shd w:val="clear" w:color="auto" w:fill="FFFFFF"/>
        </w:rPr>
        <w:t xml:space="preserve"> </w:t>
      </w:r>
      <w:r w:rsidRPr="00537118">
        <w:rPr>
          <w:rFonts w:ascii="Garamond" w:hAnsi="Garamond"/>
          <w:sz w:val="24"/>
          <w:szCs w:val="24"/>
        </w:rPr>
        <w:t xml:space="preserve">(Luo et al., 2005), pelo que a escolha de mercados não é linear ao ponto de se poder desprezar características não incluídas nas perspetivas já mencionadas. </w:t>
      </w:r>
    </w:p>
    <w:p w14:paraId="7B57DBDD" w14:textId="77777777" w:rsidR="00077196" w:rsidRPr="00537118" w:rsidRDefault="00077196" w:rsidP="00077196">
      <w:pPr>
        <w:spacing w:line="360" w:lineRule="auto"/>
        <w:jc w:val="both"/>
        <w:rPr>
          <w:rFonts w:ascii="Garamond" w:hAnsi="Garamond"/>
          <w:sz w:val="24"/>
          <w:szCs w:val="24"/>
        </w:rPr>
      </w:pPr>
      <w:r w:rsidRPr="00537118">
        <w:rPr>
          <w:rFonts w:ascii="Garamond" w:hAnsi="Garamond"/>
          <w:sz w:val="24"/>
          <w:szCs w:val="24"/>
        </w:rPr>
        <w:t xml:space="preserve">Além dos fatores supracitados, e com base em diversos contributos da literatura - Koch (2001), Johanson (1997), Cateora (1995), Kumar, Stam e Joachimsthaler (1994), Root (1994) e Cavusgil </w:t>
      </w:r>
      <w:r w:rsidRPr="00537118">
        <w:rPr>
          <w:rFonts w:ascii="Garamond" w:hAnsi="Garamond"/>
          <w:sz w:val="24"/>
          <w:szCs w:val="24"/>
        </w:rPr>
        <w:lastRenderedPageBreak/>
        <w:t>(1985) - os autores Sakarya, Eckman e Hyllegard (2007) constatam ser recorrente o processo de seleção de mercados estrangeiros ser composto por etapas: a triagem preliminar, a análise aprofundada e a seleção final. Desta maneira, os potenciais mercados são analisados com base em diferentes indicadores económicos, numa perspetiva de eliminação segundo a lógica dos interesses e características da própria empresa, para serem posteriormente alvo de uma análise mais aprofundada. Alguns dos critérios comumente utilizados neste processo incluem a dimensão do mercado-alvo, a taxa de crescimento do mercado, a compatibilidade do produto com a procura dos consumidores-alvo, as barreiras físicas e regulatórias, as estruturas de apoio à atividade, os meios de transporte, as condições de logística, entre outros. Porém, o acesso a informação sobre o mercado-alvo representa um aspeto crucial a ter em consideração, durante a seleção de mercados, dado que pode prejudicar o processo (Sánchez e Ferrá, 2018).</w:t>
      </w:r>
    </w:p>
    <w:p w14:paraId="749AA41E" w14:textId="381FFD48" w:rsidR="00077196" w:rsidRPr="00537118" w:rsidRDefault="00077196" w:rsidP="00077196">
      <w:pPr>
        <w:spacing w:line="360" w:lineRule="auto"/>
        <w:jc w:val="both"/>
        <w:rPr>
          <w:rFonts w:ascii="Garamond" w:hAnsi="Garamond"/>
          <w:sz w:val="24"/>
          <w:szCs w:val="24"/>
        </w:rPr>
      </w:pPr>
      <w:r w:rsidRPr="00537118">
        <w:rPr>
          <w:rFonts w:ascii="Garamond" w:hAnsi="Garamond"/>
          <w:sz w:val="24"/>
          <w:szCs w:val="24"/>
        </w:rPr>
        <w:t xml:space="preserve">Além dos fatores de mercado, o destino escolhido pode não ser o mesmo para empresas da mesma indústria e setor, isto porque as características da própria empresa influenciam a compatibilidade e inclinação relativamente a um certo alvo. É o caso da dimensão da própria empresa, do capital disponível, dos contactos e da visão da equipa de gestão relativamente aos potenciais mercados, sendo estas algumas das incontáveis particularidades que devem ser tidas em consideração (Makarevich e Kim, 2019). </w:t>
      </w:r>
    </w:p>
    <w:p w14:paraId="6B971665" w14:textId="77777777" w:rsidR="00077196" w:rsidRPr="00537118" w:rsidRDefault="00077196" w:rsidP="00077196">
      <w:pPr>
        <w:tabs>
          <w:tab w:val="left" w:pos="3420"/>
        </w:tabs>
        <w:spacing w:line="360" w:lineRule="auto"/>
        <w:jc w:val="both"/>
        <w:rPr>
          <w:rFonts w:ascii="Garamond" w:hAnsi="Garamond"/>
          <w:sz w:val="24"/>
          <w:szCs w:val="24"/>
        </w:rPr>
      </w:pPr>
      <w:r w:rsidRPr="00537118">
        <w:rPr>
          <w:rFonts w:ascii="Garamond" w:hAnsi="Garamond"/>
          <w:sz w:val="24"/>
          <w:szCs w:val="24"/>
        </w:rPr>
        <w:t>Assim, no processo de seleção de mercados, as empresas podem recorrer a um amplo leque de análises, de forma a encontrarem o alvo que melhor se adapte à visão empresarial, às características e aos objetivos da organização, sem se limitarem a fatores tradicionalmente condicionantes (caso da distância geográfica/cultural), uma vez que as empresas podem optar por métodos mistos, com dados e discernimento autónomo</w:t>
      </w:r>
      <w:r w:rsidRPr="00537118">
        <w:t xml:space="preserve"> </w:t>
      </w:r>
      <w:r w:rsidRPr="00537118">
        <w:rPr>
          <w:rFonts w:ascii="Garamond" w:hAnsi="Garamond"/>
          <w:sz w:val="24"/>
          <w:szCs w:val="24"/>
        </w:rPr>
        <w:t>(Sánchez e Ferrá, 2018).</w:t>
      </w:r>
    </w:p>
    <w:p w14:paraId="7A1B0274" w14:textId="77777777" w:rsidR="0035351D" w:rsidRPr="00537118" w:rsidRDefault="0035351D" w:rsidP="00077196">
      <w:pPr>
        <w:tabs>
          <w:tab w:val="left" w:pos="3420"/>
        </w:tabs>
        <w:spacing w:line="360" w:lineRule="auto"/>
        <w:jc w:val="both"/>
        <w:rPr>
          <w:rFonts w:ascii="Garamond" w:hAnsi="Garamond"/>
          <w:sz w:val="24"/>
          <w:szCs w:val="24"/>
        </w:rPr>
      </w:pPr>
    </w:p>
    <w:p w14:paraId="2F96BFE8" w14:textId="43122DCA" w:rsidR="00663A0E" w:rsidRPr="00537118" w:rsidRDefault="00E53177" w:rsidP="004D5473">
      <w:pPr>
        <w:pStyle w:val="Heading2"/>
        <w:spacing w:line="360" w:lineRule="auto"/>
      </w:pPr>
      <w:bookmarkStart w:id="19" w:name="_Toc202571358"/>
      <w:r w:rsidRPr="00537118">
        <w:t>3</w:t>
      </w:r>
      <w:r w:rsidR="00663A0E" w:rsidRPr="00537118">
        <w:t>.6</w:t>
      </w:r>
      <w:r w:rsidR="00103601" w:rsidRPr="00537118">
        <w:t xml:space="preserve">. </w:t>
      </w:r>
      <w:r w:rsidR="00663A0E" w:rsidRPr="00537118">
        <w:t>Sistemas de armazenamento de energia com recurso a baterias</w:t>
      </w:r>
      <w:bookmarkEnd w:id="19"/>
    </w:p>
    <w:p w14:paraId="454CF1FC" w14:textId="77777777" w:rsidR="00663A0E" w:rsidRPr="00537118" w:rsidRDefault="00663A0E" w:rsidP="004D5473">
      <w:pPr>
        <w:spacing w:line="360" w:lineRule="auto"/>
        <w:jc w:val="both"/>
        <w:rPr>
          <w:rFonts w:ascii="Garamond" w:hAnsi="Garamond"/>
          <w:sz w:val="24"/>
          <w:szCs w:val="24"/>
        </w:rPr>
      </w:pPr>
      <w:r w:rsidRPr="00537118">
        <w:rPr>
          <w:rFonts w:ascii="Garamond" w:hAnsi="Garamond"/>
          <w:sz w:val="24"/>
          <w:szCs w:val="24"/>
        </w:rPr>
        <w:t xml:space="preserve">Esta subsecção tem como objetivo contextualizar o leitor a respeito de alguma informação relevante relativa aos sistemas de armazenamento de energia, com o intuito de poder compreender a atividade e relevância das empresas deste setor e do seu produto, (pense-se na BateriasX). Dito isto, a inclusão desta informação na revisão de literatura é essencial para </w:t>
      </w:r>
      <w:r w:rsidRPr="00537118">
        <w:rPr>
          <w:rFonts w:ascii="Garamond" w:hAnsi="Garamond"/>
          <w:sz w:val="24"/>
          <w:szCs w:val="24"/>
        </w:rPr>
        <w:lastRenderedPageBreak/>
        <w:t xml:space="preserve">compreender as especificidades e a lógica da utilização de certos indicadores, aquando da determinação dos possíveis mercados para o processo de internacionalização da empresa. </w:t>
      </w:r>
    </w:p>
    <w:p w14:paraId="33EC2E0F" w14:textId="5026B03B" w:rsidR="00663A0E" w:rsidRPr="00537118" w:rsidRDefault="00663A0E" w:rsidP="00663A0E">
      <w:pPr>
        <w:spacing w:line="360" w:lineRule="auto"/>
        <w:jc w:val="both"/>
        <w:rPr>
          <w:rFonts w:ascii="Garamond" w:hAnsi="Garamond"/>
          <w:sz w:val="24"/>
          <w:szCs w:val="24"/>
        </w:rPr>
      </w:pPr>
      <w:r w:rsidRPr="00537118">
        <w:rPr>
          <w:rFonts w:ascii="Garamond" w:hAnsi="Garamond"/>
          <w:sz w:val="24"/>
          <w:szCs w:val="24"/>
        </w:rPr>
        <w:t xml:space="preserve">Assim, esta subsecção é dedicada a apurar em que consistem estes dispositivos e uma breve explicação do seu funcionamento. Para além disso, são </w:t>
      </w:r>
      <w:r w:rsidR="00C45BDB" w:rsidRPr="00537118">
        <w:rPr>
          <w:rFonts w:ascii="Garamond" w:hAnsi="Garamond"/>
          <w:sz w:val="24"/>
          <w:szCs w:val="24"/>
        </w:rPr>
        <w:t>explicitados</w:t>
      </w:r>
      <w:r w:rsidRPr="00537118">
        <w:rPr>
          <w:rFonts w:ascii="Garamond" w:hAnsi="Garamond"/>
          <w:sz w:val="24"/>
          <w:szCs w:val="24"/>
        </w:rPr>
        <w:t xml:space="preserve"> </w:t>
      </w:r>
      <w:r w:rsidR="00C45BDB" w:rsidRPr="00537118">
        <w:rPr>
          <w:rFonts w:ascii="Garamond" w:hAnsi="Garamond"/>
          <w:sz w:val="24"/>
          <w:szCs w:val="24"/>
        </w:rPr>
        <w:t>os</w:t>
      </w:r>
      <w:r w:rsidRPr="00537118">
        <w:rPr>
          <w:rFonts w:ascii="Garamond" w:hAnsi="Garamond"/>
          <w:sz w:val="24"/>
          <w:szCs w:val="24"/>
        </w:rPr>
        <w:t xml:space="preserve"> principais componentes destes sistemas, sendo contextualizado o seu papel na atualidade e a importância do armazenamento de energia.</w:t>
      </w:r>
    </w:p>
    <w:p w14:paraId="06AFC34E" w14:textId="77777777" w:rsidR="00663A0E" w:rsidRPr="00537118" w:rsidRDefault="00663A0E" w:rsidP="00663A0E">
      <w:pPr>
        <w:spacing w:line="360" w:lineRule="auto"/>
        <w:jc w:val="both"/>
        <w:rPr>
          <w:rFonts w:ascii="Garamond" w:hAnsi="Garamond"/>
          <w:sz w:val="24"/>
          <w:szCs w:val="24"/>
        </w:rPr>
      </w:pPr>
      <w:r w:rsidRPr="00537118">
        <w:rPr>
          <w:rFonts w:ascii="Garamond" w:hAnsi="Garamond"/>
          <w:sz w:val="24"/>
          <w:szCs w:val="24"/>
        </w:rPr>
        <w:t xml:space="preserve">Os sistemas de armazenamento de energia, também conhecidos em inglês como Energy Storage System (ESS), são dispositivos cuja função é o armazenamento de energia elétrica e, comumente, estes sistemas são compostos por baterias, inversores e um </w:t>
      </w:r>
      <w:r w:rsidRPr="00537118">
        <w:rPr>
          <w:rFonts w:ascii="Garamond" w:hAnsi="Garamond"/>
          <w:i/>
          <w:sz w:val="24"/>
          <w:szCs w:val="24"/>
        </w:rPr>
        <w:t>software</w:t>
      </w:r>
      <w:r w:rsidRPr="00537118">
        <w:rPr>
          <w:rFonts w:ascii="Garamond" w:hAnsi="Garamond"/>
          <w:sz w:val="24"/>
          <w:szCs w:val="24"/>
        </w:rPr>
        <w:t xml:space="preserve"> para gerenciar a libertação de energia consoante a programação (Deye, 2023). A esta definição pode associar-se também o BESS, cujo termo inglês aponta para a presença de uma bateria (Battery Energy Storage System), sendo comum descartar-se essa especificação em linguagem comum. </w:t>
      </w:r>
    </w:p>
    <w:p w14:paraId="1FE43040" w14:textId="77777777" w:rsidR="00663A0E" w:rsidRPr="00537118" w:rsidRDefault="00663A0E" w:rsidP="00663A0E">
      <w:pPr>
        <w:spacing w:line="360" w:lineRule="auto"/>
        <w:jc w:val="both"/>
        <w:rPr>
          <w:rFonts w:ascii="Garamond" w:hAnsi="Garamond"/>
          <w:sz w:val="24"/>
          <w:szCs w:val="24"/>
        </w:rPr>
      </w:pPr>
      <w:r w:rsidRPr="00537118">
        <w:rPr>
          <w:rFonts w:ascii="Garamond" w:hAnsi="Garamond"/>
          <w:sz w:val="24"/>
          <w:szCs w:val="24"/>
        </w:rPr>
        <w:t xml:space="preserve">Quanto ao funcionamento destas componentes, as baterias armazenam a energia química proveniente de diversas fontes (energia solar, térmica, mecânica, eólica, entre outras), com o propósito de a libertar sob a forma de energia elétrica. Já o inversor é responsável por transformar a corrente continua em corrente alternada, tornando-a compatível com a grande maioria dos equipamentos eletrónicos. </w:t>
      </w:r>
    </w:p>
    <w:p w14:paraId="101BC179" w14:textId="7950A3B1" w:rsidR="00663A0E" w:rsidRPr="00537118" w:rsidRDefault="00663A0E" w:rsidP="00663A0E">
      <w:pPr>
        <w:spacing w:line="360" w:lineRule="auto"/>
        <w:jc w:val="both"/>
        <w:rPr>
          <w:rFonts w:ascii="Garamond" w:hAnsi="Garamond"/>
          <w:sz w:val="24"/>
          <w:szCs w:val="24"/>
        </w:rPr>
      </w:pPr>
      <w:r w:rsidRPr="00537118">
        <w:rPr>
          <w:rFonts w:ascii="Garamond" w:hAnsi="Garamond"/>
          <w:sz w:val="24"/>
          <w:szCs w:val="24"/>
        </w:rPr>
        <w:t>Na verdade, existem diversos tipos de baterias para esta finalidade, sendo as mais comuns as baterias de lítio (Li-ion), chumbo-ácido, Redox flow, sódio-enxofre (NaS), entre muitas outras. Relativamente às primeiras, trata-se das mais utilizadas atualmente, devido à densidade energética e ao longo ciclo de vida. As do segundo tipo (chumbo-ácido) são menos onerosas, são plenamente seguras, embora a densidade energética seja relativamente baixa, pelo que são utilizadas em aplicações de pequeno ou médio porte (normalmente, instalações domésticas). As baterias de fluxo (Redox flow) permitem alta densidade e sustentabilidade, pelo que são utilizadas em sistemas de grande escala. À semelhança do caso anterior, as baterias de sódio-enxofre (NaS) são densas em energia, altamente eficientes e contam com uma longa vida útil, pelo que têm sido vastamente utilizadas no armazenamento de energia de grande escala (Deye, 2023) (</w:t>
      </w:r>
      <w:r w:rsidR="00921AF1" w:rsidRPr="00537118">
        <w:rPr>
          <w:rFonts w:ascii="Garamond" w:hAnsi="Garamond"/>
          <w:sz w:val="24"/>
          <w:szCs w:val="24"/>
        </w:rPr>
        <w:t>Peng</w:t>
      </w:r>
      <w:r w:rsidRPr="00537118">
        <w:rPr>
          <w:rFonts w:ascii="Garamond" w:hAnsi="Garamond"/>
          <w:sz w:val="24"/>
          <w:szCs w:val="24"/>
        </w:rPr>
        <w:t>, 2021).</w:t>
      </w:r>
    </w:p>
    <w:p w14:paraId="2BFCB513" w14:textId="3FC7A412" w:rsidR="00663A0E" w:rsidRPr="00537118" w:rsidRDefault="00663A0E" w:rsidP="00663A0E">
      <w:pPr>
        <w:spacing w:line="360" w:lineRule="auto"/>
        <w:jc w:val="both"/>
        <w:rPr>
          <w:rFonts w:ascii="Garamond" w:hAnsi="Garamond"/>
          <w:sz w:val="24"/>
          <w:szCs w:val="24"/>
        </w:rPr>
      </w:pPr>
      <w:r w:rsidRPr="00537118">
        <w:rPr>
          <w:rFonts w:ascii="Garamond" w:hAnsi="Garamond"/>
          <w:sz w:val="24"/>
          <w:szCs w:val="24"/>
        </w:rPr>
        <w:t xml:space="preserve">Esta tecnologia é essencial para as </w:t>
      </w:r>
      <w:r w:rsidRPr="00537118">
        <w:rPr>
          <w:rFonts w:ascii="Garamond" w:hAnsi="Garamond"/>
          <w:i/>
          <w:iCs/>
          <w:sz w:val="24"/>
          <w:szCs w:val="24"/>
        </w:rPr>
        <w:t>smart grids</w:t>
      </w:r>
      <w:r w:rsidRPr="00537118">
        <w:rPr>
          <w:rFonts w:ascii="Garamond" w:hAnsi="Garamond"/>
          <w:sz w:val="24"/>
          <w:szCs w:val="24"/>
        </w:rPr>
        <w:t xml:space="preserve">, que, de forma resumida, consistem em redes elétricas inteligentes que incorporam sistemas de gestão e informação, de forma a responderem </w:t>
      </w:r>
      <w:r w:rsidRPr="00537118">
        <w:rPr>
          <w:rFonts w:ascii="Garamond" w:hAnsi="Garamond"/>
          <w:sz w:val="24"/>
          <w:szCs w:val="24"/>
        </w:rPr>
        <w:lastRenderedPageBreak/>
        <w:t xml:space="preserve">de forma automatizada às variações de produção e à necessidade de energia. Estas redes incluem todas as ações e componentes de forma dinâmica, desde os geradores de energia até os consumidores, assim como os que desempenham as duas funções. Além disso, estão incluídos geradores de energia, transmissores, distribuidores, acumuladores (ESS), veículos elétricos, entre outros sistemas (Iberdrola, </w:t>
      </w:r>
      <w:r w:rsidR="00BC54A9" w:rsidRPr="00537118">
        <w:rPr>
          <w:rFonts w:ascii="Garamond" w:hAnsi="Garamond"/>
          <w:sz w:val="24"/>
          <w:szCs w:val="24"/>
        </w:rPr>
        <w:t>s.d</w:t>
      </w:r>
      <w:r w:rsidRPr="00537118">
        <w:rPr>
          <w:rFonts w:ascii="Garamond" w:hAnsi="Garamond"/>
          <w:sz w:val="24"/>
          <w:szCs w:val="24"/>
        </w:rPr>
        <w:t>; Kamran, 2023</w:t>
      </w:r>
      <w:r w:rsidR="001E3004" w:rsidRPr="00537118">
        <w:rPr>
          <w:rFonts w:ascii="Garamond" w:hAnsi="Garamond"/>
          <w:sz w:val="24"/>
          <w:szCs w:val="24"/>
        </w:rPr>
        <w:t>). O</w:t>
      </w:r>
      <w:r w:rsidRPr="00537118">
        <w:rPr>
          <w:rFonts w:ascii="Garamond" w:hAnsi="Garamond"/>
          <w:sz w:val="24"/>
          <w:szCs w:val="24"/>
        </w:rPr>
        <w:t xml:space="preserve"> funcionamento do atual sistema elétrico é estável, já que a geração de energia varia numa relação direta com a procura (ou seja, as entidades responsáveis pela gestão da produção elétrica ajustam o </w:t>
      </w:r>
      <w:r w:rsidRPr="00537118">
        <w:rPr>
          <w:rFonts w:ascii="Garamond" w:hAnsi="Garamond"/>
          <w:i/>
          <w:sz w:val="24"/>
          <w:szCs w:val="24"/>
        </w:rPr>
        <w:t>output</w:t>
      </w:r>
      <w:r w:rsidRPr="00537118">
        <w:rPr>
          <w:rFonts w:ascii="Garamond" w:hAnsi="Garamond"/>
          <w:sz w:val="24"/>
          <w:szCs w:val="24"/>
        </w:rPr>
        <w:t xml:space="preserve"> dos sistemas elétricos consoante a necessidade verificada no momento). Contudo, a descarbonização e a tendência para utilizar energias “limpas”</w:t>
      </w:r>
      <w:r w:rsidR="00923599" w:rsidRPr="00537118">
        <w:rPr>
          <w:rFonts w:ascii="Garamond" w:hAnsi="Garamond"/>
          <w:sz w:val="24"/>
          <w:szCs w:val="24"/>
        </w:rPr>
        <w:t>, nomeadamente</w:t>
      </w:r>
      <w:r w:rsidR="009B2731" w:rsidRPr="00537118">
        <w:rPr>
          <w:rFonts w:ascii="Garamond" w:hAnsi="Garamond"/>
          <w:sz w:val="24"/>
          <w:szCs w:val="24"/>
        </w:rPr>
        <w:t xml:space="preserve"> </w:t>
      </w:r>
      <w:r w:rsidRPr="00537118">
        <w:rPr>
          <w:rFonts w:ascii="Garamond" w:hAnsi="Garamond"/>
          <w:sz w:val="24"/>
          <w:szCs w:val="24"/>
        </w:rPr>
        <w:t>energia solar e eólica</w:t>
      </w:r>
      <w:r w:rsidR="009B2731" w:rsidRPr="00537118">
        <w:rPr>
          <w:rFonts w:ascii="Garamond" w:hAnsi="Garamond"/>
          <w:sz w:val="24"/>
          <w:szCs w:val="24"/>
        </w:rPr>
        <w:t>,</w:t>
      </w:r>
      <w:r w:rsidRPr="00537118">
        <w:rPr>
          <w:rFonts w:ascii="Garamond" w:hAnsi="Garamond"/>
          <w:sz w:val="24"/>
          <w:szCs w:val="24"/>
        </w:rPr>
        <w:t xml:space="preserve"> são limitadoras, dada a inconstância dessas fontes de energia, tornando este método de produção incompatível, insuficiente, nocivo para a vida útil das plataformas elétricas e, logo, para a produção de energia em si mesma (Suyambu e Vishwakarma, 2024)</w:t>
      </w:r>
    </w:p>
    <w:p w14:paraId="67E44DC2" w14:textId="481F74B9" w:rsidR="00663A0E" w:rsidRPr="00537118" w:rsidRDefault="00663A0E" w:rsidP="00663A0E">
      <w:pPr>
        <w:spacing w:line="360" w:lineRule="auto"/>
        <w:jc w:val="both"/>
        <w:rPr>
          <w:rFonts w:ascii="Garamond" w:hAnsi="Garamond"/>
          <w:sz w:val="24"/>
          <w:szCs w:val="24"/>
        </w:rPr>
      </w:pPr>
      <w:r w:rsidRPr="00537118">
        <w:rPr>
          <w:rFonts w:ascii="Garamond" w:hAnsi="Garamond"/>
          <w:sz w:val="24"/>
          <w:szCs w:val="24"/>
        </w:rPr>
        <w:t xml:space="preserve">Assim, a utilização de BESS permite suprir os problemas energéticos supramencionados, mediante o armazenamento de energia e a sua libertação em concordância com a necessidade da rede energética. Este tipo de sistemas de baterias de grande escala a nível de rede tem-se tornado financeiramente possível em várias partes do mundo, sendo que Suyambu e Vishwakarma (2024) acreditam ser essa a solução para aumentar a flexibilidade e escalabilidade necessária, de forma a cumprir com os objetivos ecológicos e, simultaneamente, aumentar as receitas (através da eficiência e estabilidade permitida pelas baterias). Paralelamente, os sistemas de armazenamento de energia não se limitam a utilizações de grande escala (como as redes elétricas de grandes cidades). Na verdade, as vantagens da utilização desta tecnologia transpõem-se para realidades de todas as escalas, desde o uso doméstico e comercial até aplicações de grande escala (como complexos industriais). </w:t>
      </w:r>
    </w:p>
    <w:p w14:paraId="3C87F0C8" w14:textId="77777777" w:rsidR="00663A0E" w:rsidRPr="00537118" w:rsidRDefault="00663A0E" w:rsidP="00663A0E">
      <w:pPr>
        <w:spacing w:line="360" w:lineRule="auto"/>
        <w:jc w:val="both"/>
        <w:rPr>
          <w:rFonts w:ascii="Garamond" w:hAnsi="Garamond"/>
          <w:sz w:val="24"/>
          <w:szCs w:val="24"/>
        </w:rPr>
      </w:pPr>
      <w:r w:rsidRPr="00537118">
        <w:rPr>
          <w:rFonts w:ascii="Garamond" w:hAnsi="Garamond"/>
          <w:sz w:val="24"/>
          <w:szCs w:val="24"/>
        </w:rPr>
        <w:t xml:space="preserve">Assim, a implementação de sistemas de armazenamento de energia é uma opção real e vantajosa para diversos tipos de consumidores. A título de exemplo, este tipo de dispositivos pode ser associado a painéis solares, de forma a armazenar e gerenciar a energia fotovoltaica captada durante os picos solares, para que possa, posteriormente, ser usufruída. Desta forma, pode utilizar-se a energia durante os momentos em que a taxa elétrica da rede seja superior, permitindo poupanças relevantes consoante a requisição elétrica da infraestrutura. </w:t>
      </w:r>
    </w:p>
    <w:p w14:paraId="462CF250" w14:textId="304CE91E" w:rsidR="00663A0E" w:rsidRPr="00537118" w:rsidRDefault="00663A0E" w:rsidP="00663A0E">
      <w:pPr>
        <w:spacing w:line="360" w:lineRule="auto"/>
        <w:jc w:val="both"/>
        <w:rPr>
          <w:rFonts w:ascii="Garamond" w:hAnsi="Garamond"/>
          <w:sz w:val="24"/>
          <w:szCs w:val="24"/>
        </w:rPr>
      </w:pPr>
      <w:r w:rsidRPr="00537118">
        <w:rPr>
          <w:rFonts w:ascii="Garamond" w:hAnsi="Garamond"/>
          <w:sz w:val="24"/>
          <w:szCs w:val="24"/>
        </w:rPr>
        <w:lastRenderedPageBreak/>
        <w:t xml:space="preserve">No mesmo âmbito, em falhas da rede, este sistema permite a obtenção de energia para os aparelhos essenciais (caso dos sistemas de segurança e vídeo porteiros, de aquecimento ou arrefecimento </w:t>
      </w:r>
      <w:r w:rsidR="00AC1932" w:rsidRPr="00537118">
        <w:rPr>
          <w:rFonts w:ascii="Garamond" w:hAnsi="Garamond"/>
          <w:sz w:val="24"/>
          <w:szCs w:val="24"/>
        </w:rPr>
        <w:t>in</w:t>
      </w:r>
      <w:r w:rsidRPr="00537118">
        <w:rPr>
          <w:rFonts w:ascii="Garamond" w:hAnsi="Garamond"/>
          <w:sz w:val="24"/>
          <w:szCs w:val="24"/>
        </w:rPr>
        <w:t>terno da casa, de aparelhos sensíveis, de carregamento contínuo de veículos elétricos ou luzes de emergência, entre muitos outros) (Iberdrola, s. d.).</w:t>
      </w:r>
    </w:p>
    <w:p w14:paraId="4558AFBE" w14:textId="77777777" w:rsidR="00663A0E" w:rsidRPr="00537118" w:rsidRDefault="00663A0E" w:rsidP="00663A0E">
      <w:pPr>
        <w:spacing w:line="360" w:lineRule="auto"/>
        <w:jc w:val="both"/>
        <w:rPr>
          <w:rFonts w:ascii="Garamond" w:hAnsi="Garamond"/>
          <w:sz w:val="24"/>
          <w:szCs w:val="24"/>
        </w:rPr>
      </w:pPr>
      <w:r w:rsidRPr="00537118">
        <w:rPr>
          <w:rFonts w:ascii="Garamond" w:hAnsi="Garamond"/>
          <w:sz w:val="24"/>
          <w:szCs w:val="24"/>
        </w:rPr>
        <w:t>No que diz respeito à comercialização e produção de baterias (mais especificamente, na Europa, e eventualmente a nível internacional), a atividade irá ser cada vez mais fiscalizada relativamente à cadeia de valor, desde a obtenção de matérias-primas e dos processos de transformação, até o transporte e recolha das baterias cuja vida útil tenha caducado. Johnson e Khosravani (2024) encetaram uma análise e reflexão acerca do regulamento aprovado em junho de 2023 pela União Europeia e que incide sobre as baterias e a sua sustentabilidade (2023/1542). Incluem-se na lista de autores com dúvidas acerca da efetividade deste regulamento. A questão é que - apesar do imenso potencial de influência positiva para que o mercado tome decisões conscientes e sustentáveis sobre a circularidade da indústria de bateiras - a proteção dos direitos das comunidades afetadas é questionável, sendo que as práticas e o regulamento estão intrinsecamente ligados a dinâmicas económicas e geopolíticas de grande escala. Johnson e Khosravani (2024) criticam a possibilidade de as empresas subcontratarem auditores externos para realizar o “</w:t>
      </w:r>
      <w:r w:rsidRPr="00537118">
        <w:rPr>
          <w:rFonts w:ascii="Garamond" w:hAnsi="Garamond"/>
          <w:i/>
          <w:sz w:val="24"/>
          <w:szCs w:val="24"/>
        </w:rPr>
        <w:t>due diligence</w:t>
      </w:r>
      <w:r w:rsidRPr="00537118">
        <w:rPr>
          <w:rFonts w:ascii="Garamond" w:hAnsi="Garamond"/>
          <w:sz w:val="24"/>
          <w:szCs w:val="24"/>
        </w:rPr>
        <w:t xml:space="preserve">” imposto pela União Europeia, o que poderá limitar a veracidade dos relatórios submetidos, face ao efeito esperado de fiscalizar e orientar na direção “correta” as práticas mineiras das empresas (mediante o “embelezamento” dos conteúdos apresentados). Quanto aos interesses da União Europeia, o conteúdo do regulamento incide pouco sobre a proteção das comunidades diretamente afetadas pela procura das matérias-primas para baterias, focando-se mais em aspetos como a reciclagem dos produtos e as emissões dentro da União Europeia. Outro aspeto abordado é o conflito entre a UE e a China nas cadeias de abastecimento de minerais críticos utilizados nas baterias. Os autores partilham a opinião de que há uma tentativa de assegurar cadeias sustentáveis. Porém, o interesse implícito é o de desincentivar a intervenção chinesa nesta indústria. </w:t>
      </w:r>
    </w:p>
    <w:p w14:paraId="765AED34" w14:textId="77777777" w:rsidR="00663A0E" w:rsidRPr="00537118" w:rsidRDefault="00663A0E" w:rsidP="00663A0E">
      <w:pPr>
        <w:spacing w:line="360" w:lineRule="auto"/>
        <w:jc w:val="both"/>
        <w:rPr>
          <w:rFonts w:ascii="Garamond" w:hAnsi="Garamond"/>
          <w:sz w:val="24"/>
          <w:szCs w:val="24"/>
        </w:rPr>
      </w:pPr>
      <w:r w:rsidRPr="00537118">
        <w:rPr>
          <w:rFonts w:ascii="Garamond" w:hAnsi="Garamond"/>
          <w:sz w:val="24"/>
          <w:szCs w:val="24"/>
        </w:rPr>
        <w:t>Seguindo esta linha, Bridge e Faigen (2022) e Chang e Bradsher (2023) salientam que, para produtores cujas exportação primária se destine à UE, o protecionismo dos metais para baterias impõe novos desafios - especialmente, devido aos requisitos de conteúdo que desfavorecem negócios com a China - atual líder da produção de baterias de íon-lítio.</w:t>
      </w:r>
    </w:p>
    <w:p w14:paraId="194AD449" w14:textId="77777777" w:rsidR="00663A0E" w:rsidRPr="00537118" w:rsidRDefault="00663A0E" w:rsidP="00663A0E">
      <w:pPr>
        <w:spacing w:line="360" w:lineRule="auto"/>
        <w:jc w:val="both"/>
        <w:rPr>
          <w:rFonts w:ascii="Garamond" w:hAnsi="Garamond"/>
          <w:sz w:val="24"/>
          <w:szCs w:val="24"/>
        </w:rPr>
      </w:pPr>
      <w:r w:rsidRPr="00537118">
        <w:rPr>
          <w:rFonts w:ascii="Garamond" w:hAnsi="Garamond"/>
          <w:sz w:val="24"/>
          <w:szCs w:val="24"/>
        </w:rPr>
        <w:lastRenderedPageBreak/>
        <w:t xml:space="preserve">Assim, segundo Sauer, Owen et al. (2021; 2022, como citado em Johnson e Khosravani, 2024), os requisitos de </w:t>
      </w:r>
      <w:r w:rsidRPr="00537118">
        <w:rPr>
          <w:rFonts w:ascii="Garamond" w:hAnsi="Garamond"/>
          <w:i/>
          <w:sz w:val="24"/>
          <w:szCs w:val="24"/>
        </w:rPr>
        <w:t>due diligence</w:t>
      </w:r>
      <w:r w:rsidRPr="00537118">
        <w:rPr>
          <w:rFonts w:ascii="Garamond" w:hAnsi="Garamond"/>
          <w:sz w:val="24"/>
          <w:szCs w:val="24"/>
        </w:rPr>
        <w:t xml:space="preserve"> das regulamentações de baterias exigirão níveis extremamente transparentes nos relatórios, constituindo um desafio acrescido atual para o setor de baterias (especialmente, nos produtos com proveniência de fornecedores chineses). </w:t>
      </w:r>
    </w:p>
    <w:p w14:paraId="66BEB9AD" w14:textId="77777777" w:rsidR="00663A0E" w:rsidRPr="00537118" w:rsidRDefault="00663A0E" w:rsidP="00663A0E">
      <w:pPr>
        <w:spacing w:line="360" w:lineRule="auto"/>
        <w:jc w:val="both"/>
        <w:rPr>
          <w:rFonts w:ascii="Garamond" w:hAnsi="Garamond"/>
          <w:sz w:val="24"/>
          <w:szCs w:val="24"/>
        </w:rPr>
      </w:pPr>
      <w:r w:rsidRPr="00537118">
        <w:rPr>
          <w:rFonts w:ascii="Garamond" w:hAnsi="Garamond"/>
          <w:sz w:val="24"/>
          <w:szCs w:val="24"/>
        </w:rPr>
        <w:t xml:space="preserve">Porém, os autores ainda ressaltam a existência de exceções quanto a certos setores de interesse europeu. Grande parte (ou a quase totalidade) do </w:t>
      </w:r>
      <w:r w:rsidRPr="00537118">
        <w:rPr>
          <w:rFonts w:ascii="Garamond" w:hAnsi="Garamond"/>
          <w:i/>
          <w:sz w:val="24"/>
          <w:szCs w:val="24"/>
        </w:rPr>
        <w:t>due diligence</w:t>
      </w:r>
      <w:r w:rsidRPr="00537118">
        <w:rPr>
          <w:rFonts w:ascii="Garamond" w:hAnsi="Garamond"/>
          <w:sz w:val="24"/>
          <w:szCs w:val="24"/>
        </w:rPr>
        <w:t xml:space="preserve"> imposto pelos regulamentos é prescindível, se se tratar de setores como o aeroespacial e o de defesa dos estados-membros. </w:t>
      </w:r>
    </w:p>
    <w:p w14:paraId="3DE614CA" w14:textId="77777777" w:rsidR="00663A0E" w:rsidRPr="00537118" w:rsidRDefault="00663A0E" w:rsidP="00663A0E">
      <w:pPr>
        <w:spacing w:line="360" w:lineRule="auto"/>
        <w:jc w:val="both"/>
        <w:rPr>
          <w:rFonts w:ascii="Garamond" w:hAnsi="Garamond"/>
          <w:sz w:val="24"/>
          <w:szCs w:val="24"/>
        </w:rPr>
      </w:pPr>
      <w:r w:rsidRPr="00537118">
        <w:rPr>
          <w:rFonts w:ascii="Garamond" w:hAnsi="Garamond"/>
          <w:sz w:val="24"/>
          <w:szCs w:val="24"/>
        </w:rPr>
        <w:t xml:space="preserve">Curiosamente, Benalcazar, Kalka e Kamiński (2024) salientam a importância das baterias na complementaridade da produção elétrica (especialmente, na União Europeia). Os autores referem o impacto do aumento da implementação de painéis fotovoltaicos na produção de energia, incentivado através de subsídios na adoção desta tecnológica verde, tendo-se verificado que o maior contributo para o aumento da capacidade energética produzida foi dado pelos consumidores individuais que adotaram a dita tecnologia. Tais conclusões são corroboradas por diversos estudos, que expõem o papel crucial da integração de baterias nos sistemas de produção de energia fotovoltaica e a futura interdependência entre estes (Benalcazar et al., 2020). </w:t>
      </w:r>
    </w:p>
    <w:p w14:paraId="3EB85549" w14:textId="77777777" w:rsidR="00663A0E" w:rsidRPr="00537118" w:rsidRDefault="00663A0E" w:rsidP="00663A0E">
      <w:pPr>
        <w:spacing w:line="360" w:lineRule="auto"/>
        <w:jc w:val="both"/>
        <w:rPr>
          <w:rFonts w:ascii="Garamond" w:hAnsi="Garamond"/>
          <w:sz w:val="24"/>
          <w:szCs w:val="24"/>
        </w:rPr>
      </w:pPr>
      <w:r w:rsidRPr="00537118">
        <w:rPr>
          <w:rFonts w:ascii="Garamond" w:hAnsi="Garamond"/>
          <w:sz w:val="24"/>
          <w:szCs w:val="24"/>
        </w:rPr>
        <w:t xml:space="preserve">A Alemanha é um dos países que melhor serve de caso de estudo e de exemplo para outros, uma vez que apresenta uma grande tendência de adoção destes sistemas conjuntamente com baterias (BESS) – especialmente, em prédios residenciais e em pequenos locais industriais. </w:t>
      </w:r>
    </w:p>
    <w:p w14:paraId="40ACAB6F" w14:textId="77777777" w:rsidR="00663A0E" w:rsidRPr="00537118" w:rsidRDefault="00663A0E" w:rsidP="00663A0E">
      <w:pPr>
        <w:spacing w:line="360" w:lineRule="auto"/>
        <w:jc w:val="both"/>
        <w:rPr>
          <w:rFonts w:ascii="Garamond" w:hAnsi="Garamond"/>
          <w:sz w:val="24"/>
          <w:szCs w:val="24"/>
        </w:rPr>
      </w:pPr>
      <w:r w:rsidRPr="00537118">
        <w:rPr>
          <w:rFonts w:ascii="Garamond" w:hAnsi="Garamond"/>
          <w:sz w:val="24"/>
          <w:szCs w:val="24"/>
        </w:rPr>
        <w:t>Estes dispositivos de armazenamento de energia abrem portas à global adoção e discussão de políticas, face à nova realidade energética. Diversos modelos e estudos suportam a existência de um sistema de consumidor-produtor de energia, mediante o qual a rede elétrica está interligada aos sistemas individuais de produção dos consumidores (os quais geram energia através de painéis fotovoltaicos) e é gerida e armazenada mediante um BESS. Assim, mediante uma tarifa específica denominada FiT (</w:t>
      </w:r>
      <w:r w:rsidRPr="00537118">
        <w:rPr>
          <w:rFonts w:ascii="Garamond" w:hAnsi="Garamond"/>
          <w:i/>
          <w:iCs/>
          <w:sz w:val="24"/>
          <w:szCs w:val="24"/>
        </w:rPr>
        <w:t>feed-in tariff</w:t>
      </w:r>
      <w:r w:rsidRPr="00537118">
        <w:rPr>
          <w:rFonts w:ascii="Garamond" w:hAnsi="Garamond"/>
          <w:sz w:val="24"/>
          <w:szCs w:val="24"/>
        </w:rPr>
        <w:t>) e consoante a necessidade individual, estes permitem aumentar a eficiência energética, o consumo eficiente de energia da rede e, consequentemente, os custos associados.</w:t>
      </w:r>
    </w:p>
    <w:p w14:paraId="3B3999F7" w14:textId="77777777" w:rsidR="00663A0E" w:rsidRPr="00537118" w:rsidRDefault="00663A0E" w:rsidP="00663A0E">
      <w:pPr>
        <w:spacing w:line="360" w:lineRule="auto"/>
        <w:jc w:val="both"/>
        <w:rPr>
          <w:rFonts w:ascii="Garamond" w:hAnsi="Garamond"/>
          <w:sz w:val="24"/>
          <w:szCs w:val="24"/>
        </w:rPr>
      </w:pPr>
      <w:r w:rsidRPr="00537118">
        <w:rPr>
          <w:rFonts w:ascii="Garamond" w:hAnsi="Garamond"/>
          <w:sz w:val="24"/>
          <w:szCs w:val="24"/>
        </w:rPr>
        <w:t xml:space="preserve">Este tipo de tarifas mencionadas (já implementadas em vários países) garante que os produtores de energia (proprietários de painéis solares, por exemplo) recebam uma compensação financeira por cada quilowatt-hora (kWh) de eletricidade injetado na rede. Normalmente, este tipo de </w:t>
      </w:r>
      <w:r w:rsidRPr="00537118">
        <w:rPr>
          <w:rFonts w:ascii="Garamond" w:hAnsi="Garamond"/>
          <w:sz w:val="24"/>
          <w:szCs w:val="24"/>
        </w:rPr>
        <w:lastRenderedPageBreak/>
        <w:t xml:space="preserve">políticas incentiva os indivíduos e empresas a investirem em fontes limpas, como a eólica e solar, mediante contratos com tarifas fixas a longo prazo. </w:t>
      </w:r>
    </w:p>
    <w:p w14:paraId="2BD46E00" w14:textId="12AD774B" w:rsidR="00663A0E" w:rsidRPr="00537118" w:rsidRDefault="00663A0E" w:rsidP="00663A0E">
      <w:pPr>
        <w:spacing w:line="360" w:lineRule="auto"/>
        <w:jc w:val="both"/>
        <w:rPr>
          <w:rFonts w:ascii="Garamond" w:hAnsi="Garamond"/>
          <w:sz w:val="24"/>
          <w:szCs w:val="24"/>
        </w:rPr>
      </w:pPr>
      <w:r w:rsidRPr="00537118">
        <w:rPr>
          <w:rFonts w:ascii="Garamond" w:hAnsi="Garamond"/>
          <w:sz w:val="24"/>
          <w:szCs w:val="24"/>
        </w:rPr>
        <w:t xml:space="preserve">De maneira simplificada, as simulações e análises de Benalcazar et al. (2020) defendem que o efeito da adoção destes sistemas de produção própria de energia interligada com a rede elétrica (e de uma </w:t>
      </w:r>
      <w:r w:rsidRPr="00537118">
        <w:rPr>
          <w:rFonts w:ascii="Garamond" w:hAnsi="Garamond"/>
          <w:i/>
          <w:sz w:val="24"/>
          <w:szCs w:val="24"/>
        </w:rPr>
        <w:t>Feed-in tariff</w:t>
      </w:r>
      <w:r w:rsidRPr="00537118">
        <w:rPr>
          <w:rFonts w:ascii="Garamond" w:hAnsi="Garamond"/>
          <w:sz w:val="24"/>
          <w:szCs w:val="24"/>
        </w:rPr>
        <w:t xml:space="preserve">) resultaria no aumento da autossuficiência doméstica em aproximadamente trinta pontos percentuais, segundo o modelo e caso de estudo dos autores. De acordo com os dados, a autossuficiência doméstica poderia atingir valores de 69,9%, face o valor base de 39,61%, sendo o segundo valor representativo de um cenário de dependência única da rede e de painéis solares. Congruentemente, os resultados das 200 simulações efetuadas indicam resultados muito positivos na adoção dos BESS. Os dados revelam que os domicílios com sistemas de armazenamento por bateria (BESS), juntamente com painéis fotovoltaicos (num regime com taxa FiT- </w:t>
      </w:r>
      <w:r w:rsidRPr="00537118">
        <w:rPr>
          <w:rFonts w:ascii="Garamond" w:hAnsi="Garamond"/>
          <w:i/>
          <w:sz w:val="24"/>
          <w:szCs w:val="24"/>
        </w:rPr>
        <w:t>feed in tariff</w:t>
      </w:r>
      <w:r w:rsidRPr="00537118">
        <w:rPr>
          <w:rFonts w:ascii="Garamond" w:hAnsi="Garamond"/>
          <w:sz w:val="24"/>
          <w:szCs w:val="24"/>
        </w:rPr>
        <w:t xml:space="preserve">), apresentam, em média, custos 55% inferiores aos sistemas unicamente dotados de painéis fotovoltaicos (sem BESS e no mesmo regime FiT) e 74% inferiores aos sistemas </w:t>
      </w:r>
      <w:r w:rsidR="001E3004" w:rsidRPr="00537118">
        <w:rPr>
          <w:rFonts w:ascii="Garamond" w:hAnsi="Garamond"/>
          <w:sz w:val="24"/>
          <w:szCs w:val="24"/>
        </w:rPr>
        <w:t>residenciais</w:t>
      </w:r>
      <w:r w:rsidRPr="00537118">
        <w:rPr>
          <w:rFonts w:ascii="Garamond" w:hAnsi="Garamond"/>
          <w:sz w:val="24"/>
          <w:szCs w:val="24"/>
        </w:rPr>
        <w:t xml:space="preserve"> sem qualquer regime de compensação financeira. Assim, os autores reforçam as vantagens operacionais e financeiras associadas à implementação destes sistemas de armazenamento de energia por baterias (BESS), aos meios dispositivos de produção de energia fotovoltaica (caso dos painéis solares) e ao uso de políticas adequadas a estas novas tecnologias. </w:t>
      </w:r>
    </w:p>
    <w:p w14:paraId="0F8CC49A" w14:textId="77777777" w:rsidR="00663A0E" w:rsidRPr="00537118" w:rsidRDefault="00663A0E" w:rsidP="00663A0E">
      <w:pPr>
        <w:spacing w:line="360" w:lineRule="auto"/>
        <w:jc w:val="both"/>
        <w:rPr>
          <w:rFonts w:ascii="Garamond" w:hAnsi="Garamond"/>
          <w:sz w:val="24"/>
          <w:szCs w:val="24"/>
        </w:rPr>
      </w:pPr>
      <w:r w:rsidRPr="00537118">
        <w:rPr>
          <w:rFonts w:ascii="Garamond" w:hAnsi="Garamond"/>
          <w:sz w:val="24"/>
          <w:szCs w:val="24"/>
        </w:rPr>
        <w:t>São hoje inúmeros os cenários em que as baterias estão envolvidas: desde a utilização das mesmas para armazenamento de energia e posterior utilização para fins domésticos ou industriais, até à sua incorporação em veículos elétricos. Atendendo às mais variadas utilizações, a indústria de baterias tem apresentado crescimento exponencial, pelo que as empresas envolvidas, direta ou indiretamente, na cadeia de valor destes produtos terão a necessidade de acompanhar o desenvolvimento e tendência dessa indústria, para que possam tomar decisões informadas relativamente ao posicionamento no mercado, assim como quanto aos respetivos problemas e obstáculos (Wang et al., 2024, p. 475).</w:t>
      </w:r>
    </w:p>
    <w:p w14:paraId="265F102E" w14:textId="64420616" w:rsidR="00663A0E" w:rsidRPr="00537118" w:rsidRDefault="00663A0E" w:rsidP="00663A0E">
      <w:pPr>
        <w:spacing w:line="360" w:lineRule="auto"/>
        <w:jc w:val="both"/>
        <w:rPr>
          <w:rFonts w:ascii="Garamond" w:hAnsi="Garamond"/>
          <w:sz w:val="24"/>
          <w:szCs w:val="24"/>
        </w:rPr>
      </w:pPr>
      <w:r w:rsidRPr="00537118">
        <w:rPr>
          <w:rFonts w:ascii="Garamond" w:hAnsi="Garamond"/>
          <w:sz w:val="24"/>
          <w:szCs w:val="24"/>
        </w:rPr>
        <w:t xml:space="preserve">São vários os métodos desenvolvidos para acompanhar o desenvolvimento da cadeia de valor das baterias. Para além disso, são repletos de interesse para um vasto leque de </w:t>
      </w:r>
      <w:r w:rsidRPr="00537118">
        <w:rPr>
          <w:rFonts w:ascii="Garamond" w:hAnsi="Garamond"/>
          <w:i/>
          <w:sz w:val="24"/>
          <w:szCs w:val="24"/>
        </w:rPr>
        <w:t>players</w:t>
      </w:r>
      <w:r w:rsidRPr="00537118">
        <w:rPr>
          <w:rFonts w:ascii="Garamond" w:hAnsi="Garamond"/>
          <w:sz w:val="24"/>
          <w:szCs w:val="24"/>
        </w:rPr>
        <w:t xml:space="preserve"> globais. Com o aumento da procura de dispositivos de armazenamento de energia, em virtude dos </w:t>
      </w:r>
      <w:r w:rsidRPr="00537118">
        <w:rPr>
          <w:rFonts w:ascii="Garamond" w:hAnsi="Garamond"/>
          <w:sz w:val="24"/>
          <w:szCs w:val="24"/>
        </w:rPr>
        <w:lastRenderedPageBreak/>
        <w:t xml:space="preserve">avanços tecnológicos verificados nos meios de transporte “limpos” e na eficiência da autonomia dos veículos elétricos, a extração mineira de lítio, chumbo e outras matérias-primas tem vindo a criar tensões geopolíticas, pois cada um pretende arrecadar para si locais de extração destes minérios. Dito isto, as empresas que fazem uso (de uma forma ou </w:t>
      </w:r>
      <w:r w:rsidR="00805B2E" w:rsidRPr="00537118">
        <w:rPr>
          <w:rFonts w:ascii="Garamond" w:hAnsi="Garamond"/>
          <w:sz w:val="24"/>
          <w:szCs w:val="24"/>
        </w:rPr>
        <w:t>outra) destes</w:t>
      </w:r>
      <w:r w:rsidRPr="00537118">
        <w:rPr>
          <w:rFonts w:ascii="Garamond" w:hAnsi="Garamond"/>
          <w:sz w:val="24"/>
          <w:szCs w:val="24"/>
        </w:rPr>
        <w:t xml:space="preserve"> produtos poderão obter vantagens face aos concorrentes, consoante a sua localização e com acesso a melhores fornecedores ou regulação mais vantajosa para a sua atividade. Quanto à dimensão, prevê-se que o mercado global de BESS atinja entre 120 e 150 mil milhões de dólares para 2030, o que representa mais do dobro dos valores atuais (McKinsey e Company, 2023), pelo que as empresas deverão procurar ativamente posicionar-se de maneira estratégica, de forma a aproveitar, nos próximos anos, </w:t>
      </w:r>
      <w:r w:rsidR="00D26C5A" w:rsidRPr="00537118">
        <w:rPr>
          <w:rFonts w:ascii="Garamond" w:hAnsi="Garamond"/>
          <w:sz w:val="24"/>
          <w:szCs w:val="24"/>
        </w:rPr>
        <w:t>o</w:t>
      </w:r>
      <w:r w:rsidRPr="00537118">
        <w:rPr>
          <w:rFonts w:ascii="Garamond" w:hAnsi="Garamond"/>
          <w:sz w:val="24"/>
          <w:szCs w:val="24"/>
        </w:rPr>
        <w:t xml:space="preserve"> crescimento no mercado.</w:t>
      </w:r>
    </w:p>
    <w:p w14:paraId="19CB4463" w14:textId="2DE4001E" w:rsidR="00663A0E" w:rsidRPr="00537118" w:rsidRDefault="00663A0E" w:rsidP="007B22A4">
      <w:pPr>
        <w:spacing w:line="360" w:lineRule="auto"/>
        <w:jc w:val="both"/>
        <w:rPr>
          <w:rFonts w:ascii="Garamond" w:hAnsi="Garamond"/>
          <w:sz w:val="24"/>
          <w:szCs w:val="24"/>
        </w:rPr>
      </w:pPr>
      <w:r w:rsidRPr="00537118">
        <w:rPr>
          <w:rFonts w:ascii="Garamond" w:hAnsi="Garamond"/>
          <w:sz w:val="24"/>
          <w:szCs w:val="24"/>
        </w:rPr>
        <w:t>Segundo um estudo da McKinsey e Company (2023), espera-se que o segmento comercial e industrial cresça a uma Taxa de Crescimento Anual Composta (CAGR) de 13% ao ano, atingindo entre 52 e 70 GWh (gigawatt-hora)</w:t>
      </w:r>
      <w:r w:rsidRPr="00537118">
        <w:t xml:space="preserve"> </w:t>
      </w:r>
      <w:r w:rsidRPr="00537118">
        <w:rPr>
          <w:rFonts w:ascii="Garamond" w:hAnsi="Garamond"/>
          <w:sz w:val="24"/>
          <w:szCs w:val="24"/>
        </w:rPr>
        <w:t xml:space="preserve">em novas adições anuais, até 2030. Os 4 subsegmentos que impulsionam este crescimento são as infraestruturas de carregamento de veículos elétricos (EVCI, em inglês), uma vez que as BESS se tornarão necessárias para suportar o aumento da adoção de veículos elétricos e para aliviar a pressão sobre a rede elétrica central. O segundo subsegmento consiste nas infraestruturas críticas, como torres de telecomunicações e hospitais, com as baterias de lítio a poderem substituir as baterias de chumbo-ácido e reduzir a dependência de geradores a </w:t>
      </w:r>
      <w:r w:rsidRPr="00537118">
        <w:rPr>
          <w:rFonts w:ascii="Garamond" w:hAnsi="Garamond"/>
          <w:i/>
          <w:sz w:val="24"/>
          <w:szCs w:val="24"/>
        </w:rPr>
        <w:t>diesel</w:t>
      </w:r>
      <w:r w:rsidRPr="00537118">
        <w:rPr>
          <w:rFonts w:ascii="Garamond" w:hAnsi="Garamond"/>
          <w:sz w:val="24"/>
          <w:szCs w:val="24"/>
        </w:rPr>
        <w:t xml:space="preserve">. O terceiro diz respeito às infraestruturas públicas, os edifícios comerciais e as fábricas, com estes sistemas de armazenamento de energia a poderem otimizar o autoconsumo e fornecer serviços à rede, permitindo redução de custos energéticos. Por fim, o quarto subsegmento refere-se aos ambientes adversos (caso da mineração e construção), com as novas políticas e regulações energéticas a impulsionar a transição dos geradores de combustíveis fosseis para alternativas híbridas ou de BESS. Apesar da menor dimensão, o mercado residencial deverá atingir os 20 GWh até 2030. Este crescimento previsto revela-se atraente para as empresas de baterias, já que resulta de maior integração de painéis solares, de </w:t>
      </w:r>
      <w:r w:rsidRPr="00537118">
        <w:rPr>
          <w:rFonts w:ascii="Garamond" w:hAnsi="Garamond"/>
          <w:i/>
          <w:iCs/>
          <w:sz w:val="24"/>
          <w:szCs w:val="24"/>
        </w:rPr>
        <w:t xml:space="preserve">smart-homes </w:t>
      </w:r>
      <w:r w:rsidRPr="00537118">
        <w:rPr>
          <w:rFonts w:ascii="Garamond" w:hAnsi="Garamond"/>
          <w:sz w:val="24"/>
          <w:szCs w:val="24"/>
        </w:rPr>
        <w:t>e do desenvolvimento de micro-redes (caso das comunidades remotas), facultando aos clientes autossuficiência energética, diminuição de custos e a possibilidade de proteção contra interrupções da energia proveniente da rede.</w:t>
      </w:r>
    </w:p>
    <w:p w14:paraId="46F422DB" w14:textId="50696A0D" w:rsidR="006D3690" w:rsidRPr="00537118" w:rsidRDefault="000B0A37" w:rsidP="00A11B8C">
      <w:pPr>
        <w:pStyle w:val="Heading1"/>
        <w:spacing w:line="360" w:lineRule="auto"/>
      </w:pPr>
      <w:bookmarkStart w:id="20" w:name="_Toc202571359"/>
      <w:r w:rsidRPr="00537118">
        <w:lastRenderedPageBreak/>
        <w:t>4</w:t>
      </w:r>
      <w:r w:rsidR="006D3690" w:rsidRPr="00537118">
        <w:t>. Reflexão crítica das atividades desenvolvidas no âmbito da literatura</w:t>
      </w:r>
      <w:bookmarkEnd w:id="20"/>
      <w:r w:rsidR="006D3690" w:rsidRPr="00537118">
        <w:t xml:space="preserve"> </w:t>
      </w:r>
    </w:p>
    <w:p w14:paraId="1EEA0DB8" w14:textId="02980E61" w:rsidR="006D3690" w:rsidRPr="00537118" w:rsidRDefault="006D3690" w:rsidP="00A11B8C">
      <w:pPr>
        <w:spacing w:line="360" w:lineRule="auto"/>
        <w:jc w:val="both"/>
        <w:rPr>
          <w:rFonts w:ascii="Garamond" w:hAnsi="Garamond"/>
          <w:sz w:val="24"/>
          <w:szCs w:val="24"/>
        </w:rPr>
      </w:pPr>
      <w:r w:rsidRPr="00537118">
        <w:rPr>
          <w:rFonts w:ascii="Garamond" w:hAnsi="Garamond"/>
          <w:sz w:val="24"/>
          <w:szCs w:val="24"/>
        </w:rPr>
        <w:t>Esta próxima secção encontra-se dividida em quatro subsecções, todas elas referentes à empresa em questão (a BateriasX). As duas primeiras secções abordarão as motivações para a internacionalização da empresa e os respetivos entraves com que se depara, neste processo; far-se-á uma análise crítica destes processos, à luz da revisão da literatura. A terceira subsecção apresentará em detalhe o procedimento de seleção dos mercados para internacionalização, bem como a explicação dos indicadores a que se recorre para tal</w:t>
      </w:r>
      <w:r w:rsidR="00EA75D4" w:rsidRPr="00537118">
        <w:rPr>
          <w:rFonts w:ascii="Garamond" w:hAnsi="Garamond"/>
          <w:sz w:val="24"/>
          <w:szCs w:val="24"/>
        </w:rPr>
        <w:t xml:space="preserve"> (As tabelas A</w:t>
      </w:r>
      <w:r w:rsidR="00010BA8">
        <w:rPr>
          <w:rFonts w:ascii="Garamond" w:hAnsi="Garamond"/>
          <w:sz w:val="24"/>
          <w:szCs w:val="24"/>
        </w:rPr>
        <w:t>.</w:t>
      </w:r>
      <w:r w:rsidR="00E61E6A" w:rsidRPr="00537118">
        <w:rPr>
          <w:rFonts w:ascii="Garamond" w:hAnsi="Garamond"/>
          <w:sz w:val="24"/>
          <w:szCs w:val="24"/>
        </w:rPr>
        <w:t>4 e A</w:t>
      </w:r>
      <w:r w:rsidR="00010BA8">
        <w:rPr>
          <w:rFonts w:ascii="Garamond" w:hAnsi="Garamond"/>
          <w:sz w:val="24"/>
          <w:szCs w:val="24"/>
        </w:rPr>
        <w:t>.</w:t>
      </w:r>
      <w:r w:rsidR="00E61E6A" w:rsidRPr="00537118">
        <w:rPr>
          <w:rFonts w:ascii="Garamond" w:hAnsi="Garamond"/>
          <w:sz w:val="24"/>
          <w:szCs w:val="24"/>
        </w:rPr>
        <w:t>10</w:t>
      </w:r>
      <w:r w:rsidR="00D72E3C" w:rsidRPr="00537118">
        <w:rPr>
          <w:rFonts w:ascii="Garamond" w:hAnsi="Garamond"/>
          <w:sz w:val="24"/>
          <w:szCs w:val="24"/>
        </w:rPr>
        <w:t>, inclu</w:t>
      </w:r>
      <w:r w:rsidR="003A4ECF" w:rsidRPr="00537118">
        <w:rPr>
          <w:rFonts w:ascii="Garamond" w:hAnsi="Garamond"/>
          <w:sz w:val="24"/>
          <w:szCs w:val="24"/>
        </w:rPr>
        <w:t>í</w:t>
      </w:r>
      <w:r w:rsidR="00D72E3C" w:rsidRPr="00537118">
        <w:rPr>
          <w:rFonts w:ascii="Garamond" w:hAnsi="Garamond"/>
          <w:sz w:val="24"/>
          <w:szCs w:val="24"/>
        </w:rPr>
        <w:t xml:space="preserve">das nos anexos, apresentam os </w:t>
      </w:r>
      <w:r w:rsidR="003A4ECF" w:rsidRPr="00537118">
        <w:rPr>
          <w:rFonts w:ascii="Garamond" w:hAnsi="Garamond"/>
          <w:sz w:val="24"/>
          <w:szCs w:val="24"/>
        </w:rPr>
        <w:t>resultados</w:t>
      </w:r>
      <w:r w:rsidR="00D72E3C" w:rsidRPr="00537118">
        <w:rPr>
          <w:rFonts w:ascii="Garamond" w:hAnsi="Garamond"/>
          <w:sz w:val="24"/>
          <w:szCs w:val="24"/>
        </w:rPr>
        <w:t xml:space="preserve"> detalhados de cada triagem)</w:t>
      </w:r>
      <w:r w:rsidRPr="00537118">
        <w:rPr>
          <w:rFonts w:ascii="Garamond" w:hAnsi="Garamond"/>
          <w:sz w:val="24"/>
          <w:szCs w:val="24"/>
        </w:rPr>
        <w:t xml:space="preserve">. Finalmente, a quarta subsecção apresentará uma discussão dos modos de entrada mais apropriados para a empresa, tendo em conta os elementos referidos na revisão de literatura. </w:t>
      </w:r>
    </w:p>
    <w:p w14:paraId="3404C3C5" w14:textId="77777777" w:rsidR="00164B7A" w:rsidRPr="00537118" w:rsidRDefault="00164B7A" w:rsidP="006D3690">
      <w:pPr>
        <w:spacing w:line="360" w:lineRule="auto"/>
        <w:jc w:val="both"/>
        <w:rPr>
          <w:rFonts w:ascii="Garamond" w:hAnsi="Garamond"/>
          <w:sz w:val="24"/>
          <w:szCs w:val="24"/>
        </w:rPr>
      </w:pPr>
    </w:p>
    <w:p w14:paraId="141CFD60" w14:textId="68067F61" w:rsidR="006D3690" w:rsidRPr="00537118" w:rsidRDefault="000B0A37" w:rsidP="00A11B8C">
      <w:pPr>
        <w:pStyle w:val="Heading2"/>
        <w:spacing w:line="360" w:lineRule="auto"/>
      </w:pPr>
      <w:bookmarkStart w:id="21" w:name="_Toc202571360"/>
      <w:r w:rsidRPr="00537118">
        <w:t>4</w:t>
      </w:r>
      <w:r w:rsidR="006D3690" w:rsidRPr="00537118">
        <w:t>.1</w:t>
      </w:r>
      <w:r w:rsidR="00103601" w:rsidRPr="00537118">
        <w:t xml:space="preserve">. </w:t>
      </w:r>
      <w:r w:rsidR="006D3690" w:rsidRPr="00537118">
        <w:t>Motivações para a internacionalização da BateriasX</w:t>
      </w:r>
      <w:bookmarkEnd w:id="21"/>
    </w:p>
    <w:p w14:paraId="373101D3" w14:textId="77777777" w:rsidR="006D3690" w:rsidRPr="00537118" w:rsidRDefault="006D3690" w:rsidP="00A11B8C">
      <w:pPr>
        <w:spacing w:line="360" w:lineRule="auto"/>
        <w:jc w:val="both"/>
        <w:rPr>
          <w:rFonts w:ascii="Garamond" w:hAnsi="Garamond"/>
          <w:sz w:val="24"/>
          <w:szCs w:val="24"/>
        </w:rPr>
      </w:pPr>
      <w:r w:rsidRPr="00537118">
        <w:rPr>
          <w:rFonts w:ascii="Garamond" w:hAnsi="Garamond"/>
          <w:sz w:val="24"/>
          <w:szCs w:val="24"/>
        </w:rPr>
        <w:t xml:space="preserve">Não é suficiente analisar os conceitos sem enquadrar a empresa consoante as suas especificidades. Têm de ser consideradas as características da BateriasX e as motivações que a levam a ponderar a entrada no mercado internacional. </w:t>
      </w:r>
    </w:p>
    <w:p w14:paraId="6E1FCD19" w14:textId="448EA808" w:rsidR="006D3690" w:rsidRPr="00537118" w:rsidRDefault="006D3690" w:rsidP="006D3690">
      <w:pPr>
        <w:spacing w:line="360" w:lineRule="auto"/>
        <w:jc w:val="both"/>
        <w:rPr>
          <w:rFonts w:ascii="Garamond" w:hAnsi="Garamond"/>
          <w:color w:val="000000"/>
          <w:sz w:val="24"/>
          <w:szCs w:val="24"/>
        </w:rPr>
      </w:pPr>
      <w:r w:rsidRPr="00537118">
        <w:rPr>
          <w:rFonts w:ascii="Garamond" w:hAnsi="Garamond"/>
          <w:sz w:val="24"/>
          <w:szCs w:val="24"/>
        </w:rPr>
        <w:t>Dito isto, a principal motivação de internacionalização da empresa é a procura de mercados (</w:t>
      </w:r>
      <w:r w:rsidRPr="00537118">
        <w:rPr>
          <w:rFonts w:ascii="Garamond" w:hAnsi="Garamond"/>
          <w:i/>
          <w:sz w:val="24"/>
          <w:szCs w:val="24"/>
        </w:rPr>
        <w:t>market seeking</w:t>
      </w:r>
      <w:r w:rsidRPr="00537118">
        <w:rPr>
          <w:rFonts w:ascii="Garamond" w:hAnsi="Garamond"/>
          <w:sz w:val="24"/>
          <w:szCs w:val="24"/>
        </w:rPr>
        <w:t xml:space="preserve">), uma das motivações primárias, tal como constatado na subsecção </w:t>
      </w:r>
      <w:r w:rsidR="004D445E" w:rsidRPr="00537118">
        <w:rPr>
          <w:rFonts w:ascii="Garamond" w:hAnsi="Garamond"/>
          <w:sz w:val="24"/>
          <w:szCs w:val="24"/>
        </w:rPr>
        <w:t>3</w:t>
      </w:r>
      <w:r w:rsidRPr="00537118">
        <w:rPr>
          <w:rFonts w:ascii="Garamond" w:hAnsi="Garamond"/>
          <w:sz w:val="24"/>
          <w:szCs w:val="24"/>
        </w:rPr>
        <w:t xml:space="preserve">.2.1, em concordância com Dunning e Lundan (2008). Isto deve-se ao facto de se tratar de um mercado ainda rudimentar e de pequena dimensão em Portugal, fenómeno comum nas Born globals, tal como referido na revisão de literatura na subsecção </w:t>
      </w:r>
      <w:r w:rsidR="004D445E" w:rsidRPr="00537118">
        <w:rPr>
          <w:rFonts w:ascii="Garamond" w:hAnsi="Garamond"/>
          <w:sz w:val="24"/>
          <w:szCs w:val="24"/>
        </w:rPr>
        <w:t>3</w:t>
      </w:r>
      <w:r w:rsidRPr="00537118">
        <w:rPr>
          <w:rFonts w:ascii="Garamond" w:hAnsi="Garamond"/>
          <w:sz w:val="24"/>
          <w:szCs w:val="24"/>
        </w:rPr>
        <w:t>.1.2 (</w:t>
      </w:r>
      <w:r w:rsidRPr="00537118">
        <w:rPr>
          <w:rFonts w:ascii="Garamond" w:hAnsi="Garamond"/>
          <w:color w:val="000000"/>
          <w:sz w:val="24"/>
          <w:szCs w:val="24"/>
        </w:rPr>
        <w:t xml:space="preserve">Knight e Cavusgil, 1996; Rennie, 1993; McNaughton e Bell, 2000). Para além disso, os produtos da empresa detêm um elevado valor para a globalidade dos cidadãos (especialmente, num futuro próximo), pelo que a empresa está interessada em desenvolver a sua atividade e ganhar experiência, contactos. Consequentemente, procurará sedimentar-se em mercados estratégicos. </w:t>
      </w:r>
    </w:p>
    <w:p w14:paraId="550C22EE" w14:textId="0FAD5D2E" w:rsidR="006D3690" w:rsidRPr="00537118" w:rsidRDefault="006D3690" w:rsidP="006D3690">
      <w:pPr>
        <w:spacing w:line="360" w:lineRule="auto"/>
        <w:jc w:val="both"/>
        <w:rPr>
          <w:rFonts w:ascii="Garamond" w:hAnsi="Garamond"/>
          <w:sz w:val="24"/>
          <w:szCs w:val="24"/>
        </w:rPr>
      </w:pPr>
      <w:r w:rsidRPr="00537118">
        <w:rPr>
          <w:rFonts w:ascii="Garamond" w:hAnsi="Garamond"/>
          <w:sz w:val="24"/>
          <w:szCs w:val="24"/>
        </w:rPr>
        <w:t xml:space="preserve">Além disso, sendo a BateriasX uma pequena empresa com recursos limitados, a obtenção de crédito seria condicionada, se se recorresse a instituições bancárias comuns. Assim, </w:t>
      </w:r>
      <w:r w:rsidR="00517792" w:rsidRPr="00537118">
        <w:rPr>
          <w:rFonts w:ascii="Garamond" w:hAnsi="Garamond"/>
          <w:sz w:val="24"/>
          <w:szCs w:val="24"/>
        </w:rPr>
        <w:t>há que ter em atenção</w:t>
      </w:r>
      <w:r w:rsidRPr="00537118">
        <w:rPr>
          <w:rFonts w:ascii="Garamond" w:hAnsi="Garamond"/>
          <w:sz w:val="24"/>
          <w:szCs w:val="24"/>
        </w:rPr>
        <w:t xml:space="preserve"> a capacidade de alocar fundos para o processo de internacionalização. Todavia, a </w:t>
      </w:r>
      <w:r w:rsidRPr="00537118">
        <w:rPr>
          <w:rFonts w:ascii="Garamond" w:hAnsi="Garamond"/>
          <w:sz w:val="24"/>
          <w:szCs w:val="24"/>
        </w:rPr>
        <w:lastRenderedPageBreak/>
        <w:t>empresa poderá tentar recorrer a investidores particulares (</w:t>
      </w:r>
      <w:r w:rsidRPr="00537118">
        <w:rPr>
          <w:rFonts w:ascii="Garamond" w:hAnsi="Garamond"/>
          <w:i/>
          <w:iCs/>
          <w:sz w:val="24"/>
          <w:szCs w:val="24"/>
        </w:rPr>
        <w:t>Angels</w:t>
      </w:r>
      <w:r w:rsidRPr="00537118">
        <w:rPr>
          <w:rFonts w:ascii="Garamond" w:hAnsi="Garamond"/>
          <w:sz w:val="24"/>
          <w:szCs w:val="24"/>
        </w:rPr>
        <w:t>) para ampliar as margens de manobra neste processo e colmatar algumas dificuldades financeiras emergentes.</w:t>
      </w:r>
    </w:p>
    <w:p w14:paraId="4DA4DF33" w14:textId="05B66244" w:rsidR="006D3690" w:rsidRPr="00537118" w:rsidRDefault="006D3690" w:rsidP="006D3690">
      <w:pPr>
        <w:spacing w:line="360" w:lineRule="auto"/>
        <w:jc w:val="both"/>
        <w:rPr>
          <w:rFonts w:ascii="Garamond" w:hAnsi="Garamond"/>
          <w:sz w:val="24"/>
          <w:szCs w:val="24"/>
        </w:rPr>
      </w:pPr>
      <w:r w:rsidRPr="00537118">
        <w:rPr>
          <w:rFonts w:ascii="Garamond" w:hAnsi="Garamond"/>
          <w:sz w:val="24"/>
          <w:szCs w:val="24"/>
        </w:rPr>
        <w:t xml:space="preserve">Associado a isso, sabe-se que a tomada de decisão para internacionalização é afetada pelas características, os rasgos pessoais e a experiência dos responsáveis e das suas equipas, como prevê a teoria de empreendedorismo internacional (subsecção </w:t>
      </w:r>
      <w:r w:rsidR="004D445E" w:rsidRPr="00537118">
        <w:rPr>
          <w:rFonts w:ascii="Garamond" w:hAnsi="Garamond"/>
          <w:sz w:val="24"/>
          <w:szCs w:val="24"/>
        </w:rPr>
        <w:t>3</w:t>
      </w:r>
      <w:r w:rsidRPr="00537118">
        <w:rPr>
          <w:rFonts w:ascii="Garamond" w:hAnsi="Garamond"/>
          <w:sz w:val="24"/>
          <w:szCs w:val="24"/>
        </w:rPr>
        <w:t>.1.5) (Dean e Sharfman, 1993)</w:t>
      </w:r>
      <w:r w:rsidRPr="00537118">
        <w:rPr>
          <w:rFonts w:ascii="Garamond" w:eastAsia="Times New Roman" w:hAnsi="Garamond"/>
          <w:color w:val="000000"/>
          <w:sz w:val="24"/>
          <w:szCs w:val="24"/>
        </w:rPr>
        <w:t xml:space="preserve"> (McDougall e Oviatt, 2000). Disto isto, a</w:t>
      </w:r>
      <w:r w:rsidRPr="00537118">
        <w:rPr>
          <w:rFonts w:ascii="Garamond" w:hAnsi="Garamond"/>
          <w:sz w:val="24"/>
          <w:szCs w:val="24"/>
        </w:rPr>
        <w:t xml:space="preserve"> empresa tem uma visão clara de empreendedorismo e de expectativas internacionais para o seu futuro, dado que, para cumprir com os objetivos traçados no acordo de Paris e de forma alinhada com os diversos esforços de descarbonização a nível mundial, a BateriasX considera imperativa a utilização de baterias para suprir falhas de energia, o que aumenta exponencialmente o leque de potenciais clientes da empresa.</w:t>
      </w:r>
    </w:p>
    <w:p w14:paraId="49138018" w14:textId="77777777" w:rsidR="006D3690" w:rsidRPr="00537118" w:rsidRDefault="006D3690" w:rsidP="006D3690">
      <w:pPr>
        <w:spacing w:line="360" w:lineRule="auto"/>
        <w:jc w:val="both"/>
        <w:rPr>
          <w:rFonts w:ascii="Garamond" w:hAnsi="Garamond"/>
          <w:sz w:val="24"/>
          <w:szCs w:val="24"/>
        </w:rPr>
      </w:pPr>
      <w:r w:rsidRPr="00537118">
        <w:rPr>
          <w:rFonts w:ascii="Garamond" w:hAnsi="Garamond"/>
          <w:sz w:val="24"/>
          <w:szCs w:val="24"/>
        </w:rPr>
        <w:t xml:space="preserve">Ao analisar o conjunto de especificidades subjacentes ao processo, cabe acrescentar que o processo de internacionalização deverá ser realizado com brevidade, em virtude do benefício associado à fase em que se gera e consolida a reputação no(s) mercado(s), antes da entrada em vigência de novos regulamentos do setor (nomeadamente, aqueles que serão referidos mais adiante). Assim, paralelamente a estes regulamentos, cabe reforçar que a empresa evidencia uma mentalidade de aproveitar as oportunidades globais relacionadas com a valorização das energias renováveis, a eletrificação e a sustentabilidade nos mercados mundiais. </w:t>
      </w:r>
    </w:p>
    <w:p w14:paraId="0C25E706" w14:textId="77777777" w:rsidR="006D3690" w:rsidRPr="00537118" w:rsidRDefault="006D3690" w:rsidP="006D3690">
      <w:pPr>
        <w:spacing w:line="360" w:lineRule="auto"/>
        <w:jc w:val="both"/>
        <w:rPr>
          <w:rFonts w:ascii="Garamond" w:hAnsi="Garamond"/>
          <w:sz w:val="24"/>
          <w:szCs w:val="24"/>
        </w:rPr>
      </w:pPr>
      <w:r w:rsidRPr="00537118">
        <w:rPr>
          <w:rFonts w:ascii="Garamond" w:hAnsi="Garamond"/>
          <w:sz w:val="24"/>
          <w:szCs w:val="24"/>
        </w:rPr>
        <w:t xml:space="preserve">Por fim, há que analisar o caso da empresa quanto às diversas barreiras associadas à própria internacionalização e também a este tipo de atividade, o que será abordado no seguinte tópico. </w:t>
      </w:r>
    </w:p>
    <w:p w14:paraId="78D24CC8" w14:textId="77777777" w:rsidR="00164B7A" w:rsidRPr="00537118" w:rsidRDefault="00164B7A" w:rsidP="006D3690">
      <w:pPr>
        <w:spacing w:line="360" w:lineRule="auto"/>
        <w:jc w:val="both"/>
        <w:rPr>
          <w:rFonts w:ascii="Garamond" w:hAnsi="Garamond"/>
          <w:sz w:val="24"/>
          <w:szCs w:val="24"/>
        </w:rPr>
      </w:pPr>
    </w:p>
    <w:p w14:paraId="744E625F" w14:textId="2728AF0F" w:rsidR="005962A8" w:rsidRPr="00537118" w:rsidRDefault="000B0A37" w:rsidP="004D5473">
      <w:pPr>
        <w:pStyle w:val="Heading2"/>
        <w:spacing w:line="360" w:lineRule="auto"/>
      </w:pPr>
      <w:bookmarkStart w:id="22" w:name="_Toc202571361"/>
      <w:r w:rsidRPr="00537118">
        <w:t>4</w:t>
      </w:r>
      <w:r w:rsidR="005962A8" w:rsidRPr="00537118">
        <w:t>.2</w:t>
      </w:r>
      <w:r w:rsidR="00103601" w:rsidRPr="00537118">
        <w:t xml:space="preserve">. </w:t>
      </w:r>
      <w:r w:rsidR="005962A8" w:rsidRPr="00537118">
        <w:t>Barreiras à internacionalização da BateriasX</w:t>
      </w:r>
      <w:bookmarkEnd w:id="22"/>
    </w:p>
    <w:p w14:paraId="7E20CCF8" w14:textId="1D821704" w:rsidR="005962A8" w:rsidRPr="00537118" w:rsidRDefault="005962A8" w:rsidP="004D5473">
      <w:pPr>
        <w:spacing w:line="360" w:lineRule="auto"/>
        <w:jc w:val="both"/>
        <w:rPr>
          <w:rFonts w:ascii="Garamond" w:hAnsi="Garamond"/>
          <w:sz w:val="24"/>
          <w:szCs w:val="24"/>
        </w:rPr>
      </w:pPr>
      <w:r w:rsidRPr="00537118">
        <w:rPr>
          <w:rFonts w:ascii="Garamond" w:hAnsi="Garamond"/>
          <w:sz w:val="24"/>
          <w:szCs w:val="24"/>
        </w:rPr>
        <w:t>Podemos indicar um entrave com que a BateriasX (em concreto) se depara: a forte incidência de regulamentos e leis associadas às baterias, mais corretamente designadas ESS (</w:t>
      </w:r>
      <w:r w:rsidRPr="00537118">
        <w:rPr>
          <w:rFonts w:ascii="Garamond" w:hAnsi="Garamond"/>
          <w:i/>
          <w:sz w:val="24"/>
          <w:szCs w:val="24"/>
        </w:rPr>
        <w:t>Energy storage systems</w:t>
      </w:r>
      <w:r w:rsidRPr="00537118">
        <w:rPr>
          <w:rFonts w:ascii="Garamond" w:hAnsi="Garamond"/>
          <w:sz w:val="24"/>
          <w:szCs w:val="24"/>
        </w:rPr>
        <w:t xml:space="preserve">). Um destes exemplos é o Regulamento 2023/1542, que comporta implicações para o fabrico, tais como a não utilização de alguns materiais, a durabilidade e longevidade, as etiquetas e medidas de identificação e a possibilidade de verificação da saúde da bateria através de um sistema de informação. A distribuição e comercialização das baterias também requer medidas especiais, como sejam a identificação do fabricante e a verificação do cumprimento das medidas </w:t>
      </w:r>
      <w:r w:rsidRPr="00537118">
        <w:rPr>
          <w:rFonts w:ascii="Garamond" w:hAnsi="Garamond"/>
          <w:sz w:val="24"/>
          <w:szCs w:val="24"/>
        </w:rPr>
        <w:lastRenderedPageBreak/>
        <w:t>de segurança, na produção. Como medida adicional, a partir de 2027,</w:t>
      </w:r>
      <w:r w:rsidR="00AB371F" w:rsidRPr="00537118">
        <w:rPr>
          <w:rFonts w:ascii="Garamond" w:hAnsi="Garamond"/>
          <w:sz w:val="24"/>
          <w:szCs w:val="24"/>
        </w:rPr>
        <w:t xml:space="preserve"> de acordo com o artigo 56 do Regulation (EU) 2023/1542</w:t>
      </w:r>
      <w:r w:rsidRPr="00537118">
        <w:rPr>
          <w:rFonts w:ascii="Garamond" w:hAnsi="Garamond"/>
          <w:sz w:val="24"/>
          <w:szCs w:val="24"/>
        </w:rPr>
        <w:t xml:space="preserve"> os produtores de baterias ficam responsáveis - através do REP (responsabilidade estendida do produtor) - pela gestão do tratamento dos produtos no fim da vida útil, o que se verifica no financiamento da recolha da bateria, assim como no transporte e reciclagem da mesma. Em certos tipos de baterias, ainda haverá a necessidade de criar um passaporte de bateria, mediante o qual se especifica a vida útil, o processo de reciclagem e outras informações obrigatórias descritas no regulamento mencionado. Desta maneira, assinala-se ainda o caso de a empresa ter de suportar custos acrescidos, devido ao cumprimento destes regulamentos (que abarcam aspetos desde a cadeia de produção até a comercialização do produto, constituindo barreiras externas à empresa, de acordo com a revisão de literatura na subsecção </w:t>
      </w:r>
      <w:r w:rsidR="00D81FFA" w:rsidRPr="00537118">
        <w:rPr>
          <w:rFonts w:ascii="Garamond" w:hAnsi="Garamond"/>
          <w:sz w:val="24"/>
          <w:szCs w:val="24"/>
        </w:rPr>
        <w:t>3</w:t>
      </w:r>
      <w:r w:rsidRPr="00537118">
        <w:rPr>
          <w:rFonts w:ascii="Garamond" w:hAnsi="Garamond"/>
          <w:sz w:val="24"/>
          <w:szCs w:val="24"/>
        </w:rPr>
        <w:t xml:space="preserve">.4) (Clark e Pugh, 2001). É permitido, pela legislação da </w:t>
      </w:r>
      <w:r w:rsidR="00496AEE" w:rsidRPr="00537118">
        <w:rPr>
          <w:rFonts w:ascii="Garamond" w:hAnsi="Garamond"/>
          <w:sz w:val="24"/>
          <w:szCs w:val="24"/>
        </w:rPr>
        <w:t>UE</w:t>
      </w:r>
      <w:r w:rsidRPr="00537118">
        <w:rPr>
          <w:rFonts w:ascii="Garamond" w:hAnsi="Garamond"/>
          <w:sz w:val="24"/>
          <w:szCs w:val="24"/>
        </w:rPr>
        <w:t xml:space="preserve"> já referida, recorrer a empresas externas que realizem auditoria e certifiquem o cumprimento das medidas obrigatórias. Porém, a facilidade em contratar tais empresas externas revela ser um custo adicional, que afeta mais fortemente uma empresa de recursos limitados do que uma grande empresa (Johnson e Khosravani, 2024). Refira-se que a UE publicou a recomendação C/2023/1729, que aborda temas como barreiras, financiamento e necessidade de flexibilidade que facilite os ESS nos países envolvidos. </w:t>
      </w:r>
    </w:p>
    <w:p w14:paraId="4B644D0A" w14:textId="77777777" w:rsidR="005962A8" w:rsidRPr="00537118" w:rsidRDefault="005962A8" w:rsidP="005962A8">
      <w:pPr>
        <w:spacing w:line="360" w:lineRule="auto"/>
        <w:jc w:val="both"/>
        <w:rPr>
          <w:rFonts w:ascii="Garamond" w:hAnsi="Garamond"/>
          <w:sz w:val="24"/>
          <w:szCs w:val="24"/>
        </w:rPr>
      </w:pPr>
      <w:r w:rsidRPr="00537118">
        <w:rPr>
          <w:rFonts w:ascii="Garamond" w:hAnsi="Garamond"/>
          <w:sz w:val="24"/>
          <w:szCs w:val="24"/>
        </w:rPr>
        <w:t xml:space="preserve">Simultaneamente, existem outros certificados e regulamentos a cumprir, consoante o mercado. Todavia, destaquemos, num sentido semelhante, o </w:t>
      </w:r>
      <w:r w:rsidRPr="00537118">
        <w:rPr>
          <w:rFonts w:ascii="Garamond" w:hAnsi="Garamond"/>
          <w:i/>
          <w:iCs/>
          <w:sz w:val="24"/>
          <w:szCs w:val="24"/>
        </w:rPr>
        <w:t>UL Battery Safety Testing and Certification</w:t>
      </w:r>
      <w:r w:rsidRPr="00537118">
        <w:rPr>
          <w:rFonts w:ascii="Garamond" w:hAnsi="Garamond"/>
          <w:sz w:val="24"/>
          <w:szCs w:val="24"/>
        </w:rPr>
        <w:t xml:space="preserve">, nos Estados Unidos da América, e outros certificados e diplomas a nível estadual e federal, que condicionam a colocação do produto (caso do </w:t>
      </w:r>
      <w:r w:rsidRPr="00537118">
        <w:rPr>
          <w:rFonts w:ascii="Garamond" w:hAnsi="Garamond"/>
          <w:i/>
          <w:iCs/>
          <w:sz w:val="24"/>
          <w:szCs w:val="24"/>
        </w:rPr>
        <w:t>Inflation Reduction Act</w:t>
      </w:r>
      <w:r w:rsidRPr="00537118">
        <w:rPr>
          <w:rFonts w:ascii="Garamond" w:hAnsi="Garamond"/>
          <w:sz w:val="24"/>
          <w:szCs w:val="24"/>
        </w:rPr>
        <w:t xml:space="preserve"> e dos diplomas adjuntos, relativos à sustentabilidade e aos sistemas de armazenamento de energia). </w:t>
      </w:r>
    </w:p>
    <w:p w14:paraId="61EC57B7" w14:textId="77777777" w:rsidR="005962A8" w:rsidRPr="00537118" w:rsidRDefault="005962A8" w:rsidP="005962A8">
      <w:pPr>
        <w:spacing w:line="360" w:lineRule="auto"/>
        <w:jc w:val="both"/>
        <w:rPr>
          <w:rFonts w:ascii="Garamond" w:hAnsi="Garamond"/>
          <w:sz w:val="24"/>
          <w:szCs w:val="24"/>
        </w:rPr>
      </w:pPr>
      <w:r w:rsidRPr="00537118">
        <w:rPr>
          <w:rFonts w:ascii="Garamond" w:hAnsi="Garamond"/>
          <w:sz w:val="24"/>
          <w:szCs w:val="24"/>
        </w:rPr>
        <w:t xml:space="preserve">Estes requerimentos (presentes nos regulamentos) obrigam as empresas a introduzir adaptações ou mudanças significativas da cadeia de produção, distribuição e comercialização, pelo que isso poderá significar uma barreira significativa, consoante a situação base da empresa e da sua atividade. Uma outra barreira específica a que se pode atentar é a do efeito “país de origem” e da forma como este influencia a imagem do produto, junto dos consumidores. Apesar de os consumidores informados serem menos propícios a sofrer a influência deste fenómeno (Lee e Lee, 2009), um efeito positivo do país de origem (ou a ausência desse efeito) deve convocar a nossa atenção, dependendo do mercado externo e da imagem que esse mercado associa aos </w:t>
      </w:r>
      <w:r w:rsidRPr="00537118">
        <w:rPr>
          <w:rFonts w:ascii="Garamond" w:hAnsi="Garamond"/>
          <w:sz w:val="24"/>
          <w:szCs w:val="24"/>
        </w:rPr>
        <w:lastRenderedPageBreak/>
        <w:t xml:space="preserve">produtos tecnológicos oriundos de Portugal. Isto porque a empresa, originária de Portugal, pode não beneficiar da imagem do país da mesma forma que uma empresa americana, conotada com “inovação”, ou até uma empresa sul coreana.  </w:t>
      </w:r>
    </w:p>
    <w:p w14:paraId="42EDF494" w14:textId="470A6B88" w:rsidR="005962A8" w:rsidRPr="00537118" w:rsidRDefault="005962A8" w:rsidP="005962A8">
      <w:pPr>
        <w:spacing w:line="360" w:lineRule="auto"/>
        <w:jc w:val="both"/>
        <w:rPr>
          <w:rFonts w:ascii="Garamond" w:hAnsi="Garamond"/>
          <w:sz w:val="24"/>
          <w:szCs w:val="24"/>
        </w:rPr>
      </w:pPr>
      <w:r w:rsidRPr="00537118">
        <w:rPr>
          <w:rFonts w:ascii="Garamond" w:hAnsi="Garamond"/>
          <w:sz w:val="24"/>
          <w:szCs w:val="24"/>
        </w:rPr>
        <w:t xml:space="preserve">Acresce que a BateriasX não detém recursos financeiros tão alargados como algumas empresas do setor com vários anos de atividade ou com economias de escala e instalações fabris de grande dimensão. Por isso, o processo de internacionalização fica condicionado a esta limitação de capital e infraestruturas, o que, neste caso, constitui uma barreira interna, à luz da literatura apresentada previamente na subsecção </w:t>
      </w:r>
      <w:r w:rsidR="00D81FFA" w:rsidRPr="00537118">
        <w:rPr>
          <w:rFonts w:ascii="Garamond" w:hAnsi="Garamond"/>
          <w:sz w:val="24"/>
          <w:szCs w:val="24"/>
        </w:rPr>
        <w:t>3</w:t>
      </w:r>
      <w:r w:rsidRPr="00537118">
        <w:rPr>
          <w:rFonts w:ascii="Garamond" w:hAnsi="Garamond"/>
          <w:sz w:val="24"/>
          <w:szCs w:val="24"/>
        </w:rPr>
        <w:t xml:space="preserve">.4 (Dunning, 1988; Anderson e Gatignon, 1986; Korsakiene, 2014; Kanda et al., 2016). Com base no que foi apresentado e em concordância com a literatura referida nessa mesma subsecção, podemos concluir que a BateriasX, sendo uma PME, encontra-se mais afetada pelas barreiras internas do que pelas externas, revelando maior necessidade de atenção às mesmas (Hutchinson et al., 2009; Gardó et al., 2015). Finalmente e em concordância com o ponto anterior, a forte concorrência do setor das baterias e dos sistemas de armazenamento de energia constitui uma barreira à entrada nos mercados externos, tal como atrás referido. Isto porque, para além dos motivos supracitados, há que considerar e não subestimar a presença de grandes empresas líderes de mercado, com vastos recursos que já possuam um peso significativo no mercado. Essa mais valia decorre não só dos seus recursos, mas também da influência e disponibilidade de produtos e soluções de </w:t>
      </w:r>
      <w:r w:rsidRPr="00537118">
        <w:rPr>
          <w:rFonts w:ascii="Garamond" w:hAnsi="Garamond"/>
          <w:i/>
          <w:sz w:val="24"/>
          <w:szCs w:val="24"/>
        </w:rPr>
        <w:t>bundles</w:t>
      </w:r>
      <w:r w:rsidRPr="00537118">
        <w:rPr>
          <w:rFonts w:ascii="Garamond" w:hAnsi="Garamond"/>
          <w:sz w:val="24"/>
          <w:szCs w:val="24"/>
        </w:rPr>
        <w:t xml:space="preserve"> para o consumidor, assim como de possíveis contratos de exclusividade com fornecedores/intermediários e de planos de fidelização com os clientes.</w:t>
      </w:r>
    </w:p>
    <w:p w14:paraId="47B420F6" w14:textId="77777777" w:rsidR="00164B7A" w:rsidRPr="00537118" w:rsidRDefault="00164B7A" w:rsidP="005962A8">
      <w:pPr>
        <w:spacing w:line="360" w:lineRule="auto"/>
        <w:jc w:val="both"/>
        <w:rPr>
          <w:rFonts w:ascii="Garamond" w:hAnsi="Garamond"/>
          <w:sz w:val="24"/>
          <w:szCs w:val="24"/>
        </w:rPr>
      </w:pPr>
    </w:p>
    <w:p w14:paraId="18278A78" w14:textId="5DFB5126" w:rsidR="00D87DD0" w:rsidRPr="00537118" w:rsidRDefault="000B0A37" w:rsidP="004D5473">
      <w:pPr>
        <w:pStyle w:val="Heading2"/>
        <w:spacing w:line="360" w:lineRule="auto"/>
      </w:pPr>
      <w:bookmarkStart w:id="23" w:name="_Toc202571362"/>
      <w:r w:rsidRPr="00537118">
        <w:t>4</w:t>
      </w:r>
      <w:r w:rsidR="00D87DD0" w:rsidRPr="00537118">
        <w:t>.3</w:t>
      </w:r>
      <w:r w:rsidR="00103601" w:rsidRPr="00537118">
        <w:t xml:space="preserve">. </w:t>
      </w:r>
      <w:r w:rsidR="00D87DD0" w:rsidRPr="00537118">
        <w:t>Obtenção dos mercados e aplicação dos indicadores</w:t>
      </w:r>
      <w:bookmarkEnd w:id="23"/>
      <w:r w:rsidR="00D87DD0" w:rsidRPr="00537118">
        <w:t xml:space="preserve"> </w:t>
      </w:r>
    </w:p>
    <w:p w14:paraId="3FF7E1DB" w14:textId="1F50B6E7" w:rsidR="00D87DD0" w:rsidRPr="00537118" w:rsidRDefault="00D87DD0" w:rsidP="004D5473">
      <w:pPr>
        <w:spacing w:line="360" w:lineRule="auto"/>
        <w:jc w:val="both"/>
        <w:rPr>
          <w:rFonts w:ascii="Garamond" w:hAnsi="Garamond"/>
          <w:sz w:val="24"/>
          <w:szCs w:val="24"/>
        </w:rPr>
      </w:pPr>
      <w:r w:rsidRPr="00537118">
        <w:rPr>
          <w:rFonts w:ascii="Garamond" w:hAnsi="Garamond"/>
          <w:sz w:val="24"/>
          <w:szCs w:val="24"/>
        </w:rPr>
        <w:t xml:space="preserve">A escolha dos mercados para o plano de internacionalização da BateriasX é fruto da aplicação de um </w:t>
      </w:r>
      <w:r w:rsidRPr="00537118">
        <w:rPr>
          <w:rFonts w:ascii="Garamond" w:hAnsi="Garamond"/>
          <w:i/>
          <w:sz w:val="24"/>
          <w:szCs w:val="24"/>
        </w:rPr>
        <w:t>framework</w:t>
      </w:r>
      <w:r w:rsidRPr="00537118">
        <w:rPr>
          <w:rFonts w:ascii="Garamond" w:hAnsi="Garamond"/>
          <w:sz w:val="24"/>
          <w:szCs w:val="24"/>
        </w:rPr>
        <w:t xml:space="preserve"> adaptado, sendo a base do modelo atual o </w:t>
      </w:r>
      <w:r w:rsidRPr="00537118">
        <w:rPr>
          <w:rFonts w:ascii="Garamond" w:hAnsi="Garamond"/>
          <w:i/>
          <w:iCs/>
          <w:sz w:val="24"/>
          <w:szCs w:val="24"/>
        </w:rPr>
        <w:t>Market attractiveness framework</w:t>
      </w:r>
      <w:r w:rsidRPr="00537118">
        <w:rPr>
          <w:rFonts w:ascii="Garamond" w:hAnsi="Garamond"/>
          <w:sz w:val="28"/>
          <w:szCs w:val="28"/>
        </w:rPr>
        <w:t xml:space="preserve">. </w:t>
      </w:r>
      <w:r w:rsidRPr="00537118">
        <w:rPr>
          <w:rFonts w:ascii="Garamond" w:hAnsi="Garamond"/>
          <w:sz w:val="24"/>
          <w:szCs w:val="24"/>
        </w:rPr>
        <w:t>Este modelo foi aplicado ao caso da Bater</w:t>
      </w:r>
      <w:r w:rsidR="004F3CB8" w:rsidRPr="00537118">
        <w:rPr>
          <w:rFonts w:ascii="Garamond" w:hAnsi="Garamond"/>
          <w:sz w:val="24"/>
          <w:szCs w:val="24"/>
        </w:rPr>
        <w:t>i</w:t>
      </w:r>
      <w:r w:rsidRPr="00537118">
        <w:rPr>
          <w:rFonts w:ascii="Garamond" w:hAnsi="Garamond"/>
          <w:sz w:val="24"/>
          <w:szCs w:val="24"/>
        </w:rPr>
        <w:t xml:space="preserve">asX, usando os procedimentos lecionados na unidade curricular de “Mercados para a Internacionalização”, do Mestrado em Economia e Gestão Internacional da FEP. </w:t>
      </w:r>
    </w:p>
    <w:p w14:paraId="23A0543E" w14:textId="3006CC5B" w:rsidR="00D87DD0" w:rsidRPr="00537118" w:rsidRDefault="00D87DD0" w:rsidP="00D87DD0">
      <w:pPr>
        <w:spacing w:line="360" w:lineRule="auto"/>
        <w:jc w:val="both"/>
        <w:rPr>
          <w:rFonts w:ascii="Garamond" w:hAnsi="Garamond"/>
          <w:sz w:val="24"/>
          <w:szCs w:val="24"/>
        </w:rPr>
      </w:pPr>
      <w:r w:rsidRPr="00537118">
        <w:rPr>
          <w:rFonts w:ascii="Garamond" w:hAnsi="Garamond"/>
          <w:sz w:val="24"/>
          <w:szCs w:val="24"/>
        </w:rPr>
        <w:lastRenderedPageBreak/>
        <w:t>Esta subsecção encontra-se dividida em três partes. A primeira é a da obtenção da listagem inicial dos possíveis mercados. Nesta primeira fase, é delimitado um conjunto mais abrangente de possíveis mercados. No caso da nossa análise, partimos de 30 países, obtidos de acordo com duas características essenciais associadas à implementação dos sistemas de armazenamento de energia (isto é, os produtos da BateriasX). De seguida, é explicitada a forma de concretização da primeira triagem (a partir dos 30 países iniciais), com recurso aos indicadores e, de maneira equivalente, a segunda triagem e a respetiva composição dos indicadores. Nest</w:t>
      </w:r>
      <w:r w:rsidR="004F3CB8" w:rsidRPr="00537118">
        <w:rPr>
          <w:rFonts w:ascii="Garamond" w:hAnsi="Garamond"/>
          <w:sz w:val="24"/>
          <w:szCs w:val="24"/>
        </w:rPr>
        <w:t>e</w:t>
      </w:r>
      <w:r w:rsidRPr="00537118">
        <w:rPr>
          <w:rFonts w:ascii="Garamond" w:hAnsi="Garamond"/>
          <w:sz w:val="24"/>
          <w:szCs w:val="24"/>
        </w:rPr>
        <w:t xml:space="preserve"> </w:t>
      </w:r>
      <w:r w:rsidRPr="00537118">
        <w:rPr>
          <w:rFonts w:ascii="Garamond" w:hAnsi="Garamond"/>
          <w:i/>
          <w:sz w:val="24"/>
          <w:szCs w:val="24"/>
        </w:rPr>
        <w:t>framework</w:t>
      </w:r>
      <w:r w:rsidRPr="00537118">
        <w:rPr>
          <w:rFonts w:ascii="Garamond" w:hAnsi="Garamond"/>
          <w:sz w:val="24"/>
          <w:szCs w:val="24"/>
        </w:rPr>
        <w:t>, começou-se por triagens sucessivas, cada uma com o intuito de afunilar o número de mercados aproximadamente a metade</w:t>
      </w:r>
      <w:r w:rsidR="00DD049C" w:rsidRPr="00537118">
        <w:rPr>
          <w:rFonts w:ascii="Garamond" w:hAnsi="Garamond"/>
          <w:sz w:val="24"/>
          <w:szCs w:val="24"/>
        </w:rPr>
        <w:t xml:space="preserve">, </w:t>
      </w:r>
      <w:r w:rsidR="00ED6D24" w:rsidRPr="00537118">
        <w:rPr>
          <w:rFonts w:ascii="Garamond" w:hAnsi="Garamond"/>
          <w:sz w:val="24"/>
          <w:szCs w:val="24"/>
        </w:rPr>
        <w:t>o que segue a logica d</w:t>
      </w:r>
      <w:r w:rsidR="00D15552" w:rsidRPr="00537118">
        <w:rPr>
          <w:rFonts w:ascii="Garamond" w:hAnsi="Garamond"/>
          <w:sz w:val="24"/>
          <w:szCs w:val="24"/>
        </w:rPr>
        <w:t xml:space="preserve">a generalidade de </w:t>
      </w:r>
      <w:r w:rsidR="00BC55AD" w:rsidRPr="00537118">
        <w:rPr>
          <w:rFonts w:ascii="Garamond" w:hAnsi="Garamond"/>
          <w:sz w:val="24"/>
          <w:szCs w:val="24"/>
        </w:rPr>
        <w:t>metodologias</w:t>
      </w:r>
      <w:r w:rsidR="00D15552" w:rsidRPr="00537118">
        <w:rPr>
          <w:rFonts w:ascii="Garamond" w:hAnsi="Garamond"/>
          <w:sz w:val="24"/>
          <w:szCs w:val="24"/>
        </w:rPr>
        <w:t xml:space="preserve"> para seleção de mercados (subsecção </w:t>
      </w:r>
      <w:r w:rsidR="00D81FFA" w:rsidRPr="00537118">
        <w:rPr>
          <w:rFonts w:ascii="Garamond" w:hAnsi="Garamond"/>
          <w:sz w:val="24"/>
          <w:szCs w:val="24"/>
        </w:rPr>
        <w:t>3</w:t>
      </w:r>
      <w:r w:rsidR="00D15552" w:rsidRPr="00537118">
        <w:rPr>
          <w:rFonts w:ascii="Garamond" w:hAnsi="Garamond"/>
          <w:sz w:val="24"/>
          <w:szCs w:val="24"/>
        </w:rPr>
        <w:t>.5)</w:t>
      </w:r>
      <w:r w:rsidRPr="00537118">
        <w:rPr>
          <w:rFonts w:ascii="Garamond" w:hAnsi="Garamond"/>
          <w:sz w:val="24"/>
          <w:szCs w:val="24"/>
        </w:rPr>
        <w:t xml:space="preserve">. Após a segunda triagem, foram selecionados os primeiros 3 mercados, já que não é significativo continuar o processo de triagem para os resultados obtidos. </w:t>
      </w:r>
    </w:p>
    <w:p w14:paraId="58CCA584" w14:textId="125B029E" w:rsidR="00D87DD0" w:rsidRPr="00537118" w:rsidRDefault="00D87DD0" w:rsidP="00D87DD0">
      <w:pPr>
        <w:spacing w:line="360" w:lineRule="auto"/>
        <w:jc w:val="both"/>
        <w:rPr>
          <w:rFonts w:ascii="Garamond" w:hAnsi="Garamond"/>
          <w:b/>
          <w:bCs/>
          <w:sz w:val="24"/>
          <w:szCs w:val="24"/>
        </w:rPr>
      </w:pPr>
      <w:r w:rsidRPr="00537118">
        <w:rPr>
          <w:rFonts w:ascii="Garamond" w:hAnsi="Garamond"/>
          <w:b/>
          <w:bCs/>
          <w:sz w:val="24"/>
          <w:szCs w:val="24"/>
        </w:rPr>
        <w:t>Listagem Inicial</w:t>
      </w:r>
    </w:p>
    <w:p w14:paraId="3DF68E5F" w14:textId="77777777" w:rsidR="00D87DD0" w:rsidRPr="00537118" w:rsidRDefault="00D87DD0" w:rsidP="00D87DD0">
      <w:pPr>
        <w:spacing w:line="360" w:lineRule="auto"/>
        <w:jc w:val="both"/>
        <w:rPr>
          <w:rFonts w:ascii="Garamond" w:hAnsi="Garamond"/>
          <w:sz w:val="24"/>
          <w:szCs w:val="24"/>
        </w:rPr>
      </w:pPr>
      <w:r w:rsidRPr="00537118">
        <w:rPr>
          <w:rFonts w:ascii="Garamond" w:hAnsi="Garamond"/>
          <w:sz w:val="24"/>
          <w:szCs w:val="24"/>
        </w:rPr>
        <w:t xml:space="preserve">Primeiramente, recorreu-se ao </w:t>
      </w:r>
      <w:r w:rsidRPr="00537118">
        <w:rPr>
          <w:rFonts w:ascii="Garamond" w:hAnsi="Garamond"/>
          <w:i/>
          <w:iCs/>
          <w:sz w:val="24"/>
          <w:szCs w:val="24"/>
        </w:rPr>
        <w:t>Practical Photovoltaic Power Output</w:t>
      </w:r>
      <w:r w:rsidRPr="00537118">
        <w:rPr>
          <w:rFonts w:ascii="Garamond" w:hAnsi="Garamond"/>
          <w:sz w:val="24"/>
          <w:szCs w:val="24"/>
        </w:rPr>
        <w:t xml:space="preserve"> (PVOUT) ou, em português, o potencial prático fotovoltaico. Este indicador, publicado pelo Banco Mundial, mede a quantidade de energia gerada por unidade de capacidade fotovoltaica instalada a longo prazo, em quilowatts-hora, por quilowatt-pico da capacidade do sistema, corrigida e adaptada ao meio inserido. Além disso, o valor reflete as condições locais (radiação solar, temperatura, perdas do sistema e orientação dos painéis). Em análises mais amplas, são apresentadas algumas zonas de exclusão: florestas densas, áreas remotas e sem infraestruturas ou locais nos quais seja inviável a instalação e bom funcionamento de sistemas fotovoltaicos. </w:t>
      </w:r>
    </w:p>
    <w:p w14:paraId="36C0AF0D" w14:textId="7E1D7C52" w:rsidR="00D87DD0" w:rsidRPr="00537118" w:rsidRDefault="00D87DD0" w:rsidP="00D87DD0">
      <w:pPr>
        <w:spacing w:line="360" w:lineRule="auto"/>
        <w:jc w:val="both"/>
        <w:rPr>
          <w:rFonts w:ascii="Garamond" w:hAnsi="Garamond"/>
          <w:sz w:val="24"/>
          <w:szCs w:val="24"/>
        </w:rPr>
      </w:pPr>
      <w:r w:rsidRPr="00537118">
        <w:rPr>
          <w:rFonts w:ascii="Garamond" w:hAnsi="Garamond"/>
          <w:sz w:val="24"/>
          <w:szCs w:val="24"/>
        </w:rPr>
        <w:t>Os diversos países selecionados foram escolhidos de acordo com o critério de apresentarem condições “excelentes”, no sentido de capacidade produtiva de energia fotovoltaica</w:t>
      </w:r>
      <w:r w:rsidR="00BF55AB" w:rsidRPr="00537118">
        <w:rPr>
          <w:rFonts w:ascii="Garamond" w:hAnsi="Garamond"/>
          <w:sz w:val="24"/>
          <w:szCs w:val="24"/>
        </w:rPr>
        <w:t xml:space="preserve">, tal como </w:t>
      </w:r>
      <w:r w:rsidR="00807554" w:rsidRPr="00537118">
        <w:rPr>
          <w:rFonts w:ascii="Garamond" w:hAnsi="Garamond"/>
          <w:sz w:val="24"/>
          <w:szCs w:val="24"/>
        </w:rPr>
        <w:t>pode ser constatado na tabela A</w:t>
      </w:r>
      <w:r w:rsidR="008D71F2">
        <w:rPr>
          <w:rFonts w:ascii="Garamond" w:hAnsi="Garamond"/>
          <w:sz w:val="24"/>
          <w:szCs w:val="24"/>
        </w:rPr>
        <w:t>.</w:t>
      </w:r>
      <w:r w:rsidR="00807554" w:rsidRPr="00537118">
        <w:rPr>
          <w:rFonts w:ascii="Garamond" w:hAnsi="Garamond"/>
          <w:sz w:val="24"/>
          <w:szCs w:val="24"/>
        </w:rPr>
        <w:t>2 dos anexos</w:t>
      </w:r>
      <w:r w:rsidRPr="00537118">
        <w:rPr>
          <w:rFonts w:ascii="Garamond" w:hAnsi="Garamond"/>
          <w:sz w:val="24"/>
          <w:szCs w:val="24"/>
        </w:rPr>
        <w:t xml:space="preserve">. Na prática, isto significa que os valores dos países em questão superam os 4.5 kWh/kWp diários. Diga-se que a grande maioria da população habita em países com uma variação média diária entre 3 e 5 kWh/kWp, pelo que não se podem descartar localidades de forma tão linear (ou seja, não seria prudente recorrer unicamente a este indicador para a questão em análise). </w:t>
      </w:r>
    </w:p>
    <w:p w14:paraId="190845B7" w14:textId="0E07C322" w:rsidR="00D87DD0" w:rsidRPr="00537118" w:rsidRDefault="00D87DD0" w:rsidP="00D87DD0">
      <w:pPr>
        <w:spacing w:line="360" w:lineRule="auto"/>
        <w:jc w:val="both"/>
        <w:rPr>
          <w:rFonts w:ascii="Garamond" w:hAnsi="Garamond"/>
          <w:sz w:val="24"/>
          <w:szCs w:val="24"/>
        </w:rPr>
      </w:pPr>
      <w:r w:rsidRPr="00537118">
        <w:rPr>
          <w:rFonts w:ascii="Garamond" w:hAnsi="Garamond"/>
          <w:sz w:val="24"/>
          <w:szCs w:val="24"/>
        </w:rPr>
        <w:t xml:space="preserve">Contudo, este indicador é relevante para a análise de mercados internacionais, uma vez que a produção energética proveniente de painéis solares e o seu excedente acentuam a importância </w:t>
      </w:r>
      <w:r w:rsidRPr="00537118">
        <w:rPr>
          <w:rFonts w:ascii="Garamond" w:hAnsi="Garamond"/>
          <w:sz w:val="24"/>
          <w:szCs w:val="24"/>
        </w:rPr>
        <w:lastRenderedPageBreak/>
        <w:t xml:space="preserve">do armazenamento para posterior aproveitamento. Neste tipo de análise, torna-se evidente que, mediante o PVOUT, a radiação solar direta não garante, na prática, a produção ideal (teórica) de energia elétrica. Isto resulta do facto de existirem diversas condicionantes que afetam o processo, sendo alguns destes a temperatura do ar e a presença de partículas e sedimentos, como aerossóis (ESMAP, </w:t>
      </w:r>
      <w:r w:rsidR="000214D1" w:rsidRPr="00537118">
        <w:rPr>
          <w:rFonts w:ascii="Garamond" w:hAnsi="Garamond"/>
          <w:sz w:val="24"/>
          <w:szCs w:val="24"/>
        </w:rPr>
        <w:t>2025</w:t>
      </w:r>
      <w:r w:rsidRPr="00537118">
        <w:rPr>
          <w:rFonts w:ascii="Garamond" w:hAnsi="Garamond"/>
          <w:sz w:val="24"/>
          <w:szCs w:val="24"/>
        </w:rPr>
        <w:t>).</w:t>
      </w:r>
    </w:p>
    <w:p w14:paraId="6D673599" w14:textId="67D8AACE" w:rsidR="00D87DD0" w:rsidRPr="00537118" w:rsidRDefault="00D87DD0" w:rsidP="00D87DD0">
      <w:pPr>
        <w:spacing w:line="360" w:lineRule="auto"/>
        <w:jc w:val="both"/>
        <w:rPr>
          <w:rFonts w:ascii="Garamond" w:hAnsi="Garamond"/>
          <w:sz w:val="24"/>
          <w:szCs w:val="24"/>
        </w:rPr>
      </w:pPr>
      <w:r w:rsidRPr="00537118">
        <w:rPr>
          <w:rFonts w:ascii="Garamond" w:hAnsi="Garamond"/>
          <w:sz w:val="24"/>
          <w:szCs w:val="24"/>
        </w:rPr>
        <w:t>Devido à limitação de utilizar o indicador prévio de maneira isolada, recorreu-se a um segundo modo de incluir possíveis mercados (aqueles que apresentam uma maior instalação de capacidade de produção elétrica de origem solar em megawatts, até 2023</w:t>
      </w:r>
      <w:r w:rsidR="00BF55AB" w:rsidRPr="00537118">
        <w:rPr>
          <w:rFonts w:ascii="Garamond" w:hAnsi="Garamond"/>
          <w:sz w:val="24"/>
          <w:szCs w:val="24"/>
        </w:rPr>
        <w:t>- conforme apresentado na tabela A</w:t>
      </w:r>
      <w:r w:rsidR="008D71F2">
        <w:rPr>
          <w:rFonts w:ascii="Garamond" w:hAnsi="Garamond"/>
          <w:sz w:val="24"/>
          <w:szCs w:val="24"/>
        </w:rPr>
        <w:t>.</w:t>
      </w:r>
      <w:r w:rsidR="00BF55AB" w:rsidRPr="00537118">
        <w:rPr>
          <w:rFonts w:ascii="Garamond" w:hAnsi="Garamond"/>
          <w:sz w:val="24"/>
          <w:szCs w:val="24"/>
        </w:rPr>
        <w:t>1 dos anexos</w:t>
      </w:r>
      <w:r w:rsidRPr="00537118">
        <w:rPr>
          <w:rFonts w:ascii="Garamond" w:hAnsi="Garamond"/>
          <w:sz w:val="24"/>
          <w:szCs w:val="24"/>
        </w:rPr>
        <w:t xml:space="preserve">). Desta forma, esta segunda métrica permite determinar um conjunto de países que representam potenciais mercados para incluir no </w:t>
      </w:r>
      <w:r w:rsidRPr="00537118">
        <w:rPr>
          <w:rFonts w:ascii="Garamond" w:hAnsi="Garamond"/>
          <w:i/>
          <w:sz w:val="24"/>
          <w:szCs w:val="24"/>
        </w:rPr>
        <w:t>framework</w:t>
      </w:r>
      <w:r w:rsidRPr="00537118">
        <w:rPr>
          <w:rFonts w:ascii="Garamond" w:hAnsi="Garamond"/>
          <w:sz w:val="24"/>
          <w:szCs w:val="24"/>
        </w:rPr>
        <w:t>, uma vez que, à medida que se aposta em infraestruturas fotovoltaicas, maior será a necessidade e o interesse em armazenar energia, seja isso a nível doméstico, comercial ou industrial</w:t>
      </w:r>
      <w:r w:rsidR="00C14E18" w:rsidRPr="00537118">
        <w:rPr>
          <w:rFonts w:ascii="Garamond" w:hAnsi="Garamond"/>
          <w:sz w:val="24"/>
          <w:szCs w:val="24"/>
        </w:rPr>
        <w:t xml:space="preserve">. </w:t>
      </w:r>
    </w:p>
    <w:p w14:paraId="2B8030A9" w14:textId="71F17039" w:rsidR="00D87DD0" w:rsidRPr="00537118" w:rsidRDefault="00D87DD0" w:rsidP="00D87DD0">
      <w:pPr>
        <w:spacing w:line="360" w:lineRule="auto"/>
        <w:jc w:val="both"/>
        <w:rPr>
          <w:rFonts w:ascii="Garamond" w:hAnsi="Garamond"/>
          <w:sz w:val="24"/>
          <w:szCs w:val="24"/>
        </w:rPr>
      </w:pPr>
      <w:r w:rsidRPr="00537118">
        <w:rPr>
          <w:rFonts w:ascii="Garamond" w:hAnsi="Garamond"/>
          <w:sz w:val="24"/>
          <w:szCs w:val="24"/>
        </w:rPr>
        <w:t xml:space="preserve">Apesar dos inúmeros indicadores, métricas e rácios que poderiam ser analisados, de forma a obter uma listagem inicial de possíveis mercados, foram escolhidos os dois supracitados, atendendo não só aos fatores referidos, mas também à concordância e lógica face aos seguintes indicadores utilizados no próprio </w:t>
      </w:r>
      <w:r w:rsidRPr="00537118">
        <w:rPr>
          <w:rFonts w:ascii="Garamond" w:hAnsi="Garamond"/>
          <w:i/>
          <w:sz w:val="24"/>
          <w:szCs w:val="24"/>
        </w:rPr>
        <w:t>framework</w:t>
      </w:r>
      <w:r w:rsidR="00C732E4" w:rsidRPr="00537118">
        <w:rPr>
          <w:rFonts w:ascii="Garamond" w:hAnsi="Garamond"/>
          <w:sz w:val="24"/>
          <w:szCs w:val="24"/>
        </w:rPr>
        <w:t>,</w:t>
      </w:r>
      <w:r w:rsidRPr="00537118">
        <w:rPr>
          <w:rFonts w:ascii="Garamond" w:hAnsi="Garamond"/>
          <w:sz w:val="24"/>
          <w:szCs w:val="24"/>
        </w:rPr>
        <w:t xml:space="preserve"> aos produtos da BateriasX</w:t>
      </w:r>
      <w:r w:rsidR="00C732E4" w:rsidRPr="00537118">
        <w:rPr>
          <w:rFonts w:ascii="Garamond" w:hAnsi="Garamond"/>
          <w:sz w:val="24"/>
          <w:szCs w:val="24"/>
        </w:rPr>
        <w:t xml:space="preserve"> e aos seus interesses.</w:t>
      </w:r>
    </w:p>
    <w:p w14:paraId="70B8078C" w14:textId="77777777" w:rsidR="005B6AC9" w:rsidRDefault="00D87DD0" w:rsidP="005B6AC9">
      <w:pPr>
        <w:spacing w:before="120" w:line="360" w:lineRule="auto"/>
        <w:jc w:val="both"/>
        <w:rPr>
          <w:rFonts w:ascii="Garamond" w:hAnsi="Garamond"/>
          <w:b/>
          <w:bCs/>
        </w:rPr>
      </w:pPr>
      <w:r w:rsidRPr="00537118">
        <w:rPr>
          <w:rFonts w:ascii="Garamond" w:hAnsi="Garamond"/>
          <w:sz w:val="24"/>
          <w:szCs w:val="24"/>
        </w:rPr>
        <w:t>Assim, ao compilar os mercados destes dois indicadores prévios, obtemos os seguintes:</w:t>
      </w:r>
      <w:r w:rsidR="005B6AC9" w:rsidRPr="005B6AC9">
        <w:rPr>
          <w:rFonts w:ascii="Garamond" w:hAnsi="Garamond"/>
          <w:b/>
          <w:bCs/>
        </w:rPr>
        <w:t xml:space="preserve"> </w:t>
      </w:r>
    </w:p>
    <w:p w14:paraId="685BEDFC" w14:textId="73DFEDF0" w:rsidR="005B6AC9" w:rsidRPr="00537118" w:rsidRDefault="005B6AC9" w:rsidP="005B6AC9">
      <w:pPr>
        <w:spacing w:before="120" w:line="360" w:lineRule="auto"/>
        <w:jc w:val="center"/>
        <w:rPr>
          <w:rFonts w:ascii="Garamond" w:hAnsi="Garamond"/>
          <w:b/>
          <w:bCs/>
        </w:rPr>
      </w:pPr>
      <w:r w:rsidRPr="00537118">
        <w:rPr>
          <w:rFonts w:ascii="Garamond" w:hAnsi="Garamond"/>
          <w:b/>
          <w:bCs/>
        </w:rPr>
        <w:t>Tabela 1. Listagem inicial</w:t>
      </w:r>
      <w:r>
        <w:rPr>
          <w:rFonts w:ascii="Garamond" w:hAnsi="Garamond"/>
          <w:b/>
          <w:bCs/>
        </w:rPr>
        <w:t xml:space="preserve"> de países</w:t>
      </w:r>
    </w:p>
    <w:tbl>
      <w:tblPr>
        <w:tblStyle w:val="TableGrid"/>
        <w:tblW w:w="8879" w:type="dxa"/>
        <w:tblInd w:w="108" w:type="dxa"/>
        <w:tblLook w:val="04A0" w:firstRow="1" w:lastRow="0" w:firstColumn="1" w:lastColumn="0" w:noHBand="0" w:noVBand="1"/>
      </w:tblPr>
      <w:tblGrid>
        <w:gridCol w:w="1449"/>
        <w:gridCol w:w="1559"/>
        <w:gridCol w:w="1430"/>
        <w:gridCol w:w="1689"/>
        <w:gridCol w:w="1460"/>
        <w:gridCol w:w="1292"/>
      </w:tblGrid>
      <w:tr w:rsidR="00D87DD0" w:rsidRPr="00537118" w14:paraId="47BE0898" w14:textId="77777777" w:rsidTr="005B6AC9">
        <w:trPr>
          <w:trHeight w:val="524"/>
        </w:trPr>
        <w:tc>
          <w:tcPr>
            <w:tcW w:w="1449" w:type="dxa"/>
            <w:vAlign w:val="center"/>
          </w:tcPr>
          <w:p w14:paraId="722827C2" w14:textId="77777777" w:rsidR="00D87DD0" w:rsidRPr="00537118" w:rsidRDefault="00D87DD0" w:rsidP="000620FD">
            <w:pPr>
              <w:spacing w:line="276" w:lineRule="auto"/>
              <w:jc w:val="center"/>
              <w:rPr>
                <w:rFonts w:ascii="Garamond" w:hAnsi="Garamond"/>
              </w:rPr>
            </w:pPr>
            <w:r w:rsidRPr="00537118">
              <w:rPr>
                <w:rFonts w:ascii="Garamond" w:hAnsi="Garamond"/>
              </w:rPr>
              <w:t>China</w:t>
            </w:r>
          </w:p>
        </w:tc>
        <w:tc>
          <w:tcPr>
            <w:tcW w:w="1559" w:type="dxa"/>
            <w:vAlign w:val="center"/>
          </w:tcPr>
          <w:p w14:paraId="098A3D88" w14:textId="77777777" w:rsidR="00D87DD0" w:rsidRPr="00537118" w:rsidRDefault="00D87DD0" w:rsidP="000620FD">
            <w:pPr>
              <w:spacing w:line="276" w:lineRule="auto"/>
              <w:jc w:val="center"/>
              <w:rPr>
                <w:rFonts w:ascii="Garamond" w:hAnsi="Garamond"/>
              </w:rPr>
            </w:pPr>
            <w:r w:rsidRPr="00537118">
              <w:rPr>
                <w:rFonts w:ascii="Garamond" w:hAnsi="Garamond"/>
              </w:rPr>
              <w:t>Coreia do Sul</w:t>
            </w:r>
          </w:p>
        </w:tc>
        <w:tc>
          <w:tcPr>
            <w:tcW w:w="1430" w:type="dxa"/>
            <w:vAlign w:val="center"/>
          </w:tcPr>
          <w:p w14:paraId="17674E38" w14:textId="77777777" w:rsidR="00D87DD0" w:rsidRPr="00537118" w:rsidRDefault="00D87DD0" w:rsidP="000620FD">
            <w:pPr>
              <w:spacing w:line="276" w:lineRule="auto"/>
              <w:jc w:val="center"/>
              <w:rPr>
                <w:rFonts w:ascii="Garamond" w:hAnsi="Garamond"/>
              </w:rPr>
            </w:pPr>
            <w:r w:rsidRPr="00537118">
              <w:rPr>
                <w:rFonts w:ascii="Garamond" w:hAnsi="Garamond"/>
              </w:rPr>
              <w:t>Países Baixos</w:t>
            </w:r>
          </w:p>
        </w:tc>
        <w:tc>
          <w:tcPr>
            <w:tcW w:w="1689" w:type="dxa"/>
            <w:vAlign w:val="center"/>
          </w:tcPr>
          <w:p w14:paraId="71307C94" w14:textId="77777777" w:rsidR="00D87DD0" w:rsidRPr="00537118" w:rsidRDefault="00D87DD0" w:rsidP="000620FD">
            <w:pPr>
              <w:spacing w:line="276" w:lineRule="auto"/>
              <w:jc w:val="center"/>
              <w:rPr>
                <w:rFonts w:ascii="Garamond" w:hAnsi="Garamond"/>
              </w:rPr>
            </w:pPr>
            <w:r w:rsidRPr="00537118">
              <w:rPr>
                <w:rFonts w:ascii="Garamond" w:hAnsi="Garamond"/>
              </w:rPr>
              <w:t>Namíbia</w:t>
            </w:r>
          </w:p>
        </w:tc>
        <w:tc>
          <w:tcPr>
            <w:tcW w:w="1460" w:type="dxa"/>
            <w:vAlign w:val="center"/>
          </w:tcPr>
          <w:p w14:paraId="6C28297B" w14:textId="77777777" w:rsidR="00D87DD0" w:rsidRPr="00537118" w:rsidRDefault="00D87DD0" w:rsidP="000620FD">
            <w:pPr>
              <w:spacing w:line="276" w:lineRule="auto"/>
              <w:jc w:val="center"/>
              <w:rPr>
                <w:rFonts w:ascii="Garamond" w:hAnsi="Garamond"/>
              </w:rPr>
            </w:pPr>
            <w:r w:rsidRPr="00537118">
              <w:rPr>
                <w:rFonts w:ascii="Garamond" w:hAnsi="Garamond"/>
              </w:rPr>
              <w:t>África do Sul</w:t>
            </w:r>
          </w:p>
        </w:tc>
        <w:tc>
          <w:tcPr>
            <w:tcW w:w="1292" w:type="dxa"/>
            <w:vAlign w:val="center"/>
          </w:tcPr>
          <w:p w14:paraId="5BCC4D4A" w14:textId="77777777" w:rsidR="00D87DD0" w:rsidRPr="00537118" w:rsidRDefault="00D87DD0" w:rsidP="000620FD">
            <w:pPr>
              <w:spacing w:line="276" w:lineRule="auto"/>
              <w:jc w:val="center"/>
              <w:rPr>
                <w:rFonts w:ascii="Garamond" w:hAnsi="Garamond"/>
              </w:rPr>
            </w:pPr>
            <w:r w:rsidRPr="00537118">
              <w:rPr>
                <w:rFonts w:ascii="Garamond" w:hAnsi="Garamond"/>
              </w:rPr>
              <w:t>Nova Zelândia</w:t>
            </w:r>
          </w:p>
        </w:tc>
      </w:tr>
      <w:tr w:rsidR="00D87DD0" w:rsidRPr="00537118" w14:paraId="225EBCE7" w14:textId="77777777" w:rsidTr="005B6AC9">
        <w:trPr>
          <w:trHeight w:val="524"/>
        </w:trPr>
        <w:tc>
          <w:tcPr>
            <w:tcW w:w="1449" w:type="dxa"/>
            <w:vAlign w:val="center"/>
          </w:tcPr>
          <w:p w14:paraId="605C7A98" w14:textId="77777777" w:rsidR="00D87DD0" w:rsidRPr="00537118" w:rsidRDefault="00D87DD0" w:rsidP="000620FD">
            <w:pPr>
              <w:spacing w:line="276" w:lineRule="auto"/>
              <w:jc w:val="center"/>
              <w:rPr>
                <w:rFonts w:ascii="Garamond" w:hAnsi="Garamond"/>
              </w:rPr>
            </w:pPr>
            <w:r w:rsidRPr="00537118">
              <w:rPr>
                <w:rFonts w:ascii="Garamond" w:hAnsi="Garamond"/>
              </w:rPr>
              <w:t>Estados Unidos</w:t>
            </w:r>
          </w:p>
        </w:tc>
        <w:tc>
          <w:tcPr>
            <w:tcW w:w="1559" w:type="dxa"/>
            <w:vAlign w:val="center"/>
          </w:tcPr>
          <w:p w14:paraId="56D80F14" w14:textId="77777777" w:rsidR="00D87DD0" w:rsidRPr="00537118" w:rsidRDefault="00D87DD0" w:rsidP="000620FD">
            <w:pPr>
              <w:spacing w:line="276" w:lineRule="auto"/>
              <w:jc w:val="center"/>
              <w:rPr>
                <w:rFonts w:ascii="Garamond" w:hAnsi="Garamond"/>
              </w:rPr>
            </w:pPr>
            <w:r w:rsidRPr="00537118">
              <w:rPr>
                <w:rFonts w:ascii="Garamond" w:hAnsi="Garamond"/>
              </w:rPr>
              <w:t>Itália</w:t>
            </w:r>
          </w:p>
        </w:tc>
        <w:tc>
          <w:tcPr>
            <w:tcW w:w="1430" w:type="dxa"/>
            <w:vAlign w:val="center"/>
          </w:tcPr>
          <w:p w14:paraId="39C767C1" w14:textId="77777777" w:rsidR="00D87DD0" w:rsidRPr="00537118" w:rsidRDefault="00D87DD0" w:rsidP="000620FD">
            <w:pPr>
              <w:spacing w:line="276" w:lineRule="auto"/>
              <w:jc w:val="center"/>
              <w:rPr>
                <w:rFonts w:ascii="Garamond" w:hAnsi="Garamond"/>
              </w:rPr>
            </w:pPr>
            <w:r w:rsidRPr="00537118">
              <w:rPr>
                <w:rFonts w:ascii="Garamond" w:hAnsi="Garamond"/>
              </w:rPr>
              <w:t>França</w:t>
            </w:r>
          </w:p>
        </w:tc>
        <w:tc>
          <w:tcPr>
            <w:tcW w:w="1689" w:type="dxa"/>
            <w:vAlign w:val="center"/>
          </w:tcPr>
          <w:p w14:paraId="31E429C3" w14:textId="77777777" w:rsidR="00D87DD0" w:rsidRPr="00537118" w:rsidRDefault="00D87DD0" w:rsidP="000620FD">
            <w:pPr>
              <w:spacing w:line="276" w:lineRule="auto"/>
              <w:jc w:val="center"/>
              <w:rPr>
                <w:rFonts w:ascii="Garamond" w:hAnsi="Garamond"/>
              </w:rPr>
            </w:pPr>
            <w:r w:rsidRPr="00537118">
              <w:rPr>
                <w:rFonts w:ascii="Garamond" w:hAnsi="Garamond"/>
              </w:rPr>
              <w:t>Arábia saudita</w:t>
            </w:r>
          </w:p>
        </w:tc>
        <w:tc>
          <w:tcPr>
            <w:tcW w:w="1460" w:type="dxa"/>
            <w:vAlign w:val="center"/>
          </w:tcPr>
          <w:p w14:paraId="1922DEBB" w14:textId="77777777" w:rsidR="00D87DD0" w:rsidRPr="00537118" w:rsidRDefault="00D87DD0" w:rsidP="000620FD">
            <w:pPr>
              <w:spacing w:line="276" w:lineRule="auto"/>
              <w:jc w:val="center"/>
              <w:rPr>
                <w:rFonts w:ascii="Garamond" w:hAnsi="Garamond"/>
              </w:rPr>
            </w:pPr>
            <w:r w:rsidRPr="00537118">
              <w:rPr>
                <w:rFonts w:ascii="Garamond" w:hAnsi="Garamond"/>
              </w:rPr>
              <w:t>Afeganistão</w:t>
            </w:r>
          </w:p>
        </w:tc>
        <w:tc>
          <w:tcPr>
            <w:tcW w:w="1292" w:type="dxa"/>
            <w:vAlign w:val="center"/>
          </w:tcPr>
          <w:p w14:paraId="69C76AF2" w14:textId="77777777" w:rsidR="00D87DD0" w:rsidRPr="00537118" w:rsidRDefault="00D87DD0" w:rsidP="000620FD">
            <w:pPr>
              <w:spacing w:line="276" w:lineRule="auto"/>
              <w:jc w:val="center"/>
              <w:rPr>
                <w:rFonts w:ascii="Garamond" w:hAnsi="Garamond"/>
              </w:rPr>
            </w:pPr>
            <w:r w:rsidRPr="00537118">
              <w:rPr>
                <w:rFonts w:ascii="Garamond" w:hAnsi="Garamond"/>
              </w:rPr>
              <w:t>Peru</w:t>
            </w:r>
          </w:p>
        </w:tc>
      </w:tr>
      <w:tr w:rsidR="00D87DD0" w:rsidRPr="00537118" w14:paraId="37519A53" w14:textId="77777777" w:rsidTr="005B6AC9">
        <w:trPr>
          <w:trHeight w:val="524"/>
        </w:trPr>
        <w:tc>
          <w:tcPr>
            <w:tcW w:w="1449" w:type="dxa"/>
            <w:vAlign w:val="center"/>
          </w:tcPr>
          <w:p w14:paraId="2781AE7B" w14:textId="77777777" w:rsidR="00D87DD0" w:rsidRPr="00537118" w:rsidRDefault="00D87DD0" w:rsidP="000620FD">
            <w:pPr>
              <w:spacing w:line="276" w:lineRule="auto"/>
              <w:jc w:val="center"/>
              <w:rPr>
                <w:rFonts w:ascii="Garamond" w:hAnsi="Garamond"/>
              </w:rPr>
            </w:pPr>
            <w:r w:rsidRPr="00537118">
              <w:rPr>
                <w:rFonts w:ascii="Garamond" w:hAnsi="Garamond"/>
              </w:rPr>
              <w:t>Japão</w:t>
            </w:r>
          </w:p>
        </w:tc>
        <w:tc>
          <w:tcPr>
            <w:tcW w:w="1559" w:type="dxa"/>
            <w:vAlign w:val="center"/>
          </w:tcPr>
          <w:p w14:paraId="350F5FE1" w14:textId="77777777" w:rsidR="00D87DD0" w:rsidRPr="00537118" w:rsidRDefault="00D87DD0" w:rsidP="000620FD">
            <w:pPr>
              <w:spacing w:line="276" w:lineRule="auto"/>
              <w:jc w:val="center"/>
              <w:rPr>
                <w:rFonts w:ascii="Garamond" w:hAnsi="Garamond"/>
              </w:rPr>
            </w:pPr>
            <w:r w:rsidRPr="00537118">
              <w:rPr>
                <w:rFonts w:ascii="Garamond" w:hAnsi="Garamond"/>
              </w:rPr>
              <w:t>Espanha</w:t>
            </w:r>
          </w:p>
        </w:tc>
        <w:tc>
          <w:tcPr>
            <w:tcW w:w="1430" w:type="dxa"/>
            <w:vAlign w:val="center"/>
          </w:tcPr>
          <w:p w14:paraId="29DE013F" w14:textId="77777777" w:rsidR="00D87DD0" w:rsidRPr="00537118" w:rsidRDefault="00D87DD0" w:rsidP="000620FD">
            <w:pPr>
              <w:spacing w:line="276" w:lineRule="auto"/>
              <w:jc w:val="center"/>
              <w:rPr>
                <w:rFonts w:ascii="Garamond" w:hAnsi="Garamond"/>
              </w:rPr>
            </w:pPr>
            <w:r w:rsidRPr="00537118">
              <w:rPr>
                <w:rFonts w:ascii="Garamond" w:hAnsi="Garamond"/>
              </w:rPr>
              <w:t>Vietnam</w:t>
            </w:r>
          </w:p>
        </w:tc>
        <w:tc>
          <w:tcPr>
            <w:tcW w:w="1689" w:type="dxa"/>
            <w:vAlign w:val="center"/>
          </w:tcPr>
          <w:p w14:paraId="44E2A4CE" w14:textId="77777777" w:rsidR="00D87DD0" w:rsidRPr="00537118" w:rsidRDefault="00D87DD0" w:rsidP="000620FD">
            <w:pPr>
              <w:spacing w:line="276" w:lineRule="auto"/>
              <w:jc w:val="center"/>
              <w:rPr>
                <w:rFonts w:ascii="Garamond" w:hAnsi="Garamond"/>
              </w:rPr>
            </w:pPr>
            <w:r w:rsidRPr="00537118">
              <w:rPr>
                <w:rFonts w:ascii="Garamond" w:hAnsi="Garamond"/>
              </w:rPr>
              <w:t>Líbia</w:t>
            </w:r>
          </w:p>
        </w:tc>
        <w:tc>
          <w:tcPr>
            <w:tcW w:w="1460" w:type="dxa"/>
            <w:vAlign w:val="center"/>
          </w:tcPr>
          <w:p w14:paraId="45D94149" w14:textId="77777777" w:rsidR="00D87DD0" w:rsidRPr="00537118" w:rsidRDefault="00D87DD0" w:rsidP="000620FD">
            <w:pPr>
              <w:spacing w:line="276" w:lineRule="auto"/>
              <w:jc w:val="center"/>
              <w:rPr>
                <w:rFonts w:ascii="Garamond" w:hAnsi="Garamond"/>
              </w:rPr>
            </w:pPr>
            <w:r w:rsidRPr="00537118">
              <w:rPr>
                <w:rFonts w:ascii="Garamond" w:hAnsi="Garamond"/>
              </w:rPr>
              <w:t>Argentina</w:t>
            </w:r>
          </w:p>
        </w:tc>
        <w:tc>
          <w:tcPr>
            <w:tcW w:w="1292" w:type="dxa"/>
            <w:vAlign w:val="center"/>
          </w:tcPr>
          <w:p w14:paraId="3AAA6E2D" w14:textId="77777777" w:rsidR="00D87DD0" w:rsidRPr="00537118" w:rsidRDefault="00D87DD0" w:rsidP="000620FD">
            <w:pPr>
              <w:spacing w:line="276" w:lineRule="auto"/>
              <w:jc w:val="center"/>
              <w:rPr>
                <w:rFonts w:ascii="Garamond" w:hAnsi="Garamond"/>
              </w:rPr>
            </w:pPr>
            <w:r w:rsidRPr="00537118">
              <w:rPr>
                <w:rFonts w:ascii="Garamond" w:hAnsi="Garamond"/>
              </w:rPr>
              <w:t>Mongólia</w:t>
            </w:r>
          </w:p>
        </w:tc>
      </w:tr>
      <w:tr w:rsidR="00D87DD0" w:rsidRPr="00537118" w14:paraId="566D14E3" w14:textId="77777777" w:rsidTr="005B6AC9">
        <w:trPr>
          <w:trHeight w:val="524"/>
        </w:trPr>
        <w:tc>
          <w:tcPr>
            <w:tcW w:w="1449" w:type="dxa"/>
            <w:vAlign w:val="center"/>
          </w:tcPr>
          <w:p w14:paraId="509A4428" w14:textId="77777777" w:rsidR="00D87DD0" w:rsidRPr="00537118" w:rsidRDefault="00D87DD0" w:rsidP="000620FD">
            <w:pPr>
              <w:spacing w:line="276" w:lineRule="auto"/>
              <w:jc w:val="center"/>
              <w:rPr>
                <w:rFonts w:ascii="Garamond" w:hAnsi="Garamond"/>
              </w:rPr>
            </w:pPr>
            <w:r w:rsidRPr="00537118">
              <w:rPr>
                <w:rFonts w:ascii="Garamond" w:hAnsi="Garamond"/>
              </w:rPr>
              <w:t>Alemanha</w:t>
            </w:r>
          </w:p>
        </w:tc>
        <w:tc>
          <w:tcPr>
            <w:tcW w:w="1559" w:type="dxa"/>
            <w:vAlign w:val="center"/>
          </w:tcPr>
          <w:p w14:paraId="4935A2D9" w14:textId="77777777" w:rsidR="00D87DD0" w:rsidRPr="00537118" w:rsidRDefault="00D87DD0" w:rsidP="000620FD">
            <w:pPr>
              <w:spacing w:line="276" w:lineRule="auto"/>
              <w:jc w:val="center"/>
              <w:rPr>
                <w:rFonts w:ascii="Garamond" w:hAnsi="Garamond"/>
              </w:rPr>
            </w:pPr>
            <w:r w:rsidRPr="00537118">
              <w:rPr>
                <w:rFonts w:ascii="Garamond" w:hAnsi="Garamond"/>
              </w:rPr>
              <w:t>Austrália</w:t>
            </w:r>
          </w:p>
        </w:tc>
        <w:tc>
          <w:tcPr>
            <w:tcW w:w="1430" w:type="dxa"/>
            <w:vAlign w:val="center"/>
          </w:tcPr>
          <w:p w14:paraId="29B54363" w14:textId="77777777" w:rsidR="00D87DD0" w:rsidRPr="00537118" w:rsidRDefault="00D87DD0" w:rsidP="000620FD">
            <w:pPr>
              <w:spacing w:line="276" w:lineRule="auto"/>
              <w:jc w:val="center"/>
              <w:rPr>
                <w:rFonts w:ascii="Garamond" w:hAnsi="Garamond"/>
              </w:rPr>
            </w:pPr>
            <w:r w:rsidRPr="00537118">
              <w:rPr>
                <w:rFonts w:ascii="Garamond" w:hAnsi="Garamond"/>
              </w:rPr>
              <w:t>Polónia</w:t>
            </w:r>
          </w:p>
        </w:tc>
        <w:tc>
          <w:tcPr>
            <w:tcW w:w="1689" w:type="dxa"/>
            <w:vAlign w:val="center"/>
          </w:tcPr>
          <w:p w14:paraId="29E6FDAA" w14:textId="77777777" w:rsidR="00D87DD0" w:rsidRPr="00537118" w:rsidRDefault="00D87DD0" w:rsidP="000620FD">
            <w:pPr>
              <w:spacing w:line="276" w:lineRule="auto"/>
              <w:jc w:val="center"/>
              <w:rPr>
                <w:rFonts w:ascii="Garamond" w:hAnsi="Garamond"/>
              </w:rPr>
            </w:pPr>
            <w:r w:rsidRPr="00537118">
              <w:rPr>
                <w:rFonts w:ascii="Garamond" w:hAnsi="Garamond"/>
              </w:rPr>
              <w:t>Argélia</w:t>
            </w:r>
          </w:p>
        </w:tc>
        <w:tc>
          <w:tcPr>
            <w:tcW w:w="1460" w:type="dxa"/>
            <w:vAlign w:val="center"/>
          </w:tcPr>
          <w:p w14:paraId="1D9E2E4A" w14:textId="77777777" w:rsidR="00D87DD0" w:rsidRPr="00537118" w:rsidRDefault="00D87DD0" w:rsidP="000620FD">
            <w:pPr>
              <w:spacing w:line="276" w:lineRule="auto"/>
              <w:jc w:val="center"/>
              <w:rPr>
                <w:rFonts w:ascii="Garamond" w:hAnsi="Garamond"/>
              </w:rPr>
            </w:pPr>
            <w:r w:rsidRPr="00537118">
              <w:rPr>
                <w:rFonts w:ascii="Garamond" w:hAnsi="Garamond"/>
              </w:rPr>
              <w:t>Chile</w:t>
            </w:r>
          </w:p>
        </w:tc>
        <w:tc>
          <w:tcPr>
            <w:tcW w:w="1292" w:type="dxa"/>
            <w:vAlign w:val="center"/>
          </w:tcPr>
          <w:p w14:paraId="586283F4" w14:textId="77777777" w:rsidR="00D87DD0" w:rsidRPr="00537118" w:rsidRDefault="00D87DD0" w:rsidP="000620FD">
            <w:pPr>
              <w:spacing w:line="276" w:lineRule="auto"/>
              <w:jc w:val="center"/>
              <w:rPr>
                <w:rFonts w:ascii="Garamond" w:hAnsi="Garamond"/>
              </w:rPr>
            </w:pPr>
            <w:r w:rsidRPr="00537118">
              <w:rPr>
                <w:rFonts w:ascii="Garamond" w:hAnsi="Garamond"/>
              </w:rPr>
              <w:t>México</w:t>
            </w:r>
          </w:p>
        </w:tc>
      </w:tr>
      <w:tr w:rsidR="00D87DD0" w:rsidRPr="00537118" w14:paraId="7924ACE0" w14:textId="77777777" w:rsidTr="005B6AC9">
        <w:trPr>
          <w:trHeight w:val="524"/>
        </w:trPr>
        <w:tc>
          <w:tcPr>
            <w:tcW w:w="1449" w:type="dxa"/>
            <w:vAlign w:val="center"/>
          </w:tcPr>
          <w:p w14:paraId="31C71BDC" w14:textId="77777777" w:rsidR="00D87DD0" w:rsidRPr="00537118" w:rsidRDefault="00D87DD0" w:rsidP="000620FD">
            <w:pPr>
              <w:spacing w:line="276" w:lineRule="auto"/>
              <w:jc w:val="center"/>
              <w:rPr>
                <w:rFonts w:ascii="Garamond" w:hAnsi="Garamond"/>
              </w:rPr>
            </w:pPr>
            <w:r w:rsidRPr="00537118">
              <w:rPr>
                <w:rFonts w:ascii="Garamond" w:hAnsi="Garamond"/>
              </w:rPr>
              <w:t>India</w:t>
            </w:r>
          </w:p>
        </w:tc>
        <w:tc>
          <w:tcPr>
            <w:tcW w:w="1559" w:type="dxa"/>
            <w:vAlign w:val="center"/>
          </w:tcPr>
          <w:p w14:paraId="3E84A721" w14:textId="77777777" w:rsidR="00D87DD0" w:rsidRPr="00537118" w:rsidRDefault="00D87DD0" w:rsidP="000620FD">
            <w:pPr>
              <w:spacing w:line="276" w:lineRule="auto"/>
              <w:jc w:val="center"/>
              <w:rPr>
                <w:rFonts w:ascii="Garamond" w:hAnsi="Garamond"/>
              </w:rPr>
            </w:pPr>
            <w:r w:rsidRPr="00537118">
              <w:rPr>
                <w:rFonts w:ascii="Garamond" w:hAnsi="Garamond"/>
              </w:rPr>
              <w:t>Brasil</w:t>
            </w:r>
          </w:p>
        </w:tc>
        <w:tc>
          <w:tcPr>
            <w:tcW w:w="1430" w:type="dxa"/>
            <w:vAlign w:val="center"/>
          </w:tcPr>
          <w:p w14:paraId="020C7F86" w14:textId="77777777" w:rsidR="00D87DD0" w:rsidRPr="00537118" w:rsidRDefault="00D87DD0" w:rsidP="000620FD">
            <w:pPr>
              <w:spacing w:line="276" w:lineRule="auto"/>
              <w:jc w:val="center"/>
              <w:rPr>
                <w:rFonts w:ascii="Garamond" w:hAnsi="Garamond"/>
              </w:rPr>
            </w:pPr>
            <w:r w:rsidRPr="00537118">
              <w:rPr>
                <w:rFonts w:ascii="Garamond" w:hAnsi="Garamond"/>
              </w:rPr>
              <w:t>Reino Unido</w:t>
            </w:r>
          </w:p>
        </w:tc>
        <w:tc>
          <w:tcPr>
            <w:tcW w:w="1689" w:type="dxa"/>
            <w:vAlign w:val="center"/>
          </w:tcPr>
          <w:p w14:paraId="3484E5B0" w14:textId="77777777" w:rsidR="00D87DD0" w:rsidRPr="00537118" w:rsidRDefault="00D87DD0" w:rsidP="000620FD">
            <w:pPr>
              <w:spacing w:line="276" w:lineRule="auto"/>
              <w:jc w:val="center"/>
              <w:rPr>
                <w:rFonts w:ascii="Garamond" w:hAnsi="Garamond"/>
              </w:rPr>
            </w:pPr>
            <w:r w:rsidRPr="00537118">
              <w:rPr>
                <w:rFonts w:ascii="Garamond" w:hAnsi="Garamond"/>
              </w:rPr>
              <w:t>Marrocos</w:t>
            </w:r>
          </w:p>
        </w:tc>
        <w:tc>
          <w:tcPr>
            <w:tcW w:w="1460" w:type="dxa"/>
            <w:vAlign w:val="center"/>
          </w:tcPr>
          <w:p w14:paraId="696C58A5" w14:textId="77777777" w:rsidR="00D87DD0" w:rsidRPr="00537118" w:rsidRDefault="00D87DD0" w:rsidP="000620FD">
            <w:pPr>
              <w:spacing w:line="276" w:lineRule="auto"/>
              <w:jc w:val="center"/>
              <w:rPr>
                <w:rFonts w:ascii="Garamond" w:hAnsi="Garamond"/>
              </w:rPr>
            </w:pPr>
            <w:r w:rsidRPr="00537118">
              <w:rPr>
                <w:rFonts w:ascii="Garamond" w:hAnsi="Garamond"/>
              </w:rPr>
              <w:t>Irão</w:t>
            </w:r>
          </w:p>
        </w:tc>
        <w:tc>
          <w:tcPr>
            <w:tcW w:w="1292" w:type="dxa"/>
            <w:vAlign w:val="center"/>
          </w:tcPr>
          <w:p w14:paraId="7C919C43" w14:textId="77777777" w:rsidR="00D87DD0" w:rsidRPr="00537118" w:rsidRDefault="00D87DD0" w:rsidP="000620FD">
            <w:pPr>
              <w:spacing w:line="276" w:lineRule="auto"/>
              <w:jc w:val="center"/>
              <w:rPr>
                <w:rFonts w:ascii="Garamond" w:hAnsi="Garamond"/>
              </w:rPr>
            </w:pPr>
            <w:r w:rsidRPr="00537118">
              <w:rPr>
                <w:rFonts w:ascii="Garamond" w:hAnsi="Garamond"/>
              </w:rPr>
              <w:t>Paquistão</w:t>
            </w:r>
          </w:p>
        </w:tc>
      </w:tr>
    </w:tbl>
    <w:p w14:paraId="27C55486" w14:textId="77777777" w:rsidR="00DC10FE" w:rsidRPr="00537118" w:rsidRDefault="00DC10FE">
      <w:pPr>
        <w:rPr>
          <w:rFonts w:ascii="Garamond" w:hAnsi="Garamond"/>
          <w:b/>
          <w:bCs/>
          <w:sz w:val="24"/>
          <w:szCs w:val="24"/>
        </w:rPr>
      </w:pPr>
      <w:r w:rsidRPr="00537118">
        <w:rPr>
          <w:rFonts w:ascii="Garamond" w:hAnsi="Garamond"/>
          <w:b/>
          <w:bCs/>
          <w:sz w:val="24"/>
          <w:szCs w:val="24"/>
        </w:rPr>
        <w:br w:type="page"/>
      </w:r>
    </w:p>
    <w:p w14:paraId="65ABE2EE" w14:textId="12FA4F6A" w:rsidR="00D87DD0" w:rsidRPr="00537118" w:rsidRDefault="00D87DD0" w:rsidP="002A2A5B">
      <w:pPr>
        <w:spacing w:line="360" w:lineRule="auto"/>
        <w:jc w:val="both"/>
        <w:rPr>
          <w:rFonts w:ascii="Garamond" w:hAnsi="Garamond"/>
          <w:b/>
          <w:bCs/>
          <w:sz w:val="24"/>
          <w:szCs w:val="24"/>
        </w:rPr>
      </w:pPr>
      <w:r w:rsidRPr="00537118">
        <w:rPr>
          <w:rFonts w:ascii="Garamond" w:hAnsi="Garamond"/>
          <w:b/>
          <w:bCs/>
          <w:sz w:val="24"/>
          <w:szCs w:val="24"/>
        </w:rPr>
        <w:lastRenderedPageBreak/>
        <w:t xml:space="preserve">Primeira triagem </w:t>
      </w:r>
    </w:p>
    <w:p w14:paraId="0E2DADD0" w14:textId="77777777" w:rsidR="00D87DD0" w:rsidRPr="00537118" w:rsidRDefault="00D87DD0" w:rsidP="00D87DD0">
      <w:pPr>
        <w:spacing w:line="360" w:lineRule="auto"/>
        <w:jc w:val="both"/>
        <w:rPr>
          <w:rFonts w:ascii="Garamond" w:hAnsi="Garamond"/>
          <w:sz w:val="24"/>
          <w:szCs w:val="24"/>
        </w:rPr>
      </w:pPr>
      <w:r w:rsidRPr="00537118">
        <w:rPr>
          <w:rFonts w:ascii="Garamond" w:hAnsi="Garamond"/>
          <w:sz w:val="24"/>
          <w:szCs w:val="24"/>
        </w:rPr>
        <w:t xml:space="preserve">De seguida, estes mercados foram novamente organizados numa tabela, em função da aplicação de três indicadores (com um determinado peso cada um), de forma reduzir o número de possibilidades e, assim, obter os seguintes 15 países. </w:t>
      </w:r>
    </w:p>
    <w:p w14:paraId="0971C6E1" w14:textId="2AB22BA7" w:rsidR="00D87DD0" w:rsidRPr="00537118" w:rsidRDefault="00D87DD0" w:rsidP="00D87DD0">
      <w:pPr>
        <w:spacing w:line="360" w:lineRule="auto"/>
        <w:jc w:val="both"/>
        <w:rPr>
          <w:rFonts w:ascii="Garamond" w:hAnsi="Garamond"/>
          <w:sz w:val="24"/>
          <w:szCs w:val="24"/>
        </w:rPr>
      </w:pPr>
      <w:r w:rsidRPr="00537118">
        <w:rPr>
          <w:rFonts w:ascii="Garamond" w:hAnsi="Garamond"/>
          <w:sz w:val="24"/>
          <w:szCs w:val="24"/>
        </w:rPr>
        <w:t xml:space="preserve">Nesta fase, os primeiros indicadores utilizados foram os dois previamente referidos para seleção inicial de mercados: o </w:t>
      </w:r>
      <w:r w:rsidRPr="00537118">
        <w:rPr>
          <w:rFonts w:ascii="Garamond" w:hAnsi="Garamond"/>
          <w:i/>
          <w:iCs/>
          <w:sz w:val="24"/>
          <w:szCs w:val="24"/>
        </w:rPr>
        <w:t xml:space="preserve">Practical </w:t>
      </w:r>
      <w:r w:rsidR="00496AEE" w:rsidRPr="00537118">
        <w:rPr>
          <w:rFonts w:ascii="Garamond" w:hAnsi="Garamond"/>
          <w:i/>
          <w:iCs/>
          <w:sz w:val="24"/>
          <w:szCs w:val="24"/>
        </w:rPr>
        <w:t>P</w:t>
      </w:r>
      <w:r w:rsidRPr="00537118">
        <w:rPr>
          <w:rFonts w:ascii="Garamond" w:hAnsi="Garamond"/>
          <w:i/>
          <w:iCs/>
          <w:sz w:val="24"/>
          <w:szCs w:val="24"/>
        </w:rPr>
        <w:t xml:space="preserve">hotovoltaic </w:t>
      </w:r>
      <w:r w:rsidR="00496AEE" w:rsidRPr="00537118">
        <w:rPr>
          <w:rFonts w:ascii="Garamond" w:hAnsi="Garamond"/>
          <w:i/>
          <w:iCs/>
          <w:sz w:val="24"/>
          <w:szCs w:val="24"/>
        </w:rPr>
        <w:t>P</w:t>
      </w:r>
      <w:r w:rsidRPr="00537118">
        <w:rPr>
          <w:rFonts w:ascii="Garamond" w:hAnsi="Garamond"/>
          <w:i/>
          <w:iCs/>
          <w:sz w:val="24"/>
          <w:szCs w:val="24"/>
        </w:rPr>
        <w:t xml:space="preserve">ower </w:t>
      </w:r>
      <w:r w:rsidR="00496AEE" w:rsidRPr="00537118">
        <w:rPr>
          <w:rFonts w:ascii="Garamond" w:hAnsi="Garamond"/>
          <w:i/>
          <w:iCs/>
          <w:sz w:val="24"/>
          <w:szCs w:val="24"/>
        </w:rPr>
        <w:t>O</w:t>
      </w:r>
      <w:r w:rsidRPr="00537118">
        <w:rPr>
          <w:rFonts w:ascii="Garamond" w:hAnsi="Garamond"/>
          <w:i/>
          <w:iCs/>
          <w:sz w:val="24"/>
          <w:szCs w:val="24"/>
        </w:rPr>
        <w:t>utput</w:t>
      </w:r>
      <w:r w:rsidRPr="00537118">
        <w:rPr>
          <w:rFonts w:ascii="Garamond" w:hAnsi="Garamond"/>
          <w:sz w:val="24"/>
          <w:szCs w:val="24"/>
        </w:rPr>
        <w:t xml:space="preserve"> (PVOUT) e a capacidade de produção elétrica de origem solar. O terceiro indicador usado refere-se ao </w:t>
      </w:r>
      <w:r w:rsidRPr="00537118">
        <w:rPr>
          <w:rFonts w:ascii="Garamond" w:hAnsi="Garamond"/>
          <w:i/>
          <w:iCs/>
          <w:sz w:val="24"/>
          <w:szCs w:val="24"/>
        </w:rPr>
        <w:t xml:space="preserve">Environmental </w:t>
      </w:r>
      <w:r w:rsidR="00CC6937" w:rsidRPr="00537118">
        <w:rPr>
          <w:rFonts w:ascii="Garamond" w:hAnsi="Garamond"/>
          <w:i/>
          <w:iCs/>
          <w:sz w:val="24"/>
          <w:szCs w:val="24"/>
        </w:rPr>
        <w:t>P</w:t>
      </w:r>
      <w:r w:rsidRPr="00537118">
        <w:rPr>
          <w:rFonts w:ascii="Garamond" w:hAnsi="Garamond"/>
          <w:i/>
          <w:iCs/>
          <w:sz w:val="24"/>
          <w:szCs w:val="24"/>
        </w:rPr>
        <w:t xml:space="preserve">erformance </w:t>
      </w:r>
      <w:r w:rsidR="00CC6937" w:rsidRPr="00537118">
        <w:rPr>
          <w:rFonts w:ascii="Garamond" w:hAnsi="Garamond"/>
          <w:i/>
          <w:iCs/>
          <w:sz w:val="24"/>
          <w:szCs w:val="24"/>
        </w:rPr>
        <w:t>I</w:t>
      </w:r>
      <w:r w:rsidRPr="00537118">
        <w:rPr>
          <w:rFonts w:ascii="Garamond" w:hAnsi="Garamond"/>
          <w:i/>
          <w:iCs/>
          <w:sz w:val="24"/>
          <w:szCs w:val="24"/>
        </w:rPr>
        <w:t>ndex</w:t>
      </w:r>
      <w:r w:rsidRPr="00537118">
        <w:rPr>
          <w:rFonts w:ascii="Garamond" w:hAnsi="Garamond"/>
          <w:sz w:val="24"/>
          <w:szCs w:val="24"/>
        </w:rPr>
        <w:t xml:space="preserve"> (EPI). </w:t>
      </w:r>
    </w:p>
    <w:p w14:paraId="6CE74FB2" w14:textId="3D3FC63C" w:rsidR="00D87DD0" w:rsidRPr="00537118" w:rsidRDefault="00D87DD0" w:rsidP="00D87DD0">
      <w:pPr>
        <w:spacing w:line="360" w:lineRule="auto"/>
        <w:jc w:val="both"/>
        <w:rPr>
          <w:rFonts w:ascii="Garamond" w:hAnsi="Garamond"/>
          <w:sz w:val="24"/>
          <w:szCs w:val="24"/>
        </w:rPr>
      </w:pPr>
      <w:r w:rsidRPr="00537118">
        <w:rPr>
          <w:rFonts w:ascii="Garamond" w:hAnsi="Garamond"/>
          <w:sz w:val="24"/>
          <w:szCs w:val="24"/>
        </w:rPr>
        <w:t xml:space="preserve">Quanto ao PVOUT, a importância atribuída nesta fase foi de 32%, uma vez que, tal como já explicado, apesar de ser muito relevante (devido à incidência solar corrigida), um valor demasiado elevado iria eliminar potenciais mercados com menores resultados neste âmbito, mas que ainda representam potenciais mercados com interesse, no que diz respeito aos sistemas de armazenamento de energia. Este conjunto de países </w:t>
      </w:r>
      <w:r w:rsidR="00491879" w:rsidRPr="00537118">
        <w:rPr>
          <w:rFonts w:ascii="Garamond" w:hAnsi="Garamond"/>
          <w:sz w:val="24"/>
          <w:szCs w:val="24"/>
        </w:rPr>
        <w:t xml:space="preserve">que ficariam </w:t>
      </w:r>
      <w:r w:rsidRPr="00537118">
        <w:rPr>
          <w:rFonts w:ascii="Garamond" w:hAnsi="Garamond"/>
          <w:sz w:val="24"/>
          <w:szCs w:val="24"/>
        </w:rPr>
        <w:t>descartados inclui mercados centrais europeus com menor incidência solar, ainda que com picos altos de produção elétrica solar elevada (em determinadas alturas do dia), fator que aponta para o uso de baterias e acumuladores, constituindo uma possibilidade para a empresa BateriasX.</w:t>
      </w:r>
    </w:p>
    <w:p w14:paraId="00E95515" w14:textId="77777777" w:rsidR="00D87DD0" w:rsidRPr="00537118" w:rsidRDefault="00D87DD0" w:rsidP="00D87DD0">
      <w:pPr>
        <w:spacing w:line="360" w:lineRule="auto"/>
        <w:jc w:val="both"/>
        <w:rPr>
          <w:rFonts w:ascii="Garamond" w:hAnsi="Garamond"/>
          <w:sz w:val="24"/>
          <w:szCs w:val="24"/>
        </w:rPr>
      </w:pPr>
      <w:r w:rsidRPr="00537118">
        <w:rPr>
          <w:rFonts w:ascii="Garamond" w:hAnsi="Garamond"/>
          <w:sz w:val="24"/>
          <w:szCs w:val="24"/>
        </w:rPr>
        <w:t xml:space="preserve">De seguida, a percentagem do segundo indicador foi ligeiramente inferior à do primeiro (28%), pois diversos países enunciados na listagem apresentam planos de investimento em projetos solares para os próximos anos, pelo que os valores estáticos da capacidade produtiva de energia solar até o ano de 2023 não contempla o horizonte temporal mais adequado. Porém, em termos da análise, isso não precisa de ser totalmente relevante para a análise, constituindo esta percentagem um equilíbrio adequado à análise.  </w:t>
      </w:r>
    </w:p>
    <w:p w14:paraId="1271AC05" w14:textId="4D119BB3" w:rsidR="00D87DD0" w:rsidRPr="00537118" w:rsidRDefault="00D87DD0" w:rsidP="00D87DD0">
      <w:pPr>
        <w:spacing w:line="360" w:lineRule="auto"/>
        <w:jc w:val="both"/>
        <w:rPr>
          <w:rFonts w:ascii="Garamond" w:hAnsi="Garamond"/>
          <w:sz w:val="24"/>
          <w:szCs w:val="24"/>
        </w:rPr>
      </w:pPr>
      <w:r w:rsidRPr="00537118">
        <w:rPr>
          <w:rFonts w:ascii="Garamond" w:hAnsi="Garamond"/>
          <w:sz w:val="24"/>
          <w:szCs w:val="24"/>
        </w:rPr>
        <w:t xml:space="preserve">Por último, o terceiro indicador utilizado é o </w:t>
      </w:r>
      <w:r w:rsidRPr="00537118">
        <w:rPr>
          <w:rFonts w:ascii="Garamond" w:hAnsi="Garamond"/>
          <w:i/>
          <w:iCs/>
          <w:sz w:val="24"/>
          <w:szCs w:val="24"/>
        </w:rPr>
        <w:t>Environmental Performance Index</w:t>
      </w:r>
      <w:r w:rsidRPr="00537118">
        <w:rPr>
          <w:rFonts w:ascii="Garamond" w:hAnsi="Garamond"/>
          <w:sz w:val="24"/>
          <w:szCs w:val="24"/>
        </w:rPr>
        <w:t>, cuja percentagem perfaz os 40%. Este valor elevado resulta de o indicador medir, resumidamente, o estado da sustentabilidade de cada país ou região mediante dezenas de outros indicadores associados à preocupação e ação ambiental (EPI, 2024)</w:t>
      </w:r>
      <w:r w:rsidR="0071033A" w:rsidRPr="00537118">
        <w:rPr>
          <w:rFonts w:ascii="Garamond" w:hAnsi="Garamond"/>
          <w:sz w:val="24"/>
          <w:szCs w:val="24"/>
        </w:rPr>
        <w:t>, valores</w:t>
      </w:r>
      <w:r w:rsidR="0092443B" w:rsidRPr="00537118">
        <w:rPr>
          <w:rFonts w:ascii="Garamond" w:hAnsi="Garamond"/>
          <w:sz w:val="24"/>
          <w:szCs w:val="24"/>
        </w:rPr>
        <w:t xml:space="preserve"> disponíveis na tabela A</w:t>
      </w:r>
      <w:r w:rsidR="00010BA8">
        <w:rPr>
          <w:rFonts w:ascii="Garamond" w:hAnsi="Garamond"/>
          <w:sz w:val="24"/>
          <w:szCs w:val="24"/>
        </w:rPr>
        <w:t>.</w:t>
      </w:r>
      <w:r w:rsidR="0092443B" w:rsidRPr="00537118">
        <w:rPr>
          <w:rFonts w:ascii="Garamond" w:hAnsi="Garamond"/>
          <w:sz w:val="24"/>
          <w:szCs w:val="24"/>
        </w:rPr>
        <w:t>3 dos anexos</w:t>
      </w:r>
      <w:r w:rsidRPr="00537118">
        <w:rPr>
          <w:rFonts w:ascii="Garamond" w:hAnsi="Garamond"/>
          <w:sz w:val="24"/>
          <w:szCs w:val="24"/>
        </w:rPr>
        <w:t xml:space="preserve">. Dito isto, pode avaliar-se - da parte dos países - o desempenho e o compromisso a assumir em relação a objetivos ambientais. Em termos práticos, isso inclui, para além de diversos fatores, as energias renováveis. Embora inclua métricas não unicamente relacionadas com o armazenamento de </w:t>
      </w:r>
      <w:r w:rsidRPr="00537118">
        <w:rPr>
          <w:rFonts w:ascii="Garamond" w:hAnsi="Garamond"/>
          <w:sz w:val="24"/>
          <w:szCs w:val="24"/>
        </w:rPr>
        <w:lastRenderedPageBreak/>
        <w:t xml:space="preserve">energia e com a sua aplicação eficiente, o indicador demonstra o grau de relevância que os países atribuem à área da sustentabilidade, sendo este um dos motivos do peso significativo atribuído na análise. </w:t>
      </w:r>
    </w:p>
    <w:p w14:paraId="2DE107CC" w14:textId="69E14F8D" w:rsidR="00D87DD0" w:rsidRPr="00537118" w:rsidRDefault="00D87DD0" w:rsidP="00D87DD0">
      <w:pPr>
        <w:spacing w:line="360" w:lineRule="auto"/>
        <w:jc w:val="both"/>
        <w:rPr>
          <w:rFonts w:ascii="Garamond" w:hAnsi="Garamond"/>
          <w:sz w:val="24"/>
          <w:szCs w:val="24"/>
        </w:rPr>
      </w:pPr>
      <w:r w:rsidRPr="00537118">
        <w:rPr>
          <w:rFonts w:ascii="Garamond" w:hAnsi="Garamond"/>
          <w:sz w:val="24"/>
          <w:szCs w:val="24"/>
        </w:rPr>
        <w:t xml:space="preserve">Assim, o conjunto destes três indicadores engloba o impacto da produção de energia fotovoltaica e a tendência histórica de investimento solar dos países, sem descurar a mentalidade e a preocupação com um futuro sustentável para os territórios incluídos. </w:t>
      </w:r>
    </w:p>
    <w:p w14:paraId="4578B948" w14:textId="77777777" w:rsidR="00AD2A2E" w:rsidRDefault="00D87DD0" w:rsidP="005E3ED7">
      <w:pPr>
        <w:spacing w:before="120" w:after="120" w:line="360" w:lineRule="auto"/>
        <w:jc w:val="both"/>
        <w:rPr>
          <w:rFonts w:ascii="Garamond" w:hAnsi="Garamond"/>
          <w:b/>
          <w:bCs/>
        </w:rPr>
      </w:pPr>
      <w:r w:rsidRPr="00537118">
        <w:rPr>
          <w:rFonts w:ascii="Garamond" w:hAnsi="Garamond"/>
          <w:sz w:val="24"/>
          <w:szCs w:val="24"/>
        </w:rPr>
        <w:t>Os resultados da primeira triagem estão sintetizados por ordem decrescente na tabela seguinte:</w:t>
      </w:r>
      <w:r w:rsidR="00AD2A2E" w:rsidRPr="00AD2A2E">
        <w:rPr>
          <w:rFonts w:ascii="Garamond" w:hAnsi="Garamond"/>
          <w:b/>
          <w:bCs/>
        </w:rPr>
        <w:t xml:space="preserve"> </w:t>
      </w:r>
    </w:p>
    <w:p w14:paraId="281A4328" w14:textId="77777777" w:rsidR="00AD2A2E" w:rsidRDefault="00AD2A2E" w:rsidP="005E3ED7">
      <w:pPr>
        <w:spacing w:after="0" w:line="360" w:lineRule="auto"/>
        <w:jc w:val="both"/>
        <w:rPr>
          <w:rFonts w:ascii="Garamond" w:hAnsi="Garamond"/>
          <w:b/>
          <w:bCs/>
        </w:rPr>
      </w:pPr>
    </w:p>
    <w:p w14:paraId="2CF4E322" w14:textId="00565B70" w:rsidR="00D87DD0" w:rsidRPr="00AD2A2E" w:rsidRDefault="00AD2A2E" w:rsidP="005B6AC9">
      <w:pPr>
        <w:spacing w:line="360" w:lineRule="auto"/>
        <w:jc w:val="center"/>
        <w:rPr>
          <w:rFonts w:ascii="Garamond" w:hAnsi="Garamond"/>
          <w:b/>
          <w:bCs/>
        </w:rPr>
      </w:pPr>
      <w:r w:rsidRPr="00537118">
        <w:rPr>
          <w:rFonts w:ascii="Garamond" w:hAnsi="Garamond"/>
          <w:b/>
          <w:bCs/>
        </w:rPr>
        <w:t>Tabela 2. Primeira Triagem – Resultados</w:t>
      </w:r>
    </w:p>
    <w:tbl>
      <w:tblPr>
        <w:tblStyle w:val="TableGrid"/>
        <w:tblW w:w="4684" w:type="pct"/>
        <w:jc w:val="center"/>
        <w:tblLook w:val="04A0" w:firstRow="1" w:lastRow="0" w:firstColumn="1" w:lastColumn="0" w:noHBand="0" w:noVBand="1"/>
      </w:tblPr>
      <w:tblGrid>
        <w:gridCol w:w="1103"/>
        <w:gridCol w:w="1659"/>
        <w:gridCol w:w="1105"/>
        <w:gridCol w:w="1660"/>
        <w:gridCol w:w="1105"/>
        <w:gridCol w:w="1637"/>
      </w:tblGrid>
      <w:tr w:rsidR="009036A8" w:rsidRPr="00537118" w14:paraId="0148EA1B" w14:textId="77777777" w:rsidTr="00AD2A2E">
        <w:trPr>
          <w:trHeight w:val="850"/>
          <w:jc w:val="center"/>
        </w:trPr>
        <w:tc>
          <w:tcPr>
            <w:tcW w:w="667" w:type="pct"/>
            <w:vAlign w:val="center"/>
          </w:tcPr>
          <w:p w14:paraId="5DD408C0" w14:textId="77777777" w:rsidR="00D87DD0" w:rsidRPr="00537118" w:rsidRDefault="00D87DD0" w:rsidP="002C190B">
            <w:pPr>
              <w:spacing w:line="276" w:lineRule="auto"/>
              <w:jc w:val="center"/>
              <w:rPr>
                <w:rFonts w:ascii="Garamond" w:hAnsi="Garamond"/>
                <w:b/>
                <w:bCs/>
              </w:rPr>
            </w:pPr>
            <w:r w:rsidRPr="00537118">
              <w:rPr>
                <w:rFonts w:ascii="Garamond" w:hAnsi="Garamond"/>
                <w:b/>
                <w:bCs/>
              </w:rPr>
              <w:t>1</w:t>
            </w:r>
          </w:p>
        </w:tc>
        <w:tc>
          <w:tcPr>
            <w:tcW w:w="1003" w:type="pct"/>
            <w:vAlign w:val="center"/>
          </w:tcPr>
          <w:p w14:paraId="2A609AEC" w14:textId="77777777" w:rsidR="00D87DD0" w:rsidRPr="00537118" w:rsidRDefault="00D87DD0" w:rsidP="002C190B">
            <w:pPr>
              <w:spacing w:line="276" w:lineRule="auto"/>
              <w:jc w:val="center"/>
              <w:rPr>
                <w:rFonts w:ascii="Garamond" w:hAnsi="Garamond"/>
              </w:rPr>
            </w:pPr>
            <w:r w:rsidRPr="00537118">
              <w:rPr>
                <w:rFonts w:ascii="Garamond" w:hAnsi="Garamond"/>
              </w:rPr>
              <w:t>China</w:t>
            </w:r>
          </w:p>
          <w:p w14:paraId="57241C29" w14:textId="77777777" w:rsidR="00D87DD0" w:rsidRPr="00537118" w:rsidRDefault="00D87DD0" w:rsidP="002C190B">
            <w:pPr>
              <w:spacing w:line="276" w:lineRule="auto"/>
              <w:jc w:val="center"/>
              <w:rPr>
                <w:rFonts w:ascii="Garamond" w:hAnsi="Garamond"/>
              </w:rPr>
            </w:pPr>
            <w:r w:rsidRPr="00537118">
              <w:rPr>
                <w:rFonts w:ascii="Garamond" w:hAnsi="Garamond"/>
              </w:rPr>
              <w:t>(</w:t>
            </w:r>
            <w:r w:rsidRPr="00537118">
              <w:rPr>
                <w:rFonts w:ascii="Garamond" w:hAnsi="Garamond" w:cs="Calibri"/>
                <w:color w:val="000000"/>
              </w:rPr>
              <w:t>0,701)</w:t>
            </w:r>
          </w:p>
        </w:tc>
        <w:tc>
          <w:tcPr>
            <w:tcW w:w="668" w:type="pct"/>
            <w:vAlign w:val="center"/>
          </w:tcPr>
          <w:p w14:paraId="1F59353A" w14:textId="77777777" w:rsidR="00D87DD0" w:rsidRPr="00537118" w:rsidRDefault="00D87DD0" w:rsidP="002C190B">
            <w:pPr>
              <w:spacing w:line="276" w:lineRule="auto"/>
              <w:jc w:val="center"/>
              <w:rPr>
                <w:rFonts w:ascii="Garamond" w:hAnsi="Garamond"/>
                <w:b/>
                <w:bCs/>
              </w:rPr>
            </w:pPr>
            <w:r w:rsidRPr="00537118">
              <w:rPr>
                <w:rFonts w:ascii="Garamond" w:hAnsi="Garamond"/>
                <w:b/>
                <w:bCs/>
              </w:rPr>
              <w:t>6</w:t>
            </w:r>
          </w:p>
        </w:tc>
        <w:tc>
          <w:tcPr>
            <w:tcW w:w="1004" w:type="pct"/>
            <w:vAlign w:val="center"/>
          </w:tcPr>
          <w:p w14:paraId="3C5BADDD" w14:textId="77777777" w:rsidR="00D87DD0" w:rsidRPr="00537118" w:rsidRDefault="00D87DD0" w:rsidP="002C190B">
            <w:pPr>
              <w:spacing w:line="276" w:lineRule="auto"/>
              <w:jc w:val="center"/>
              <w:rPr>
                <w:rFonts w:ascii="Garamond" w:hAnsi="Garamond"/>
              </w:rPr>
            </w:pPr>
            <w:r w:rsidRPr="00537118">
              <w:rPr>
                <w:rFonts w:ascii="Garamond" w:hAnsi="Garamond"/>
              </w:rPr>
              <w:t>Chile</w:t>
            </w:r>
          </w:p>
          <w:p w14:paraId="2429CF2E" w14:textId="77777777" w:rsidR="00D87DD0" w:rsidRPr="00537118" w:rsidRDefault="00D87DD0" w:rsidP="002C190B">
            <w:pPr>
              <w:spacing w:line="276" w:lineRule="auto"/>
              <w:jc w:val="center"/>
              <w:rPr>
                <w:rFonts w:ascii="Garamond" w:hAnsi="Garamond"/>
              </w:rPr>
            </w:pPr>
            <w:r w:rsidRPr="00537118">
              <w:rPr>
                <w:rFonts w:ascii="Garamond" w:hAnsi="Garamond"/>
              </w:rPr>
              <w:t>(0,589)</w:t>
            </w:r>
          </w:p>
        </w:tc>
        <w:tc>
          <w:tcPr>
            <w:tcW w:w="668" w:type="pct"/>
            <w:vAlign w:val="center"/>
          </w:tcPr>
          <w:p w14:paraId="72FDCDA8" w14:textId="77777777" w:rsidR="00D87DD0" w:rsidRPr="00537118" w:rsidRDefault="00D87DD0" w:rsidP="002C190B">
            <w:pPr>
              <w:spacing w:line="276" w:lineRule="auto"/>
              <w:jc w:val="center"/>
              <w:rPr>
                <w:rFonts w:ascii="Garamond" w:hAnsi="Garamond"/>
                <w:b/>
                <w:bCs/>
              </w:rPr>
            </w:pPr>
            <w:r w:rsidRPr="00537118">
              <w:rPr>
                <w:rFonts w:ascii="Garamond" w:hAnsi="Garamond"/>
                <w:b/>
                <w:bCs/>
              </w:rPr>
              <w:t>11</w:t>
            </w:r>
          </w:p>
        </w:tc>
        <w:tc>
          <w:tcPr>
            <w:tcW w:w="990" w:type="pct"/>
            <w:vAlign w:val="center"/>
          </w:tcPr>
          <w:p w14:paraId="0DC79DD8" w14:textId="77777777" w:rsidR="00D87DD0" w:rsidRPr="00537118" w:rsidRDefault="00D87DD0" w:rsidP="002C190B">
            <w:pPr>
              <w:spacing w:line="276" w:lineRule="auto"/>
              <w:jc w:val="center"/>
              <w:rPr>
                <w:rFonts w:ascii="Garamond" w:hAnsi="Garamond"/>
              </w:rPr>
            </w:pPr>
            <w:r w:rsidRPr="00537118">
              <w:rPr>
                <w:rFonts w:ascii="Garamond" w:hAnsi="Garamond"/>
              </w:rPr>
              <w:t>Brasil</w:t>
            </w:r>
          </w:p>
          <w:p w14:paraId="3DFF2C07" w14:textId="77777777" w:rsidR="00D87DD0" w:rsidRPr="00537118" w:rsidRDefault="00D87DD0" w:rsidP="002C190B">
            <w:pPr>
              <w:spacing w:line="276" w:lineRule="auto"/>
              <w:jc w:val="center"/>
              <w:rPr>
                <w:rFonts w:ascii="Garamond" w:hAnsi="Garamond"/>
              </w:rPr>
            </w:pPr>
            <w:r w:rsidRPr="00537118">
              <w:rPr>
                <w:rFonts w:ascii="Garamond" w:hAnsi="Garamond"/>
              </w:rPr>
              <w:t>(0,564)</w:t>
            </w:r>
          </w:p>
        </w:tc>
      </w:tr>
      <w:tr w:rsidR="009036A8" w:rsidRPr="00537118" w14:paraId="2CA533C5" w14:textId="77777777" w:rsidTr="00AD2A2E">
        <w:trPr>
          <w:trHeight w:val="850"/>
          <w:jc w:val="center"/>
        </w:trPr>
        <w:tc>
          <w:tcPr>
            <w:tcW w:w="667" w:type="pct"/>
            <w:vAlign w:val="center"/>
          </w:tcPr>
          <w:p w14:paraId="6549ADF3" w14:textId="77777777" w:rsidR="00D87DD0" w:rsidRPr="00537118" w:rsidRDefault="00D87DD0" w:rsidP="002C190B">
            <w:pPr>
              <w:spacing w:line="276" w:lineRule="auto"/>
              <w:jc w:val="center"/>
              <w:rPr>
                <w:rFonts w:ascii="Garamond" w:hAnsi="Garamond"/>
                <w:b/>
                <w:bCs/>
              </w:rPr>
            </w:pPr>
            <w:r w:rsidRPr="00537118">
              <w:rPr>
                <w:rFonts w:ascii="Garamond" w:hAnsi="Garamond"/>
                <w:b/>
                <w:bCs/>
              </w:rPr>
              <w:t>2</w:t>
            </w:r>
          </w:p>
        </w:tc>
        <w:tc>
          <w:tcPr>
            <w:tcW w:w="1003" w:type="pct"/>
            <w:vAlign w:val="center"/>
          </w:tcPr>
          <w:p w14:paraId="56A3408F" w14:textId="77777777" w:rsidR="00D87DD0" w:rsidRPr="00537118" w:rsidRDefault="00D87DD0" w:rsidP="002C190B">
            <w:pPr>
              <w:spacing w:line="276" w:lineRule="auto"/>
              <w:jc w:val="center"/>
              <w:rPr>
                <w:rFonts w:ascii="Garamond" w:hAnsi="Garamond"/>
              </w:rPr>
            </w:pPr>
            <w:r w:rsidRPr="00537118">
              <w:rPr>
                <w:rFonts w:ascii="Garamond" w:hAnsi="Garamond"/>
              </w:rPr>
              <w:t>Austrália</w:t>
            </w:r>
          </w:p>
          <w:p w14:paraId="4FF087DD" w14:textId="77777777" w:rsidR="00D87DD0" w:rsidRPr="00537118" w:rsidRDefault="00D87DD0" w:rsidP="002C190B">
            <w:pPr>
              <w:spacing w:line="276" w:lineRule="auto"/>
              <w:jc w:val="center"/>
              <w:rPr>
                <w:rFonts w:ascii="Garamond" w:hAnsi="Garamond"/>
              </w:rPr>
            </w:pPr>
            <w:r w:rsidRPr="00537118">
              <w:rPr>
                <w:rFonts w:ascii="Garamond" w:hAnsi="Garamond"/>
              </w:rPr>
              <w:t>(0,634)</w:t>
            </w:r>
          </w:p>
        </w:tc>
        <w:tc>
          <w:tcPr>
            <w:tcW w:w="668" w:type="pct"/>
            <w:vAlign w:val="center"/>
          </w:tcPr>
          <w:p w14:paraId="599901ED" w14:textId="77777777" w:rsidR="00D87DD0" w:rsidRPr="00537118" w:rsidRDefault="00D87DD0" w:rsidP="002C190B">
            <w:pPr>
              <w:spacing w:line="276" w:lineRule="auto"/>
              <w:jc w:val="center"/>
              <w:rPr>
                <w:rFonts w:ascii="Garamond" w:hAnsi="Garamond"/>
                <w:b/>
                <w:bCs/>
              </w:rPr>
            </w:pPr>
            <w:r w:rsidRPr="00537118">
              <w:rPr>
                <w:rFonts w:ascii="Garamond" w:hAnsi="Garamond"/>
                <w:b/>
                <w:bCs/>
              </w:rPr>
              <w:t>7</w:t>
            </w:r>
          </w:p>
        </w:tc>
        <w:tc>
          <w:tcPr>
            <w:tcW w:w="1004" w:type="pct"/>
            <w:vAlign w:val="center"/>
          </w:tcPr>
          <w:p w14:paraId="5DEBB65D" w14:textId="77777777" w:rsidR="00D87DD0" w:rsidRPr="00537118" w:rsidRDefault="00D87DD0" w:rsidP="002C190B">
            <w:pPr>
              <w:spacing w:line="276" w:lineRule="auto"/>
              <w:jc w:val="center"/>
              <w:rPr>
                <w:rFonts w:ascii="Garamond" w:hAnsi="Garamond"/>
              </w:rPr>
            </w:pPr>
            <w:r w:rsidRPr="00537118">
              <w:rPr>
                <w:rFonts w:ascii="Garamond" w:hAnsi="Garamond"/>
              </w:rPr>
              <w:t>Itália</w:t>
            </w:r>
          </w:p>
          <w:p w14:paraId="36C002C0" w14:textId="77777777" w:rsidR="00D87DD0" w:rsidRPr="00537118" w:rsidRDefault="00D87DD0" w:rsidP="002C190B">
            <w:pPr>
              <w:spacing w:line="276" w:lineRule="auto"/>
              <w:jc w:val="center"/>
              <w:rPr>
                <w:rFonts w:ascii="Garamond" w:hAnsi="Garamond"/>
              </w:rPr>
            </w:pPr>
            <w:r w:rsidRPr="00537118">
              <w:rPr>
                <w:rFonts w:ascii="Garamond" w:hAnsi="Garamond"/>
              </w:rPr>
              <w:t>(0,575)</w:t>
            </w:r>
          </w:p>
        </w:tc>
        <w:tc>
          <w:tcPr>
            <w:tcW w:w="668" w:type="pct"/>
            <w:vAlign w:val="center"/>
          </w:tcPr>
          <w:p w14:paraId="7F3647FA" w14:textId="77777777" w:rsidR="00D87DD0" w:rsidRPr="00537118" w:rsidRDefault="00D87DD0" w:rsidP="002C190B">
            <w:pPr>
              <w:spacing w:line="276" w:lineRule="auto"/>
              <w:jc w:val="center"/>
              <w:rPr>
                <w:rFonts w:ascii="Garamond" w:hAnsi="Garamond"/>
                <w:b/>
                <w:bCs/>
              </w:rPr>
            </w:pPr>
            <w:r w:rsidRPr="00537118">
              <w:rPr>
                <w:rFonts w:ascii="Garamond" w:hAnsi="Garamond"/>
                <w:b/>
                <w:bCs/>
              </w:rPr>
              <w:t>12</w:t>
            </w:r>
          </w:p>
        </w:tc>
        <w:tc>
          <w:tcPr>
            <w:tcW w:w="990" w:type="pct"/>
            <w:vAlign w:val="center"/>
          </w:tcPr>
          <w:p w14:paraId="607445EB" w14:textId="77777777" w:rsidR="00D87DD0" w:rsidRPr="00537118" w:rsidRDefault="00D87DD0" w:rsidP="002C190B">
            <w:pPr>
              <w:spacing w:line="276" w:lineRule="auto"/>
              <w:jc w:val="center"/>
              <w:rPr>
                <w:rFonts w:ascii="Garamond" w:hAnsi="Garamond"/>
              </w:rPr>
            </w:pPr>
            <w:r w:rsidRPr="00537118">
              <w:rPr>
                <w:rFonts w:ascii="Garamond" w:hAnsi="Garamond"/>
              </w:rPr>
              <w:t>Namíbia</w:t>
            </w:r>
          </w:p>
          <w:p w14:paraId="67AB2B33" w14:textId="77777777" w:rsidR="00D87DD0" w:rsidRPr="00537118" w:rsidRDefault="00D87DD0" w:rsidP="002C190B">
            <w:pPr>
              <w:spacing w:line="276" w:lineRule="auto"/>
              <w:jc w:val="center"/>
              <w:rPr>
                <w:rFonts w:ascii="Garamond" w:hAnsi="Garamond"/>
              </w:rPr>
            </w:pPr>
            <w:r w:rsidRPr="00537118">
              <w:rPr>
                <w:rFonts w:ascii="Garamond" w:hAnsi="Garamond"/>
              </w:rPr>
              <w:t>(0,556)</w:t>
            </w:r>
          </w:p>
        </w:tc>
      </w:tr>
      <w:tr w:rsidR="009036A8" w:rsidRPr="00537118" w14:paraId="5205853A" w14:textId="77777777" w:rsidTr="00AD2A2E">
        <w:trPr>
          <w:trHeight w:val="850"/>
          <w:jc w:val="center"/>
        </w:trPr>
        <w:tc>
          <w:tcPr>
            <w:tcW w:w="667" w:type="pct"/>
            <w:vAlign w:val="center"/>
          </w:tcPr>
          <w:p w14:paraId="58BFEA27" w14:textId="77777777" w:rsidR="00D87DD0" w:rsidRPr="00537118" w:rsidRDefault="00D87DD0" w:rsidP="002C190B">
            <w:pPr>
              <w:spacing w:line="276" w:lineRule="auto"/>
              <w:jc w:val="center"/>
              <w:rPr>
                <w:rFonts w:ascii="Garamond" w:hAnsi="Garamond"/>
                <w:b/>
                <w:bCs/>
              </w:rPr>
            </w:pPr>
            <w:r w:rsidRPr="00537118">
              <w:rPr>
                <w:rFonts w:ascii="Garamond" w:hAnsi="Garamond"/>
                <w:b/>
                <w:bCs/>
              </w:rPr>
              <w:t>3</w:t>
            </w:r>
          </w:p>
        </w:tc>
        <w:tc>
          <w:tcPr>
            <w:tcW w:w="1003" w:type="pct"/>
            <w:vAlign w:val="center"/>
          </w:tcPr>
          <w:p w14:paraId="5586AEFC" w14:textId="77777777" w:rsidR="00D87DD0" w:rsidRPr="00537118" w:rsidRDefault="00D87DD0" w:rsidP="002C190B">
            <w:pPr>
              <w:spacing w:line="276" w:lineRule="auto"/>
              <w:jc w:val="center"/>
              <w:rPr>
                <w:rFonts w:ascii="Garamond" w:hAnsi="Garamond"/>
              </w:rPr>
            </w:pPr>
            <w:r w:rsidRPr="00537118">
              <w:rPr>
                <w:rFonts w:ascii="Garamond" w:hAnsi="Garamond"/>
              </w:rPr>
              <w:t>Estados Unidos</w:t>
            </w:r>
          </w:p>
          <w:p w14:paraId="2AF3EB11" w14:textId="77777777" w:rsidR="00D87DD0" w:rsidRPr="00537118" w:rsidRDefault="00D87DD0" w:rsidP="002C190B">
            <w:pPr>
              <w:spacing w:line="276" w:lineRule="auto"/>
              <w:jc w:val="center"/>
              <w:rPr>
                <w:rFonts w:ascii="Garamond" w:hAnsi="Garamond"/>
              </w:rPr>
            </w:pPr>
            <w:r w:rsidRPr="00537118">
              <w:rPr>
                <w:rFonts w:ascii="Garamond" w:hAnsi="Garamond"/>
              </w:rPr>
              <w:t>(0,630)</w:t>
            </w:r>
          </w:p>
        </w:tc>
        <w:tc>
          <w:tcPr>
            <w:tcW w:w="668" w:type="pct"/>
            <w:vAlign w:val="center"/>
          </w:tcPr>
          <w:p w14:paraId="6A8DA5C4" w14:textId="77777777" w:rsidR="00D87DD0" w:rsidRPr="00537118" w:rsidRDefault="00D87DD0" w:rsidP="002C190B">
            <w:pPr>
              <w:spacing w:line="276" w:lineRule="auto"/>
              <w:jc w:val="center"/>
              <w:rPr>
                <w:rFonts w:ascii="Garamond" w:hAnsi="Garamond"/>
                <w:b/>
                <w:bCs/>
              </w:rPr>
            </w:pPr>
            <w:r w:rsidRPr="00537118">
              <w:rPr>
                <w:rFonts w:ascii="Garamond" w:hAnsi="Garamond"/>
                <w:b/>
                <w:bCs/>
              </w:rPr>
              <w:t>8</w:t>
            </w:r>
          </w:p>
        </w:tc>
        <w:tc>
          <w:tcPr>
            <w:tcW w:w="1004" w:type="pct"/>
            <w:vAlign w:val="center"/>
          </w:tcPr>
          <w:p w14:paraId="571D520E" w14:textId="77777777" w:rsidR="00D87DD0" w:rsidRPr="00537118" w:rsidRDefault="00D87DD0" w:rsidP="002C190B">
            <w:pPr>
              <w:spacing w:line="276" w:lineRule="auto"/>
              <w:jc w:val="center"/>
              <w:rPr>
                <w:rFonts w:ascii="Garamond" w:hAnsi="Garamond"/>
              </w:rPr>
            </w:pPr>
            <w:r w:rsidRPr="00537118">
              <w:rPr>
                <w:rFonts w:ascii="Garamond" w:hAnsi="Garamond"/>
              </w:rPr>
              <w:t>Japão</w:t>
            </w:r>
          </w:p>
          <w:p w14:paraId="1AE1B49C" w14:textId="77777777" w:rsidR="00D87DD0" w:rsidRPr="00537118" w:rsidRDefault="00D87DD0" w:rsidP="002C190B">
            <w:pPr>
              <w:spacing w:line="276" w:lineRule="auto"/>
              <w:jc w:val="center"/>
              <w:rPr>
                <w:rFonts w:ascii="Garamond" w:hAnsi="Garamond"/>
              </w:rPr>
            </w:pPr>
            <w:r w:rsidRPr="00537118">
              <w:rPr>
                <w:rFonts w:ascii="Garamond" w:hAnsi="Garamond"/>
              </w:rPr>
              <w:t>(0,574)</w:t>
            </w:r>
          </w:p>
        </w:tc>
        <w:tc>
          <w:tcPr>
            <w:tcW w:w="668" w:type="pct"/>
            <w:vAlign w:val="center"/>
          </w:tcPr>
          <w:p w14:paraId="5FDA9020" w14:textId="77777777" w:rsidR="00D87DD0" w:rsidRPr="00537118" w:rsidRDefault="00D87DD0" w:rsidP="002C190B">
            <w:pPr>
              <w:spacing w:line="276" w:lineRule="auto"/>
              <w:jc w:val="center"/>
              <w:rPr>
                <w:rFonts w:ascii="Garamond" w:hAnsi="Garamond"/>
                <w:b/>
                <w:bCs/>
              </w:rPr>
            </w:pPr>
            <w:r w:rsidRPr="00537118">
              <w:rPr>
                <w:rFonts w:ascii="Garamond" w:hAnsi="Garamond"/>
                <w:b/>
                <w:bCs/>
              </w:rPr>
              <w:t>13</w:t>
            </w:r>
          </w:p>
        </w:tc>
        <w:tc>
          <w:tcPr>
            <w:tcW w:w="990" w:type="pct"/>
            <w:vAlign w:val="center"/>
          </w:tcPr>
          <w:p w14:paraId="5ED7F217" w14:textId="77777777" w:rsidR="00D87DD0" w:rsidRPr="00537118" w:rsidRDefault="00D87DD0" w:rsidP="002C190B">
            <w:pPr>
              <w:spacing w:line="276" w:lineRule="auto"/>
              <w:jc w:val="center"/>
              <w:rPr>
                <w:rFonts w:ascii="Garamond" w:hAnsi="Garamond"/>
              </w:rPr>
            </w:pPr>
            <w:r w:rsidRPr="00537118">
              <w:rPr>
                <w:rFonts w:ascii="Garamond" w:hAnsi="Garamond"/>
              </w:rPr>
              <w:t>Reino Unido</w:t>
            </w:r>
          </w:p>
          <w:p w14:paraId="1D6F4DB9" w14:textId="77777777" w:rsidR="00D87DD0" w:rsidRPr="00537118" w:rsidRDefault="00D87DD0" w:rsidP="002C190B">
            <w:pPr>
              <w:spacing w:line="276" w:lineRule="auto"/>
              <w:jc w:val="center"/>
              <w:rPr>
                <w:rFonts w:ascii="Garamond" w:hAnsi="Garamond"/>
              </w:rPr>
            </w:pPr>
            <w:r w:rsidRPr="00537118">
              <w:rPr>
                <w:rFonts w:ascii="Garamond" w:hAnsi="Garamond"/>
              </w:rPr>
              <w:t>(0,552)</w:t>
            </w:r>
          </w:p>
        </w:tc>
      </w:tr>
      <w:tr w:rsidR="009036A8" w:rsidRPr="00537118" w14:paraId="10B87C34" w14:textId="77777777" w:rsidTr="00AD2A2E">
        <w:trPr>
          <w:trHeight w:val="850"/>
          <w:jc w:val="center"/>
        </w:trPr>
        <w:tc>
          <w:tcPr>
            <w:tcW w:w="667" w:type="pct"/>
            <w:vAlign w:val="center"/>
          </w:tcPr>
          <w:p w14:paraId="38D4E5CD" w14:textId="77777777" w:rsidR="00D87DD0" w:rsidRPr="00537118" w:rsidRDefault="00D87DD0" w:rsidP="002C190B">
            <w:pPr>
              <w:spacing w:line="276" w:lineRule="auto"/>
              <w:jc w:val="center"/>
              <w:rPr>
                <w:rFonts w:ascii="Garamond" w:hAnsi="Garamond"/>
                <w:b/>
                <w:bCs/>
              </w:rPr>
            </w:pPr>
            <w:r w:rsidRPr="00537118">
              <w:rPr>
                <w:rFonts w:ascii="Garamond" w:hAnsi="Garamond"/>
                <w:b/>
                <w:bCs/>
              </w:rPr>
              <w:t>4</w:t>
            </w:r>
          </w:p>
        </w:tc>
        <w:tc>
          <w:tcPr>
            <w:tcW w:w="1003" w:type="pct"/>
            <w:vAlign w:val="center"/>
          </w:tcPr>
          <w:p w14:paraId="5A80BA3E" w14:textId="77777777" w:rsidR="00D87DD0" w:rsidRPr="00537118" w:rsidRDefault="00D87DD0" w:rsidP="002C190B">
            <w:pPr>
              <w:spacing w:line="276" w:lineRule="auto"/>
              <w:jc w:val="center"/>
              <w:rPr>
                <w:rFonts w:ascii="Garamond" w:hAnsi="Garamond"/>
              </w:rPr>
            </w:pPr>
            <w:r w:rsidRPr="00537118">
              <w:rPr>
                <w:rFonts w:ascii="Garamond" w:hAnsi="Garamond"/>
              </w:rPr>
              <w:t>Espanha</w:t>
            </w:r>
          </w:p>
          <w:p w14:paraId="1775D563" w14:textId="77777777" w:rsidR="00D87DD0" w:rsidRPr="00537118" w:rsidRDefault="00D87DD0" w:rsidP="002C190B">
            <w:pPr>
              <w:spacing w:line="276" w:lineRule="auto"/>
              <w:jc w:val="center"/>
              <w:rPr>
                <w:rFonts w:ascii="Garamond" w:hAnsi="Garamond"/>
              </w:rPr>
            </w:pPr>
            <w:r w:rsidRPr="00537118">
              <w:rPr>
                <w:rFonts w:ascii="Garamond" w:hAnsi="Garamond"/>
              </w:rPr>
              <w:t>(0,620)</w:t>
            </w:r>
          </w:p>
        </w:tc>
        <w:tc>
          <w:tcPr>
            <w:tcW w:w="668" w:type="pct"/>
            <w:vAlign w:val="center"/>
          </w:tcPr>
          <w:p w14:paraId="1E87E9EB" w14:textId="77777777" w:rsidR="00D87DD0" w:rsidRPr="00537118" w:rsidRDefault="00D87DD0" w:rsidP="002C190B">
            <w:pPr>
              <w:spacing w:line="276" w:lineRule="auto"/>
              <w:jc w:val="center"/>
              <w:rPr>
                <w:rFonts w:ascii="Garamond" w:hAnsi="Garamond"/>
                <w:b/>
                <w:bCs/>
              </w:rPr>
            </w:pPr>
            <w:r w:rsidRPr="00537118">
              <w:rPr>
                <w:rFonts w:ascii="Garamond" w:hAnsi="Garamond"/>
                <w:b/>
                <w:bCs/>
              </w:rPr>
              <w:t>9</w:t>
            </w:r>
          </w:p>
        </w:tc>
        <w:tc>
          <w:tcPr>
            <w:tcW w:w="1004" w:type="pct"/>
            <w:vAlign w:val="center"/>
          </w:tcPr>
          <w:p w14:paraId="5F25A3A0" w14:textId="77777777" w:rsidR="00D87DD0" w:rsidRPr="00537118" w:rsidRDefault="00D87DD0" w:rsidP="002C190B">
            <w:pPr>
              <w:spacing w:line="276" w:lineRule="auto"/>
              <w:jc w:val="center"/>
              <w:rPr>
                <w:rFonts w:ascii="Garamond" w:hAnsi="Garamond"/>
              </w:rPr>
            </w:pPr>
            <w:r w:rsidRPr="00537118">
              <w:rPr>
                <w:rFonts w:ascii="Garamond" w:hAnsi="Garamond"/>
              </w:rPr>
              <w:t>Líbia</w:t>
            </w:r>
          </w:p>
          <w:p w14:paraId="4203275D" w14:textId="77777777" w:rsidR="00D87DD0" w:rsidRPr="00537118" w:rsidRDefault="00D87DD0" w:rsidP="002C190B">
            <w:pPr>
              <w:spacing w:line="276" w:lineRule="auto"/>
              <w:jc w:val="center"/>
              <w:rPr>
                <w:rFonts w:ascii="Garamond" w:hAnsi="Garamond"/>
              </w:rPr>
            </w:pPr>
            <w:r w:rsidRPr="00537118">
              <w:rPr>
                <w:rFonts w:ascii="Garamond" w:hAnsi="Garamond"/>
              </w:rPr>
              <w:t>(0,572)</w:t>
            </w:r>
          </w:p>
        </w:tc>
        <w:tc>
          <w:tcPr>
            <w:tcW w:w="668" w:type="pct"/>
            <w:vAlign w:val="center"/>
          </w:tcPr>
          <w:p w14:paraId="0E09E664" w14:textId="77777777" w:rsidR="00D87DD0" w:rsidRPr="00537118" w:rsidRDefault="00D87DD0" w:rsidP="002C190B">
            <w:pPr>
              <w:spacing w:line="276" w:lineRule="auto"/>
              <w:jc w:val="center"/>
              <w:rPr>
                <w:rFonts w:ascii="Garamond" w:hAnsi="Garamond"/>
                <w:b/>
                <w:bCs/>
              </w:rPr>
            </w:pPr>
            <w:r w:rsidRPr="00537118">
              <w:rPr>
                <w:rFonts w:ascii="Garamond" w:hAnsi="Garamond"/>
                <w:b/>
                <w:bCs/>
              </w:rPr>
              <w:t>14</w:t>
            </w:r>
          </w:p>
        </w:tc>
        <w:tc>
          <w:tcPr>
            <w:tcW w:w="990" w:type="pct"/>
            <w:vAlign w:val="center"/>
          </w:tcPr>
          <w:p w14:paraId="2CD8485F" w14:textId="77777777" w:rsidR="00D87DD0" w:rsidRPr="00537118" w:rsidRDefault="00D87DD0" w:rsidP="002C190B">
            <w:pPr>
              <w:spacing w:line="276" w:lineRule="auto"/>
              <w:jc w:val="center"/>
              <w:rPr>
                <w:rFonts w:ascii="Garamond" w:hAnsi="Garamond"/>
              </w:rPr>
            </w:pPr>
            <w:r w:rsidRPr="00537118">
              <w:rPr>
                <w:rFonts w:ascii="Garamond" w:hAnsi="Garamond"/>
              </w:rPr>
              <w:t>Peru</w:t>
            </w:r>
          </w:p>
          <w:p w14:paraId="005D2747" w14:textId="77777777" w:rsidR="00D87DD0" w:rsidRPr="00537118" w:rsidRDefault="00D87DD0" w:rsidP="002C190B">
            <w:pPr>
              <w:spacing w:line="276" w:lineRule="auto"/>
              <w:jc w:val="center"/>
              <w:rPr>
                <w:rFonts w:ascii="Garamond" w:hAnsi="Garamond"/>
              </w:rPr>
            </w:pPr>
            <w:r w:rsidRPr="00537118">
              <w:rPr>
                <w:rFonts w:ascii="Garamond" w:hAnsi="Garamond"/>
              </w:rPr>
              <w:t>(0,541)</w:t>
            </w:r>
          </w:p>
        </w:tc>
      </w:tr>
      <w:tr w:rsidR="009036A8" w:rsidRPr="00537118" w14:paraId="3F0B5E6A" w14:textId="77777777" w:rsidTr="00AD2A2E">
        <w:trPr>
          <w:trHeight w:val="850"/>
          <w:jc w:val="center"/>
        </w:trPr>
        <w:tc>
          <w:tcPr>
            <w:tcW w:w="667" w:type="pct"/>
            <w:vAlign w:val="center"/>
          </w:tcPr>
          <w:p w14:paraId="10818D38" w14:textId="77777777" w:rsidR="00D87DD0" w:rsidRPr="00537118" w:rsidRDefault="00D87DD0" w:rsidP="002C190B">
            <w:pPr>
              <w:spacing w:line="276" w:lineRule="auto"/>
              <w:jc w:val="center"/>
              <w:rPr>
                <w:rFonts w:ascii="Garamond" w:hAnsi="Garamond"/>
                <w:b/>
                <w:bCs/>
              </w:rPr>
            </w:pPr>
            <w:r w:rsidRPr="00537118">
              <w:rPr>
                <w:rFonts w:ascii="Garamond" w:hAnsi="Garamond"/>
                <w:b/>
                <w:bCs/>
              </w:rPr>
              <w:t>5</w:t>
            </w:r>
          </w:p>
        </w:tc>
        <w:tc>
          <w:tcPr>
            <w:tcW w:w="1003" w:type="pct"/>
            <w:vAlign w:val="center"/>
          </w:tcPr>
          <w:p w14:paraId="55135346" w14:textId="77777777" w:rsidR="00D87DD0" w:rsidRPr="00537118" w:rsidRDefault="00D87DD0" w:rsidP="002C190B">
            <w:pPr>
              <w:spacing w:line="276" w:lineRule="auto"/>
              <w:jc w:val="center"/>
              <w:rPr>
                <w:rFonts w:ascii="Garamond" w:hAnsi="Garamond"/>
              </w:rPr>
            </w:pPr>
            <w:r w:rsidRPr="00537118">
              <w:rPr>
                <w:rFonts w:ascii="Garamond" w:hAnsi="Garamond"/>
              </w:rPr>
              <w:t>Alemanha</w:t>
            </w:r>
          </w:p>
          <w:p w14:paraId="616E7DB9" w14:textId="77777777" w:rsidR="00D87DD0" w:rsidRPr="00537118" w:rsidRDefault="00D87DD0" w:rsidP="002C190B">
            <w:pPr>
              <w:spacing w:line="276" w:lineRule="auto"/>
              <w:jc w:val="center"/>
              <w:rPr>
                <w:rFonts w:ascii="Garamond" w:hAnsi="Garamond"/>
              </w:rPr>
            </w:pPr>
            <w:r w:rsidRPr="00537118">
              <w:rPr>
                <w:rFonts w:ascii="Garamond" w:hAnsi="Garamond"/>
              </w:rPr>
              <w:t>(0,614)</w:t>
            </w:r>
          </w:p>
        </w:tc>
        <w:tc>
          <w:tcPr>
            <w:tcW w:w="668" w:type="pct"/>
            <w:vAlign w:val="center"/>
          </w:tcPr>
          <w:p w14:paraId="66DA17B1" w14:textId="77777777" w:rsidR="00D87DD0" w:rsidRPr="00537118" w:rsidRDefault="00D87DD0" w:rsidP="002C190B">
            <w:pPr>
              <w:spacing w:line="276" w:lineRule="auto"/>
              <w:jc w:val="center"/>
              <w:rPr>
                <w:rFonts w:ascii="Garamond" w:hAnsi="Garamond"/>
                <w:b/>
                <w:bCs/>
              </w:rPr>
            </w:pPr>
            <w:r w:rsidRPr="00537118">
              <w:rPr>
                <w:rFonts w:ascii="Garamond" w:hAnsi="Garamond"/>
                <w:b/>
                <w:bCs/>
              </w:rPr>
              <w:t>10</w:t>
            </w:r>
          </w:p>
        </w:tc>
        <w:tc>
          <w:tcPr>
            <w:tcW w:w="1004" w:type="pct"/>
            <w:vAlign w:val="center"/>
          </w:tcPr>
          <w:p w14:paraId="57CBDA4F" w14:textId="77777777" w:rsidR="00D87DD0" w:rsidRPr="00537118" w:rsidRDefault="00D87DD0" w:rsidP="002C190B">
            <w:pPr>
              <w:spacing w:line="276" w:lineRule="auto"/>
              <w:jc w:val="center"/>
              <w:rPr>
                <w:rFonts w:ascii="Garamond" w:hAnsi="Garamond"/>
              </w:rPr>
            </w:pPr>
            <w:r w:rsidRPr="00537118">
              <w:rPr>
                <w:rFonts w:ascii="Garamond" w:hAnsi="Garamond"/>
              </w:rPr>
              <w:t>França</w:t>
            </w:r>
          </w:p>
          <w:p w14:paraId="4282EFF3" w14:textId="77777777" w:rsidR="00D87DD0" w:rsidRPr="00537118" w:rsidRDefault="00D87DD0" w:rsidP="002C190B">
            <w:pPr>
              <w:spacing w:line="276" w:lineRule="auto"/>
              <w:jc w:val="center"/>
              <w:rPr>
                <w:rFonts w:ascii="Garamond" w:hAnsi="Garamond"/>
              </w:rPr>
            </w:pPr>
            <w:r w:rsidRPr="00537118">
              <w:rPr>
                <w:rFonts w:ascii="Garamond" w:hAnsi="Garamond"/>
              </w:rPr>
              <w:t>(0,571)</w:t>
            </w:r>
          </w:p>
        </w:tc>
        <w:tc>
          <w:tcPr>
            <w:tcW w:w="668" w:type="pct"/>
            <w:vAlign w:val="center"/>
          </w:tcPr>
          <w:p w14:paraId="343C22A8" w14:textId="77777777" w:rsidR="00D87DD0" w:rsidRPr="00537118" w:rsidRDefault="00D87DD0" w:rsidP="002C190B">
            <w:pPr>
              <w:spacing w:line="276" w:lineRule="auto"/>
              <w:jc w:val="center"/>
              <w:rPr>
                <w:rFonts w:ascii="Garamond" w:hAnsi="Garamond"/>
                <w:b/>
                <w:bCs/>
              </w:rPr>
            </w:pPr>
            <w:r w:rsidRPr="00537118">
              <w:rPr>
                <w:rFonts w:ascii="Garamond" w:hAnsi="Garamond"/>
                <w:b/>
                <w:bCs/>
              </w:rPr>
              <w:t>15</w:t>
            </w:r>
          </w:p>
        </w:tc>
        <w:tc>
          <w:tcPr>
            <w:tcW w:w="990" w:type="pct"/>
            <w:vAlign w:val="center"/>
          </w:tcPr>
          <w:p w14:paraId="020A57A8" w14:textId="77777777" w:rsidR="00D87DD0" w:rsidRPr="00537118" w:rsidRDefault="00D87DD0" w:rsidP="002C190B">
            <w:pPr>
              <w:spacing w:line="276" w:lineRule="auto"/>
              <w:jc w:val="center"/>
              <w:rPr>
                <w:rFonts w:ascii="Garamond" w:hAnsi="Garamond"/>
              </w:rPr>
            </w:pPr>
            <w:r w:rsidRPr="00537118">
              <w:rPr>
                <w:rFonts w:ascii="Garamond" w:hAnsi="Garamond"/>
              </w:rPr>
              <w:t>Países Baixos</w:t>
            </w:r>
          </w:p>
          <w:p w14:paraId="61D18C97" w14:textId="77777777" w:rsidR="00D87DD0" w:rsidRPr="00537118" w:rsidRDefault="00D87DD0" w:rsidP="002C190B">
            <w:pPr>
              <w:spacing w:line="276" w:lineRule="auto"/>
              <w:jc w:val="center"/>
              <w:rPr>
                <w:rFonts w:ascii="Garamond" w:hAnsi="Garamond"/>
              </w:rPr>
            </w:pPr>
            <w:r w:rsidRPr="00537118">
              <w:rPr>
                <w:rFonts w:ascii="Garamond" w:hAnsi="Garamond"/>
              </w:rPr>
              <w:t>(0,541)</w:t>
            </w:r>
          </w:p>
        </w:tc>
      </w:tr>
    </w:tbl>
    <w:p w14:paraId="4307F067" w14:textId="77777777" w:rsidR="00281185" w:rsidRPr="00537118" w:rsidRDefault="00281185" w:rsidP="00D87DD0">
      <w:pPr>
        <w:spacing w:line="360" w:lineRule="auto"/>
        <w:jc w:val="both"/>
        <w:rPr>
          <w:rFonts w:ascii="Garamond" w:hAnsi="Garamond"/>
          <w:b/>
          <w:bCs/>
          <w:sz w:val="24"/>
          <w:szCs w:val="24"/>
        </w:rPr>
      </w:pPr>
    </w:p>
    <w:p w14:paraId="3F521BAB" w14:textId="09134342" w:rsidR="00D87DD0" w:rsidRPr="00537118" w:rsidRDefault="00D87DD0" w:rsidP="00D87DD0">
      <w:pPr>
        <w:spacing w:line="360" w:lineRule="auto"/>
        <w:jc w:val="both"/>
        <w:rPr>
          <w:rFonts w:ascii="Garamond" w:hAnsi="Garamond"/>
          <w:b/>
          <w:bCs/>
          <w:sz w:val="24"/>
          <w:szCs w:val="24"/>
        </w:rPr>
      </w:pPr>
      <w:r w:rsidRPr="00537118">
        <w:rPr>
          <w:rFonts w:ascii="Garamond" w:hAnsi="Garamond"/>
          <w:b/>
          <w:bCs/>
          <w:sz w:val="24"/>
          <w:szCs w:val="24"/>
        </w:rPr>
        <w:t xml:space="preserve">Segunda triagem </w:t>
      </w:r>
    </w:p>
    <w:p w14:paraId="4BFC3E65" w14:textId="77777777" w:rsidR="00D87DD0" w:rsidRPr="00537118" w:rsidRDefault="00D87DD0" w:rsidP="00D87DD0">
      <w:pPr>
        <w:spacing w:line="360" w:lineRule="auto"/>
        <w:jc w:val="both"/>
        <w:rPr>
          <w:rFonts w:ascii="Garamond" w:hAnsi="Garamond"/>
          <w:sz w:val="24"/>
          <w:szCs w:val="24"/>
        </w:rPr>
      </w:pPr>
      <w:r w:rsidRPr="00537118">
        <w:rPr>
          <w:rFonts w:ascii="Garamond" w:hAnsi="Garamond"/>
          <w:sz w:val="24"/>
          <w:szCs w:val="24"/>
        </w:rPr>
        <w:t xml:space="preserve">De facto, nesta etapa, procedeu-se à aplicação de mais uma camada de indicadores, incluindo aqueles utilizados na fase anterior, tendo estes sofrido alguma alteração no seu peso relativo. </w:t>
      </w:r>
    </w:p>
    <w:p w14:paraId="26F28947" w14:textId="1E8872A0" w:rsidR="00D87DD0" w:rsidRPr="00537118" w:rsidRDefault="00D87DD0" w:rsidP="00D87DD0">
      <w:pPr>
        <w:spacing w:line="360" w:lineRule="auto"/>
        <w:jc w:val="both"/>
        <w:rPr>
          <w:rFonts w:ascii="Garamond" w:hAnsi="Garamond"/>
          <w:sz w:val="24"/>
          <w:szCs w:val="24"/>
        </w:rPr>
      </w:pPr>
      <w:r w:rsidRPr="00537118">
        <w:rPr>
          <w:rFonts w:ascii="Garamond" w:hAnsi="Garamond"/>
          <w:sz w:val="24"/>
          <w:szCs w:val="24"/>
        </w:rPr>
        <w:t>Quanto a estes primeiros (a capacidade elétrica solar, o PVOUT e o EPI), o seu peso diminuiu para 10%, 15% e 30%, respetivamente. Foram ainda incluídos mais três indicadores: o World Risk Index, o preço da eletricidade e o consumo de energia</w:t>
      </w:r>
      <w:r w:rsidR="00216739" w:rsidRPr="00537118">
        <w:rPr>
          <w:rFonts w:ascii="Garamond" w:hAnsi="Garamond"/>
          <w:sz w:val="24"/>
          <w:szCs w:val="24"/>
        </w:rPr>
        <w:t xml:space="preserve"> (os dados relativos </w:t>
      </w:r>
      <w:r w:rsidR="00AC310C" w:rsidRPr="00537118">
        <w:rPr>
          <w:rFonts w:ascii="Garamond" w:hAnsi="Garamond"/>
          <w:sz w:val="24"/>
          <w:szCs w:val="24"/>
        </w:rPr>
        <w:t>a</w:t>
      </w:r>
      <w:r w:rsidR="00451A31" w:rsidRPr="00537118">
        <w:rPr>
          <w:rFonts w:ascii="Garamond" w:hAnsi="Garamond"/>
          <w:sz w:val="24"/>
          <w:szCs w:val="24"/>
        </w:rPr>
        <w:t>os dois prime</w:t>
      </w:r>
      <w:r w:rsidR="009B7286" w:rsidRPr="00537118">
        <w:rPr>
          <w:rFonts w:ascii="Garamond" w:hAnsi="Garamond"/>
          <w:sz w:val="24"/>
          <w:szCs w:val="24"/>
        </w:rPr>
        <w:t xml:space="preserve">iros </w:t>
      </w:r>
      <w:r w:rsidR="009B7286" w:rsidRPr="00537118">
        <w:rPr>
          <w:rFonts w:ascii="Garamond" w:hAnsi="Garamond"/>
          <w:sz w:val="24"/>
          <w:szCs w:val="24"/>
        </w:rPr>
        <w:lastRenderedPageBreak/>
        <w:t>indicadores</w:t>
      </w:r>
      <w:r w:rsidR="00AC310C" w:rsidRPr="00537118">
        <w:rPr>
          <w:rFonts w:ascii="Garamond" w:hAnsi="Garamond"/>
          <w:sz w:val="24"/>
          <w:szCs w:val="24"/>
        </w:rPr>
        <w:t xml:space="preserve"> encontram-se </w:t>
      </w:r>
      <w:r w:rsidR="00DF21D6" w:rsidRPr="00537118">
        <w:rPr>
          <w:rFonts w:ascii="Garamond" w:hAnsi="Garamond"/>
          <w:sz w:val="24"/>
          <w:szCs w:val="24"/>
        </w:rPr>
        <w:t xml:space="preserve">discriminados </w:t>
      </w:r>
      <w:r w:rsidR="00B57951" w:rsidRPr="00537118">
        <w:rPr>
          <w:rFonts w:ascii="Garamond" w:hAnsi="Garamond"/>
          <w:sz w:val="24"/>
          <w:szCs w:val="24"/>
        </w:rPr>
        <w:t>nas tabelas A</w:t>
      </w:r>
      <w:r w:rsidR="00010BA8">
        <w:rPr>
          <w:rFonts w:ascii="Garamond" w:hAnsi="Garamond"/>
          <w:sz w:val="24"/>
          <w:szCs w:val="24"/>
        </w:rPr>
        <w:t>.</w:t>
      </w:r>
      <w:r w:rsidR="00B57951" w:rsidRPr="00537118">
        <w:rPr>
          <w:rFonts w:ascii="Garamond" w:hAnsi="Garamond"/>
          <w:sz w:val="24"/>
          <w:szCs w:val="24"/>
        </w:rPr>
        <w:t>5</w:t>
      </w:r>
      <w:r w:rsidR="009B7286" w:rsidRPr="00537118">
        <w:rPr>
          <w:rFonts w:ascii="Garamond" w:hAnsi="Garamond"/>
          <w:sz w:val="24"/>
          <w:szCs w:val="24"/>
        </w:rPr>
        <w:t xml:space="preserve"> e A</w:t>
      </w:r>
      <w:r w:rsidR="00010BA8">
        <w:rPr>
          <w:rFonts w:ascii="Garamond" w:hAnsi="Garamond"/>
          <w:sz w:val="24"/>
          <w:szCs w:val="24"/>
        </w:rPr>
        <w:t>.</w:t>
      </w:r>
      <w:r w:rsidR="009B7286" w:rsidRPr="00537118">
        <w:rPr>
          <w:rFonts w:ascii="Garamond" w:hAnsi="Garamond"/>
          <w:sz w:val="24"/>
          <w:szCs w:val="24"/>
        </w:rPr>
        <w:t>6</w:t>
      </w:r>
      <w:r w:rsidR="00537118" w:rsidRPr="00537118">
        <w:rPr>
          <w:rFonts w:ascii="Garamond" w:hAnsi="Garamond"/>
          <w:sz w:val="24"/>
          <w:szCs w:val="24"/>
        </w:rPr>
        <w:t xml:space="preserve"> dos anexos</w:t>
      </w:r>
      <w:r w:rsidR="00725FC7" w:rsidRPr="00537118">
        <w:rPr>
          <w:rFonts w:ascii="Garamond" w:hAnsi="Garamond"/>
          <w:sz w:val="24"/>
          <w:szCs w:val="24"/>
        </w:rPr>
        <w:t>,</w:t>
      </w:r>
      <w:r w:rsidR="00B57951" w:rsidRPr="00537118">
        <w:rPr>
          <w:rFonts w:ascii="Garamond" w:hAnsi="Garamond"/>
          <w:sz w:val="24"/>
          <w:szCs w:val="24"/>
        </w:rPr>
        <w:t xml:space="preserve"> respetivamente</w:t>
      </w:r>
      <w:r w:rsidR="00725FC7" w:rsidRPr="00537118">
        <w:rPr>
          <w:rFonts w:ascii="Garamond" w:hAnsi="Garamond"/>
          <w:sz w:val="24"/>
          <w:szCs w:val="24"/>
        </w:rPr>
        <w:t>. As tabelas A</w:t>
      </w:r>
      <w:r w:rsidR="00010BA8">
        <w:rPr>
          <w:rFonts w:ascii="Garamond" w:hAnsi="Garamond"/>
          <w:sz w:val="24"/>
          <w:szCs w:val="24"/>
        </w:rPr>
        <w:t>.</w:t>
      </w:r>
      <w:r w:rsidR="00725FC7" w:rsidRPr="00537118">
        <w:rPr>
          <w:rFonts w:ascii="Garamond" w:hAnsi="Garamond"/>
          <w:sz w:val="24"/>
          <w:szCs w:val="24"/>
        </w:rPr>
        <w:t>7,</w:t>
      </w:r>
      <w:r w:rsidR="00191D67" w:rsidRPr="00537118">
        <w:rPr>
          <w:rFonts w:ascii="Garamond" w:hAnsi="Garamond"/>
          <w:sz w:val="24"/>
          <w:szCs w:val="24"/>
        </w:rPr>
        <w:t xml:space="preserve"> </w:t>
      </w:r>
      <w:r w:rsidR="00725FC7" w:rsidRPr="00537118">
        <w:rPr>
          <w:rFonts w:ascii="Garamond" w:hAnsi="Garamond"/>
          <w:sz w:val="24"/>
          <w:szCs w:val="24"/>
        </w:rPr>
        <w:t>A</w:t>
      </w:r>
      <w:r w:rsidR="00010BA8">
        <w:rPr>
          <w:rFonts w:ascii="Garamond" w:hAnsi="Garamond"/>
          <w:sz w:val="24"/>
          <w:szCs w:val="24"/>
        </w:rPr>
        <w:t>.</w:t>
      </w:r>
      <w:r w:rsidR="00725FC7" w:rsidRPr="00537118">
        <w:rPr>
          <w:rFonts w:ascii="Garamond" w:hAnsi="Garamond"/>
          <w:sz w:val="24"/>
          <w:szCs w:val="24"/>
        </w:rPr>
        <w:t>8 e A</w:t>
      </w:r>
      <w:r w:rsidR="00010BA8">
        <w:rPr>
          <w:rFonts w:ascii="Garamond" w:hAnsi="Garamond"/>
          <w:sz w:val="24"/>
          <w:szCs w:val="24"/>
        </w:rPr>
        <w:t>.</w:t>
      </w:r>
      <w:r w:rsidR="00725FC7" w:rsidRPr="00537118">
        <w:rPr>
          <w:rFonts w:ascii="Garamond" w:hAnsi="Garamond"/>
          <w:sz w:val="24"/>
          <w:szCs w:val="24"/>
        </w:rPr>
        <w:t>9</w:t>
      </w:r>
      <w:r w:rsidR="00537118" w:rsidRPr="00537118">
        <w:rPr>
          <w:rFonts w:ascii="Garamond" w:hAnsi="Garamond"/>
          <w:sz w:val="24"/>
          <w:szCs w:val="24"/>
        </w:rPr>
        <w:t xml:space="preserve"> evidenciam os dados para o consumo de energia).</w:t>
      </w:r>
    </w:p>
    <w:p w14:paraId="41892170" w14:textId="193300CC" w:rsidR="00D87DD0" w:rsidRPr="00537118" w:rsidRDefault="00D87DD0" w:rsidP="00D87DD0">
      <w:pPr>
        <w:spacing w:line="360" w:lineRule="auto"/>
        <w:jc w:val="both"/>
        <w:rPr>
          <w:rFonts w:ascii="Garamond" w:hAnsi="Garamond"/>
          <w:sz w:val="24"/>
          <w:szCs w:val="24"/>
        </w:rPr>
      </w:pPr>
      <w:r w:rsidRPr="00537118">
        <w:rPr>
          <w:rFonts w:ascii="Garamond" w:hAnsi="Garamond"/>
          <w:sz w:val="24"/>
          <w:szCs w:val="24"/>
        </w:rPr>
        <w:t>O primeiro destes três novos indicadores resulta de um índice apresentado anualmente no relatório de World Risk Report</w:t>
      </w:r>
      <w:r w:rsidR="00C231C8" w:rsidRPr="00537118">
        <w:rPr>
          <w:rFonts w:ascii="Garamond" w:hAnsi="Garamond"/>
          <w:sz w:val="24"/>
          <w:szCs w:val="24"/>
        </w:rPr>
        <w:t xml:space="preserve"> (2024)</w:t>
      </w:r>
      <w:r w:rsidRPr="00537118">
        <w:rPr>
          <w:rFonts w:ascii="Garamond" w:hAnsi="Garamond"/>
          <w:sz w:val="24"/>
          <w:szCs w:val="24"/>
        </w:rPr>
        <w:t>. Este avalia a probabilidade de um país ser afetado por acontecimentos naturais extremos, tendo em conta a dimensão da exposição e a vulnerabilidade da sociedade afetada. A relevância deste índice recai no facto de permitir valorizar o apuramento dos mercados mais suscetíveis a desastres naturais ou impactos climáticos adversos e que possam, na prática, ver-se comprometidos, podendo conduzir à instabilidade e desestabilização da rede elétrica ou, até, à sua total interrupção. Posto isto, os sistemas de armazenamento de energia com recurso a baterias destacam-se como soluções para salvaguardar a operacionalidade de certos equipamentos e aparelhos essências, tanto do ponto de vista de possibilitar o abastecimento dos dispositivos munidos de baterias (veículos elétricos, telemóveis e lanternas), como de permitir o funcionamento de portões elétricos, sistemas de aquecimento, máquinas sensíveis a flutuações elétricas, entre outras.</w:t>
      </w:r>
    </w:p>
    <w:p w14:paraId="44D4ABD1" w14:textId="77777777" w:rsidR="00D87DD0" w:rsidRPr="00537118" w:rsidRDefault="00D87DD0" w:rsidP="00D87DD0">
      <w:pPr>
        <w:spacing w:line="360" w:lineRule="auto"/>
        <w:jc w:val="both"/>
        <w:rPr>
          <w:rFonts w:ascii="Garamond" w:hAnsi="Garamond"/>
          <w:sz w:val="24"/>
          <w:szCs w:val="24"/>
        </w:rPr>
      </w:pPr>
      <w:r w:rsidRPr="00537118">
        <w:rPr>
          <w:rFonts w:ascii="Garamond" w:hAnsi="Garamond"/>
          <w:sz w:val="24"/>
          <w:szCs w:val="24"/>
        </w:rPr>
        <w:t xml:space="preserve">Assim, o peso atribuído é de 10%, um valor não demasiado elevado, visto que não seria prudente sobrevalorizar mercados, na expectativa de eventos naturais com efeitos variáveis e talvez muito esporádicos. Além disso, certos eventos climáticos podem afetar a carga das baterias (independentemente da fonte da energia) e até a sua danificação, pelo que, dependendo do desempenho e qualidade do produto, tal poderia vir a revelar-se um entrave à compra pelos consumidores. </w:t>
      </w:r>
    </w:p>
    <w:p w14:paraId="2DD03A82" w14:textId="77777777" w:rsidR="00D87DD0" w:rsidRPr="00537118" w:rsidRDefault="00D87DD0" w:rsidP="00D87DD0">
      <w:pPr>
        <w:spacing w:line="360" w:lineRule="auto"/>
        <w:jc w:val="both"/>
        <w:rPr>
          <w:rFonts w:ascii="Garamond" w:hAnsi="Garamond"/>
          <w:sz w:val="24"/>
          <w:szCs w:val="24"/>
        </w:rPr>
      </w:pPr>
      <w:r w:rsidRPr="00537118">
        <w:rPr>
          <w:rFonts w:ascii="Garamond" w:hAnsi="Garamond"/>
          <w:sz w:val="24"/>
          <w:szCs w:val="24"/>
        </w:rPr>
        <w:t xml:space="preserve">Imputou-se 25% de peso ao custo da eletricidade, em virtude de se tratar de um fator bastante pertinente relativamente ao recurso aos </w:t>
      </w:r>
      <w:r w:rsidRPr="00537118">
        <w:rPr>
          <w:rFonts w:ascii="Garamond" w:hAnsi="Garamond"/>
          <w:iCs/>
          <w:sz w:val="24"/>
          <w:szCs w:val="24"/>
        </w:rPr>
        <w:t>ESS</w:t>
      </w:r>
      <w:r w:rsidRPr="00537118">
        <w:rPr>
          <w:rFonts w:ascii="Garamond" w:hAnsi="Garamond"/>
          <w:i/>
          <w:iCs/>
          <w:sz w:val="24"/>
          <w:szCs w:val="24"/>
        </w:rPr>
        <w:t xml:space="preserve"> </w:t>
      </w:r>
      <w:r w:rsidRPr="00537118">
        <w:rPr>
          <w:rFonts w:ascii="Garamond" w:hAnsi="Garamond"/>
          <w:iCs/>
          <w:sz w:val="24"/>
          <w:szCs w:val="24"/>
        </w:rPr>
        <w:t>para armazenamento</w:t>
      </w:r>
      <w:r w:rsidRPr="00537118">
        <w:rPr>
          <w:rFonts w:ascii="Garamond" w:hAnsi="Garamond"/>
          <w:i/>
          <w:iCs/>
          <w:sz w:val="24"/>
          <w:szCs w:val="24"/>
        </w:rPr>
        <w:t>.</w:t>
      </w:r>
      <w:r w:rsidRPr="00537118">
        <w:rPr>
          <w:rFonts w:ascii="Garamond" w:hAnsi="Garamond"/>
          <w:sz w:val="24"/>
          <w:szCs w:val="24"/>
        </w:rPr>
        <w:t xml:space="preserve"> Por definição, uma das aplicações mais comuns do armazenamento de energia é a de poder abdicar-se da utilização da energia da rede nas horas pico, durante as quais o valor apresenta maiores custos a suportar pelo consumidor. Neste caso, o preço da eletricidade representa a média entre o custo da eletricidade para o consumidor doméstico e o custo para os estabelecimentos comerciais, por 1 kilowatt/hora. Este peso elevado tem em consideração a tendência global de eletrificação dos aparelhos e de utilização de energias renováveis para realizar o carregamento dos dispositivos, </w:t>
      </w:r>
      <w:r w:rsidRPr="00537118">
        <w:rPr>
          <w:rFonts w:ascii="Garamond" w:hAnsi="Garamond"/>
          <w:sz w:val="24"/>
          <w:szCs w:val="24"/>
        </w:rPr>
        <w:lastRenderedPageBreak/>
        <w:t>assim como sustentar a atividade das empresas, sendo necessário recorrer ao armazenamento do excedente para sustentar a descarbonização e minimizar custos recorrentes.</w:t>
      </w:r>
    </w:p>
    <w:p w14:paraId="28614EF1" w14:textId="77777777" w:rsidR="00D87DD0" w:rsidRPr="00537118" w:rsidRDefault="00D87DD0" w:rsidP="00D87DD0">
      <w:pPr>
        <w:spacing w:line="360" w:lineRule="auto"/>
        <w:jc w:val="both"/>
        <w:rPr>
          <w:rFonts w:ascii="Garamond" w:hAnsi="Garamond"/>
          <w:sz w:val="24"/>
          <w:szCs w:val="24"/>
        </w:rPr>
      </w:pPr>
      <w:r w:rsidRPr="00537118">
        <w:rPr>
          <w:rFonts w:ascii="Garamond" w:hAnsi="Garamond"/>
          <w:sz w:val="24"/>
          <w:szCs w:val="24"/>
        </w:rPr>
        <w:t xml:space="preserve">Finalmente, o consumo de energia perfaz os 10% restantes. Este indicador representa o crescimento médio por período do consumo de energia em terawatt/hora, por região. Devido à falta de informação fidedigna, procedeu-se à utilização do consumo energético histórico e previsto entre 2015 e 2050, por região. Apesar da importância de que este indicador se reveste - já que o aumento do consumo de energia (nomeadamente, renovável) invoca o aumento de sistemas de armazenamento - o peso atribuído limita-se a 10%, pela incapacidade de especificar, para cada país, o crescimento esperado, para além de não ser indubitável uma previsão com horizonte temporal até 2050 (em particular, nesta área, que se desenvolve de maneira célere quanto à tecnologia utilizada).  </w:t>
      </w:r>
    </w:p>
    <w:p w14:paraId="6CFC99E5" w14:textId="646B7278" w:rsidR="00DC10FE" w:rsidRPr="00537118" w:rsidRDefault="00D87DD0" w:rsidP="0088293C">
      <w:pPr>
        <w:spacing w:after="0" w:line="360" w:lineRule="auto"/>
        <w:jc w:val="both"/>
        <w:rPr>
          <w:rFonts w:ascii="Garamond" w:hAnsi="Garamond"/>
          <w:sz w:val="24"/>
          <w:szCs w:val="24"/>
        </w:rPr>
      </w:pPr>
      <w:r w:rsidRPr="00537118">
        <w:rPr>
          <w:rFonts w:ascii="Garamond" w:hAnsi="Garamond"/>
          <w:sz w:val="24"/>
          <w:szCs w:val="24"/>
        </w:rPr>
        <w:t>De um modo geral, a atribuição dos pesos nesta segunda triagem valoriza, sobretudo, os países que contribuem mais e se posicionam melhor em relação ao meio ambiente e causas associadas (</w:t>
      </w:r>
      <w:r w:rsidRPr="00537118">
        <w:rPr>
          <w:rFonts w:ascii="Garamond" w:hAnsi="Garamond"/>
          <w:i/>
          <w:iCs/>
          <w:sz w:val="24"/>
          <w:szCs w:val="24"/>
        </w:rPr>
        <w:t>Environmental Performance Index</w:t>
      </w:r>
      <w:r w:rsidRPr="00537118">
        <w:rPr>
          <w:rFonts w:ascii="Garamond" w:hAnsi="Garamond"/>
          <w:sz w:val="24"/>
          <w:szCs w:val="24"/>
        </w:rPr>
        <w:t xml:space="preserve"> = 30%). O motivo é que se trata dos países mais dispostos a envidar esforços e progredir rumo a tecnologias e soluções “verdes” – nomeadamente, os BESS. Paralelamente, os mercados cuja eletricidade seja mais custosa representam o segundo maior critério, nesta fase (25%), e, tal como descrito, o funcionamento dos sistemas de armazenamento permite suavizar o impacto do mesmo, tanto a nível doméstico como industrial. Finalmente, com menor peso, mas valorizados de maneira semelhante, surgem a possibilidade geográfica e ambiental de produzir energia fotovoltaica medida pelo PVOUT, a instalação de tecnologia capaz de o fazer (MW instalados), o risco de possíveis cortes na rede central e as necessidades energéticas.</w:t>
      </w:r>
    </w:p>
    <w:p w14:paraId="66F4DCED" w14:textId="72E25B09" w:rsidR="0083397F" w:rsidRPr="00AB1E2C" w:rsidRDefault="00771E2C" w:rsidP="0088293C">
      <w:pPr>
        <w:spacing w:after="0" w:line="360" w:lineRule="auto"/>
        <w:jc w:val="both"/>
        <w:rPr>
          <w:rFonts w:ascii="Garamond" w:hAnsi="Garamond"/>
          <w:sz w:val="24"/>
          <w:szCs w:val="24"/>
        </w:rPr>
      </w:pPr>
      <w:r w:rsidRPr="00537118">
        <w:rPr>
          <w:rFonts w:ascii="Garamond" w:hAnsi="Garamond"/>
          <w:sz w:val="24"/>
          <w:szCs w:val="24"/>
        </w:rPr>
        <w:t xml:space="preserve">Fruto da aplicação destes critérios, obtiveram-se os seguintes mercados: </w:t>
      </w:r>
    </w:p>
    <w:p w14:paraId="0F50E79F" w14:textId="0BFE7643" w:rsidR="00771E2C" w:rsidRPr="0083397F" w:rsidRDefault="0083397F" w:rsidP="0088293C">
      <w:pPr>
        <w:spacing w:after="0" w:line="360" w:lineRule="auto"/>
        <w:jc w:val="center"/>
        <w:rPr>
          <w:rFonts w:ascii="Garamond" w:hAnsi="Garamond"/>
          <w:b/>
          <w:bCs/>
        </w:rPr>
      </w:pPr>
      <w:r w:rsidRPr="00537118">
        <w:rPr>
          <w:rFonts w:ascii="Garamond" w:hAnsi="Garamond"/>
          <w:b/>
          <w:bCs/>
        </w:rPr>
        <w:t>Tabela 3. Segunda Triagem – Resultados</w:t>
      </w:r>
    </w:p>
    <w:tbl>
      <w:tblPr>
        <w:tblStyle w:val="TableGrid"/>
        <w:tblW w:w="4935" w:type="pct"/>
        <w:tblInd w:w="108" w:type="dxa"/>
        <w:tblLook w:val="04A0" w:firstRow="1" w:lastRow="0" w:firstColumn="1" w:lastColumn="0" w:noHBand="0" w:noVBand="1"/>
      </w:tblPr>
      <w:tblGrid>
        <w:gridCol w:w="1936"/>
        <w:gridCol w:w="2431"/>
        <w:gridCol w:w="1934"/>
        <w:gridCol w:w="2411"/>
      </w:tblGrid>
      <w:tr w:rsidR="00BA53F3" w:rsidRPr="00537118" w14:paraId="36AD1B7A" w14:textId="77777777" w:rsidTr="004A2534">
        <w:trPr>
          <w:trHeight w:val="170"/>
        </w:trPr>
        <w:tc>
          <w:tcPr>
            <w:tcW w:w="1111" w:type="pct"/>
            <w:vAlign w:val="center"/>
          </w:tcPr>
          <w:p w14:paraId="2E6BA4D6" w14:textId="77777777" w:rsidR="00771E2C" w:rsidRPr="00537118" w:rsidRDefault="00771E2C" w:rsidP="00BA53F3">
            <w:pPr>
              <w:spacing w:line="276" w:lineRule="auto"/>
              <w:jc w:val="center"/>
              <w:rPr>
                <w:rFonts w:ascii="Garamond" w:hAnsi="Garamond"/>
                <w:b/>
                <w:bCs/>
              </w:rPr>
            </w:pPr>
            <w:r w:rsidRPr="00537118">
              <w:rPr>
                <w:rFonts w:ascii="Garamond" w:hAnsi="Garamond"/>
                <w:b/>
                <w:bCs/>
              </w:rPr>
              <w:t>1</w:t>
            </w:r>
          </w:p>
        </w:tc>
        <w:tc>
          <w:tcPr>
            <w:tcW w:w="1395" w:type="pct"/>
            <w:vAlign w:val="center"/>
          </w:tcPr>
          <w:p w14:paraId="729F7324" w14:textId="77777777" w:rsidR="00771E2C" w:rsidRPr="00537118" w:rsidRDefault="00771E2C" w:rsidP="00BA53F3">
            <w:pPr>
              <w:spacing w:line="276" w:lineRule="auto"/>
              <w:jc w:val="center"/>
              <w:rPr>
                <w:rFonts w:ascii="Garamond" w:hAnsi="Garamond"/>
              </w:rPr>
            </w:pPr>
            <w:r w:rsidRPr="00537118">
              <w:rPr>
                <w:rFonts w:ascii="Garamond" w:hAnsi="Garamond"/>
              </w:rPr>
              <w:t xml:space="preserve">Reino Unido </w:t>
            </w:r>
          </w:p>
          <w:p w14:paraId="6A111E44" w14:textId="77777777" w:rsidR="00771E2C" w:rsidRPr="00537118" w:rsidRDefault="00771E2C" w:rsidP="00BA53F3">
            <w:pPr>
              <w:spacing w:line="276" w:lineRule="auto"/>
              <w:jc w:val="center"/>
              <w:rPr>
                <w:rFonts w:ascii="Garamond" w:hAnsi="Garamond"/>
              </w:rPr>
            </w:pPr>
            <w:r w:rsidRPr="00537118">
              <w:rPr>
                <w:rFonts w:ascii="Garamond" w:hAnsi="Garamond"/>
              </w:rPr>
              <w:t>(0,650)</w:t>
            </w:r>
          </w:p>
        </w:tc>
        <w:tc>
          <w:tcPr>
            <w:tcW w:w="1110" w:type="pct"/>
            <w:vAlign w:val="center"/>
          </w:tcPr>
          <w:p w14:paraId="2DC31003" w14:textId="77777777" w:rsidR="00771E2C" w:rsidRPr="00537118" w:rsidRDefault="00771E2C" w:rsidP="00BA53F3">
            <w:pPr>
              <w:spacing w:line="276" w:lineRule="auto"/>
              <w:jc w:val="center"/>
              <w:rPr>
                <w:rFonts w:ascii="Garamond" w:hAnsi="Garamond"/>
                <w:b/>
                <w:bCs/>
              </w:rPr>
            </w:pPr>
            <w:r w:rsidRPr="00537118">
              <w:rPr>
                <w:rFonts w:ascii="Garamond" w:hAnsi="Garamond"/>
                <w:b/>
                <w:bCs/>
              </w:rPr>
              <w:t>5</w:t>
            </w:r>
          </w:p>
        </w:tc>
        <w:tc>
          <w:tcPr>
            <w:tcW w:w="1384" w:type="pct"/>
            <w:vAlign w:val="center"/>
          </w:tcPr>
          <w:p w14:paraId="2F4A1FDA" w14:textId="77777777" w:rsidR="00771E2C" w:rsidRPr="00537118" w:rsidRDefault="00771E2C" w:rsidP="00BA53F3">
            <w:pPr>
              <w:spacing w:line="276" w:lineRule="auto"/>
              <w:jc w:val="center"/>
              <w:rPr>
                <w:rFonts w:ascii="Garamond" w:hAnsi="Garamond"/>
              </w:rPr>
            </w:pPr>
            <w:r w:rsidRPr="00537118">
              <w:rPr>
                <w:rFonts w:ascii="Garamond" w:hAnsi="Garamond"/>
              </w:rPr>
              <w:t xml:space="preserve">Itália </w:t>
            </w:r>
          </w:p>
          <w:p w14:paraId="49B4C317" w14:textId="77777777" w:rsidR="00771E2C" w:rsidRPr="00537118" w:rsidRDefault="00771E2C" w:rsidP="00BA53F3">
            <w:pPr>
              <w:spacing w:line="276" w:lineRule="auto"/>
              <w:jc w:val="center"/>
              <w:rPr>
                <w:rFonts w:ascii="Garamond" w:hAnsi="Garamond"/>
              </w:rPr>
            </w:pPr>
            <w:r w:rsidRPr="00537118">
              <w:rPr>
                <w:rFonts w:ascii="Garamond" w:hAnsi="Garamond"/>
              </w:rPr>
              <w:t>(0,624)</w:t>
            </w:r>
          </w:p>
        </w:tc>
      </w:tr>
      <w:tr w:rsidR="00BA53F3" w:rsidRPr="00537118" w14:paraId="393B321C" w14:textId="77777777" w:rsidTr="004A2534">
        <w:trPr>
          <w:trHeight w:val="170"/>
        </w:trPr>
        <w:tc>
          <w:tcPr>
            <w:tcW w:w="1111" w:type="pct"/>
            <w:vAlign w:val="center"/>
          </w:tcPr>
          <w:p w14:paraId="2A03F428" w14:textId="77777777" w:rsidR="00771E2C" w:rsidRPr="00537118" w:rsidRDefault="00771E2C" w:rsidP="00BA53F3">
            <w:pPr>
              <w:spacing w:line="276" w:lineRule="auto"/>
              <w:jc w:val="center"/>
              <w:rPr>
                <w:rFonts w:ascii="Garamond" w:hAnsi="Garamond"/>
                <w:b/>
                <w:bCs/>
              </w:rPr>
            </w:pPr>
            <w:r w:rsidRPr="00537118">
              <w:rPr>
                <w:rFonts w:ascii="Garamond" w:hAnsi="Garamond"/>
                <w:b/>
                <w:bCs/>
              </w:rPr>
              <w:t>2</w:t>
            </w:r>
          </w:p>
        </w:tc>
        <w:tc>
          <w:tcPr>
            <w:tcW w:w="1395" w:type="pct"/>
            <w:vAlign w:val="center"/>
          </w:tcPr>
          <w:p w14:paraId="74BA7E64" w14:textId="77777777" w:rsidR="00771E2C" w:rsidRPr="00537118" w:rsidRDefault="00771E2C" w:rsidP="00BA53F3">
            <w:pPr>
              <w:spacing w:line="276" w:lineRule="auto"/>
              <w:jc w:val="center"/>
              <w:rPr>
                <w:rFonts w:ascii="Garamond" w:hAnsi="Garamond"/>
              </w:rPr>
            </w:pPr>
            <w:r w:rsidRPr="00537118">
              <w:rPr>
                <w:rFonts w:ascii="Garamond" w:hAnsi="Garamond"/>
              </w:rPr>
              <w:t>Austrália</w:t>
            </w:r>
          </w:p>
          <w:p w14:paraId="318FB6B1" w14:textId="77777777" w:rsidR="00771E2C" w:rsidRPr="00537118" w:rsidRDefault="00771E2C" w:rsidP="00BA53F3">
            <w:pPr>
              <w:spacing w:line="276" w:lineRule="auto"/>
              <w:jc w:val="center"/>
              <w:rPr>
                <w:rFonts w:ascii="Garamond" w:hAnsi="Garamond"/>
              </w:rPr>
            </w:pPr>
            <w:r w:rsidRPr="00537118">
              <w:rPr>
                <w:rFonts w:ascii="Garamond" w:hAnsi="Garamond"/>
              </w:rPr>
              <w:t xml:space="preserve"> (0,641)</w:t>
            </w:r>
          </w:p>
        </w:tc>
        <w:tc>
          <w:tcPr>
            <w:tcW w:w="1110" w:type="pct"/>
            <w:tcBorders>
              <w:bottom w:val="single" w:sz="4" w:space="0" w:color="auto"/>
            </w:tcBorders>
            <w:vAlign w:val="center"/>
          </w:tcPr>
          <w:p w14:paraId="71608195" w14:textId="77777777" w:rsidR="00771E2C" w:rsidRPr="00537118" w:rsidRDefault="00771E2C" w:rsidP="00BA53F3">
            <w:pPr>
              <w:spacing w:line="276" w:lineRule="auto"/>
              <w:jc w:val="center"/>
              <w:rPr>
                <w:rFonts w:ascii="Garamond" w:hAnsi="Garamond"/>
                <w:b/>
                <w:bCs/>
              </w:rPr>
            </w:pPr>
            <w:r w:rsidRPr="00537118">
              <w:rPr>
                <w:rFonts w:ascii="Garamond" w:hAnsi="Garamond"/>
                <w:b/>
                <w:bCs/>
              </w:rPr>
              <w:t>6</w:t>
            </w:r>
          </w:p>
        </w:tc>
        <w:tc>
          <w:tcPr>
            <w:tcW w:w="1384" w:type="pct"/>
            <w:tcBorders>
              <w:bottom w:val="single" w:sz="4" w:space="0" w:color="auto"/>
            </w:tcBorders>
            <w:vAlign w:val="center"/>
          </w:tcPr>
          <w:p w14:paraId="3641F928" w14:textId="77777777" w:rsidR="00BA53F3" w:rsidRPr="00537118" w:rsidRDefault="00771E2C" w:rsidP="00BA53F3">
            <w:pPr>
              <w:spacing w:line="276" w:lineRule="auto"/>
              <w:jc w:val="center"/>
              <w:rPr>
                <w:rFonts w:ascii="Garamond" w:hAnsi="Garamond"/>
              </w:rPr>
            </w:pPr>
            <w:r w:rsidRPr="00537118">
              <w:rPr>
                <w:rFonts w:ascii="Garamond" w:hAnsi="Garamond"/>
              </w:rPr>
              <w:t xml:space="preserve">Estados Unidos </w:t>
            </w:r>
          </w:p>
          <w:p w14:paraId="1E5836CE" w14:textId="63224F1D" w:rsidR="00771E2C" w:rsidRPr="00537118" w:rsidRDefault="00771E2C" w:rsidP="00BA53F3">
            <w:pPr>
              <w:spacing w:line="276" w:lineRule="auto"/>
              <w:jc w:val="center"/>
              <w:rPr>
                <w:rFonts w:ascii="Garamond" w:hAnsi="Garamond"/>
              </w:rPr>
            </w:pPr>
            <w:r w:rsidRPr="00537118">
              <w:rPr>
                <w:rFonts w:ascii="Garamond" w:hAnsi="Garamond"/>
              </w:rPr>
              <w:t>(0,587)</w:t>
            </w:r>
          </w:p>
        </w:tc>
      </w:tr>
      <w:tr w:rsidR="00BA53F3" w:rsidRPr="00537118" w14:paraId="5131C9DD" w14:textId="77777777" w:rsidTr="004A2534">
        <w:trPr>
          <w:trHeight w:val="170"/>
        </w:trPr>
        <w:tc>
          <w:tcPr>
            <w:tcW w:w="1111" w:type="pct"/>
            <w:vAlign w:val="center"/>
          </w:tcPr>
          <w:p w14:paraId="2EFE3BA2" w14:textId="77777777" w:rsidR="00771E2C" w:rsidRPr="00537118" w:rsidRDefault="00771E2C" w:rsidP="00BA53F3">
            <w:pPr>
              <w:spacing w:line="276" w:lineRule="auto"/>
              <w:jc w:val="center"/>
              <w:rPr>
                <w:rFonts w:ascii="Garamond" w:hAnsi="Garamond"/>
                <w:b/>
                <w:bCs/>
              </w:rPr>
            </w:pPr>
            <w:r w:rsidRPr="00537118">
              <w:rPr>
                <w:rFonts w:ascii="Garamond" w:hAnsi="Garamond"/>
                <w:b/>
                <w:bCs/>
              </w:rPr>
              <w:t>3</w:t>
            </w:r>
          </w:p>
        </w:tc>
        <w:tc>
          <w:tcPr>
            <w:tcW w:w="1395" w:type="pct"/>
            <w:tcBorders>
              <w:bottom w:val="single" w:sz="4" w:space="0" w:color="auto"/>
            </w:tcBorders>
            <w:vAlign w:val="center"/>
          </w:tcPr>
          <w:p w14:paraId="6A42790F" w14:textId="77777777" w:rsidR="00771E2C" w:rsidRPr="00537118" w:rsidRDefault="00771E2C" w:rsidP="00BA53F3">
            <w:pPr>
              <w:spacing w:line="276" w:lineRule="auto"/>
              <w:jc w:val="center"/>
              <w:rPr>
                <w:rFonts w:ascii="Garamond" w:hAnsi="Garamond"/>
              </w:rPr>
            </w:pPr>
            <w:r w:rsidRPr="00537118">
              <w:rPr>
                <w:rFonts w:ascii="Garamond" w:hAnsi="Garamond"/>
              </w:rPr>
              <w:t xml:space="preserve">Alemanha </w:t>
            </w:r>
          </w:p>
          <w:p w14:paraId="132B3208" w14:textId="77777777" w:rsidR="00771E2C" w:rsidRPr="00537118" w:rsidRDefault="00771E2C" w:rsidP="00BA53F3">
            <w:pPr>
              <w:spacing w:line="276" w:lineRule="auto"/>
              <w:jc w:val="center"/>
              <w:rPr>
                <w:rFonts w:ascii="Garamond" w:hAnsi="Garamond"/>
              </w:rPr>
            </w:pPr>
            <w:r w:rsidRPr="00537118">
              <w:rPr>
                <w:rFonts w:ascii="Garamond" w:hAnsi="Garamond"/>
              </w:rPr>
              <w:t>(0,630)</w:t>
            </w:r>
          </w:p>
        </w:tc>
        <w:tc>
          <w:tcPr>
            <w:tcW w:w="1110" w:type="pct"/>
            <w:tcBorders>
              <w:bottom w:val="single" w:sz="4" w:space="0" w:color="auto"/>
            </w:tcBorders>
            <w:vAlign w:val="center"/>
          </w:tcPr>
          <w:p w14:paraId="7B2B20DD" w14:textId="77777777" w:rsidR="00771E2C" w:rsidRPr="00537118" w:rsidRDefault="00771E2C" w:rsidP="00BA53F3">
            <w:pPr>
              <w:spacing w:line="276" w:lineRule="auto"/>
              <w:jc w:val="center"/>
              <w:rPr>
                <w:rFonts w:ascii="Garamond" w:hAnsi="Garamond"/>
                <w:b/>
                <w:bCs/>
              </w:rPr>
            </w:pPr>
            <w:r w:rsidRPr="00537118">
              <w:rPr>
                <w:rFonts w:ascii="Garamond" w:hAnsi="Garamond"/>
                <w:b/>
                <w:bCs/>
              </w:rPr>
              <w:t>7</w:t>
            </w:r>
          </w:p>
        </w:tc>
        <w:tc>
          <w:tcPr>
            <w:tcW w:w="1384" w:type="pct"/>
            <w:tcBorders>
              <w:bottom w:val="single" w:sz="4" w:space="0" w:color="auto"/>
            </w:tcBorders>
            <w:vAlign w:val="center"/>
          </w:tcPr>
          <w:p w14:paraId="4098B4D2" w14:textId="77777777" w:rsidR="00771E2C" w:rsidRPr="00537118" w:rsidRDefault="00771E2C" w:rsidP="00BA53F3">
            <w:pPr>
              <w:spacing w:line="276" w:lineRule="auto"/>
              <w:jc w:val="center"/>
              <w:rPr>
                <w:rFonts w:ascii="Garamond" w:hAnsi="Garamond"/>
              </w:rPr>
            </w:pPr>
            <w:r w:rsidRPr="00537118">
              <w:rPr>
                <w:rFonts w:ascii="Garamond" w:hAnsi="Garamond"/>
              </w:rPr>
              <w:t xml:space="preserve">Peru </w:t>
            </w:r>
          </w:p>
          <w:p w14:paraId="3D5DC3EA" w14:textId="77777777" w:rsidR="00771E2C" w:rsidRPr="00537118" w:rsidRDefault="00771E2C" w:rsidP="00BA53F3">
            <w:pPr>
              <w:spacing w:line="276" w:lineRule="auto"/>
              <w:jc w:val="center"/>
              <w:rPr>
                <w:rFonts w:ascii="Garamond" w:hAnsi="Garamond"/>
              </w:rPr>
            </w:pPr>
            <w:r w:rsidRPr="00537118">
              <w:rPr>
                <w:rFonts w:ascii="Garamond" w:hAnsi="Garamond"/>
              </w:rPr>
              <w:t>(0,576)</w:t>
            </w:r>
          </w:p>
        </w:tc>
      </w:tr>
      <w:tr w:rsidR="00A17581" w:rsidRPr="00537118" w14:paraId="1A9896F7" w14:textId="77777777" w:rsidTr="004A2534">
        <w:trPr>
          <w:trHeight w:val="170"/>
        </w:trPr>
        <w:tc>
          <w:tcPr>
            <w:tcW w:w="1111" w:type="pct"/>
            <w:vAlign w:val="center"/>
          </w:tcPr>
          <w:p w14:paraId="7E1A05AA" w14:textId="77777777" w:rsidR="00A17581" w:rsidRPr="00537118" w:rsidRDefault="00A17581" w:rsidP="00BA53F3">
            <w:pPr>
              <w:spacing w:line="276" w:lineRule="auto"/>
              <w:jc w:val="center"/>
              <w:rPr>
                <w:rFonts w:ascii="Garamond" w:hAnsi="Garamond"/>
                <w:b/>
                <w:bCs/>
              </w:rPr>
            </w:pPr>
            <w:r w:rsidRPr="00537118">
              <w:rPr>
                <w:rFonts w:ascii="Garamond" w:hAnsi="Garamond"/>
                <w:b/>
                <w:bCs/>
              </w:rPr>
              <w:t>4</w:t>
            </w:r>
          </w:p>
        </w:tc>
        <w:tc>
          <w:tcPr>
            <w:tcW w:w="1395" w:type="pct"/>
            <w:tcBorders>
              <w:right w:val="single" w:sz="4" w:space="0" w:color="auto"/>
            </w:tcBorders>
            <w:vAlign w:val="center"/>
          </w:tcPr>
          <w:p w14:paraId="4758378E" w14:textId="77777777" w:rsidR="00A17581" w:rsidRPr="00537118" w:rsidRDefault="00A17581" w:rsidP="00BA53F3">
            <w:pPr>
              <w:spacing w:line="276" w:lineRule="auto"/>
              <w:jc w:val="center"/>
              <w:rPr>
                <w:rFonts w:ascii="Garamond" w:hAnsi="Garamond"/>
              </w:rPr>
            </w:pPr>
            <w:r w:rsidRPr="00537118">
              <w:rPr>
                <w:rFonts w:ascii="Garamond" w:hAnsi="Garamond"/>
              </w:rPr>
              <w:t xml:space="preserve">Japão  </w:t>
            </w:r>
          </w:p>
          <w:p w14:paraId="1E581289" w14:textId="77777777" w:rsidR="00A17581" w:rsidRPr="00537118" w:rsidRDefault="00A17581" w:rsidP="00BA53F3">
            <w:pPr>
              <w:spacing w:line="276" w:lineRule="auto"/>
              <w:jc w:val="center"/>
              <w:rPr>
                <w:rFonts w:ascii="Garamond" w:hAnsi="Garamond"/>
              </w:rPr>
            </w:pPr>
            <w:r w:rsidRPr="00537118">
              <w:rPr>
                <w:rFonts w:ascii="Garamond" w:hAnsi="Garamond"/>
              </w:rPr>
              <w:t>(0,627)</w:t>
            </w:r>
          </w:p>
        </w:tc>
        <w:tc>
          <w:tcPr>
            <w:tcW w:w="2494" w:type="pct"/>
            <w:gridSpan w:val="2"/>
            <w:tcBorders>
              <w:top w:val="single" w:sz="4" w:space="0" w:color="auto"/>
              <w:left w:val="single" w:sz="4" w:space="0" w:color="auto"/>
              <w:bottom w:val="nil"/>
              <w:right w:val="nil"/>
            </w:tcBorders>
            <w:vAlign w:val="center"/>
          </w:tcPr>
          <w:p w14:paraId="3003BDE4" w14:textId="77777777" w:rsidR="00A17581" w:rsidRPr="00537118" w:rsidRDefault="00A17581" w:rsidP="00BA53F3">
            <w:pPr>
              <w:spacing w:line="276" w:lineRule="auto"/>
              <w:jc w:val="center"/>
              <w:rPr>
                <w:rFonts w:ascii="Garamond" w:hAnsi="Garamond"/>
              </w:rPr>
            </w:pPr>
          </w:p>
        </w:tc>
      </w:tr>
    </w:tbl>
    <w:p w14:paraId="622C153B" w14:textId="77777777" w:rsidR="00642DEB" w:rsidRPr="00537118" w:rsidRDefault="00771E2C" w:rsidP="00771E2C">
      <w:pPr>
        <w:spacing w:line="360" w:lineRule="auto"/>
        <w:jc w:val="both"/>
        <w:rPr>
          <w:rFonts w:ascii="Garamond" w:hAnsi="Garamond"/>
          <w:sz w:val="24"/>
          <w:szCs w:val="24"/>
        </w:rPr>
      </w:pPr>
      <w:r w:rsidRPr="00537118">
        <w:rPr>
          <w:rFonts w:ascii="Garamond" w:hAnsi="Garamond"/>
          <w:sz w:val="24"/>
          <w:szCs w:val="24"/>
        </w:rPr>
        <w:lastRenderedPageBreak/>
        <w:t xml:space="preserve">Por fim, foram selecionados os primeiros três mercados para determinar os respetivos modos de entrada, consoante as características da empresa e dos próprios mercados, e, assim, concluir a proposta de internacionalização da BateriasX. Desse modo, propõe-se que a empresa se internacionalize preferencialmente para o Reino Unido, a Austrália e a Alemanha. </w:t>
      </w:r>
    </w:p>
    <w:p w14:paraId="5429D244" w14:textId="56C517BA" w:rsidR="00771E2C" w:rsidRPr="00537118" w:rsidRDefault="00771E2C" w:rsidP="00771E2C">
      <w:pPr>
        <w:spacing w:line="360" w:lineRule="auto"/>
        <w:jc w:val="both"/>
        <w:rPr>
          <w:rFonts w:ascii="Garamond" w:hAnsi="Garamond"/>
          <w:sz w:val="24"/>
          <w:szCs w:val="24"/>
        </w:rPr>
      </w:pPr>
      <w:r w:rsidRPr="00537118">
        <w:rPr>
          <w:rFonts w:ascii="Garamond" w:hAnsi="Garamond"/>
          <w:sz w:val="24"/>
          <w:szCs w:val="24"/>
        </w:rPr>
        <w:t>É importante referir que, durante todo este processo, se ponderou a utilização de outros indicadores para além dos acima referidos. Um deles tinha a ver com a fiabilidade das estruturas energéticas, com o intuito de perceber em que localização o armazenamento de energia solar em baterias poderia ser uma oportunidade (para possíveis contratos com instituições humanitárias ou com o próprio governo). Verificou-se, contudo, escassez de dados relativos a alguns dos mercados iniciais, com a maioria dos dados disponíveis a datarem de há mais de uma década, não sendo sequer possível atestar a fiabilidade dos mesmos.</w:t>
      </w:r>
    </w:p>
    <w:p w14:paraId="63744AA6" w14:textId="77777777" w:rsidR="00771E2C" w:rsidRPr="00537118" w:rsidRDefault="00771E2C" w:rsidP="00771E2C">
      <w:pPr>
        <w:spacing w:line="360" w:lineRule="auto"/>
        <w:jc w:val="both"/>
        <w:rPr>
          <w:rFonts w:ascii="Garamond" w:hAnsi="Garamond"/>
          <w:sz w:val="24"/>
          <w:szCs w:val="24"/>
        </w:rPr>
      </w:pPr>
      <w:r w:rsidRPr="00537118">
        <w:rPr>
          <w:rFonts w:ascii="Garamond" w:hAnsi="Garamond"/>
          <w:sz w:val="24"/>
          <w:szCs w:val="24"/>
        </w:rPr>
        <w:t xml:space="preserve">Um outro indicador que se ponderou utilizar foi o do grau de desenvolvimento de indústrias com elevado consumo energético. Este indicador poderia apontar a possíveis oportunidades para os sistemas de armazenamento de grande escala da empresa, no sentido de garantir e proteger a atividade das organizações fortemente dependentes de grande quantidade de energia estável e segura. Contudo, não foi explorado, já que a inclusão desses dados iria condicionar fortemente a análise e listagem de possíveis mercados numa direção altamente competitiva e com volume de produtos necessários muito além da capacidade de oferta atual da BateriasX. </w:t>
      </w:r>
    </w:p>
    <w:p w14:paraId="7F60BB3C" w14:textId="77777777" w:rsidR="00771E2C" w:rsidRPr="00537118" w:rsidRDefault="00771E2C" w:rsidP="00771E2C">
      <w:pPr>
        <w:spacing w:line="360" w:lineRule="auto"/>
        <w:jc w:val="both"/>
        <w:rPr>
          <w:rFonts w:ascii="Garamond" w:hAnsi="Garamond"/>
          <w:sz w:val="24"/>
          <w:szCs w:val="24"/>
        </w:rPr>
      </w:pPr>
      <w:r w:rsidRPr="00537118">
        <w:rPr>
          <w:rFonts w:ascii="Garamond" w:hAnsi="Garamond"/>
          <w:sz w:val="24"/>
          <w:szCs w:val="24"/>
        </w:rPr>
        <w:t xml:space="preserve">Finalmente, um terceiro indicador colocado como hipótese foi o do número de veículos elétricos per capita (ou alguma variação deste). O motivo para não incluir esta métrica tem a ver com a circunstância de se considerar não existir uma relação suficientemente forte entre a posse de um veículo elétrico e a necessidade (ou a capacidade) de instalar sistemas de armazenamento de energia, caso este fosse o único motivo para a sua instalação. </w:t>
      </w:r>
    </w:p>
    <w:p w14:paraId="31CD2B1C" w14:textId="77777777" w:rsidR="00281185" w:rsidRPr="00537118" w:rsidRDefault="00281185" w:rsidP="00A73DC5"/>
    <w:p w14:paraId="08D8B6B1" w14:textId="2DA0221B" w:rsidR="0063703A" w:rsidRPr="00537118" w:rsidRDefault="000B0A37" w:rsidP="004D5473">
      <w:pPr>
        <w:pStyle w:val="Heading2"/>
        <w:spacing w:line="360" w:lineRule="auto"/>
      </w:pPr>
      <w:bookmarkStart w:id="24" w:name="_Toc202571363"/>
      <w:r w:rsidRPr="00537118">
        <w:t>4</w:t>
      </w:r>
      <w:r w:rsidR="0063703A" w:rsidRPr="00537118">
        <w:t>.4</w:t>
      </w:r>
      <w:r w:rsidR="00103601" w:rsidRPr="00537118">
        <w:t xml:space="preserve">. </w:t>
      </w:r>
      <w:r w:rsidR="0063703A" w:rsidRPr="00537118">
        <w:t>Mercados - Modos de entrada</w:t>
      </w:r>
      <w:bookmarkEnd w:id="24"/>
    </w:p>
    <w:p w14:paraId="7CE569E8" w14:textId="77777777" w:rsidR="0063703A" w:rsidRPr="00537118" w:rsidRDefault="0063703A" w:rsidP="004D5473">
      <w:pPr>
        <w:spacing w:line="360" w:lineRule="auto"/>
        <w:jc w:val="both"/>
        <w:rPr>
          <w:rFonts w:ascii="Garamond" w:hAnsi="Garamond"/>
          <w:sz w:val="24"/>
          <w:szCs w:val="24"/>
        </w:rPr>
      </w:pPr>
      <w:r w:rsidRPr="00537118">
        <w:rPr>
          <w:rFonts w:ascii="Garamond" w:hAnsi="Garamond"/>
          <w:sz w:val="24"/>
          <w:szCs w:val="24"/>
        </w:rPr>
        <w:t xml:space="preserve">Tendo por base os mercados selecionados, bem como as características da BateriasX, procede-se, de seguida, a uma análise dos modos de entrada que poderiam ser mais apropriados, à luz da revisão de literatura efetuada. Por restrições de tempo, esta análise não pôde ser feita durante a </w:t>
      </w:r>
      <w:r w:rsidRPr="00537118">
        <w:rPr>
          <w:rFonts w:ascii="Garamond" w:hAnsi="Garamond"/>
          <w:sz w:val="24"/>
          <w:szCs w:val="24"/>
        </w:rPr>
        <w:lastRenderedPageBreak/>
        <w:t>realização do estágio. Em todo o caso, considera-se pertinente avançar, no presente relatório, com possíveis recomendações nesse sentido.</w:t>
      </w:r>
    </w:p>
    <w:p w14:paraId="081CDFAC" w14:textId="77777777" w:rsidR="0063703A" w:rsidRPr="00537118" w:rsidRDefault="0063703A" w:rsidP="0063703A">
      <w:pPr>
        <w:spacing w:line="360" w:lineRule="auto"/>
        <w:jc w:val="both"/>
        <w:rPr>
          <w:rFonts w:ascii="Garamond" w:hAnsi="Garamond"/>
          <w:b/>
          <w:bCs/>
          <w:sz w:val="24"/>
          <w:szCs w:val="24"/>
        </w:rPr>
      </w:pPr>
      <w:r w:rsidRPr="00537118">
        <w:rPr>
          <w:rFonts w:ascii="Garamond" w:hAnsi="Garamond"/>
          <w:b/>
          <w:bCs/>
          <w:sz w:val="24"/>
          <w:szCs w:val="24"/>
        </w:rPr>
        <w:t>Reino Unido</w:t>
      </w:r>
    </w:p>
    <w:p w14:paraId="56BD7CA9" w14:textId="544F1328" w:rsidR="0063703A" w:rsidRPr="00537118" w:rsidRDefault="0063703A" w:rsidP="0063703A">
      <w:pPr>
        <w:spacing w:line="360" w:lineRule="auto"/>
        <w:jc w:val="both"/>
        <w:rPr>
          <w:rFonts w:ascii="Garamond" w:hAnsi="Garamond"/>
          <w:sz w:val="24"/>
          <w:szCs w:val="24"/>
        </w:rPr>
      </w:pPr>
      <w:r w:rsidRPr="00537118">
        <w:rPr>
          <w:rFonts w:ascii="Garamond" w:hAnsi="Garamond"/>
          <w:sz w:val="24"/>
          <w:szCs w:val="24"/>
        </w:rPr>
        <w:t xml:space="preserve">O Reino Unido representa um mercado particularmente atraente para a empresa de baterias, uma vez que, embora não registe elevados valores de incidência solar anual, a preocupação ambiental e com o desenvolvimento sustentável do país apresenta-se particularmente elevada, sendo que o </w:t>
      </w:r>
      <w:r w:rsidRPr="00537118">
        <w:rPr>
          <w:rFonts w:ascii="Garamond" w:hAnsi="Garamond"/>
          <w:i/>
          <w:iCs/>
          <w:sz w:val="24"/>
          <w:szCs w:val="24"/>
        </w:rPr>
        <w:t>Environmental Performance Index</w:t>
      </w:r>
      <w:r w:rsidRPr="00537118">
        <w:rPr>
          <w:rFonts w:ascii="Garamond" w:hAnsi="Garamond"/>
          <w:sz w:val="24"/>
          <w:szCs w:val="24"/>
        </w:rPr>
        <w:t xml:space="preserve"> (EPI) demonstra ser dos mais elevados, globalmente (EPI, 2024). Este motivo é de particular importância para a empresa, uma vez que, tal como abordado na subsecção </w:t>
      </w:r>
      <w:r w:rsidR="00C951EC" w:rsidRPr="00537118">
        <w:rPr>
          <w:rFonts w:ascii="Garamond" w:hAnsi="Garamond"/>
          <w:sz w:val="24"/>
          <w:szCs w:val="24"/>
        </w:rPr>
        <w:t>4</w:t>
      </w:r>
      <w:r w:rsidRPr="00537118">
        <w:rPr>
          <w:rFonts w:ascii="Garamond" w:hAnsi="Garamond"/>
          <w:sz w:val="24"/>
          <w:szCs w:val="24"/>
        </w:rPr>
        <w:t xml:space="preserve">.1, a empresa pretende sedimentar-se em mercados com alta valorização de práticas e tecnologias sustentáveis. Além disso, o preço da eletricidade, medido na escala de 1 kwh, em 2024, apresenta-se como um dos mais elevados da Europa, pelo que os consumidores podem beneficiar do recurso a fontes de produção própria de energia, que lhes permita minimizar a necessidade de utilizar a rede elétrica, socorrendo-se para isso de painéis fotovoltaicos que funcionam a baterias, dado a incidência solar ser limitada. Assim, com recurso a esta tecnologia, poderá verificar-se melhor aproveitamento e maior eficiência energética para os consumidores e, consequentemente, redução dos gastos associados à utilização da rede, em concordância com o ponto </w:t>
      </w:r>
      <w:r w:rsidR="00C951EC" w:rsidRPr="00537118">
        <w:rPr>
          <w:rFonts w:ascii="Garamond" w:hAnsi="Garamond"/>
          <w:sz w:val="24"/>
          <w:szCs w:val="24"/>
        </w:rPr>
        <w:t>3</w:t>
      </w:r>
      <w:r w:rsidRPr="00537118">
        <w:rPr>
          <w:rFonts w:ascii="Garamond" w:hAnsi="Garamond"/>
          <w:sz w:val="24"/>
          <w:szCs w:val="24"/>
        </w:rPr>
        <w:t>.6 da revisão da literatura (Suyambu e Vishwakarma, 2024).</w:t>
      </w:r>
    </w:p>
    <w:p w14:paraId="3E643B8F" w14:textId="77777777" w:rsidR="0063703A" w:rsidRPr="00537118" w:rsidRDefault="0063703A" w:rsidP="0063703A">
      <w:pPr>
        <w:spacing w:line="360" w:lineRule="auto"/>
        <w:jc w:val="both"/>
        <w:rPr>
          <w:rFonts w:ascii="Garamond" w:hAnsi="Garamond"/>
          <w:sz w:val="24"/>
          <w:szCs w:val="24"/>
        </w:rPr>
      </w:pPr>
      <w:r w:rsidRPr="00537118">
        <w:rPr>
          <w:rFonts w:ascii="Garamond" w:hAnsi="Garamond"/>
          <w:sz w:val="24"/>
          <w:szCs w:val="24"/>
        </w:rPr>
        <w:t xml:space="preserve">Quanto à proximidade geográfica com Portugal, este encontra-se relativamente próximo e é de fácil acesso por diversos transportes, facilitando, assim, o envio dos produtos da empresa, visto que a localização do Reino Unido permite a entrada de embarcações e contentores. Um outro aspeto a ter em consideração é que o país tem boas relações diplomáticas e históricas com Portugal e uma língua universal, agilizando todo o processo para as partes envolvidas. </w:t>
      </w:r>
    </w:p>
    <w:p w14:paraId="264DA076" w14:textId="1791C372" w:rsidR="0063703A" w:rsidRPr="00537118" w:rsidRDefault="0063703A" w:rsidP="0063703A">
      <w:pPr>
        <w:spacing w:line="360" w:lineRule="auto"/>
        <w:jc w:val="both"/>
        <w:rPr>
          <w:rFonts w:ascii="Garamond" w:hAnsi="Garamond"/>
          <w:sz w:val="24"/>
          <w:szCs w:val="24"/>
        </w:rPr>
      </w:pPr>
      <w:r w:rsidRPr="00537118">
        <w:rPr>
          <w:rFonts w:ascii="Garamond" w:hAnsi="Garamond"/>
          <w:sz w:val="24"/>
          <w:szCs w:val="24"/>
        </w:rPr>
        <w:t xml:space="preserve">Tal como anteriormente explicado na revisão de literatura (subsecções </w:t>
      </w:r>
      <w:r w:rsidR="00C951EC" w:rsidRPr="00537118">
        <w:rPr>
          <w:rFonts w:ascii="Garamond" w:hAnsi="Garamond"/>
          <w:sz w:val="24"/>
          <w:szCs w:val="24"/>
        </w:rPr>
        <w:t>3</w:t>
      </w:r>
      <w:r w:rsidRPr="00537118">
        <w:rPr>
          <w:rFonts w:ascii="Garamond" w:hAnsi="Garamond"/>
          <w:sz w:val="24"/>
          <w:szCs w:val="24"/>
        </w:rPr>
        <w:t xml:space="preserve">.4 e </w:t>
      </w:r>
      <w:r w:rsidR="00C951EC" w:rsidRPr="00537118">
        <w:rPr>
          <w:rFonts w:ascii="Garamond" w:hAnsi="Garamond"/>
          <w:sz w:val="24"/>
          <w:szCs w:val="24"/>
        </w:rPr>
        <w:t>4</w:t>
      </w:r>
      <w:r w:rsidRPr="00537118">
        <w:rPr>
          <w:rFonts w:ascii="Garamond" w:hAnsi="Garamond"/>
          <w:sz w:val="24"/>
          <w:szCs w:val="24"/>
        </w:rPr>
        <w:t xml:space="preserve">.2), a velocidade de entrada no mercado é um fator que poderá determinar o grau de sucesso no futuro, não só por conseguir estabelecer rapidamente a reputação da marca, mas também pela expectativa de acréscimo de regulação legal e de entraves no futuro, quanto às baterias e à sua recolha. Dito isto, um modo de entrada </w:t>
      </w:r>
      <w:r w:rsidRPr="00537118">
        <w:rPr>
          <w:rFonts w:ascii="Garamond" w:hAnsi="Garamond"/>
          <w:i/>
          <w:sz w:val="24"/>
          <w:szCs w:val="24"/>
        </w:rPr>
        <w:t>non-equity</w:t>
      </w:r>
      <w:r w:rsidRPr="00537118">
        <w:rPr>
          <w:rFonts w:ascii="Garamond" w:hAnsi="Garamond"/>
          <w:sz w:val="24"/>
          <w:szCs w:val="24"/>
        </w:rPr>
        <w:t xml:space="preserve"> poderá ser o mais indicado, uma vez que carece da necessidade de desenvolvimento de uma organização própria, podendo ser gerido exclusivamente através de contratos, resultando num processo mais célere (Pan e Tse, 2000).</w:t>
      </w:r>
    </w:p>
    <w:p w14:paraId="3D8AF00F" w14:textId="7DFF89A4" w:rsidR="0063703A" w:rsidRPr="00537118" w:rsidRDefault="0063703A" w:rsidP="0063703A">
      <w:pPr>
        <w:spacing w:line="360" w:lineRule="auto"/>
        <w:jc w:val="both"/>
        <w:rPr>
          <w:rFonts w:ascii="Garamond" w:hAnsi="Garamond"/>
          <w:sz w:val="24"/>
          <w:szCs w:val="24"/>
        </w:rPr>
      </w:pPr>
      <w:r w:rsidRPr="00537118">
        <w:rPr>
          <w:rFonts w:ascii="Garamond" w:hAnsi="Garamond"/>
          <w:sz w:val="24"/>
          <w:szCs w:val="24"/>
        </w:rPr>
        <w:lastRenderedPageBreak/>
        <w:t xml:space="preserve">Assim, atendendo aos diversos fatores apresentados, considera-se que a aliança estratégica seja o modo de entrada mais adequado para a BateriasX abordar o mercado britânico. Este modo de entrada satisfaz a necessidade de uma implementação relativamente rápida para iniciar as operações no mercado, geralmente, sem custos demasiado elevados e com partilha de risco com as empresas parceiras, como ficou referido na subsecção </w:t>
      </w:r>
      <w:r w:rsidR="00C951EC" w:rsidRPr="00537118">
        <w:rPr>
          <w:rFonts w:ascii="Garamond" w:hAnsi="Garamond"/>
          <w:sz w:val="24"/>
          <w:szCs w:val="24"/>
        </w:rPr>
        <w:t>3</w:t>
      </w:r>
      <w:r w:rsidRPr="00537118">
        <w:rPr>
          <w:rFonts w:ascii="Garamond" w:hAnsi="Garamond"/>
          <w:sz w:val="24"/>
          <w:szCs w:val="24"/>
        </w:rPr>
        <w:t xml:space="preserve">.3.2. Para isso, as empresas parceiras deverão pertencer idealmente ao setor energético, de forma a poderem beneficiar do conhecimento de mercado e a intensificarem a partilha de </w:t>
      </w:r>
      <w:r w:rsidRPr="00537118">
        <w:rPr>
          <w:rFonts w:ascii="Garamond" w:hAnsi="Garamond"/>
          <w:i/>
          <w:sz w:val="24"/>
          <w:szCs w:val="24"/>
        </w:rPr>
        <w:t>know-how</w:t>
      </w:r>
      <w:r w:rsidRPr="00537118">
        <w:rPr>
          <w:rFonts w:ascii="Garamond" w:hAnsi="Garamond"/>
          <w:sz w:val="24"/>
          <w:szCs w:val="24"/>
        </w:rPr>
        <w:t xml:space="preserve"> técnico e operacional. Contudo, a BateriasX deverá ser seletiva com o(s) parceiro(s), de forma a maximizar a sinergia e minimizar possíveis problemas de coordenação (Lehman, 2023; Hagedoorn e Narula, 1996). Neste caso, o capital escasso e o fator temporal constituem um entrave à possibilidade de entrada por </w:t>
      </w:r>
      <w:r w:rsidRPr="00537118">
        <w:rPr>
          <w:rFonts w:ascii="Garamond" w:hAnsi="Garamond"/>
          <w:i/>
          <w:sz w:val="24"/>
          <w:szCs w:val="24"/>
        </w:rPr>
        <w:t>Joint venture</w:t>
      </w:r>
      <w:r w:rsidRPr="00537118">
        <w:rPr>
          <w:rFonts w:ascii="Garamond" w:hAnsi="Garamond"/>
          <w:sz w:val="24"/>
          <w:szCs w:val="24"/>
        </w:rPr>
        <w:t xml:space="preserve">. Paralelamente, a necessidade de sedimentar a empresa rapidamente no mercado torna imperativo um parceiro com boa reputação, pelo que modos como a exportação direta ou indireta resultariam insuficientes neste caso. Além disso, o facto de a BateriasX querer reforçar o seu conhecimento e </w:t>
      </w:r>
      <w:r w:rsidRPr="00537118">
        <w:rPr>
          <w:rFonts w:ascii="Garamond" w:hAnsi="Garamond"/>
          <w:i/>
          <w:sz w:val="24"/>
          <w:szCs w:val="24"/>
        </w:rPr>
        <w:t>know-how</w:t>
      </w:r>
      <w:r w:rsidRPr="00537118">
        <w:rPr>
          <w:rFonts w:ascii="Garamond" w:hAnsi="Garamond"/>
          <w:sz w:val="24"/>
          <w:szCs w:val="24"/>
        </w:rPr>
        <w:t xml:space="preserve"> do mercado num espaço temporal curto significa que a empresa deve evitar criar dependência com agentes e intermediários, de forma a tirar maior proveito do conhecimento disponível no processo de vendas, caso tenha capacidade para tal, constituindo, assim, um motivo adicional para desconsiderar a exportação como modo de entrada predileto (Viana e Hortinha, 2005), passando a considerá-la um modo de entrada com maior controlo.</w:t>
      </w:r>
    </w:p>
    <w:p w14:paraId="16284120" w14:textId="77777777" w:rsidR="0063703A" w:rsidRPr="00537118" w:rsidRDefault="0063703A" w:rsidP="0063703A">
      <w:pPr>
        <w:spacing w:line="360" w:lineRule="auto"/>
        <w:jc w:val="both"/>
        <w:rPr>
          <w:rFonts w:ascii="Garamond" w:hAnsi="Garamond"/>
          <w:b/>
          <w:bCs/>
          <w:sz w:val="24"/>
          <w:szCs w:val="24"/>
        </w:rPr>
      </w:pPr>
      <w:r w:rsidRPr="00537118">
        <w:rPr>
          <w:rFonts w:ascii="Garamond" w:hAnsi="Garamond"/>
          <w:b/>
          <w:bCs/>
          <w:sz w:val="24"/>
          <w:szCs w:val="24"/>
        </w:rPr>
        <w:t xml:space="preserve">Alemanha </w:t>
      </w:r>
    </w:p>
    <w:p w14:paraId="21571BA7" w14:textId="7D196ED3" w:rsidR="0063703A" w:rsidRPr="00537118" w:rsidRDefault="0063703A" w:rsidP="0063703A">
      <w:pPr>
        <w:spacing w:line="360" w:lineRule="auto"/>
        <w:jc w:val="both"/>
        <w:rPr>
          <w:rFonts w:ascii="Garamond" w:hAnsi="Garamond"/>
          <w:sz w:val="24"/>
          <w:szCs w:val="24"/>
        </w:rPr>
      </w:pPr>
      <w:r w:rsidRPr="00537118">
        <w:rPr>
          <w:rFonts w:ascii="Garamond" w:hAnsi="Garamond"/>
          <w:sz w:val="24"/>
          <w:szCs w:val="24"/>
        </w:rPr>
        <w:t>A Alemanha possui um sistema atual de tarifas que incentiva o usuário a tornar-se produtor/consumidor de energia (</w:t>
      </w:r>
      <w:r w:rsidRPr="00537118">
        <w:rPr>
          <w:rFonts w:ascii="Garamond" w:hAnsi="Garamond"/>
          <w:i/>
          <w:sz w:val="24"/>
          <w:szCs w:val="24"/>
        </w:rPr>
        <w:t>feed-in tariff</w:t>
      </w:r>
      <w:r w:rsidRPr="00537118">
        <w:rPr>
          <w:rFonts w:ascii="Garamond" w:hAnsi="Garamond"/>
          <w:sz w:val="24"/>
          <w:szCs w:val="24"/>
        </w:rPr>
        <w:t xml:space="preserve">), conforme exposto no ponto </w:t>
      </w:r>
      <w:r w:rsidR="00685093" w:rsidRPr="00537118">
        <w:rPr>
          <w:rFonts w:ascii="Garamond" w:hAnsi="Garamond"/>
          <w:sz w:val="24"/>
          <w:szCs w:val="24"/>
        </w:rPr>
        <w:t>3</w:t>
      </w:r>
      <w:r w:rsidRPr="00537118">
        <w:rPr>
          <w:rFonts w:ascii="Garamond" w:hAnsi="Garamond"/>
          <w:sz w:val="24"/>
          <w:szCs w:val="24"/>
        </w:rPr>
        <w:t xml:space="preserve">.6. Esta característica, acompanhada do facto de se tratar de um mercado com preço de eletricidade elevado (1 kWh= 0.313) incentiva o uso de energia complementar renovável e o aumento da autossuficiência doméstica (Benalcazar et al., 2020). Além disso, tal como o caso do Reino Unido, também neste caso estamos na presença de valores muito significativos, com a preocupação ambiental e a implementação de políticas sustentáveis alinhadas com a descarbonização. De facto, segundo o que foi abordado na subsecção </w:t>
      </w:r>
      <w:r w:rsidR="00685093" w:rsidRPr="00537118">
        <w:rPr>
          <w:rFonts w:ascii="Garamond" w:hAnsi="Garamond"/>
          <w:sz w:val="24"/>
          <w:szCs w:val="24"/>
        </w:rPr>
        <w:t>3</w:t>
      </w:r>
      <w:r w:rsidRPr="00537118">
        <w:rPr>
          <w:rFonts w:ascii="Garamond" w:hAnsi="Garamond"/>
          <w:sz w:val="24"/>
          <w:szCs w:val="24"/>
        </w:rPr>
        <w:t xml:space="preserve">.6 sobre a cadeia de produção das baterias e na subsecção </w:t>
      </w:r>
      <w:r w:rsidR="00685093" w:rsidRPr="00537118">
        <w:rPr>
          <w:rFonts w:ascii="Garamond" w:hAnsi="Garamond"/>
          <w:sz w:val="24"/>
          <w:szCs w:val="24"/>
        </w:rPr>
        <w:t>4</w:t>
      </w:r>
      <w:r w:rsidRPr="00537118">
        <w:rPr>
          <w:rFonts w:ascii="Garamond" w:hAnsi="Garamond"/>
          <w:sz w:val="24"/>
          <w:szCs w:val="24"/>
        </w:rPr>
        <w:t xml:space="preserve">.2 relativamente a barreiras especificas, a Alemanha, sendo um país da comunidade europeia, irá instituir legislação quanto aos fornecedores de matéria-prima para baterias, assim como para o transporte, manuseamento e recolha das mesmas, </w:t>
      </w:r>
      <w:r w:rsidRPr="00537118">
        <w:rPr>
          <w:rFonts w:ascii="Garamond" w:hAnsi="Garamond"/>
          <w:sz w:val="24"/>
          <w:szCs w:val="24"/>
        </w:rPr>
        <w:lastRenderedPageBreak/>
        <w:t xml:space="preserve">colocando um entrave para novos concorrentes que não estejam habilitados ao desempenho desta atividade. Para além disso, a Alemanha apresenta uma elevada capacidade de produção elétrica de origem solar (especialmente, em comparação com os mercados europeus), pelo que a necessidade de utilizar equipamentos de suporte - tais como reguladores, inversores e baterias (em particular, para o propósito de armazenamento) - equivale a uma característica muito atraente, o que acaba por dotar este mercado de maior potencial para a empresa de baterias vender os seus produtos (81.739 Mw instalados até 2023), em consonância com as motivações da BateriasX, descritas na secção </w:t>
      </w:r>
      <w:r w:rsidR="00685093" w:rsidRPr="00537118">
        <w:rPr>
          <w:rFonts w:ascii="Garamond" w:hAnsi="Garamond"/>
          <w:sz w:val="24"/>
          <w:szCs w:val="24"/>
        </w:rPr>
        <w:t>4</w:t>
      </w:r>
      <w:r w:rsidRPr="00537118">
        <w:rPr>
          <w:rFonts w:ascii="Garamond" w:hAnsi="Garamond"/>
          <w:sz w:val="24"/>
          <w:szCs w:val="24"/>
        </w:rPr>
        <w:t>.1.</w:t>
      </w:r>
    </w:p>
    <w:p w14:paraId="25CCA3E5" w14:textId="12038624" w:rsidR="0063703A" w:rsidRPr="00537118" w:rsidRDefault="0063703A" w:rsidP="0063703A">
      <w:pPr>
        <w:spacing w:line="360" w:lineRule="auto"/>
        <w:jc w:val="both"/>
        <w:rPr>
          <w:rFonts w:ascii="Garamond" w:hAnsi="Garamond"/>
          <w:sz w:val="24"/>
          <w:szCs w:val="24"/>
        </w:rPr>
      </w:pPr>
      <w:r w:rsidRPr="00537118">
        <w:rPr>
          <w:rFonts w:ascii="Garamond" w:hAnsi="Garamond"/>
          <w:sz w:val="24"/>
          <w:szCs w:val="24"/>
        </w:rPr>
        <w:t xml:space="preserve">Dito isto, o fator tempo é um dos mais importantes para a BateriasX, pelo que esta deverá aproveitar para se consolidar no mercado alemão antes de a nova regulação entrar em vigor. Caso a empresa determine a Alemanha como o seguinte passo para a internacionalização, isso significa que a empresa poderá começar com exportação direta dos seus produtos, com recurso a um distribuidor local, dado que os gestores da BateriasX possuem contactos e boas ligações profissionais com profissionais deste setor de mercado, iniciando, assim, com um baixo grau de compromisso e, por norma, um menor investimento, como já referido na revisão de literatura referente aos modos de entrada, na subsecção </w:t>
      </w:r>
      <w:r w:rsidR="00685093" w:rsidRPr="00537118">
        <w:rPr>
          <w:rFonts w:ascii="Garamond" w:hAnsi="Garamond"/>
          <w:sz w:val="24"/>
          <w:szCs w:val="24"/>
        </w:rPr>
        <w:t>3</w:t>
      </w:r>
      <w:r w:rsidRPr="00537118">
        <w:rPr>
          <w:rFonts w:ascii="Garamond" w:hAnsi="Garamond"/>
          <w:sz w:val="24"/>
          <w:szCs w:val="24"/>
        </w:rPr>
        <w:t xml:space="preserve">.3.2 (Anderson e Gatignon, 1986; Johanson e Vahlne, 1977). Outro aspeto que favorece a ligação a este mercado é o da distância geográfica da Alemanha e da infraestrutura de transportes disponíveis. A existência de uma vasta rede rodoviária e ferroviária entre os estados-membros permite uma maior flexibilidade e faculta opções de transporte das baterias, dado que precisam de condições particulares para garantir a sua qualidade e segurança, característica particularmente importante nas novas políticas e na legislação futura, discutidas na subsecção </w:t>
      </w:r>
      <w:r w:rsidR="00685093" w:rsidRPr="00537118">
        <w:rPr>
          <w:rFonts w:ascii="Garamond" w:hAnsi="Garamond"/>
          <w:sz w:val="24"/>
          <w:szCs w:val="24"/>
        </w:rPr>
        <w:t>3</w:t>
      </w:r>
      <w:r w:rsidRPr="00537118">
        <w:rPr>
          <w:rFonts w:ascii="Garamond" w:hAnsi="Garamond"/>
          <w:sz w:val="24"/>
          <w:szCs w:val="24"/>
        </w:rPr>
        <w:t xml:space="preserve">.6 e </w:t>
      </w:r>
      <w:r w:rsidR="00685093" w:rsidRPr="00537118">
        <w:rPr>
          <w:rFonts w:ascii="Garamond" w:hAnsi="Garamond"/>
          <w:sz w:val="24"/>
          <w:szCs w:val="24"/>
        </w:rPr>
        <w:t>4</w:t>
      </w:r>
      <w:r w:rsidRPr="00537118">
        <w:rPr>
          <w:rFonts w:ascii="Garamond" w:hAnsi="Garamond"/>
          <w:sz w:val="24"/>
          <w:szCs w:val="24"/>
        </w:rPr>
        <w:t>.2.</w:t>
      </w:r>
    </w:p>
    <w:p w14:paraId="587936E4" w14:textId="5AE29124" w:rsidR="0063703A" w:rsidRPr="00537118" w:rsidRDefault="0063703A" w:rsidP="0063703A">
      <w:pPr>
        <w:spacing w:line="360" w:lineRule="auto"/>
        <w:jc w:val="both"/>
        <w:rPr>
          <w:rFonts w:ascii="Garamond" w:hAnsi="Garamond"/>
          <w:sz w:val="24"/>
          <w:szCs w:val="24"/>
        </w:rPr>
      </w:pPr>
      <w:r w:rsidRPr="00537118">
        <w:rPr>
          <w:rFonts w:ascii="Garamond" w:hAnsi="Garamond"/>
          <w:sz w:val="24"/>
          <w:szCs w:val="24"/>
        </w:rPr>
        <w:t xml:space="preserve">Tendo em consideração a relativa facilidade </w:t>
      </w:r>
      <w:r w:rsidR="003D4831" w:rsidRPr="00537118">
        <w:rPr>
          <w:rFonts w:ascii="Garamond" w:hAnsi="Garamond"/>
          <w:sz w:val="24"/>
          <w:szCs w:val="24"/>
        </w:rPr>
        <w:t>de iniciar</w:t>
      </w:r>
      <w:r w:rsidRPr="00537118">
        <w:rPr>
          <w:rFonts w:ascii="Garamond" w:hAnsi="Garamond"/>
          <w:sz w:val="24"/>
          <w:szCs w:val="24"/>
        </w:rPr>
        <w:t xml:space="preserve"> a sua atividade, de acordo com este modo de entrada, a BateriasX poderá, opcionalmente, começar a desenvolver laços comerciais com múltiplas empresas, com vista à formação de uma </w:t>
      </w:r>
      <w:r w:rsidRPr="00537118">
        <w:rPr>
          <w:rFonts w:ascii="Garamond" w:hAnsi="Garamond"/>
          <w:i/>
          <w:sz w:val="24"/>
          <w:szCs w:val="24"/>
        </w:rPr>
        <w:t>Joint-venture</w:t>
      </w:r>
      <w:r w:rsidRPr="00537118">
        <w:rPr>
          <w:rFonts w:ascii="Garamond" w:hAnsi="Garamond"/>
          <w:sz w:val="24"/>
          <w:szCs w:val="24"/>
        </w:rPr>
        <w:t xml:space="preserve"> num futuro próximo, de modo a penetrar o mercado em parceria com entidades experientes. Algumas das empresas a ter em consideração podem ser companhias elétricas, empresas especializadas em painéis fotovoltaicos, fabricantes de veículos elétricos ou empresas industriais que façam uso intensivo de energia. A entrada mediante exportação não exige elevadas quantidades de capital por parte da empresa e permite testar o mercado (Johanson e Vahlne, 1977), uma vez que este já está desenvolvido </w:t>
      </w:r>
      <w:r w:rsidRPr="00537118">
        <w:rPr>
          <w:rFonts w:ascii="Garamond" w:hAnsi="Garamond"/>
          <w:sz w:val="24"/>
          <w:szCs w:val="24"/>
        </w:rPr>
        <w:lastRenderedPageBreak/>
        <w:t xml:space="preserve">substancialmente. Posteriormente, caso seja plausível e adequado, conforme explicado na revisão de literatura (ponto </w:t>
      </w:r>
      <w:r w:rsidR="00685093" w:rsidRPr="00537118">
        <w:rPr>
          <w:rFonts w:ascii="Garamond" w:hAnsi="Garamond"/>
          <w:sz w:val="24"/>
          <w:szCs w:val="24"/>
        </w:rPr>
        <w:t>3</w:t>
      </w:r>
      <w:r w:rsidRPr="00537118">
        <w:rPr>
          <w:rFonts w:ascii="Garamond" w:hAnsi="Garamond"/>
          <w:sz w:val="24"/>
          <w:szCs w:val="24"/>
        </w:rPr>
        <w:t xml:space="preserve">.3.1), a </w:t>
      </w:r>
      <w:r w:rsidRPr="00537118">
        <w:rPr>
          <w:rFonts w:ascii="Garamond" w:hAnsi="Garamond"/>
          <w:i/>
          <w:sz w:val="24"/>
          <w:szCs w:val="24"/>
        </w:rPr>
        <w:t>Joint venture</w:t>
      </w:r>
      <w:r w:rsidRPr="00537118">
        <w:rPr>
          <w:rFonts w:ascii="Garamond" w:hAnsi="Garamond"/>
          <w:sz w:val="24"/>
          <w:szCs w:val="24"/>
        </w:rPr>
        <w:t xml:space="preserve"> permitirá dar o seguinte passo para uma entrada mais significativa e com maior controlo da atividade, ultrapassando, simultaneamente, o entrave interno que representa a falta de conhecimento especializado do sistema de tarifas alemão (Kanda et al., 2016), sempre que a empresa angarie parceiros diligentes, cautelosos e em sintonia, estando ainda associado o beneficio de partilha de riscos inerentes à atividade (Anderson e Gatignon, 1986) (Dow e Karunaratna, 2006).</w:t>
      </w:r>
    </w:p>
    <w:p w14:paraId="3D3BA9B6" w14:textId="77777777" w:rsidR="0063703A" w:rsidRPr="00537118" w:rsidRDefault="0063703A" w:rsidP="0063703A">
      <w:pPr>
        <w:spacing w:line="360" w:lineRule="auto"/>
        <w:jc w:val="both"/>
        <w:rPr>
          <w:rFonts w:ascii="Garamond" w:hAnsi="Garamond"/>
          <w:b/>
          <w:bCs/>
          <w:sz w:val="28"/>
          <w:szCs w:val="28"/>
        </w:rPr>
      </w:pPr>
      <w:r w:rsidRPr="00537118">
        <w:rPr>
          <w:rFonts w:ascii="Garamond" w:hAnsi="Garamond"/>
          <w:b/>
          <w:bCs/>
          <w:sz w:val="28"/>
          <w:szCs w:val="28"/>
        </w:rPr>
        <w:t>Austrália</w:t>
      </w:r>
    </w:p>
    <w:p w14:paraId="34EA7FA3" w14:textId="7DDD826E" w:rsidR="0063703A" w:rsidRPr="00537118" w:rsidRDefault="0063703A" w:rsidP="0063703A">
      <w:pPr>
        <w:spacing w:line="360" w:lineRule="auto"/>
        <w:jc w:val="both"/>
        <w:rPr>
          <w:rFonts w:ascii="Garamond" w:hAnsi="Garamond"/>
          <w:sz w:val="24"/>
          <w:szCs w:val="24"/>
        </w:rPr>
      </w:pPr>
      <w:r w:rsidRPr="00537118">
        <w:rPr>
          <w:rFonts w:ascii="Garamond" w:hAnsi="Garamond"/>
          <w:sz w:val="24"/>
          <w:szCs w:val="24"/>
        </w:rPr>
        <w:t xml:space="preserve">Tal como determinado nos indicadores do </w:t>
      </w:r>
      <w:r w:rsidRPr="00537118">
        <w:rPr>
          <w:rFonts w:ascii="Garamond" w:hAnsi="Garamond"/>
          <w:i/>
          <w:sz w:val="24"/>
          <w:szCs w:val="24"/>
        </w:rPr>
        <w:t>framework</w:t>
      </w:r>
      <w:r w:rsidRPr="00537118">
        <w:rPr>
          <w:rFonts w:ascii="Garamond" w:hAnsi="Garamond"/>
          <w:sz w:val="24"/>
          <w:szCs w:val="24"/>
        </w:rPr>
        <w:t xml:space="preserve">, este mercado apresenta um dos maiores valores relativamente à incidência solar, rondando os 4.71 kWh - em especial, se for comparado com os do Reino Unido e Alemanha (2.61 e 2.96, respetivamente). Além de comportar elevado potencial para a instalação de painéis solares, este mercado conta com um nicho de consumidores que praticam um modo de vida </w:t>
      </w:r>
      <w:r w:rsidRPr="00537118">
        <w:rPr>
          <w:rFonts w:ascii="Garamond" w:hAnsi="Garamond"/>
          <w:i/>
          <w:iCs/>
          <w:sz w:val="24"/>
          <w:szCs w:val="24"/>
        </w:rPr>
        <w:t>off the grid</w:t>
      </w:r>
      <w:r w:rsidRPr="00537118">
        <w:rPr>
          <w:rFonts w:ascii="Garamond" w:hAnsi="Garamond"/>
          <w:sz w:val="24"/>
          <w:szCs w:val="24"/>
        </w:rPr>
        <w:t xml:space="preserve"> (caso da ilha de El Hierro, em Espanha, que opera quase a 100% com recurso a energias renováveis e baterias). Este tipo de comunidades requer geradores e dispositivos de produção de energia para suprir a necessidade elétrica, já que não se encontram ligados a nenhum tipo de rede. Contudo, não são os únicos que requerem tais dispositivos. Construções FIFO (</w:t>
      </w:r>
      <w:r w:rsidRPr="00537118">
        <w:rPr>
          <w:rFonts w:ascii="Garamond" w:hAnsi="Garamond"/>
          <w:i/>
          <w:sz w:val="24"/>
          <w:szCs w:val="24"/>
        </w:rPr>
        <w:t>Fly-In Fly-Out</w:t>
      </w:r>
      <w:r w:rsidRPr="00537118">
        <w:rPr>
          <w:rFonts w:ascii="Garamond" w:hAnsi="Garamond"/>
          <w:sz w:val="24"/>
          <w:szCs w:val="24"/>
        </w:rPr>
        <w:t xml:space="preserve">), hotéis ecológicos, túneis, infraestruturas remotas ou em zonas isoladas beneficiam também fortemente das baterias, </w:t>
      </w:r>
      <w:r w:rsidR="009B7A36" w:rsidRPr="00537118">
        <w:rPr>
          <w:rFonts w:ascii="Garamond" w:hAnsi="Garamond"/>
          <w:sz w:val="24"/>
          <w:szCs w:val="24"/>
        </w:rPr>
        <w:t>encontrando diversos</w:t>
      </w:r>
      <w:r w:rsidRPr="00537118">
        <w:rPr>
          <w:rFonts w:ascii="Garamond" w:hAnsi="Garamond"/>
          <w:sz w:val="24"/>
          <w:szCs w:val="24"/>
        </w:rPr>
        <w:t xml:space="preserve"> exemplos destes em zonas isoladas na Austrália.</w:t>
      </w:r>
    </w:p>
    <w:p w14:paraId="232F65DC" w14:textId="31148B6B" w:rsidR="0063703A" w:rsidRPr="00537118" w:rsidRDefault="0063703A" w:rsidP="0063703A">
      <w:pPr>
        <w:spacing w:line="360" w:lineRule="auto"/>
        <w:jc w:val="both"/>
        <w:rPr>
          <w:rFonts w:ascii="Garamond" w:hAnsi="Garamond"/>
          <w:sz w:val="24"/>
          <w:szCs w:val="24"/>
        </w:rPr>
      </w:pPr>
      <w:r w:rsidRPr="00537118">
        <w:rPr>
          <w:rFonts w:ascii="Garamond" w:hAnsi="Garamond"/>
          <w:sz w:val="24"/>
          <w:szCs w:val="24"/>
        </w:rPr>
        <w:t xml:space="preserve">Este mercado apresenta uma elevada preocupação ambiental, ligeiramente inferior à dos dois mercados supracitados, e a tendência do país encontra-se em linha com a descarbonização (em particular, as fontes energéticas verdes). A utilização de BESS para desempenhar atividades com procura energética isolada da rede e o impacto positivo desta tecnologia (face ao pensamento ecológico vigente) estão a par com a subsecção </w:t>
      </w:r>
      <w:r w:rsidR="00F4693D" w:rsidRPr="00537118">
        <w:rPr>
          <w:rFonts w:ascii="Garamond" w:hAnsi="Garamond"/>
          <w:sz w:val="24"/>
          <w:szCs w:val="24"/>
        </w:rPr>
        <w:t>3</w:t>
      </w:r>
      <w:r w:rsidRPr="00537118">
        <w:rPr>
          <w:rFonts w:ascii="Garamond" w:hAnsi="Garamond"/>
          <w:sz w:val="24"/>
          <w:szCs w:val="24"/>
        </w:rPr>
        <w:t>.6 da revisão da literatura referente aos sistemas de armazenamento de energia (Wang et al., 2024; Iberdrola, s.d).</w:t>
      </w:r>
    </w:p>
    <w:p w14:paraId="6C6373FF" w14:textId="2631BD75" w:rsidR="0063703A" w:rsidRPr="00537118" w:rsidRDefault="0063703A" w:rsidP="0063703A">
      <w:pPr>
        <w:spacing w:line="360" w:lineRule="auto"/>
        <w:jc w:val="both"/>
        <w:rPr>
          <w:rFonts w:ascii="Garamond" w:hAnsi="Garamond"/>
          <w:sz w:val="24"/>
          <w:szCs w:val="24"/>
        </w:rPr>
      </w:pPr>
      <w:r w:rsidRPr="00537118">
        <w:rPr>
          <w:rFonts w:ascii="Garamond" w:hAnsi="Garamond"/>
          <w:sz w:val="24"/>
          <w:szCs w:val="24"/>
        </w:rPr>
        <w:t xml:space="preserve">Dito isto, o modo de entrada mais indicado seria uma </w:t>
      </w:r>
      <w:r w:rsidRPr="00537118">
        <w:rPr>
          <w:rFonts w:ascii="Garamond" w:hAnsi="Garamond"/>
          <w:i/>
          <w:sz w:val="24"/>
          <w:szCs w:val="24"/>
        </w:rPr>
        <w:t>Joint venture</w:t>
      </w:r>
      <w:r w:rsidRPr="00537118">
        <w:rPr>
          <w:rFonts w:ascii="Garamond" w:hAnsi="Garamond"/>
          <w:sz w:val="24"/>
          <w:szCs w:val="24"/>
        </w:rPr>
        <w:t xml:space="preserve">. O mercado apresenta-se altamente atraente para a empresa portuguesa, sendo embora necessário grande conhecimento do mesmo, tanto do ponto de vista legal, como da procura dos consumidores (face às especificidades do produto). Este estado de coisas verifica-se a nível dos materiais para as </w:t>
      </w:r>
      <w:r w:rsidRPr="00537118">
        <w:rPr>
          <w:rFonts w:ascii="Garamond" w:hAnsi="Garamond"/>
          <w:sz w:val="24"/>
          <w:szCs w:val="24"/>
        </w:rPr>
        <w:lastRenderedPageBreak/>
        <w:t>condições áridas e a nível das elevadas temperaturas, podendo constituir uma barreira séria (subsecção</w:t>
      </w:r>
      <w:r w:rsidR="00556300" w:rsidRPr="00537118">
        <w:rPr>
          <w:rFonts w:ascii="Garamond" w:hAnsi="Garamond"/>
          <w:sz w:val="24"/>
          <w:szCs w:val="24"/>
        </w:rPr>
        <w:t xml:space="preserve"> </w:t>
      </w:r>
      <w:r w:rsidR="00F4693D" w:rsidRPr="00537118">
        <w:rPr>
          <w:rFonts w:ascii="Garamond" w:hAnsi="Garamond"/>
          <w:sz w:val="24"/>
          <w:szCs w:val="24"/>
        </w:rPr>
        <w:t>4</w:t>
      </w:r>
      <w:r w:rsidR="00556300" w:rsidRPr="00537118">
        <w:rPr>
          <w:rFonts w:ascii="Garamond" w:hAnsi="Garamond"/>
          <w:sz w:val="24"/>
          <w:szCs w:val="24"/>
        </w:rPr>
        <w:t>.</w:t>
      </w:r>
      <w:r w:rsidR="00384001" w:rsidRPr="00537118">
        <w:rPr>
          <w:rFonts w:ascii="Garamond" w:hAnsi="Garamond"/>
          <w:sz w:val="24"/>
          <w:szCs w:val="24"/>
        </w:rPr>
        <w:t>2</w:t>
      </w:r>
      <w:r w:rsidRPr="00537118">
        <w:rPr>
          <w:rFonts w:ascii="Garamond" w:hAnsi="Garamond"/>
          <w:sz w:val="24"/>
          <w:szCs w:val="24"/>
        </w:rPr>
        <w:t xml:space="preserve">). Um outro aspeto previamente referido na revisão de literatura - na subsecção 4.3.1, apelando a Dow e Karunaratna (2006) - é o facto de a </w:t>
      </w:r>
      <w:r w:rsidRPr="00537118">
        <w:rPr>
          <w:rFonts w:ascii="Garamond" w:hAnsi="Garamond"/>
          <w:i/>
          <w:sz w:val="24"/>
          <w:szCs w:val="24"/>
        </w:rPr>
        <w:t>Joint venture</w:t>
      </w:r>
      <w:r w:rsidRPr="00537118">
        <w:rPr>
          <w:rFonts w:ascii="Garamond" w:hAnsi="Garamond"/>
          <w:sz w:val="24"/>
          <w:szCs w:val="24"/>
        </w:rPr>
        <w:t xml:space="preserve"> permitir a partilha de riscos, sendo este um requisito no caso em análise. No mesmo sentido dos referidos autores (Dow e Karunaratna, 2006), a possibilidade de criação de sinergias (seja através da partilha de tecnologia e/ou através da troca de </w:t>
      </w:r>
      <w:r w:rsidRPr="00537118">
        <w:rPr>
          <w:rFonts w:ascii="Garamond" w:hAnsi="Garamond"/>
          <w:i/>
          <w:sz w:val="24"/>
          <w:szCs w:val="24"/>
        </w:rPr>
        <w:t>know-how</w:t>
      </w:r>
      <w:r w:rsidRPr="00537118">
        <w:rPr>
          <w:rFonts w:ascii="Garamond" w:hAnsi="Garamond"/>
          <w:sz w:val="24"/>
          <w:szCs w:val="24"/>
        </w:rPr>
        <w:t xml:space="preserve"> entre as empresas mãe) é um dos pontos de maior destaque para fomentar o interesse entre as entidades da </w:t>
      </w:r>
      <w:r w:rsidRPr="00537118">
        <w:rPr>
          <w:rFonts w:ascii="Garamond" w:hAnsi="Garamond"/>
          <w:i/>
          <w:sz w:val="24"/>
          <w:szCs w:val="24"/>
        </w:rPr>
        <w:t>Joint venture</w:t>
      </w:r>
      <w:r w:rsidRPr="00537118">
        <w:rPr>
          <w:rFonts w:ascii="Garamond" w:hAnsi="Garamond"/>
          <w:sz w:val="24"/>
          <w:szCs w:val="24"/>
        </w:rPr>
        <w:t xml:space="preserve">, já que ambas as partes beneficiam desta parceria para a sua atividade. </w:t>
      </w:r>
    </w:p>
    <w:p w14:paraId="3E65FDFD" w14:textId="5D7BCC99" w:rsidR="0063703A" w:rsidRPr="00537118" w:rsidRDefault="0063703A" w:rsidP="0063703A">
      <w:pPr>
        <w:spacing w:line="360" w:lineRule="auto"/>
        <w:jc w:val="both"/>
        <w:rPr>
          <w:rFonts w:ascii="Garamond" w:hAnsi="Garamond"/>
          <w:sz w:val="24"/>
          <w:szCs w:val="24"/>
        </w:rPr>
      </w:pPr>
      <w:r w:rsidRPr="00537118">
        <w:rPr>
          <w:rFonts w:ascii="Garamond" w:hAnsi="Garamond"/>
          <w:sz w:val="24"/>
          <w:szCs w:val="24"/>
        </w:rPr>
        <w:t xml:space="preserve">Ao contrário de Alemanha e Reino Unido, a Austrália encontra-se num continente diferente e com distância geográfica considerável, o que inviabiliza certos transportes terrestres ou mais demorados, pelo que a exportação poderá não ser adequada para os objetivos da empresa e para a saúde das baterias (especialmente, face aos novos regulamentos incidentes no estado efetivo da carga da bateria, questão abordada no ponto </w:t>
      </w:r>
      <w:r w:rsidR="00F4693D" w:rsidRPr="00537118">
        <w:rPr>
          <w:rFonts w:ascii="Garamond" w:hAnsi="Garamond"/>
          <w:sz w:val="24"/>
          <w:szCs w:val="24"/>
        </w:rPr>
        <w:t>4</w:t>
      </w:r>
      <w:r w:rsidRPr="00537118">
        <w:rPr>
          <w:rFonts w:ascii="Garamond" w:hAnsi="Garamond"/>
          <w:sz w:val="24"/>
          <w:szCs w:val="24"/>
        </w:rPr>
        <w:t xml:space="preserve">.2 e </w:t>
      </w:r>
      <w:r w:rsidR="00F4693D" w:rsidRPr="00537118">
        <w:rPr>
          <w:rFonts w:ascii="Garamond" w:hAnsi="Garamond"/>
          <w:sz w:val="24"/>
          <w:szCs w:val="24"/>
        </w:rPr>
        <w:t>3</w:t>
      </w:r>
      <w:r w:rsidRPr="00537118">
        <w:rPr>
          <w:rFonts w:ascii="Garamond" w:hAnsi="Garamond"/>
          <w:sz w:val="24"/>
          <w:szCs w:val="24"/>
        </w:rPr>
        <w:t xml:space="preserve">.6) Apesar dos recursos económicos limitados, a </w:t>
      </w:r>
      <w:r w:rsidRPr="00537118">
        <w:rPr>
          <w:rFonts w:ascii="Garamond" w:hAnsi="Garamond"/>
          <w:i/>
          <w:sz w:val="24"/>
          <w:szCs w:val="24"/>
        </w:rPr>
        <w:t>Joint-venture</w:t>
      </w:r>
      <w:r w:rsidRPr="00537118">
        <w:rPr>
          <w:rFonts w:ascii="Garamond" w:hAnsi="Garamond"/>
          <w:sz w:val="24"/>
          <w:szCs w:val="24"/>
        </w:rPr>
        <w:t xml:space="preserve"> poderá justificar um investimento mais avultado (em particular, no caso deste mercado), uma vez que o mercado australiano permite a diversificação de risco para a BateriasX, caso se verifique alguma disrupção no </w:t>
      </w:r>
      <w:r w:rsidR="00FD7F8F" w:rsidRPr="00537118">
        <w:rPr>
          <w:rFonts w:ascii="Garamond" w:hAnsi="Garamond"/>
          <w:sz w:val="24"/>
          <w:szCs w:val="24"/>
        </w:rPr>
        <w:t>cenário</w:t>
      </w:r>
      <w:r w:rsidRPr="00537118">
        <w:rPr>
          <w:rFonts w:ascii="Garamond" w:hAnsi="Garamond"/>
          <w:sz w:val="24"/>
          <w:szCs w:val="24"/>
        </w:rPr>
        <w:t xml:space="preserve"> europeu. Além disso, a Austrália poderá vir a servir de uma via de acesso para outros mercados remotos e, eventualmente, mercados asiáticos, o que está em consonância com os pressupostos da teoria de Uppsala, apresentada na subsecção </w:t>
      </w:r>
      <w:r w:rsidR="00F4693D" w:rsidRPr="00537118">
        <w:rPr>
          <w:rFonts w:ascii="Garamond" w:hAnsi="Garamond"/>
          <w:sz w:val="24"/>
          <w:szCs w:val="24"/>
        </w:rPr>
        <w:t>3</w:t>
      </w:r>
      <w:r w:rsidRPr="00537118">
        <w:rPr>
          <w:rFonts w:ascii="Garamond" w:hAnsi="Garamond"/>
          <w:sz w:val="24"/>
          <w:szCs w:val="24"/>
        </w:rPr>
        <w:t xml:space="preserve">.1.1 da revisão da literatura. </w:t>
      </w:r>
    </w:p>
    <w:p w14:paraId="4C32C16C" w14:textId="4855824F" w:rsidR="00DE7E12" w:rsidRDefault="0063703A" w:rsidP="00DE7E12">
      <w:pPr>
        <w:spacing w:line="360" w:lineRule="auto"/>
        <w:jc w:val="both"/>
        <w:rPr>
          <w:rFonts w:ascii="Garamond" w:hAnsi="Garamond"/>
          <w:sz w:val="24"/>
          <w:szCs w:val="24"/>
        </w:rPr>
      </w:pPr>
      <w:r w:rsidRPr="00537118">
        <w:rPr>
          <w:rFonts w:ascii="Garamond" w:hAnsi="Garamond"/>
          <w:sz w:val="24"/>
          <w:szCs w:val="24"/>
        </w:rPr>
        <w:t xml:space="preserve">Por fim, os contratos chave-na-mão foram descartados, pelo facto de a empresa depender de contratos de relativamente curta duração e pela falta de presença permanente no mercado de destino, o que é contrário aos objetivos da BateriasX. Apesar de poder recorrer a contratos com entidades governamentais ou projetos </w:t>
      </w:r>
      <w:r w:rsidRPr="00537118">
        <w:rPr>
          <w:rFonts w:ascii="Garamond" w:hAnsi="Garamond"/>
          <w:i/>
          <w:sz w:val="24"/>
          <w:szCs w:val="24"/>
        </w:rPr>
        <w:t>off-grid</w:t>
      </w:r>
      <w:r w:rsidRPr="00537118">
        <w:rPr>
          <w:rFonts w:ascii="Garamond" w:hAnsi="Garamond"/>
          <w:sz w:val="24"/>
          <w:szCs w:val="24"/>
        </w:rPr>
        <w:t xml:space="preserve">, a menor proteção da tecnologia dos produtos (caso do </w:t>
      </w:r>
      <w:r w:rsidRPr="00537118">
        <w:rPr>
          <w:rFonts w:ascii="Garamond" w:hAnsi="Garamond"/>
          <w:i/>
          <w:sz w:val="24"/>
          <w:szCs w:val="24"/>
        </w:rPr>
        <w:t>software</w:t>
      </w:r>
      <w:r w:rsidRPr="00537118">
        <w:rPr>
          <w:rFonts w:ascii="Garamond" w:hAnsi="Garamond"/>
          <w:sz w:val="24"/>
          <w:szCs w:val="24"/>
        </w:rPr>
        <w:t xml:space="preserve"> de gestão das baterias e da falta de dimensão da empresa para realizar os contratos) tornam este modo de entrada inexequível - sobretudo, pela falta de controlo sobre a atividade no exterior, tal como descrito na subsecção </w:t>
      </w:r>
      <w:r w:rsidR="00F4693D" w:rsidRPr="00537118">
        <w:rPr>
          <w:rFonts w:ascii="Garamond" w:hAnsi="Garamond"/>
          <w:sz w:val="24"/>
          <w:szCs w:val="24"/>
        </w:rPr>
        <w:t>3</w:t>
      </w:r>
      <w:r w:rsidRPr="00537118">
        <w:rPr>
          <w:rFonts w:ascii="Garamond" w:hAnsi="Garamond"/>
          <w:sz w:val="24"/>
          <w:szCs w:val="24"/>
        </w:rPr>
        <w:t>.3.2 (</w:t>
      </w:r>
      <w:proofErr w:type="spellStart"/>
      <w:r w:rsidRPr="00537118">
        <w:rPr>
          <w:rFonts w:ascii="Garamond" w:hAnsi="Garamond"/>
          <w:sz w:val="24"/>
          <w:szCs w:val="24"/>
        </w:rPr>
        <w:t>Pan</w:t>
      </w:r>
      <w:proofErr w:type="spellEnd"/>
      <w:r w:rsidRPr="00537118">
        <w:rPr>
          <w:rFonts w:ascii="Garamond" w:hAnsi="Garamond"/>
          <w:sz w:val="24"/>
          <w:szCs w:val="24"/>
        </w:rPr>
        <w:t xml:space="preserve"> e </w:t>
      </w:r>
      <w:proofErr w:type="spellStart"/>
      <w:r w:rsidRPr="00537118">
        <w:rPr>
          <w:rFonts w:ascii="Garamond" w:hAnsi="Garamond"/>
          <w:sz w:val="24"/>
          <w:szCs w:val="24"/>
        </w:rPr>
        <w:t>Tse</w:t>
      </w:r>
      <w:proofErr w:type="spellEnd"/>
      <w:r w:rsidRPr="00537118">
        <w:rPr>
          <w:rFonts w:ascii="Garamond" w:hAnsi="Garamond"/>
          <w:sz w:val="24"/>
          <w:szCs w:val="24"/>
        </w:rPr>
        <w:t>, 2000).</w:t>
      </w:r>
    </w:p>
    <w:p w14:paraId="68C5D259" w14:textId="77777777" w:rsidR="0062174B" w:rsidRPr="00537118" w:rsidRDefault="0062174B" w:rsidP="00DE7E12">
      <w:pPr>
        <w:spacing w:line="360" w:lineRule="auto"/>
        <w:jc w:val="both"/>
        <w:rPr>
          <w:rFonts w:ascii="Garamond" w:hAnsi="Garamond"/>
          <w:sz w:val="24"/>
          <w:szCs w:val="24"/>
        </w:rPr>
      </w:pPr>
    </w:p>
    <w:p w14:paraId="560A6D15" w14:textId="620796E5" w:rsidR="00DE7E12" w:rsidRPr="00537118" w:rsidRDefault="000B0A37" w:rsidP="004D5473">
      <w:pPr>
        <w:pStyle w:val="Heading1"/>
        <w:spacing w:line="360" w:lineRule="auto"/>
      </w:pPr>
      <w:bookmarkStart w:id="25" w:name="_Toc202571364"/>
      <w:r w:rsidRPr="00537118">
        <w:lastRenderedPageBreak/>
        <w:t>5</w:t>
      </w:r>
      <w:r w:rsidR="00DE7E12" w:rsidRPr="00537118">
        <w:t>.</w:t>
      </w:r>
      <w:r w:rsidR="00A73DC5" w:rsidRPr="00537118">
        <w:t xml:space="preserve"> </w:t>
      </w:r>
      <w:r w:rsidR="00DE7E12" w:rsidRPr="00537118">
        <w:t>Conclusão</w:t>
      </w:r>
      <w:bookmarkEnd w:id="25"/>
      <w:r w:rsidR="00DE7E12" w:rsidRPr="00537118">
        <w:t xml:space="preserve"> </w:t>
      </w:r>
    </w:p>
    <w:p w14:paraId="6907ACC5" w14:textId="327B66CB" w:rsidR="00DE7E12" w:rsidRPr="00537118" w:rsidRDefault="00DE7E12" w:rsidP="004D5473">
      <w:pPr>
        <w:spacing w:line="360" w:lineRule="auto"/>
        <w:jc w:val="both"/>
        <w:rPr>
          <w:rFonts w:ascii="Garamond" w:hAnsi="Garamond"/>
          <w:sz w:val="24"/>
          <w:szCs w:val="24"/>
        </w:rPr>
      </w:pPr>
      <w:r w:rsidRPr="00537118">
        <w:rPr>
          <w:rFonts w:ascii="Garamond" w:hAnsi="Garamond"/>
          <w:sz w:val="24"/>
          <w:szCs w:val="24"/>
        </w:rPr>
        <w:t xml:space="preserve">O presente relatório teve como base a realização de um estágio curricular na Accelper Consulting Iberia, onde foi desenvolvida uma proposta de plano de internacionalização para uma empresa portuguesa do setor de baterias. Neste estágio, foi-me permitido testar e desenvolver os conhecimentos teóricos obtidos no Mestrado em </w:t>
      </w:r>
      <w:r w:rsidR="008E4269" w:rsidRPr="00537118">
        <w:rPr>
          <w:rFonts w:ascii="Garamond" w:hAnsi="Garamond"/>
          <w:sz w:val="24"/>
          <w:szCs w:val="24"/>
        </w:rPr>
        <w:t>E</w:t>
      </w:r>
      <w:r w:rsidRPr="00537118">
        <w:rPr>
          <w:rFonts w:ascii="Garamond" w:hAnsi="Garamond"/>
          <w:sz w:val="24"/>
          <w:szCs w:val="24"/>
        </w:rPr>
        <w:t xml:space="preserve">conomia e </w:t>
      </w:r>
      <w:r w:rsidR="008E4269" w:rsidRPr="00537118">
        <w:rPr>
          <w:rFonts w:ascii="Garamond" w:hAnsi="Garamond"/>
          <w:sz w:val="24"/>
          <w:szCs w:val="24"/>
        </w:rPr>
        <w:t>G</w:t>
      </w:r>
      <w:r w:rsidRPr="00537118">
        <w:rPr>
          <w:rFonts w:ascii="Garamond" w:hAnsi="Garamond"/>
          <w:sz w:val="24"/>
          <w:szCs w:val="24"/>
        </w:rPr>
        <w:t xml:space="preserve">estão </w:t>
      </w:r>
      <w:r w:rsidR="008E4269" w:rsidRPr="00537118">
        <w:rPr>
          <w:rFonts w:ascii="Garamond" w:hAnsi="Garamond"/>
          <w:sz w:val="24"/>
          <w:szCs w:val="24"/>
        </w:rPr>
        <w:t>I</w:t>
      </w:r>
      <w:r w:rsidRPr="00537118">
        <w:rPr>
          <w:rFonts w:ascii="Garamond" w:hAnsi="Garamond"/>
          <w:sz w:val="24"/>
          <w:szCs w:val="24"/>
        </w:rPr>
        <w:t xml:space="preserve">nternacional, podendo analisar e desenvolver um plano de internacionalização próprio (com base numa metodologia testada em aula). </w:t>
      </w:r>
    </w:p>
    <w:p w14:paraId="667C0237" w14:textId="77777777" w:rsidR="00DE7E12" w:rsidRPr="00537118" w:rsidRDefault="00DE7E12" w:rsidP="00DE7E12">
      <w:pPr>
        <w:spacing w:line="360" w:lineRule="auto"/>
        <w:jc w:val="both"/>
        <w:rPr>
          <w:rFonts w:ascii="Garamond" w:hAnsi="Garamond"/>
          <w:sz w:val="24"/>
          <w:szCs w:val="24"/>
        </w:rPr>
      </w:pPr>
      <w:r w:rsidRPr="00537118">
        <w:rPr>
          <w:rFonts w:ascii="Garamond" w:hAnsi="Garamond"/>
          <w:sz w:val="24"/>
          <w:szCs w:val="24"/>
        </w:rPr>
        <w:t xml:space="preserve">A entidade acolhedora outorgou-me a possibilidade de utilizar um cliente real para basear o meu relatório de estágio, sempre com o devido apoio e disponibilizando o contacto necessário para a obtenção da informação essencial, tanto do ponto de vista das características e condições da empresa em questão, como de eventuais dados e ferramentas para a tarefa. </w:t>
      </w:r>
    </w:p>
    <w:p w14:paraId="3E6DF376" w14:textId="3B114CC5" w:rsidR="00DE7E12" w:rsidRPr="00537118" w:rsidRDefault="00DE7E12" w:rsidP="00DE7E12">
      <w:pPr>
        <w:spacing w:line="360" w:lineRule="auto"/>
        <w:jc w:val="both"/>
        <w:rPr>
          <w:rFonts w:ascii="Garamond" w:hAnsi="Garamond"/>
          <w:sz w:val="24"/>
          <w:szCs w:val="24"/>
        </w:rPr>
      </w:pPr>
      <w:r w:rsidRPr="00537118">
        <w:rPr>
          <w:rFonts w:ascii="Garamond" w:hAnsi="Garamond"/>
          <w:sz w:val="24"/>
          <w:szCs w:val="24"/>
        </w:rPr>
        <w:t xml:space="preserve">Na elaboração da proposta de internacionalização, foram analisadas as principais características da empresa, constituindo condicionantes para as etapas seguintes. Primeiramente, evidenciaram-se as motivações principais para a internacionalização da atividade da empresa: a dimensão reduzida do mercado doméstico e, também, a ambição de </w:t>
      </w:r>
      <w:r w:rsidR="007B50D7" w:rsidRPr="00537118">
        <w:rPr>
          <w:rFonts w:ascii="Garamond" w:hAnsi="Garamond"/>
          <w:sz w:val="24"/>
          <w:szCs w:val="24"/>
        </w:rPr>
        <w:t>explorar</w:t>
      </w:r>
      <w:r w:rsidRPr="00537118">
        <w:rPr>
          <w:rFonts w:ascii="Garamond" w:hAnsi="Garamond"/>
          <w:sz w:val="24"/>
          <w:szCs w:val="24"/>
        </w:rPr>
        <w:t xml:space="preserve"> mercados com elevado potencial para os produtos fabricados - neste caso, os ESS. Um outro aspeto relevante analisado foi o da reduzida disponibilidade de recursos para o processo de internacionalização, assim como algumas das barreiras gerais e espec</w:t>
      </w:r>
      <w:r w:rsidR="008E4269" w:rsidRPr="00537118">
        <w:rPr>
          <w:rFonts w:ascii="Garamond" w:hAnsi="Garamond"/>
          <w:sz w:val="24"/>
          <w:szCs w:val="24"/>
        </w:rPr>
        <w:t>í</w:t>
      </w:r>
      <w:r w:rsidRPr="00537118">
        <w:rPr>
          <w:rFonts w:ascii="Garamond" w:hAnsi="Garamond"/>
          <w:sz w:val="24"/>
          <w:szCs w:val="24"/>
        </w:rPr>
        <w:t xml:space="preserve">ficas inerentes à internacionalização de uma empresa deste setor, dimensão e produtos. Algumas destas barreiras explicitadas incluem o fator tempo, os regulamentos e a política das matérias-primas e dos produtos em si, assim como a concorrência de grandes empresas globais, com enorme reputação. </w:t>
      </w:r>
    </w:p>
    <w:p w14:paraId="1B21DCE5" w14:textId="77777777" w:rsidR="00DE7E12" w:rsidRPr="00537118" w:rsidRDefault="00DE7E12" w:rsidP="00DE7E12">
      <w:pPr>
        <w:spacing w:line="360" w:lineRule="auto"/>
        <w:jc w:val="both"/>
        <w:rPr>
          <w:rFonts w:ascii="Garamond" w:hAnsi="Garamond"/>
          <w:sz w:val="24"/>
          <w:szCs w:val="24"/>
        </w:rPr>
      </w:pPr>
      <w:r w:rsidRPr="00537118">
        <w:rPr>
          <w:rFonts w:ascii="Garamond" w:hAnsi="Garamond"/>
          <w:sz w:val="24"/>
          <w:szCs w:val="24"/>
        </w:rPr>
        <w:t xml:space="preserve">De seguida, passou-se a determinar, mediante um </w:t>
      </w:r>
      <w:r w:rsidRPr="00537118">
        <w:rPr>
          <w:rFonts w:ascii="Garamond" w:hAnsi="Garamond"/>
          <w:i/>
          <w:sz w:val="24"/>
          <w:szCs w:val="24"/>
        </w:rPr>
        <w:t>framework</w:t>
      </w:r>
      <w:r w:rsidRPr="00537118">
        <w:rPr>
          <w:rFonts w:ascii="Garamond" w:hAnsi="Garamond"/>
          <w:sz w:val="24"/>
          <w:szCs w:val="24"/>
        </w:rPr>
        <w:t xml:space="preserve"> adaptado e sucessivas fases de triagem, três mercados atraentes para o processo de internacionalização. Tal como fora referido, este processo de triagem fundamentou-se num conjunto específico de indicadores e na respetiva justificação individual. Dentro destes, foram incluídos indicadores referentes à capacidade instalada de produção de energia solar, à incidência solar corrigida para a produção de dita energia, mas também indicadores ligados à preocupação e interesse ambiental dos mercados em análise e o custo da eletricidade para 1 Kilowatt/hora (só para referir alguns). </w:t>
      </w:r>
    </w:p>
    <w:p w14:paraId="7D240DA9" w14:textId="77777777" w:rsidR="00DE7E12" w:rsidRPr="00537118" w:rsidRDefault="00DE7E12" w:rsidP="00DE7E12">
      <w:pPr>
        <w:spacing w:line="360" w:lineRule="auto"/>
        <w:jc w:val="both"/>
        <w:rPr>
          <w:rFonts w:ascii="Garamond" w:hAnsi="Garamond"/>
          <w:sz w:val="24"/>
          <w:szCs w:val="24"/>
        </w:rPr>
      </w:pPr>
      <w:r w:rsidRPr="00537118">
        <w:rPr>
          <w:rFonts w:ascii="Garamond" w:hAnsi="Garamond"/>
          <w:sz w:val="24"/>
          <w:szCs w:val="24"/>
        </w:rPr>
        <w:lastRenderedPageBreak/>
        <w:t xml:space="preserve">No fim deste processo, tendo identificado os três mercados propostos para a empresa, ideou-se, com base na compilação de características dos próprios mercados e da própria empresa, os modos de entrada mais adequados, de forma a garantir um processo de internacionalização adequado à BateriasX. Assim, determinou-se que o Reino Unido e a Austrália seriam escolhas plausíveis e que seria recomendada uma entrada através de alianças estratégicas - eventualmente, transitando para a </w:t>
      </w:r>
      <w:r w:rsidRPr="00537118">
        <w:rPr>
          <w:rFonts w:ascii="Garamond" w:hAnsi="Garamond"/>
          <w:i/>
          <w:sz w:val="24"/>
          <w:szCs w:val="24"/>
        </w:rPr>
        <w:t>Joint venture</w:t>
      </w:r>
      <w:r w:rsidRPr="00537118">
        <w:rPr>
          <w:rFonts w:ascii="Garamond" w:hAnsi="Garamond"/>
          <w:sz w:val="24"/>
          <w:szCs w:val="24"/>
        </w:rPr>
        <w:t xml:space="preserve">. Por outro lado, no caso da Alemanha, as características do mercado sugerem uma abordagem diferente, como seja a da exportação direta, culminando numa </w:t>
      </w:r>
      <w:r w:rsidRPr="00537118">
        <w:rPr>
          <w:rFonts w:ascii="Garamond" w:hAnsi="Garamond"/>
          <w:i/>
          <w:sz w:val="24"/>
          <w:szCs w:val="24"/>
        </w:rPr>
        <w:t>Joint venture</w:t>
      </w:r>
      <w:r w:rsidRPr="00537118">
        <w:rPr>
          <w:rFonts w:ascii="Garamond" w:hAnsi="Garamond"/>
          <w:sz w:val="24"/>
          <w:szCs w:val="24"/>
        </w:rPr>
        <w:t xml:space="preserve">. </w:t>
      </w:r>
    </w:p>
    <w:p w14:paraId="6B2D0FBE" w14:textId="3FF081B2" w:rsidR="00DE7E12" w:rsidRPr="00537118" w:rsidRDefault="00DE7E12" w:rsidP="00DE7E12">
      <w:pPr>
        <w:spacing w:line="360" w:lineRule="auto"/>
        <w:jc w:val="both"/>
        <w:rPr>
          <w:rFonts w:ascii="Garamond" w:hAnsi="Garamond"/>
          <w:sz w:val="24"/>
          <w:szCs w:val="24"/>
        </w:rPr>
      </w:pPr>
      <w:r w:rsidRPr="00537118">
        <w:rPr>
          <w:rFonts w:ascii="Garamond" w:hAnsi="Garamond"/>
          <w:sz w:val="24"/>
          <w:szCs w:val="24"/>
        </w:rPr>
        <w:t>Considero que a oportunidade de estagiar na Accelper Consultin</w:t>
      </w:r>
      <w:r w:rsidR="005F31EB" w:rsidRPr="00537118">
        <w:rPr>
          <w:rFonts w:ascii="Garamond" w:hAnsi="Garamond"/>
          <w:sz w:val="24"/>
          <w:szCs w:val="24"/>
        </w:rPr>
        <w:t>g</w:t>
      </w:r>
      <w:r w:rsidRPr="00537118">
        <w:rPr>
          <w:rFonts w:ascii="Garamond" w:hAnsi="Garamond"/>
          <w:sz w:val="24"/>
          <w:szCs w:val="24"/>
        </w:rPr>
        <w:t xml:space="preserve"> Iberia me permitiu solidificar alguns conceitos essenciais à internacionalização das organizações, mas também reafirmar a minha perspetiva sobre o papel das consultoras no sucesso do teor empresarial, como um todo (especialmente, no que diz respeito à internacionalização da atividade das empresas portuguesas). Adicionalmente, pude verificar em primeiro plano algumas boas práticas e detalhes diferenciadores no mercado de trabalho, face a outras empresas do mesmo ramo, estando em contacto com clientes de todo o tipo de indústrias e setores. Quanto à minha passagem pela empresa, espero ter tido um impacto positivo e inovador, no que se refere às tarefas desempenhadas e à realização do processo de internacionalização da BateriasX</w:t>
      </w:r>
      <w:r w:rsidR="006F5E23" w:rsidRPr="00537118">
        <w:rPr>
          <w:rFonts w:ascii="Garamond" w:hAnsi="Garamond"/>
          <w:sz w:val="24"/>
          <w:szCs w:val="24"/>
        </w:rPr>
        <w:t>, assim como</w:t>
      </w:r>
      <w:r w:rsidRPr="00537118">
        <w:rPr>
          <w:rFonts w:ascii="Garamond" w:hAnsi="Garamond"/>
          <w:sz w:val="24"/>
          <w:szCs w:val="24"/>
        </w:rPr>
        <w:t xml:space="preserve"> ter partilhado com sucesso novas perspetivas próprias e conhecimentos oriundos do Mestrado em economia e gestão internacional. </w:t>
      </w:r>
    </w:p>
    <w:p w14:paraId="21BA1FEE" w14:textId="69060185" w:rsidR="00D35352" w:rsidRPr="00537118" w:rsidRDefault="00DE7E12" w:rsidP="00DE7E12">
      <w:pPr>
        <w:spacing w:line="360" w:lineRule="auto"/>
        <w:jc w:val="both"/>
        <w:rPr>
          <w:rFonts w:ascii="Garamond" w:hAnsi="Garamond"/>
          <w:sz w:val="24"/>
          <w:szCs w:val="24"/>
        </w:rPr>
      </w:pPr>
      <w:r w:rsidRPr="00537118">
        <w:rPr>
          <w:rFonts w:ascii="Garamond" w:hAnsi="Garamond"/>
          <w:sz w:val="24"/>
          <w:szCs w:val="24"/>
        </w:rPr>
        <w:t xml:space="preserve">Finalmente, se me fosse possível, apenas modificaria o facto de não ter podido concluir o tema dos modos de entrada atempadamente, devido à duração do processo de desenvolvimento do plano de internacionalização (interdependente da duração do estágio curricular), tendo ficado esta etapa para posteriormente a cumprir. Gostaria ainda de ter tido um contacto mais íntimo com a empresa de baterias, uma vez que poderia ter sido benéfico para o plano de internacionalização, resultando, possivelmente, numa proposta mais elaborada e sólida. </w:t>
      </w:r>
    </w:p>
    <w:p w14:paraId="4EECE7F0" w14:textId="77777777" w:rsidR="004D5473" w:rsidRPr="00537118" w:rsidRDefault="004D5473">
      <w:pPr>
        <w:rPr>
          <w:rFonts w:ascii="Garamond" w:hAnsi="Garamond"/>
          <w:sz w:val="24"/>
          <w:szCs w:val="24"/>
        </w:rPr>
      </w:pPr>
      <w:r w:rsidRPr="00537118">
        <w:rPr>
          <w:rFonts w:ascii="Garamond" w:hAnsi="Garamond"/>
          <w:sz w:val="24"/>
          <w:szCs w:val="24"/>
        </w:rPr>
        <w:br w:type="page"/>
      </w:r>
    </w:p>
    <w:p w14:paraId="47FB7E64" w14:textId="77777777" w:rsidR="001C417B" w:rsidRPr="00537118" w:rsidRDefault="001C417B" w:rsidP="00CC12D6">
      <w:pPr>
        <w:pStyle w:val="Heading1"/>
        <w:spacing w:before="0" w:after="0" w:line="360" w:lineRule="auto"/>
      </w:pPr>
      <w:bookmarkStart w:id="26" w:name="_Toc202571365"/>
      <w:r w:rsidRPr="00537118">
        <w:lastRenderedPageBreak/>
        <w:t>Referências bibliográficas</w:t>
      </w:r>
      <w:bookmarkEnd w:id="26"/>
    </w:p>
    <w:p w14:paraId="162C8E02" w14:textId="77777777" w:rsidR="001C417B" w:rsidRPr="00A8007D" w:rsidRDefault="001C417B" w:rsidP="00CC12D6">
      <w:pPr>
        <w:spacing w:after="0" w:line="360" w:lineRule="auto"/>
        <w:ind w:left="720" w:hanging="720"/>
        <w:jc w:val="both"/>
        <w:rPr>
          <w:rFonts w:ascii="Garamond" w:hAnsi="Garamond"/>
          <w:sz w:val="24"/>
          <w:szCs w:val="24"/>
          <w:lang w:val="en-US"/>
        </w:rPr>
      </w:pPr>
      <w:r w:rsidRPr="00E13B57">
        <w:rPr>
          <w:rFonts w:ascii="Garamond" w:hAnsi="Garamond"/>
          <w:sz w:val="24"/>
          <w:szCs w:val="24"/>
          <w:lang w:val="en-US"/>
        </w:rPr>
        <w:t xml:space="preserve">Agarwal, S., &amp; Ramaswami, S. N. (1992). </w:t>
      </w:r>
      <w:r w:rsidRPr="00A8007D">
        <w:rPr>
          <w:rFonts w:ascii="Garamond" w:hAnsi="Garamond"/>
          <w:sz w:val="24"/>
          <w:szCs w:val="24"/>
          <w:lang w:val="en-US"/>
        </w:rPr>
        <w:t xml:space="preserve">Choice of foreign market entry mode: Impact of ownership, location and internalization factors. </w:t>
      </w:r>
      <w:r w:rsidRPr="00E13B57">
        <w:rPr>
          <w:rFonts w:ascii="Garamond" w:hAnsi="Garamond"/>
          <w:i/>
          <w:iCs/>
          <w:sz w:val="24"/>
          <w:szCs w:val="24"/>
          <w:lang w:val="en-US"/>
        </w:rPr>
        <w:t>Journal of International Business Studies</w:t>
      </w:r>
      <w:r w:rsidRPr="00A8007D">
        <w:rPr>
          <w:rFonts w:ascii="Garamond" w:hAnsi="Garamond"/>
          <w:sz w:val="24"/>
          <w:szCs w:val="24"/>
          <w:lang w:val="en-US"/>
        </w:rPr>
        <w:t xml:space="preserve">, 23(1), 1-27. doi:10.1057/palgrave.jibs.8490257 </w:t>
      </w:r>
    </w:p>
    <w:p w14:paraId="4650A7BC" w14:textId="77777777" w:rsidR="001C417B" w:rsidRPr="00A8007D" w:rsidRDefault="001C417B" w:rsidP="00CC12D6">
      <w:pPr>
        <w:spacing w:after="0" w:line="360" w:lineRule="auto"/>
        <w:ind w:left="720" w:hanging="720"/>
        <w:jc w:val="both"/>
        <w:rPr>
          <w:rFonts w:ascii="Garamond" w:hAnsi="Garamond"/>
          <w:sz w:val="24"/>
          <w:szCs w:val="24"/>
          <w:lang w:val="en-US"/>
        </w:rPr>
      </w:pPr>
      <w:r w:rsidRPr="00A8007D">
        <w:rPr>
          <w:rFonts w:ascii="Garamond" w:hAnsi="Garamond"/>
          <w:sz w:val="24"/>
          <w:szCs w:val="24"/>
          <w:lang w:val="en-US"/>
        </w:rPr>
        <w:t xml:space="preserve">Allen, I. (2016). International Entrepreneurship Theory: Past, Present and Way Forward. </w:t>
      </w:r>
      <w:r w:rsidRPr="00A8007D">
        <w:rPr>
          <w:rFonts w:ascii="Garamond" w:hAnsi="Garamond"/>
          <w:i/>
          <w:iCs/>
          <w:sz w:val="24"/>
          <w:szCs w:val="24"/>
          <w:lang w:val="en-US"/>
        </w:rPr>
        <w:t>Entrepreneurial Business and Economics Review, 4</w:t>
      </w:r>
      <w:r w:rsidRPr="00A8007D">
        <w:rPr>
          <w:rFonts w:ascii="Garamond" w:hAnsi="Garamond"/>
          <w:sz w:val="24"/>
          <w:szCs w:val="24"/>
          <w:lang w:val="en-US"/>
        </w:rPr>
        <w:t xml:space="preserve">(4), 93-103, DOI: http://dx.doi.org/10.15678/EBER.2016.040406 </w:t>
      </w:r>
    </w:p>
    <w:p w14:paraId="1F3FBC4D" w14:textId="77777777" w:rsidR="001C417B" w:rsidRPr="00BB4F38" w:rsidRDefault="001C417B" w:rsidP="00CC12D6">
      <w:pPr>
        <w:spacing w:after="0" w:line="360" w:lineRule="auto"/>
        <w:ind w:left="720" w:hanging="720"/>
        <w:jc w:val="both"/>
        <w:rPr>
          <w:rFonts w:ascii="Garamond" w:hAnsi="Garamond"/>
          <w:sz w:val="24"/>
          <w:szCs w:val="24"/>
          <w:lang w:val="en-US"/>
        </w:rPr>
      </w:pPr>
      <w:r w:rsidRPr="00A8007D">
        <w:rPr>
          <w:rFonts w:ascii="Garamond" w:hAnsi="Garamond"/>
          <w:sz w:val="24"/>
          <w:szCs w:val="24"/>
          <w:lang w:val="en-US"/>
        </w:rPr>
        <w:t xml:space="preserve">Andersen, O. (1993). On the internationalization process of firms: a critical analysis. </w:t>
      </w:r>
      <w:r w:rsidRPr="00A8007D">
        <w:rPr>
          <w:rFonts w:ascii="Garamond" w:hAnsi="Garamond"/>
          <w:i/>
          <w:iCs/>
          <w:sz w:val="24"/>
          <w:szCs w:val="24"/>
          <w:lang w:val="en-US"/>
        </w:rPr>
        <w:t>Journal of International Business Studies, 24</w:t>
      </w:r>
      <w:r w:rsidRPr="00A8007D">
        <w:rPr>
          <w:rFonts w:ascii="Garamond" w:hAnsi="Garamond"/>
          <w:sz w:val="24"/>
          <w:szCs w:val="24"/>
          <w:lang w:val="en-US"/>
        </w:rPr>
        <w:t>, 209–231.</w:t>
      </w:r>
      <w:r>
        <w:rPr>
          <w:rFonts w:ascii="Garamond" w:hAnsi="Garamond"/>
          <w:sz w:val="24"/>
          <w:szCs w:val="24"/>
          <w:lang w:val="en-US"/>
        </w:rPr>
        <w:t xml:space="preserve"> </w:t>
      </w:r>
      <w:r w:rsidRPr="00BB4F38">
        <w:rPr>
          <w:rFonts w:ascii="Garamond" w:hAnsi="Garamond"/>
          <w:sz w:val="24"/>
          <w:szCs w:val="24"/>
          <w:lang w:val="en-US"/>
        </w:rPr>
        <w:t>https://doi.org/10.1057/palgrave.jibs.8490230</w:t>
      </w:r>
    </w:p>
    <w:p w14:paraId="6B27AA1D" w14:textId="77777777" w:rsidR="001C417B" w:rsidRPr="00A8007D" w:rsidRDefault="001C417B" w:rsidP="00CC12D6">
      <w:pPr>
        <w:spacing w:after="0" w:line="360" w:lineRule="auto"/>
        <w:ind w:left="720" w:hanging="720"/>
        <w:jc w:val="both"/>
        <w:rPr>
          <w:rFonts w:ascii="Garamond" w:hAnsi="Garamond"/>
          <w:sz w:val="24"/>
          <w:szCs w:val="24"/>
          <w:lang w:val="en-US"/>
        </w:rPr>
      </w:pPr>
      <w:r w:rsidRPr="00A8007D">
        <w:rPr>
          <w:rFonts w:ascii="Garamond" w:hAnsi="Garamond"/>
          <w:sz w:val="24"/>
          <w:szCs w:val="24"/>
          <w:lang w:val="en-US"/>
        </w:rPr>
        <w:t xml:space="preserve">Anderson, E., &amp; Gatignon, H. (1986). Modes of Foreign Entry: A Transaction Cost Analysis and Propositions. </w:t>
      </w:r>
      <w:r w:rsidRPr="00A8007D">
        <w:rPr>
          <w:rFonts w:ascii="Garamond" w:hAnsi="Garamond"/>
          <w:i/>
          <w:iCs/>
          <w:sz w:val="24"/>
          <w:szCs w:val="24"/>
          <w:lang w:val="en-US"/>
        </w:rPr>
        <w:t>Journal of International Business Studies</w:t>
      </w:r>
      <w:r w:rsidRPr="00A8007D">
        <w:rPr>
          <w:rFonts w:ascii="Garamond" w:hAnsi="Garamond"/>
          <w:sz w:val="24"/>
          <w:szCs w:val="24"/>
          <w:lang w:val="en-US"/>
        </w:rPr>
        <w:t xml:space="preserve">, </w:t>
      </w:r>
      <w:r w:rsidRPr="00A8007D">
        <w:rPr>
          <w:rFonts w:ascii="Garamond" w:hAnsi="Garamond"/>
          <w:i/>
          <w:iCs/>
          <w:sz w:val="24"/>
          <w:szCs w:val="24"/>
          <w:lang w:val="en-US"/>
        </w:rPr>
        <w:t>17</w:t>
      </w:r>
      <w:r w:rsidRPr="00A8007D">
        <w:rPr>
          <w:rFonts w:ascii="Garamond" w:hAnsi="Garamond"/>
          <w:sz w:val="24"/>
          <w:szCs w:val="24"/>
          <w:lang w:val="en-US"/>
        </w:rPr>
        <w:t>(3), 1–26. http://www.jstor.org/stable/154930</w:t>
      </w:r>
    </w:p>
    <w:p w14:paraId="6BB61A10" w14:textId="77777777" w:rsidR="001C417B" w:rsidRPr="00A8007D" w:rsidRDefault="001C417B" w:rsidP="00CC12D6">
      <w:pPr>
        <w:spacing w:after="0" w:line="360" w:lineRule="auto"/>
        <w:ind w:left="720" w:hanging="720"/>
        <w:jc w:val="both"/>
        <w:rPr>
          <w:rFonts w:ascii="Garamond" w:hAnsi="Garamond"/>
          <w:sz w:val="24"/>
          <w:szCs w:val="24"/>
          <w:lang w:val="en-US"/>
        </w:rPr>
      </w:pPr>
      <w:r w:rsidRPr="004768D8">
        <w:rPr>
          <w:rFonts w:ascii="Garamond" w:hAnsi="Garamond"/>
          <w:sz w:val="24"/>
          <w:szCs w:val="24"/>
          <w:lang w:val="en-US"/>
        </w:rPr>
        <w:t>Autio,</w:t>
      </w:r>
      <w:r w:rsidRPr="00A8007D">
        <w:rPr>
          <w:rFonts w:ascii="Garamond" w:hAnsi="Garamond"/>
          <w:sz w:val="24"/>
          <w:szCs w:val="24"/>
          <w:lang w:val="en-US"/>
        </w:rPr>
        <w:t xml:space="preserve"> E., Sapienza, H. and Almeida, J. (2000) ‘Effects of age at entry, knowledge intensity, and imitability on international growth’, </w:t>
      </w:r>
      <w:r w:rsidRPr="00A8007D">
        <w:rPr>
          <w:rFonts w:ascii="Garamond" w:hAnsi="Garamond"/>
          <w:i/>
          <w:iCs/>
          <w:sz w:val="24"/>
          <w:szCs w:val="24"/>
          <w:lang w:val="en-US"/>
        </w:rPr>
        <w:t>Academy of Management Journal 43</w:t>
      </w:r>
      <w:r w:rsidRPr="00A8007D">
        <w:rPr>
          <w:rFonts w:ascii="Garamond" w:hAnsi="Garamond"/>
          <w:sz w:val="24"/>
          <w:szCs w:val="24"/>
          <w:lang w:val="en-US"/>
        </w:rPr>
        <w:t>(5): 909–924</w:t>
      </w:r>
      <w:r>
        <w:rPr>
          <w:rFonts w:ascii="Garamond" w:hAnsi="Garamond"/>
          <w:sz w:val="24"/>
          <w:szCs w:val="24"/>
          <w:lang w:val="en-US"/>
        </w:rPr>
        <w:t>. doi</w:t>
      </w:r>
      <w:r w:rsidRPr="004768D8">
        <w:rPr>
          <w:rFonts w:ascii="Garamond" w:hAnsi="Garamond"/>
          <w:sz w:val="24"/>
          <w:szCs w:val="24"/>
          <w:lang w:val="en-US"/>
        </w:rPr>
        <w:t>: 10.2307/1556419</w:t>
      </w:r>
    </w:p>
    <w:p w14:paraId="4412B7A5" w14:textId="77777777" w:rsidR="001C417B" w:rsidRPr="00A8007D" w:rsidRDefault="001C417B" w:rsidP="00CC12D6">
      <w:pPr>
        <w:spacing w:after="0" w:line="360" w:lineRule="auto"/>
        <w:ind w:left="720" w:hanging="720"/>
        <w:jc w:val="both"/>
        <w:rPr>
          <w:rFonts w:ascii="Garamond" w:hAnsi="Garamond"/>
          <w:sz w:val="24"/>
          <w:szCs w:val="24"/>
          <w:lang w:val="en-US"/>
        </w:rPr>
      </w:pPr>
      <w:r w:rsidRPr="00A8007D">
        <w:rPr>
          <w:rFonts w:ascii="Garamond" w:hAnsi="Garamond"/>
          <w:sz w:val="24"/>
          <w:szCs w:val="24"/>
          <w:lang w:val="en-US"/>
        </w:rPr>
        <w:t xml:space="preserve">Benalcazar, P., Kalka, M., &amp; Kamiński, J. (2024). From consumer to prosumer: A model-based analysis of costs and benefits of grid-connected residential PV-battery systems. </w:t>
      </w:r>
      <w:r w:rsidRPr="00A8007D">
        <w:rPr>
          <w:rFonts w:ascii="Garamond" w:hAnsi="Garamond"/>
          <w:i/>
          <w:iCs/>
          <w:sz w:val="24"/>
          <w:szCs w:val="24"/>
          <w:lang w:val="en-US"/>
        </w:rPr>
        <w:t>Energy Policy</w:t>
      </w:r>
      <w:r w:rsidRPr="00A8007D">
        <w:rPr>
          <w:rFonts w:ascii="Garamond" w:hAnsi="Garamond"/>
          <w:sz w:val="24"/>
          <w:szCs w:val="24"/>
          <w:lang w:val="en-US"/>
        </w:rPr>
        <w:t xml:space="preserve">, </w:t>
      </w:r>
      <w:r w:rsidRPr="00A8007D">
        <w:rPr>
          <w:rFonts w:ascii="Garamond" w:hAnsi="Garamond"/>
          <w:i/>
          <w:iCs/>
          <w:sz w:val="24"/>
          <w:szCs w:val="24"/>
          <w:lang w:val="en-US"/>
        </w:rPr>
        <w:t>191</w:t>
      </w:r>
      <w:r w:rsidRPr="00A8007D">
        <w:rPr>
          <w:rFonts w:ascii="Garamond" w:hAnsi="Garamond"/>
          <w:sz w:val="24"/>
          <w:szCs w:val="24"/>
          <w:lang w:val="en-US"/>
        </w:rPr>
        <w:t xml:space="preserve">. </w:t>
      </w:r>
      <w:hyperlink r:id="rId10" w:history="1">
        <w:r w:rsidRPr="00A8007D">
          <w:rPr>
            <w:rStyle w:val="Hyperlink"/>
            <w:rFonts w:ascii="Garamond" w:hAnsi="Garamond"/>
            <w:sz w:val="24"/>
            <w:szCs w:val="24"/>
            <w:lang w:val="en-US"/>
          </w:rPr>
          <w:t>https://doi.org/10.1016/j.enpol.2024.114167</w:t>
        </w:r>
      </w:hyperlink>
    </w:p>
    <w:p w14:paraId="1D1C1B12" w14:textId="77777777" w:rsidR="001C417B" w:rsidRPr="00A8007D" w:rsidRDefault="001C417B" w:rsidP="00CC12D6">
      <w:pPr>
        <w:spacing w:after="0" w:line="360" w:lineRule="auto"/>
        <w:ind w:left="720" w:hanging="720"/>
        <w:jc w:val="both"/>
        <w:rPr>
          <w:rFonts w:ascii="Garamond" w:hAnsi="Garamond"/>
          <w:sz w:val="24"/>
          <w:szCs w:val="24"/>
          <w:lang w:val="en-US"/>
        </w:rPr>
      </w:pPr>
      <w:r w:rsidRPr="001F22AF">
        <w:rPr>
          <w:rFonts w:ascii="Garamond" w:hAnsi="Garamond"/>
          <w:sz w:val="24"/>
          <w:szCs w:val="24"/>
          <w:lang w:val="en-US"/>
        </w:rPr>
        <w:t>Benalcazar, P., Suski, A., &amp; Kamiński, J</w:t>
      </w:r>
      <w:r w:rsidRPr="001F22AF">
        <w:rPr>
          <w:rFonts w:ascii="Garamond" w:hAnsi="Garamond"/>
          <w:b/>
          <w:bCs/>
          <w:sz w:val="24"/>
          <w:szCs w:val="24"/>
          <w:lang w:val="en-US"/>
        </w:rPr>
        <w:t>.</w:t>
      </w:r>
      <w:r w:rsidRPr="001F22AF">
        <w:rPr>
          <w:rFonts w:ascii="Garamond" w:hAnsi="Garamond"/>
          <w:sz w:val="24"/>
          <w:szCs w:val="24"/>
          <w:lang w:val="en-US"/>
        </w:rPr>
        <w:t xml:space="preserve"> (2020). </w:t>
      </w:r>
      <w:r w:rsidRPr="00A8007D">
        <w:rPr>
          <w:rFonts w:ascii="Garamond" w:hAnsi="Garamond"/>
          <w:sz w:val="24"/>
          <w:szCs w:val="24"/>
          <w:lang w:val="en-US"/>
        </w:rPr>
        <w:t xml:space="preserve">The effects of capital and energy subsidies on the optimal design of microgrid systems. </w:t>
      </w:r>
      <w:r w:rsidRPr="00A8007D">
        <w:rPr>
          <w:rFonts w:ascii="Garamond" w:hAnsi="Garamond"/>
          <w:i/>
          <w:iCs/>
          <w:sz w:val="24"/>
          <w:szCs w:val="24"/>
          <w:lang w:val="en-US"/>
        </w:rPr>
        <w:t>Energies, 13</w:t>
      </w:r>
      <w:r w:rsidRPr="00A8007D">
        <w:rPr>
          <w:rFonts w:ascii="Garamond" w:hAnsi="Garamond"/>
          <w:sz w:val="24"/>
          <w:szCs w:val="24"/>
          <w:lang w:val="en-US"/>
        </w:rPr>
        <w:t xml:space="preserve">(4), 955. </w:t>
      </w:r>
      <w:hyperlink r:id="rId11" w:history="1">
        <w:r w:rsidRPr="00A8007D">
          <w:rPr>
            <w:rStyle w:val="Hyperlink"/>
            <w:rFonts w:ascii="Garamond" w:hAnsi="Garamond"/>
            <w:sz w:val="24"/>
            <w:szCs w:val="24"/>
            <w:lang w:val="en-US"/>
          </w:rPr>
          <w:t>https://doi.org/10.3390/en13040955</w:t>
        </w:r>
      </w:hyperlink>
    </w:p>
    <w:p w14:paraId="5A474B1E" w14:textId="77777777" w:rsidR="001C417B" w:rsidRDefault="001C417B" w:rsidP="00CC12D6">
      <w:pPr>
        <w:spacing w:after="0" w:line="360" w:lineRule="auto"/>
        <w:ind w:left="720" w:hanging="720"/>
        <w:jc w:val="both"/>
        <w:rPr>
          <w:rFonts w:ascii="Garamond" w:hAnsi="Garamond"/>
          <w:sz w:val="24"/>
          <w:szCs w:val="24"/>
          <w:lang w:val="en-US"/>
        </w:rPr>
      </w:pPr>
      <w:r w:rsidRPr="00A8007D">
        <w:rPr>
          <w:rFonts w:ascii="Garamond" w:hAnsi="Garamond"/>
          <w:sz w:val="24"/>
          <w:szCs w:val="24"/>
          <w:lang w:val="en-US"/>
        </w:rPr>
        <w:t xml:space="preserve">Benito, G. R., Petersen, B., &amp; Welch, L. S. (2009). Towards more realistic conceptualisations of foreign operation modes. </w:t>
      </w:r>
      <w:r w:rsidRPr="00AD1987">
        <w:rPr>
          <w:rFonts w:ascii="Garamond" w:hAnsi="Garamond"/>
          <w:i/>
          <w:iCs/>
          <w:sz w:val="24"/>
          <w:szCs w:val="24"/>
          <w:lang w:val="en-US"/>
        </w:rPr>
        <w:t>Journal of International Business Studies</w:t>
      </w:r>
      <w:r w:rsidRPr="00A8007D">
        <w:rPr>
          <w:rFonts w:ascii="Garamond" w:hAnsi="Garamond"/>
          <w:sz w:val="24"/>
          <w:szCs w:val="24"/>
          <w:lang w:val="en-US"/>
        </w:rPr>
        <w:t>, 40, 1455–1470.</w:t>
      </w:r>
      <w:r>
        <w:rPr>
          <w:rFonts w:ascii="Garamond" w:hAnsi="Garamond"/>
          <w:sz w:val="24"/>
          <w:szCs w:val="24"/>
          <w:lang w:val="en-US"/>
        </w:rPr>
        <w:t xml:space="preserve"> </w:t>
      </w:r>
      <w:hyperlink r:id="rId12" w:history="1">
        <w:r w:rsidRPr="00E13B57">
          <w:rPr>
            <w:rStyle w:val="Hyperlink"/>
            <w:rFonts w:ascii="Garamond" w:hAnsi="Garamond"/>
            <w:sz w:val="24"/>
            <w:szCs w:val="24"/>
            <w:lang w:val="en-US"/>
          </w:rPr>
          <w:t>https://doi.org/10.1057/jibs.2009.54</w:t>
        </w:r>
      </w:hyperlink>
      <w:r w:rsidRPr="00E13B57">
        <w:rPr>
          <w:rFonts w:ascii="Garamond" w:hAnsi="Garamond"/>
          <w:sz w:val="24"/>
          <w:szCs w:val="24"/>
          <w:lang w:val="en-US"/>
        </w:rPr>
        <w:t xml:space="preserve">. </w:t>
      </w:r>
    </w:p>
    <w:p w14:paraId="7C19A5F8" w14:textId="77777777" w:rsidR="001C417B" w:rsidRPr="00510DF8" w:rsidRDefault="001C417B" w:rsidP="00CC12D6">
      <w:pPr>
        <w:spacing w:after="0" w:line="360" w:lineRule="auto"/>
        <w:ind w:left="720" w:hanging="720"/>
        <w:jc w:val="both"/>
        <w:rPr>
          <w:lang w:val="en-US"/>
        </w:rPr>
      </w:pPr>
      <w:r w:rsidRPr="00E862EC">
        <w:rPr>
          <w:rFonts w:ascii="Garamond" w:hAnsi="Garamond"/>
          <w:sz w:val="24"/>
          <w:szCs w:val="24"/>
          <w:lang w:val="en-US"/>
        </w:rPr>
        <w:t>Block, S., Emerson, J. W., Esty, D. C., de Sherbinin, A., &amp; Wendling, Z. A</w:t>
      </w:r>
      <w:r w:rsidRPr="00E862EC">
        <w:rPr>
          <w:rFonts w:ascii="Garamond" w:hAnsi="Garamond"/>
          <w:b/>
          <w:bCs/>
          <w:sz w:val="24"/>
          <w:szCs w:val="24"/>
          <w:lang w:val="en-US"/>
        </w:rPr>
        <w:t>.</w:t>
      </w:r>
      <w:r w:rsidRPr="00E862EC">
        <w:rPr>
          <w:rFonts w:ascii="Garamond" w:hAnsi="Garamond"/>
          <w:sz w:val="24"/>
          <w:szCs w:val="24"/>
          <w:lang w:val="en-US"/>
        </w:rPr>
        <w:t xml:space="preserve"> (2024). </w:t>
      </w:r>
      <w:r w:rsidRPr="00E862EC">
        <w:rPr>
          <w:rFonts w:ascii="Garamond" w:hAnsi="Garamond"/>
          <w:i/>
          <w:iCs/>
          <w:sz w:val="24"/>
          <w:szCs w:val="24"/>
          <w:lang w:val="en-US"/>
        </w:rPr>
        <w:t>2024 Environmental Performance Index</w:t>
      </w:r>
      <w:r w:rsidRPr="00E862EC">
        <w:rPr>
          <w:rFonts w:ascii="Garamond" w:hAnsi="Garamond"/>
          <w:sz w:val="24"/>
          <w:szCs w:val="24"/>
          <w:lang w:val="en-US"/>
        </w:rPr>
        <w:t xml:space="preserve">. Yale Center for Environmental Law &amp; Policy. </w:t>
      </w:r>
      <w:hyperlink r:id="rId13" w:history="1">
        <w:r w:rsidRPr="00E862EC">
          <w:rPr>
            <w:rStyle w:val="Hyperlink"/>
            <w:rFonts w:ascii="Garamond" w:hAnsi="Garamond"/>
            <w:sz w:val="24"/>
            <w:szCs w:val="24"/>
            <w:lang w:val="en-US"/>
          </w:rPr>
          <w:t>https://epi.yale.edu</w:t>
        </w:r>
      </w:hyperlink>
    </w:p>
    <w:p w14:paraId="7F0126C2" w14:textId="77777777" w:rsidR="001C417B" w:rsidRPr="00A8007D" w:rsidRDefault="001C417B" w:rsidP="00CC12D6">
      <w:pPr>
        <w:spacing w:after="0" w:line="360" w:lineRule="auto"/>
        <w:ind w:left="720" w:hanging="720"/>
        <w:jc w:val="both"/>
        <w:rPr>
          <w:rFonts w:ascii="Garamond" w:hAnsi="Garamond"/>
          <w:sz w:val="24"/>
          <w:szCs w:val="24"/>
          <w:lang w:val="en-US"/>
        </w:rPr>
      </w:pPr>
      <w:r w:rsidRPr="00A8007D">
        <w:rPr>
          <w:rFonts w:ascii="Garamond" w:hAnsi="Garamond"/>
          <w:sz w:val="24"/>
          <w:szCs w:val="24"/>
          <w:lang w:val="en-US"/>
        </w:rPr>
        <w:t xml:space="preserve">Bridge, G., &amp; Faigen, E. (2022). Towards the lithium-ion battery production network: Thinking beyond mineral supply chains. </w:t>
      </w:r>
      <w:r w:rsidRPr="00A8007D">
        <w:rPr>
          <w:rFonts w:ascii="Garamond" w:hAnsi="Garamond"/>
          <w:i/>
          <w:iCs/>
          <w:sz w:val="24"/>
          <w:szCs w:val="24"/>
          <w:lang w:val="en-US"/>
        </w:rPr>
        <w:t>Energy Research &amp; Social Science, 89</w:t>
      </w:r>
      <w:r w:rsidRPr="00A8007D">
        <w:rPr>
          <w:rFonts w:ascii="Garamond" w:hAnsi="Garamond"/>
          <w:sz w:val="24"/>
          <w:szCs w:val="24"/>
          <w:lang w:val="en-US"/>
        </w:rPr>
        <w:t>, 102659. https://doi.org/10.1016/j.erss.2022.102659</w:t>
      </w:r>
    </w:p>
    <w:p w14:paraId="6A38D07E" w14:textId="77777777" w:rsidR="001C417B" w:rsidRPr="00A8007D" w:rsidRDefault="001C417B" w:rsidP="00CC12D6">
      <w:pPr>
        <w:spacing w:after="0" w:line="360" w:lineRule="auto"/>
        <w:ind w:left="720" w:hanging="720"/>
        <w:jc w:val="both"/>
        <w:rPr>
          <w:rFonts w:ascii="Garamond" w:hAnsi="Garamond"/>
          <w:sz w:val="24"/>
          <w:szCs w:val="24"/>
          <w:lang w:val="en-US"/>
        </w:rPr>
      </w:pPr>
      <w:r w:rsidRPr="00630049">
        <w:rPr>
          <w:rFonts w:ascii="Garamond" w:hAnsi="Garamond"/>
          <w:sz w:val="24"/>
          <w:szCs w:val="24"/>
          <w:lang w:val="en-US"/>
        </w:rPr>
        <w:lastRenderedPageBreak/>
        <w:t>Brouthers,</w:t>
      </w:r>
      <w:r w:rsidRPr="00A8007D">
        <w:rPr>
          <w:rFonts w:ascii="Garamond" w:hAnsi="Garamond"/>
          <w:sz w:val="24"/>
          <w:szCs w:val="24"/>
          <w:lang w:val="en-US"/>
        </w:rPr>
        <w:t xml:space="preserve"> K. D., Brouthers, L. E., &amp; Werner, S. (1996). Dunning’s eclectic theory and the smaller firm: The impact of ownership and locational advantages on the choice of entry- modes in the computer software industry. </w:t>
      </w:r>
      <w:r w:rsidRPr="00A8007D">
        <w:rPr>
          <w:rFonts w:ascii="Garamond" w:hAnsi="Garamond"/>
          <w:i/>
          <w:iCs/>
          <w:sz w:val="24"/>
          <w:szCs w:val="24"/>
          <w:lang w:val="en-US"/>
        </w:rPr>
        <w:t>International Business Review, 5</w:t>
      </w:r>
      <w:r w:rsidRPr="00A8007D">
        <w:rPr>
          <w:rFonts w:ascii="Garamond" w:hAnsi="Garamond"/>
          <w:sz w:val="24"/>
          <w:szCs w:val="24"/>
          <w:lang w:val="en-US"/>
        </w:rPr>
        <w:t>, 377–394</w:t>
      </w:r>
    </w:p>
    <w:p w14:paraId="20A360E5" w14:textId="77777777" w:rsidR="001C417B" w:rsidRPr="00A8007D" w:rsidRDefault="001C417B" w:rsidP="00CC12D6">
      <w:pPr>
        <w:spacing w:after="0" w:line="360" w:lineRule="auto"/>
        <w:ind w:left="720" w:hanging="720"/>
        <w:jc w:val="both"/>
        <w:rPr>
          <w:rFonts w:ascii="Garamond" w:hAnsi="Garamond"/>
          <w:sz w:val="24"/>
          <w:szCs w:val="24"/>
          <w:lang w:val="en-US"/>
        </w:rPr>
      </w:pPr>
      <w:r w:rsidRPr="00A8007D">
        <w:rPr>
          <w:rFonts w:ascii="Garamond" w:hAnsi="Garamond"/>
          <w:sz w:val="24"/>
          <w:szCs w:val="24"/>
          <w:lang w:val="en-US"/>
        </w:rPr>
        <w:t xml:space="preserve">Brouthers, K. D., Brouthers, L. E., &amp; Werner, S. (2008). Real options, international entry mode choice and performance. </w:t>
      </w:r>
      <w:r w:rsidRPr="00BA0DF4">
        <w:rPr>
          <w:rFonts w:ascii="Garamond" w:hAnsi="Garamond"/>
          <w:i/>
          <w:iCs/>
          <w:sz w:val="24"/>
          <w:szCs w:val="24"/>
          <w:lang w:val="en-US"/>
        </w:rPr>
        <w:t>Journal of Management Studies</w:t>
      </w:r>
      <w:r w:rsidRPr="00A8007D">
        <w:rPr>
          <w:rFonts w:ascii="Garamond" w:hAnsi="Garamond"/>
          <w:sz w:val="24"/>
          <w:szCs w:val="24"/>
          <w:lang w:val="en-US"/>
        </w:rPr>
        <w:t>, 45, 936–960.</w:t>
      </w:r>
      <w:r>
        <w:rPr>
          <w:rFonts w:ascii="Garamond" w:hAnsi="Garamond"/>
          <w:sz w:val="24"/>
          <w:szCs w:val="24"/>
          <w:lang w:val="en-US"/>
        </w:rPr>
        <w:t xml:space="preserve"> </w:t>
      </w:r>
      <w:hyperlink r:id="rId14" w:history="1">
        <w:r w:rsidRPr="00E13B57">
          <w:rPr>
            <w:rStyle w:val="Hyperlink"/>
            <w:rFonts w:ascii="Garamond" w:hAnsi="Garamond"/>
            <w:sz w:val="24"/>
            <w:szCs w:val="24"/>
            <w:lang w:val="en-US"/>
          </w:rPr>
          <w:t>https://doi.org/10.1111/j.1467-6486.2007.00753.x</w:t>
        </w:r>
      </w:hyperlink>
    </w:p>
    <w:p w14:paraId="36C8F2FB" w14:textId="77777777" w:rsidR="001C417B" w:rsidRDefault="001C417B" w:rsidP="00CC12D6">
      <w:pPr>
        <w:spacing w:after="0" w:line="360" w:lineRule="auto"/>
        <w:ind w:left="720" w:hanging="720"/>
        <w:jc w:val="both"/>
        <w:rPr>
          <w:rFonts w:ascii="Garamond" w:hAnsi="Garamond"/>
          <w:sz w:val="24"/>
          <w:szCs w:val="24"/>
          <w:lang w:val="en-US"/>
        </w:rPr>
      </w:pPr>
      <w:r w:rsidRPr="00A8007D">
        <w:rPr>
          <w:rFonts w:ascii="Garamond" w:hAnsi="Garamond"/>
          <w:sz w:val="24"/>
          <w:szCs w:val="24"/>
          <w:lang w:val="en-US"/>
        </w:rPr>
        <w:t xml:space="preserve">Burgel, O., &amp; Murray, G. C. (2000). The international market entry choices of start-up companies in high-technology industries. </w:t>
      </w:r>
      <w:r w:rsidRPr="00A8007D">
        <w:rPr>
          <w:rFonts w:ascii="Garamond" w:hAnsi="Garamond"/>
          <w:i/>
          <w:iCs/>
          <w:sz w:val="24"/>
          <w:szCs w:val="24"/>
          <w:lang w:val="en-US"/>
        </w:rPr>
        <w:t>Journal of International Marketing, 8</w:t>
      </w:r>
      <w:r w:rsidRPr="00A8007D">
        <w:rPr>
          <w:rFonts w:ascii="Garamond" w:hAnsi="Garamond"/>
          <w:sz w:val="24"/>
          <w:szCs w:val="24"/>
          <w:lang w:val="en-US"/>
        </w:rPr>
        <w:t>, 33–62.</w:t>
      </w:r>
      <w:r>
        <w:rPr>
          <w:rFonts w:ascii="Garamond" w:hAnsi="Garamond"/>
          <w:sz w:val="24"/>
          <w:szCs w:val="24"/>
          <w:lang w:val="en-US"/>
        </w:rPr>
        <w:t xml:space="preserve"> </w:t>
      </w:r>
      <w:hyperlink r:id="rId15" w:history="1">
        <w:r w:rsidRPr="00E13B57">
          <w:rPr>
            <w:rStyle w:val="Hyperlink"/>
            <w:rFonts w:ascii="Garamond" w:hAnsi="Garamond"/>
            <w:sz w:val="24"/>
            <w:szCs w:val="24"/>
            <w:lang w:val="en-US"/>
          </w:rPr>
          <w:t>https://doi.org/10.1509/jimk.8.2.33.19624</w:t>
        </w:r>
      </w:hyperlink>
    </w:p>
    <w:p w14:paraId="561E4D17" w14:textId="77777777" w:rsidR="001C417B" w:rsidRPr="00A8007D" w:rsidRDefault="001C417B" w:rsidP="00CC12D6">
      <w:pPr>
        <w:spacing w:after="0" w:line="360" w:lineRule="auto"/>
        <w:ind w:left="720" w:hanging="720"/>
        <w:jc w:val="both"/>
        <w:rPr>
          <w:rFonts w:ascii="Garamond" w:hAnsi="Garamond"/>
          <w:sz w:val="24"/>
          <w:szCs w:val="24"/>
          <w:lang w:val="en-US"/>
        </w:rPr>
      </w:pPr>
      <w:r w:rsidRPr="00AC531A">
        <w:rPr>
          <w:rFonts w:ascii="Garamond" w:hAnsi="Garamond"/>
          <w:sz w:val="24"/>
          <w:szCs w:val="24"/>
          <w:lang w:val="en-US"/>
        </w:rPr>
        <w:t xml:space="preserve">Bündnis Entwicklung Hilft &amp; Institute for International Law of Peace and Armed Conflict (IFHV). (2024). </w:t>
      </w:r>
      <w:r w:rsidRPr="00E13CA5">
        <w:rPr>
          <w:rFonts w:ascii="Garamond" w:hAnsi="Garamond"/>
          <w:i/>
          <w:iCs/>
          <w:sz w:val="24"/>
          <w:szCs w:val="24"/>
          <w:lang w:val="en-US"/>
        </w:rPr>
        <w:t>WorldRiskReport 2024: Multiple crises</w:t>
      </w:r>
      <w:r w:rsidRPr="00AC531A">
        <w:rPr>
          <w:rFonts w:ascii="Garamond" w:hAnsi="Garamond"/>
          <w:sz w:val="24"/>
          <w:szCs w:val="24"/>
          <w:lang w:val="en-US"/>
        </w:rPr>
        <w:t xml:space="preserve">. Ruhr-Universität Bochum &amp; Bündnis Entwicklung Hilft. </w:t>
      </w:r>
      <w:hyperlink r:id="rId16" w:tgtFrame="_new" w:history="1">
        <w:r w:rsidRPr="00C530C9">
          <w:rPr>
            <w:rFonts w:ascii="Garamond" w:hAnsi="Garamond"/>
            <w:sz w:val="24"/>
            <w:szCs w:val="24"/>
            <w:lang w:val="en-US"/>
          </w:rPr>
          <w:t>https://www.ifhv.de/publications/world-risk-report</w:t>
        </w:r>
      </w:hyperlink>
    </w:p>
    <w:p w14:paraId="63805740" w14:textId="77777777" w:rsidR="001C417B" w:rsidRPr="00A8007D" w:rsidRDefault="001C417B" w:rsidP="00CC12D6">
      <w:pPr>
        <w:spacing w:after="0" w:line="360" w:lineRule="auto"/>
        <w:ind w:left="720" w:hanging="720"/>
        <w:jc w:val="both"/>
        <w:rPr>
          <w:rFonts w:ascii="Garamond" w:hAnsi="Garamond"/>
          <w:sz w:val="24"/>
          <w:szCs w:val="24"/>
          <w:lang w:val="en-US"/>
        </w:rPr>
      </w:pPr>
      <w:r w:rsidRPr="00A8007D">
        <w:rPr>
          <w:rFonts w:ascii="Garamond" w:hAnsi="Garamond"/>
          <w:sz w:val="24"/>
          <w:szCs w:val="24"/>
          <w:lang w:val="en-US"/>
        </w:rPr>
        <w:t xml:space="preserve">Canabal, A., &amp; White, G. O. (2008). Entry mode research: Past and future. </w:t>
      </w:r>
      <w:r w:rsidRPr="00A8007D">
        <w:rPr>
          <w:rFonts w:ascii="Garamond" w:hAnsi="Garamond"/>
          <w:i/>
          <w:iCs/>
          <w:sz w:val="24"/>
          <w:szCs w:val="24"/>
          <w:lang w:val="en-US"/>
        </w:rPr>
        <w:t>International Business Review, 17</w:t>
      </w:r>
      <w:r w:rsidRPr="00A8007D">
        <w:rPr>
          <w:rFonts w:ascii="Garamond" w:hAnsi="Garamond"/>
          <w:sz w:val="24"/>
          <w:szCs w:val="24"/>
          <w:lang w:val="en-US"/>
        </w:rPr>
        <w:t>, 267–284.</w:t>
      </w:r>
      <w:r>
        <w:rPr>
          <w:rFonts w:ascii="Garamond" w:hAnsi="Garamond"/>
          <w:sz w:val="24"/>
          <w:szCs w:val="24"/>
          <w:lang w:val="en-US"/>
        </w:rPr>
        <w:t xml:space="preserve"> </w:t>
      </w:r>
      <w:hyperlink r:id="rId17" w:tgtFrame="_blank" w:tooltip="Persistent link using digital object identifier" w:history="1">
        <w:r w:rsidRPr="00E13B57">
          <w:rPr>
            <w:rStyle w:val="Hyperlink"/>
            <w:rFonts w:ascii="Garamond" w:hAnsi="Garamond"/>
            <w:sz w:val="24"/>
            <w:szCs w:val="24"/>
            <w:lang w:val="en-US"/>
          </w:rPr>
          <w:t>https://doi.org/10.1016/j.ibusrev.2008.01.003</w:t>
        </w:r>
      </w:hyperlink>
    </w:p>
    <w:p w14:paraId="4DA021AB" w14:textId="77777777" w:rsidR="001C417B" w:rsidRPr="00A8007D" w:rsidRDefault="001C417B" w:rsidP="00CC12D6">
      <w:pPr>
        <w:spacing w:after="0" w:line="360" w:lineRule="auto"/>
        <w:ind w:left="720" w:hanging="720"/>
        <w:jc w:val="both"/>
        <w:rPr>
          <w:rFonts w:ascii="Garamond" w:hAnsi="Garamond"/>
          <w:sz w:val="24"/>
          <w:szCs w:val="24"/>
          <w:lang w:val="en-US"/>
        </w:rPr>
      </w:pPr>
      <w:r w:rsidRPr="00A8007D">
        <w:rPr>
          <w:rFonts w:ascii="Garamond" w:hAnsi="Garamond"/>
          <w:sz w:val="24"/>
          <w:szCs w:val="24"/>
          <w:lang w:val="en-US"/>
        </w:rPr>
        <w:t xml:space="preserve">Cateora, P. &amp; Graham, J. </w:t>
      </w:r>
      <w:r>
        <w:rPr>
          <w:rFonts w:ascii="Garamond" w:hAnsi="Garamond"/>
          <w:sz w:val="24"/>
          <w:szCs w:val="24"/>
          <w:lang w:val="en-US"/>
        </w:rPr>
        <w:t>(</w:t>
      </w:r>
      <w:r w:rsidRPr="00A8007D">
        <w:rPr>
          <w:rFonts w:ascii="Garamond" w:hAnsi="Garamond"/>
          <w:sz w:val="24"/>
          <w:szCs w:val="24"/>
          <w:lang w:val="en-US"/>
        </w:rPr>
        <w:t>2001</w:t>
      </w:r>
      <w:r>
        <w:rPr>
          <w:rFonts w:ascii="Garamond" w:hAnsi="Garamond"/>
          <w:sz w:val="24"/>
          <w:szCs w:val="24"/>
          <w:lang w:val="en-US"/>
        </w:rPr>
        <w:t>)</w:t>
      </w:r>
      <w:r w:rsidRPr="00A8007D">
        <w:rPr>
          <w:rFonts w:ascii="Garamond" w:hAnsi="Garamond"/>
          <w:sz w:val="24"/>
          <w:szCs w:val="24"/>
          <w:lang w:val="en-US"/>
        </w:rPr>
        <w:t>. “International Marketing”. Edição McGraw-Hill</w:t>
      </w:r>
    </w:p>
    <w:p w14:paraId="13387AC9" w14:textId="77777777" w:rsidR="001C417B" w:rsidRPr="00A8007D" w:rsidRDefault="001C417B" w:rsidP="00CC12D6">
      <w:pPr>
        <w:spacing w:after="0" w:line="360" w:lineRule="auto"/>
        <w:ind w:left="720" w:hanging="720"/>
        <w:jc w:val="both"/>
        <w:rPr>
          <w:rFonts w:ascii="Garamond" w:hAnsi="Garamond"/>
          <w:sz w:val="24"/>
          <w:szCs w:val="24"/>
          <w:lang w:val="en-US"/>
        </w:rPr>
      </w:pPr>
      <w:r w:rsidRPr="00A8007D">
        <w:rPr>
          <w:rFonts w:ascii="Garamond" w:hAnsi="Garamond"/>
          <w:sz w:val="24"/>
          <w:szCs w:val="24"/>
          <w:lang w:val="en-US"/>
        </w:rPr>
        <w:t xml:space="preserve">Cavusgil, S. T., &amp; Knight, G. (2015). The born global firm: An entrepreneurial and capabilities perspective on early and rapid internationalization. </w:t>
      </w:r>
      <w:r w:rsidRPr="00A8007D">
        <w:rPr>
          <w:rFonts w:ascii="Garamond" w:hAnsi="Garamond"/>
          <w:i/>
          <w:iCs/>
          <w:sz w:val="24"/>
          <w:szCs w:val="24"/>
          <w:lang w:val="en-US"/>
        </w:rPr>
        <w:t>Journal of International Business Studies, 46</w:t>
      </w:r>
      <w:r w:rsidRPr="00A8007D">
        <w:rPr>
          <w:rFonts w:ascii="Garamond" w:hAnsi="Garamond"/>
          <w:sz w:val="24"/>
          <w:szCs w:val="24"/>
          <w:lang w:val="en-US"/>
        </w:rPr>
        <w:t xml:space="preserve">(1), 3–16. http://dx.doi.org/10.1057/jibs.2014.62. </w:t>
      </w:r>
    </w:p>
    <w:p w14:paraId="78CB2671" w14:textId="77777777" w:rsidR="001C417B" w:rsidRPr="00A8007D" w:rsidRDefault="001C417B" w:rsidP="00CC12D6">
      <w:pPr>
        <w:spacing w:after="0" w:line="360" w:lineRule="auto"/>
        <w:ind w:left="720" w:hanging="720"/>
        <w:jc w:val="both"/>
        <w:rPr>
          <w:rFonts w:ascii="Garamond" w:hAnsi="Garamond"/>
          <w:sz w:val="24"/>
          <w:szCs w:val="24"/>
          <w:lang w:val="en-US"/>
        </w:rPr>
      </w:pPr>
      <w:r w:rsidRPr="00A8007D">
        <w:rPr>
          <w:rFonts w:ascii="Garamond" w:hAnsi="Garamond"/>
          <w:sz w:val="24"/>
          <w:szCs w:val="24"/>
          <w:lang w:val="en-US"/>
        </w:rPr>
        <w:t>Chang, A., &amp; Bradsher, K. (2023, May 16). Can the world make an electric car battery without China</w:t>
      </w:r>
      <w:r>
        <w:rPr>
          <w:rFonts w:ascii="Garamond" w:hAnsi="Garamond"/>
          <w:sz w:val="24"/>
          <w:szCs w:val="24"/>
          <w:lang w:val="en-US"/>
        </w:rPr>
        <w:t xml:space="preserve"> </w:t>
      </w:r>
      <w:r w:rsidRPr="00A8007D">
        <w:rPr>
          <w:rFonts w:ascii="Garamond" w:hAnsi="Garamond"/>
          <w:i/>
          <w:iCs/>
          <w:sz w:val="24"/>
          <w:szCs w:val="24"/>
          <w:lang w:val="en-US"/>
        </w:rPr>
        <w:t>TheNewYorkTimes.</w:t>
      </w:r>
      <w:r>
        <w:rPr>
          <w:rFonts w:ascii="Garamond" w:hAnsi="Garamond"/>
          <w:i/>
          <w:iCs/>
          <w:sz w:val="24"/>
          <w:szCs w:val="24"/>
          <w:lang w:val="en-US"/>
        </w:rPr>
        <w:t xml:space="preserve"> </w:t>
      </w:r>
      <w:r w:rsidRPr="00A8007D">
        <w:rPr>
          <w:rFonts w:ascii="Garamond" w:hAnsi="Garamond"/>
          <w:sz w:val="24"/>
          <w:szCs w:val="24"/>
          <w:lang w:val="en-US"/>
        </w:rPr>
        <w:t>https://www.nytimes.com/interactive/2023/05/16/business/china-ev-battery.html</w:t>
      </w:r>
    </w:p>
    <w:p w14:paraId="248EAA73" w14:textId="77777777" w:rsidR="001C417B" w:rsidRPr="00A8007D" w:rsidRDefault="001C417B" w:rsidP="00CC12D6">
      <w:pPr>
        <w:spacing w:after="0" w:line="360" w:lineRule="auto"/>
        <w:ind w:left="720" w:hanging="720"/>
        <w:jc w:val="both"/>
        <w:rPr>
          <w:rFonts w:ascii="Garamond" w:hAnsi="Garamond"/>
          <w:sz w:val="24"/>
          <w:szCs w:val="24"/>
          <w:lang w:val="en-US"/>
        </w:rPr>
      </w:pPr>
      <w:r w:rsidRPr="00A8007D">
        <w:rPr>
          <w:rFonts w:ascii="Garamond" w:hAnsi="Garamond"/>
          <w:sz w:val="24"/>
          <w:szCs w:val="24"/>
          <w:lang w:val="en-US"/>
        </w:rPr>
        <w:t xml:space="preserve">Clark, T., &amp; Pugh, D. S. (2001). Foreign country priorities in the internationalization process: A measure and an exploratory test on British firms. </w:t>
      </w:r>
      <w:r w:rsidRPr="00A8007D">
        <w:rPr>
          <w:rFonts w:ascii="Garamond" w:hAnsi="Garamond"/>
          <w:i/>
          <w:iCs/>
          <w:sz w:val="24"/>
          <w:szCs w:val="24"/>
          <w:lang w:val="en-US"/>
        </w:rPr>
        <w:t>International Business review, 10</w:t>
      </w:r>
      <w:r w:rsidRPr="00A8007D">
        <w:rPr>
          <w:rFonts w:ascii="Garamond" w:hAnsi="Garamond"/>
          <w:sz w:val="24"/>
          <w:szCs w:val="24"/>
          <w:lang w:val="en-US"/>
        </w:rPr>
        <w:t xml:space="preserve">(3), 285–303. </w:t>
      </w:r>
      <w:hyperlink r:id="rId18" w:tgtFrame="_blank" w:tooltip="Persistent link using digital object identifier" w:history="1">
        <w:r w:rsidRPr="00E13B57">
          <w:rPr>
            <w:rStyle w:val="Hyperlink"/>
            <w:rFonts w:ascii="Garamond" w:hAnsi="Garamond"/>
            <w:sz w:val="24"/>
            <w:szCs w:val="24"/>
            <w:lang w:val="en-US"/>
          </w:rPr>
          <w:t>https://doi.org/10.1016/S0969-5931(01)00017-8</w:t>
        </w:r>
      </w:hyperlink>
    </w:p>
    <w:p w14:paraId="102DB8C0" w14:textId="77777777" w:rsidR="001C417B" w:rsidRPr="00A8007D" w:rsidRDefault="001C417B" w:rsidP="00CC12D6">
      <w:pPr>
        <w:spacing w:after="0" w:line="360" w:lineRule="auto"/>
        <w:ind w:left="720" w:hanging="720"/>
        <w:jc w:val="both"/>
        <w:rPr>
          <w:rFonts w:ascii="Garamond" w:hAnsi="Garamond"/>
          <w:sz w:val="24"/>
          <w:szCs w:val="24"/>
          <w:lang w:val="en-US"/>
        </w:rPr>
      </w:pPr>
      <w:r w:rsidRPr="00A8007D">
        <w:rPr>
          <w:rFonts w:ascii="Garamond" w:hAnsi="Garamond"/>
          <w:sz w:val="24"/>
          <w:szCs w:val="24"/>
          <w:lang w:val="en-US"/>
        </w:rPr>
        <w:t xml:space="preserve">Covin, J. G., &amp; Miller, D. (2014). International Entrepreneurial Orientation: Conceptual Considerations, Research Themes, Measurement Issues, and Future Research Directions. </w:t>
      </w:r>
      <w:r w:rsidRPr="00A8007D">
        <w:rPr>
          <w:rFonts w:ascii="Garamond" w:hAnsi="Garamond"/>
          <w:i/>
          <w:iCs/>
          <w:sz w:val="24"/>
          <w:szCs w:val="24"/>
          <w:lang w:val="en-US"/>
        </w:rPr>
        <w:t>Entrepreneurship Theory and Practice, 38</w:t>
      </w:r>
      <w:r w:rsidRPr="00A8007D">
        <w:rPr>
          <w:rFonts w:ascii="Garamond" w:hAnsi="Garamond"/>
          <w:sz w:val="24"/>
          <w:szCs w:val="24"/>
          <w:lang w:val="en-US"/>
        </w:rPr>
        <w:t xml:space="preserve">(1), 11-44. </w:t>
      </w:r>
      <w:hyperlink r:id="rId19" w:history="1">
        <w:r w:rsidRPr="00A8007D">
          <w:rPr>
            <w:rStyle w:val="Hyperlink"/>
            <w:rFonts w:ascii="Garamond" w:hAnsi="Garamond"/>
            <w:sz w:val="24"/>
            <w:szCs w:val="24"/>
            <w:lang w:val="en-US"/>
          </w:rPr>
          <w:t>https://doi.org/10.1111/etap.12027</w:t>
        </w:r>
      </w:hyperlink>
    </w:p>
    <w:p w14:paraId="45154F5A" w14:textId="77777777" w:rsidR="001C417B" w:rsidRPr="00A8007D" w:rsidRDefault="001C417B" w:rsidP="00CC12D6">
      <w:pPr>
        <w:spacing w:after="0" w:line="360" w:lineRule="auto"/>
        <w:ind w:left="720" w:hanging="720"/>
        <w:jc w:val="both"/>
        <w:rPr>
          <w:rFonts w:ascii="Garamond" w:hAnsi="Garamond"/>
          <w:sz w:val="24"/>
          <w:szCs w:val="24"/>
          <w:lang w:val="en-US"/>
        </w:rPr>
      </w:pPr>
      <w:r w:rsidRPr="005001FF">
        <w:rPr>
          <w:rFonts w:ascii="Garamond" w:hAnsi="Garamond"/>
          <w:sz w:val="24"/>
          <w:szCs w:val="24"/>
          <w:lang w:val="en-US"/>
        </w:rPr>
        <w:t xml:space="preserve">Cuervo-Cazurra, A., &amp; Narula, R. (2015). </w:t>
      </w:r>
      <w:r w:rsidRPr="00A8007D">
        <w:rPr>
          <w:rFonts w:ascii="Garamond" w:hAnsi="Garamond"/>
          <w:sz w:val="24"/>
          <w:szCs w:val="24"/>
          <w:lang w:val="en-US"/>
        </w:rPr>
        <w:t xml:space="preserve">A set of motives to unite them all?: Revisiting the principles and typology of internationalization motives. </w:t>
      </w:r>
      <w:r w:rsidRPr="00A8007D">
        <w:rPr>
          <w:rFonts w:ascii="Garamond" w:hAnsi="Garamond"/>
          <w:i/>
          <w:iCs/>
          <w:sz w:val="24"/>
          <w:szCs w:val="24"/>
          <w:lang w:val="en-US"/>
        </w:rPr>
        <w:t>Multinational Business Review</w:t>
      </w:r>
      <w:r w:rsidRPr="00A8007D">
        <w:rPr>
          <w:rFonts w:ascii="Garamond" w:hAnsi="Garamond"/>
          <w:sz w:val="24"/>
          <w:szCs w:val="24"/>
          <w:lang w:val="en-US"/>
        </w:rPr>
        <w:t xml:space="preserve">, </w:t>
      </w:r>
      <w:r w:rsidRPr="00A8007D">
        <w:rPr>
          <w:rFonts w:ascii="Garamond" w:hAnsi="Garamond"/>
          <w:i/>
          <w:iCs/>
          <w:sz w:val="24"/>
          <w:szCs w:val="24"/>
          <w:lang w:val="en-US"/>
        </w:rPr>
        <w:t>23</w:t>
      </w:r>
      <w:r w:rsidRPr="00A8007D">
        <w:rPr>
          <w:rFonts w:ascii="Garamond" w:hAnsi="Garamond"/>
          <w:sz w:val="24"/>
          <w:szCs w:val="24"/>
          <w:lang w:val="en-US"/>
        </w:rPr>
        <w:t>(1), 2–14. https://doi.org/10.1108/MBR-03-2015-0010</w:t>
      </w:r>
    </w:p>
    <w:p w14:paraId="5D9212F9" w14:textId="77777777" w:rsidR="001C417B" w:rsidRPr="00A8007D" w:rsidRDefault="001C417B" w:rsidP="00CC12D6">
      <w:pPr>
        <w:spacing w:after="0" w:line="360" w:lineRule="auto"/>
        <w:ind w:left="720" w:hanging="720"/>
        <w:jc w:val="both"/>
        <w:rPr>
          <w:rFonts w:ascii="Garamond" w:hAnsi="Garamond"/>
          <w:sz w:val="24"/>
          <w:szCs w:val="24"/>
          <w:lang w:val="en-US"/>
        </w:rPr>
      </w:pPr>
      <w:r w:rsidRPr="00A8007D">
        <w:rPr>
          <w:rFonts w:ascii="Garamond" w:hAnsi="Garamond"/>
          <w:sz w:val="24"/>
          <w:szCs w:val="24"/>
          <w:lang w:val="en-US"/>
        </w:rPr>
        <w:lastRenderedPageBreak/>
        <w:t xml:space="preserve">Dean, J. W., &amp; Sharfman, M. P. (1993). Procedural rationality in the strategic decision-making process. </w:t>
      </w:r>
      <w:r w:rsidRPr="00A8007D">
        <w:rPr>
          <w:rFonts w:ascii="Garamond" w:hAnsi="Garamond"/>
          <w:i/>
          <w:iCs/>
          <w:sz w:val="24"/>
          <w:szCs w:val="24"/>
          <w:lang w:val="en-US"/>
        </w:rPr>
        <w:t>Journal of Management Studies, 30</w:t>
      </w:r>
      <w:r w:rsidRPr="00A8007D">
        <w:rPr>
          <w:rFonts w:ascii="Garamond" w:hAnsi="Garamond"/>
          <w:sz w:val="24"/>
          <w:szCs w:val="24"/>
          <w:lang w:val="en-US"/>
        </w:rPr>
        <w:t>, 587–610.</w:t>
      </w:r>
      <w:r>
        <w:rPr>
          <w:rFonts w:ascii="Garamond" w:hAnsi="Garamond"/>
          <w:sz w:val="24"/>
          <w:szCs w:val="24"/>
          <w:lang w:val="en-US"/>
        </w:rPr>
        <w:t xml:space="preserve"> </w:t>
      </w:r>
      <w:r w:rsidRPr="00E13B57">
        <w:rPr>
          <w:rFonts w:ascii="Garamond" w:hAnsi="Garamond"/>
          <w:sz w:val="24"/>
          <w:szCs w:val="24"/>
          <w:lang w:val="en-US"/>
        </w:rPr>
        <w:t>DOI: 10.1111/j.1467-6486.1993.tb00317.x</w:t>
      </w:r>
    </w:p>
    <w:p w14:paraId="47EECE25" w14:textId="77777777" w:rsidR="001C417B" w:rsidRPr="00A8007D" w:rsidRDefault="001C417B" w:rsidP="00CC12D6">
      <w:pPr>
        <w:spacing w:after="0" w:line="360" w:lineRule="auto"/>
        <w:ind w:left="720" w:hanging="720"/>
        <w:jc w:val="both"/>
        <w:rPr>
          <w:rFonts w:ascii="Garamond" w:hAnsi="Garamond"/>
          <w:sz w:val="24"/>
          <w:szCs w:val="24"/>
          <w:lang w:val="en-US"/>
        </w:rPr>
      </w:pPr>
      <w:r w:rsidRPr="00A8007D">
        <w:rPr>
          <w:rFonts w:ascii="Garamond" w:hAnsi="Garamond"/>
          <w:sz w:val="24"/>
          <w:szCs w:val="24"/>
          <w:lang w:val="en-US"/>
        </w:rPr>
        <w:t>Deye</w:t>
      </w:r>
      <w:r w:rsidRPr="00A8007D">
        <w:rPr>
          <w:rFonts w:ascii="Garamond" w:hAnsi="Garamond"/>
          <w:b/>
          <w:bCs/>
          <w:sz w:val="24"/>
          <w:szCs w:val="24"/>
          <w:lang w:val="en-US"/>
        </w:rPr>
        <w:t>.</w:t>
      </w:r>
      <w:r w:rsidRPr="00A8007D">
        <w:rPr>
          <w:rFonts w:ascii="Garamond" w:hAnsi="Garamond"/>
          <w:sz w:val="24"/>
          <w:szCs w:val="24"/>
          <w:lang w:val="en-US"/>
        </w:rPr>
        <w:t xml:space="preserve"> (2023, May 06). </w:t>
      </w:r>
      <w:r w:rsidRPr="00A8007D">
        <w:rPr>
          <w:rFonts w:ascii="Garamond" w:hAnsi="Garamond"/>
          <w:i/>
          <w:iCs/>
          <w:sz w:val="24"/>
          <w:szCs w:val="24"/>
          <w:lang w:val="en-US"/>
        </w:rPr>
        <w:t>What is energy storage system?</w:t>
      </w:r>
      <w:r w:rsidRPr="00A8007D">
        <w:rPr>
          <w:rFonts w:ascii="Garamond" w:hAnsi="Garamond"/>
          <w:sz w:val="24"/>
          <w:szCs w:val="24"/>
          <w:lang w:val="en-US"/>
        </w:rPr>
        <w:t xml:space="preserve">. Deye. </w:t>
      </w:r>
      <w:hyperlink r:id="rId20" w:tgtFrame="_new" w:history="1">
        <w:r w:rsidRPr="00A8007D">
          <w:rPr>
            <w:rStyle w:val="Hyperlink"/>
            <w:rFonts w:ascii="Garamond" w:hAnsi="Garamond"/>
            <w:sz w:val="24"/>
            <w:szCs w:val="24"/>
            <w:lang w:val="en-US"/>
          </w:rPr>
          <w:t>https://deye.com/pt/what-is-energy-storage-system/</w:t>
        </w:r>
      </w:hyperlink>
      <w:r w:rsidRPr="00A8007D">
        <w:rPr>
          <w:rFonts w:ascii="Garamond" w:hAnsi="Garamond"/>
          <w:sz w:val="24"/>
          <w:szCs w:val="24"/>
          <w:lang w:val="en-US"/>
        </w:rPr>
        <w:t xml:space="preserve"> </w:t>
      </w:r>
    </w:p>
    <w:p w14:paraId="2F674CAA" w14:textId="77777777" w:rsidR="001C417B" w:rsidRPr="00A8007D" w:rsidRDefault="001C417B" w:rsidP="00CC12D6">
      <w:pPr>
        <w:spacing w:after="0" w:line="360" w:lineRule="auto"/>
        <w:ind w:left="720" w:hanging="720"/>
        <w:jc w:val="both"/>
        <w:rPr>
          <w:rFonts w:ascii="Garamond" w:hAnsi="Garamond"/>
          <w:sz w:val="24"/>
          <w:szCs w:val="24"/>
          <w:lang w:val="en-US"/>
        </w:rPr>
      </w:pPr>
      <w:r w:rsidRPr="00A8007D">
        <w:rPr>
          <w:rFonts w:ascii="Garamond" w:hAnsi="Garamond"/>
          <w:sz w:val="24"/>
          <w:szCs w:val="24"/>
          <w:lang w:val="en-US"/>
        </w:rPr>
        <w:t>Dow, D., &amp; Karunaratna, A</w:t>
      </w:r>
      <w:r w:rsidRPr="00A8007D">
        <w:rPr>
          <w:rFonts w:ascii="Garamond" w:hAnsi="Garamond"/>
          <w:b/>
          <w:bCs/>
          <w:sz w:val="24"/>
          <w:szCs w:val="24"/>
          <w:lang w:val="en-US"/>
        </w:rPr>
        <w:t>.</w:t>
      </w:r>
      <w:r w:rsidRPr="00A8007D">
        <w:rPr>
          <w:rFonts w:ascii="Garamond" w:hAnsi="Garamond"/>
          <w:sz w:val="24"/>
          <w:szCs w:val="24"/>
          <w:lang w:val="en-US"/>
        </w:rPr>
        <w:t xml:space="preserve"> (2006). Developing a multidimensional instrument to measure psychic distance stimuli. </w:t>
      </w:r>
      <w:r w:rsidRPr="00A8007D">
        <w:rPr>
          <w:rFonts w:ascii="Garamond" w:hAnsi="Garamond"/>
          <w:i/>
          <w:iCs/>
          <w:sz w:val="24"/>
          <w:szCs w:val="24"/>
          <w:lang w:val="en-US"/>
        </w:rPr>
        <w:t>Journal of International Business Studies, 37</w:t>
      </w:r>
      <w:r w:rsidRPr="00A8007D">
        <w:rPr>
          <w:rFonts w:ascii="Garamond" w:hAnsi="Garamond"/>
          <w:sz w:val="24"/>
          <w:szCs w:val="24"/>
          <w:lang w:val="en-US"/>
        </w:rPr>
        <w:t xml:space="preserve">(5), 578–602. </w:t>
      </w:r>
      <w:hyperlink r:id="rId21" w:history="1">
        <w:r w:rsidRPr="00A8007D">
          <w:rPr>
            <w:rStyle w:val="Hyperlink"/>
            <w:rFonts w:ascii="Garamond" w:hAnsi="Garamond"/>
            <w:sz w:val="24"/>
            <w:szCs w:val="24"/>
            <w:lang w:val="en-US"/>
          </w:rPr>
          <w:t>https://doi.org/10.1057/palgrave.jibs.8400221</w:t>
        </w:r>
      </w:hyperlink>
    </w:p>
    <w:p w14:paraId="28F4ECD4" w14:textId="77777777" w:rsidR="001C417B" w:rsidRDefault="001C417B" w:rsidP="00CC12D6">
      <w:pPr>
        <w:spacing w:after="0" w:line="360" w:lineRule="auto"/>
        <w:ind w:left="720" w:hanging="720"/>
        <w:jc w:val="both"/>
        <w:rPr>
          <w:rFonts w:ascii="Garamond" w:hAnsi="Garamond"/>
          <w:sz w:val="24"/>
          <w:szCs w:val="24"/>
          <w:lang w:val="en-US"/>
        </w:rPr>
      </w:pPr>
      <w:r w:rsidRPr="00A8007D">
        <w:rPr>
          <w:rFonts w:ascii="Garamond" w:hAnsi="Garamond"/>
          <w:sz w:val="24"/>
          <w:szCs w:val="24"/>
          <w:lang w:val="en-US"/>
        </w:rPr>
        <w:t xml:space="preserve">Dunning, J. H. (1977). Trade, location of economic activity and the MNE: A search for an eclectic approach. In B. Ohlin, P.-O. Hesselborn, &amp; P. M. Wijkman (Eds.), </w:t>
      </w:r>
      <w:r w:rsidRPr="00A8007D">
        <w:rPr>
          <w:rFonts w:ascii="Garamond" w:hAnsi="Garamond"/>
          <w:i/>
          <w:iCs/>
          <w:sz w:val="24"/>
          <w:szCs w:val="24"/>
          <w:lang w:val="en-US"/>
        </w:rPr>
        <w:t>The International Allocation of Economic Activity: Proceedings of a Nobel Symposium Held at Stockholm</w:t>
      </w:r>
      <w:r w:rsidRPr="00A8007D">
        <w:rPr>
          <w:rFonts w:ascii="Garamond" w:hAnsi="Garamond"/>
          <w:sz w:val="24"/>
          <w:szCs w:val="24"/>
          <w:lang w:val="en-US"/>
        </w:rPr>
        <w:t xml:space="preserve"> (pp. 395–418). London: Macmillan.</w:t>
      </w:r>
      <w:r>
        <w:rPr>
          <w:rFonts w:ascii="Garamond" w:hAnsi="Garamond"/>
          <w:sz w:val="24"/>
          <w:szCs w:val="24"/>
          <w:lang w:val="en-US"/>
        </w:rPr>
        <w:t xml:space="preserve"> </w:t>
      </w:r>
      <w:r w:rsidRPr="00E13B57">
        <w:rPr>
          <w:rFonts w:ascii="Garamond" w:hAnsi="Garamond"/>
          <w:sz w:val="24"/>
          <w:szCs w:val="24"/>
          <w:lang w:val="en-US"/>
        </w:rPr>
        <w:t>https://doi.org/10.1007/978-1-349-03196-2_38</w:t>
      </w:r>
    </w:p>
    <w:p w14:paraId="572E370A" w14:textId="77777777" w:rsidR="001C417B" w:rsidRPr="00E862EC" w:rsidRDefault="001C417B" w:rsidP="00CC12D6">
      <w:pPr>
        <w:spacing w:after="0" w:line="360" w:lineRule="auto"/>
        <w:ind w:left="720" w:hanging="720"/>
        <w:jc w:val="both"/>
        <w:rPr>
          <w:rFonts w:ascii="Garamond" w:hAnsi="Garamond"/>
          <w:sz w:val="28"/>
          <w:szCs w:val="28"/>
          <w:lang w:val="en-US"/>
        </w:rPr>
      </w:pPr>
      <w:r w:rsidRPr="00E862EC">
        <w:rPr>
          <w:rFonts w:ascii="Garamond" w:hAnsi="Garamond"/>
          <w:sz w:val="24"/>
          <w:szCs w:val="24"/>
          <w:lang w:val="en-US"/>
        </w:rPr>
        <w:t xml:space="preserve">Dunning, J. H. (1980). Toward an eclectic theory of international production: Some empirical tests. </w:t>
      </w:r>
      <w:r w:rsidRPr="00E862EC">
        <w:rPr>
          <w:rFonts w:ascii="Garamond" w:hAnsi="Garamond"/>
          <w:i/>
          <w:iCs/>
          <w:sz w:val="24"/>
          <w:szCs w:val="24"/>
          <w:lang w:val="en-US"/>
        </w:rPr>
        <w:t>Journal of International Business Studies, 11</w:t>
      </w:r>
      <w:r w:rsidRPr="00E862EC">
        <w:rPr>
          <w:rFonts w:ascii="Garamond" w:hAnsi="Garamond"/>
          <w:sz w:val="24"/>
          <w:szCs w:val="24"/>
          <w:lang w:val="en-US"/>
        </w:rPr>
        <w:t xml:space="preserve">(1), 9–31. </w:t>
      </w:r>
      <w:hyperlink r:id="rId22" w:history="1">
        <w:r w:rsidRPr="00E862EC">
          <w:rPr>
            <w:rStyle w:val="Hyperlink"/>
            <w:rFonts w:ascii="Garamond" w:hAnsi="Garamond"/>
            <w:sz w:val="24"/>
            <w:szCs w:val="24"/>
            <w:lang w:val="en-US"/>
          </w:rPr>
          <w:t>https://doi.org/10.1057/palgrave.jibs.8490593</w:t>
        </w:r>
      </w:hyperlink>
    </w:p>
    <w:p w14:paraId="2302530D" w14:textId="77777777" w:rsidR="001C417B" w:rsidRPr="008F7AE2" w:rsidRDefault="001C417B" w:rsidP="00CC12D6">
      <w:pPr>
        <w:spacing w:after="0" w:line="360" w:lineRule="auto"/>
        <w:ind w:left="720" w:hanging="720"/>
        <w:jc w:val="both"/>
        <w:rPr>
          <w:rFonts w:ascii="Garamond" w:hAnsi="Garamond"/>
          <w:sz w:val="24"/>
          <w:szCs w:val="24"/>
          <w:lang w:val="en-US"/>
        </w:rPr>
      </w:pPr>
      <w:r w:rsidRPr="00A8007D">
        <w:rPr>
          <w:rFonts w:ascii="Garamond" w:hAnsi="Garamond"/>
          <w:sz w:val="24"/>
          <w:szCs w:val="24"/>
          <w:lang w:val="en-US"/>
        </w:rPr>
        <w:t xml:space="preserve">Dunning, J. H. (1988). The eclectic paradigm of international production: A restatement and some possible extensions. </w:t>
      </w:r>
      <w:r w:rsidRPr="00A8007D">
        <w:rPr>
          <w:rFonts w:ascii="Garamond" w:hAnsi="Garamond"/>
          <w:i/>
          <w:iCs/>
          <w:sz w:val="24"/>
          <w:szCs w:val="24"/>
          <w:lang w:val="en-US"/>
        </w:rPr>
        <w:t>Journal of International Business Studies, 19</w:t>
      </w:r>
      <w:r w:rsidRPr="00A8007D">
        <w:rPr>
          <w:rFonts w:ascii="Garamond" w:hAnsi="Garamond"/>
          <w:sz w:val="24"/>
          <w:szCs w:val="24"/>
          <w:lang w:val="en-US"/>
        </w:rPr>
        <w:t>(1), 1–31.</w:t>
      </w:r>
      <w:r>
        <w:rPr>
          <w:rFonts w:ascii="Garamond" w:hAnsi="Garamond"/>
          <w:sz w:val="24"/>
          <w:szCs w:val="24"/>
          <w:lang w:val="en-US"/>
        </w:rPr>
        <w:t xml:space="preserve"> </w:t>
      </w:r>
      <w:r w:rsidRPr="008F7AE2">
        <w:rPr>
          <w:rFonts w:ascii="Garamond" w:hAnsi="Garamond"/>
          <w:sz w:val="24"/>
          <w:szCs w:val="24"/>
          <w:lang w:val="en-US"/>
        </w:rPr>
        <w:t>https://doi.org/10.1057/palgrave.jibs.8490372</w:t>
      </w:r>
    </w:p>
    <w:p w14:paraId="2B38DA16" w14:textId="77777777" w:rsidR="001C417B" w:rsidRDefault="001C417B" w:rsidP="00CC12D6">
      <w:pPr>
        <w:spacing w:after="0" w:line="360" w:lineRule="auto"/>
        <w:ind w:left="720" w:hanging="720"/>
        <w:jc w:val="both"/>
        <w:rPr>
          <w:rFonts w:ascii="Garamond" w:hAnsi="Garamond"/>
          <w:sz w:val="24"/>
          <w:szCs w:val="24"/>
          <w:lang w:val="en-US"/>
        </w:rPr>
      </w:pPr>
      <w:r w:rsidRPr="00A8007D">
        <w:rPr>
          <w:rFonts w:ascii="Garamond" w:hAnsi="Garamond"/>
          <w:sz w:val="24"/>
          <w:szCs w:val="24"/>
          <w:lang w:val="en-US"/>
        </w:rPr>
        <w:t>Dunning, J. H. (1993). The theory of transnational corporations. London: Routledge.</w:t>
      </w:r>
    </w:p>
    <w:p w14:paraId="3F1358F5" w14:textId="77777777" w:rsidR="001C417B" w:rsidRDefault="001C417B" w:rsidP="00CC12D6">
      <w:pPr>
        <w:spacing w:after="0" w:line="360" w:lineRule="auto"/>
        <w:ind w:left="720" w:hanging="720"/>
        <w:jc w:val="both"/>
        <w:rPr>
          <w:rFonts w:ascii="Garamond" w:hAnsi="Garamond"/>
          <w:sz w:val="24"/>
          <w:szCs w:val="24"/>
          <w:lang w:val="en-US"/>
        </w:rPr>
      </w:pPr>
      <w:r w:rsidRPr="00960C74">
        <w:rPr>
          <w:rFonts w:ascii="Garamond" w:hAnsi="Garamond"/>
          <w:sz w:val="24"/>
          <w:szCs w:val="24"/>
          <w:lang w:val="en-US"/>
        </w:rPr>
        <w:t>D</w:t>
      </w:r>
      <w:r w:rsidRPr="002E26CB">
        <w:rPr>
          <w:rFonts w:ascii="Garamond" w:hAnsi="Garamond"/>
          <w:sz w:val="24"/>
          <w:szCs w:val="24"/>
          <w:lang w:val="en-US"/>
        </w:rPr>
        <w:t xml:space="preserve">unning, J. H., &amp; Lundan, S. M. (2008). Institutions and the OLI paradigm of the multinational enterprise. </w:t>
      </w:r>
      <w:r w:rsidRPr="00704E50">
        <w:rPr>
          <w:rFonts w:ascii="Garamond" w:hAnsi="Garamond"/>
          <w:i/>
          <w:iCs/>
          <w:sz w:val="24"/>
          <w:szCs w:val="24"/>
          <w:lang w:val="en-US"/>
        </w:rPr>
        <w:t>Asia Pacific Journal of Management</w:t>
      </w:r>
      <w:r w:rsidRPr="002E26CB">
        <w:rPr>
          <w:rFonts w:ascii="Garamond" w:hAnsi="Garamond"/>
          <w:sz w:val="24"/>
          <w:szCs w:val="24"/>
          <w:lang w:val="en-US"/>
        </w:rPr>
        <w:t xml:space="preserve">, 25(4), 573–593. </w:t>
      </w:r>
      <w:hyperlink r:id="rId23" w:history="1">
        <w:r w:rsidRPr="002E26CB">
          <w:rPr>
            <w:rFonts w:ascii="Garamond" w:hAnsi="Garamond"/>
            <w:sz w:val="24"/>
            <w:szCs w:val="24"/>
            <w:lang w:val="en-US"/>
          </w:rPr>
          <w:t>https://doi.org/10.1007/s10490-007-9074-z</w:t>
        </w:r>
      </w:hyperlink>
    </w:p>
    <w:p w14:paraId="6448761C" w14:textId="77777777" w:rsidR="001C417B" w:rsidRPr="00A8007D" w:rsidRDefault="001C417B" w:rsidP="00CC12D6">
      <w:pPr>
        <w:spacing w:after="0" w:line="360" w:lineRule="auto"/>
        <w:ind w:left="720" w:hanging="720"/>
        <w:jc w:val="both"/>
        <w:rPr>
          <w:rFonts w:ascii="Garamond" w:hAnsi="Garamond"/>
          <w:sz w:val="24"/>
          <w:szCs w:val="24"/>
          <w:lang w:val="en-US"/>
        </w:rPr>
      </w:pPr>
      <w:r w:rsidRPr="00E34388">
        <w:rPr>
          <w:rFonts w:ascii="Garamond" w:hAnsi="Garamond"/>
          <w:sz w:val="24"/>
          <w:szCs w:val="24"/>
          <w:lang w:val="en-US"/>
        </w:rPr>
        <w:t xml:space="preserve">Dzikowski, P. (2018). A bibliometric analysis of born global firms. </w:t>
      </w:r>
      <w:r w:rsidRPr="00246608">
        <w:rPr>
          <w:rFonts w:ascii="Garamond" w:hAnsi="Garamond"/>
          <w:i/>
          <w:iCs/>
          <w:sz w:val="24"/>
          <w:szCs w:val="24"/>
          <w:lang w:val="en-US"/>
        </w:rPr>
        <w:t>Journal of Business Research</w:t>
      </w:r>
      <w:r w:rsidRPr="00E34388">
        <w:rPr>
          <w:rFonts w:ascii="Garamond" w:hAnsi="Garamond"/>
          <w:sz w:val="24"/>
          <w:szCs w:val="24"/>
          <w:lang w:val="en-US"/>
        </w:rPr>
        <w:t>, 85, 281–294. https://doi.org/10.1016/j.jbusres.2017.12.054</w:t>
      </w:r>
    </w:p>
    <w:p w14:paraId="4AE7F879" w14:textId="77777777" w:rsidR="001C417B" w:rsidRDefault="001C417B" w:rsidP="00CC12D6">
      <w:pPr>
        <w:spacing w:after="0" w:line="360" w:lineRule="auto"/>
        <w:ind w:left="720" w:hanging="720"/>
        <w:jc w:val="both"/>
        <w:rPr>
          <w:rFonts w:ascii="Garamond" w:hAnsi="Garamond"/>
          <w:sz w:val="24"/>
          <w:szCs w:val="24"/>
        </w:rPr>
      </w:pPr>
      <w:r w:rsidRPr="00A8007D">
        <w:rPr>
          <w:rFonts w:ascii="Garamond" w:hAnsi="Garamond"/>
          <w:sz w:val="24"/>
          <w:szCs w:val="24"/>
          <w:lang w:val="en-US"/>
        </w:rPr>
        <w:t xml:space="preserve">EBA (European Banking Authority). (2019). </w:t>
      </w:r>
      <w:r w:rsidRPr="00A8007D">
        <w:rPr>
          <w:rFonts w:ascii="Garamond" w:hAnsi="Garamond"/>
          <w:i/>
          <w:iCs/>
          <w:sz w:val="24"/>
          <w:szCs w:val="24"/>
          <w:lang w:val="en-US"/>
        </w:rPr>
        <w:t>Revised guidelines on outsourcing arrangements</w:t>
      </w:r>
      <w:r w:rsidRPr="00A8007D">
        <w:rPr>
          <w:rFonts w:ascii="Garamond" w:hAnsi="Garamond"/>
          <w:sz w:val="24"/>
          <w:szCs w:val="24"/>
          <w:lang w:val="en-US"/>
        </w:rPr>
        <w:t xml:space="preserve"> [PDF]. </w:t>
      </w:r>
      <w:hyperlink r:id="rId24" w:history="1">
        <w:r w:rsidRPr="00A8007D">
          <w:rPr>
            <w:rStyle w:val="Hyperlink"/>
            <w:rFonts w:ascii="Garamond" w:hAnsi="Garamond"/>
            <w:sz w:val="24"/>
            <w:szCs w:val="24"/>
          </w:rPr>
          <w:t>https://www.eba.europa.eu/documents/10180/2761380/627ff30d-c7fe-41e5-8ee6-5d1c210ad987/EBA%20revised%20Guidelines%20on%20outsourcing_PT.pdf</w:t>
        </w:r>
      </w:hyperlink>
      <w:r w:rsidRPr="00A8007D">
        <w:rPr>
          <w:rFonts w:ascii="Garamond" w:hAnsi="Garamond"/>
          <w:sz w:val="24"/>
          <w:szCs w:val="24"/>
        </w:rPr>
        <w:t xml:space="preserve"> </w:t>
      </w:r>
    </w:p>
    <w:p w14:paraId="40340DCD" w14:textId="77777777" w:rsidR="001C417B" w:rsidRPr="003C2204" w:rsidRDefault="001C417B" w:rsidP="00CC12D6">
      <w:pPr>
        <w:spacing w:after="0" w:line="360" w:lineRule="auto"/>
        <w:ind w:left="720" w:hanging="720"/>
        <w:jc w:val="both"/>
        <w:rPr>
          <w:rFonts w:ascii="Garamond" w:hAnsi="Garamond"/>
          <w:sz w:val="24"/>
          <w:szCs w:val="24"/>
          <w:lang w:val="en-US"/>
        </w:rPr>
      </w:pPr>
      <w:r w:rsidRPr="00AC531A">
        <w:rPr>
          <w:rFonts w:ascii="Garamond" w:hAnsi="Garamond"/>
          <w:sz w:val="24"/>
          <w:szCs w:val="24"/>
          <w:lang w:val="en-US"/>
        </w:rPr>
        <w:t xml:space="preserve">Enerdata. (2025). </w:t>
      </w:r>
      <w:r w:rsidRPr="00AD4C1E">
        <w:rPr>
          <w:rFonts w:ascii="Garamond" w:hAnsi="Garamond"/>
          <w:i/>
          <w:iCs/>
          <w:sz w:val="24"/>
          <w:szCs w:val="24"/>
          <w:lang w:val="en-US"/>
        </w:rPr>
        <w:t>EnerOutlook: Forecast of world electricity consumption.</w:t>
      </w:r>
      <w:r w:rsidRPr="00AC531A">
        <w:rPr>
          <w:rFonts w:ascii="Garamond" w:hAnsi="Garamond"/>
          <w:sz w:val="24"/>
          <w:szCs w:val="24"/>
          <w:lang w:val="en-US"/>
        </w:rPr>
        <w:t xml:space="preserve"> Enerdata. </w:t>
      </w:r>
      <w:hyperlink r:id="rId25" w:tgtFrame="_new" w:history="1">
        <w:r w:rsidRPr="00AF47DA">
          <w:rPr>
            <w:rFonts w:ascii="Garamond" w:hAnsi="Garamond"/>
            <w:sz w:val="24"/>
            <w:szCs w:val="24"/>
            <w:lang w:val="en-US"/>
          </w:rPr>
          <w:t>https://eneroutlook.enerdata.net/forecast-world-electricity-consumption.html</w:t>
        </w:r>
      </w:hyperlink>
    </w:p>
    <w:p w14:paraId="28025521" w14:textId="77777777" w:rsidR="001C417B" w:rsidRPr="001F1B41" w:rsidRDefault="001C417B" w:rsidP="00CC12D6">
      <w:pPr>
        <w:spacing w:after="0" w:line="360" w:lineRule="auto"/>
        <w:ind w:left="720" w:hanging="720"/>
        <w:jc w:val="both"/>
        <w:rPr>
          <w:rFonts w:ascii="Garamond" w:hAnsi="Garamond"/>
          <w:sz w:val="24"/>
          <w:szCs w:val="24"/>
          <w:lang w:val="en-US"/>
        </w:rPr>
      </w:pPr>
      <w:r w:rsidRPr="004E6C93">
        <w:rPr>
          <w:rFonts w:ascii="Garamond" w:hAnsi="Garamond"/>
          <w:sz w:val="24"/>
          <w:szCs w:val="24"/>
          <w:lang w:val="en-US"/>
        </w:rPr>
        <w:lastRenderedPageBreak/>
        <w:t xml:space="preserve">European Commission. (2023, 14 March). </w:t>
      </w:r>
      <w:r w:rsidRPr="004E6C93">
        <w:rPr>
          <w:rFonts w:ascii="Garamond" w:hAnsi="Garamond"/>
          <w:i/>
          <w:iCs/>
          <w:sz w:val="24"/>
          <w:szCs w:val="24"/>
          <w:lang w:val="en-US"/>
        </w:rPr>
        <w:t>Commission Recommendation (EU) 2023/C</w:t>
      </w:r>
      <w:r w:rsidRPr="004E6C93">
        <w:rPr>
          <w:rFonts w:ascii="Times New Roman" w:hAnsi="Times New Roman" w:cs="Times New Roman"/>
          <w:i/>
          <w:iCs/>
          <w:sz w:val="24"/>
          <w:szCs w:val="24"/>
          <w:lang w:val="en-US"/>
        </w:rPr>
        <w:t> </w:t>
      </w:r>
      <w:r w:rsidRPr="004E6C93">
        <w:rPr>
          <w:rFonts w:ascii="Garamond" w:hAnsi="Garamond"/>
          <w:i/>
          <w:iCs/>
          <w:sz w:val="24"/>
          <w:szCs w:val="24"/>
          <w:lang w:val="en-US"/>
        </w:rPr>
        <w:t xml:space="preserve">103/01 of 14 March 2023 on energy storage </w:t>
      </w:r>
      <w:r w:rsidRPr="004E6C93">
        <w:rPr>
          <w:rFonts w:ascii="Garamond" w:hAnsi="Garamond" w:cs="Aptos"/>
          <w:i/>
          <w:iCs/>
          <w:sz w:val="24"/>
          <w:szCs w:val="24"/>
          <w:lang w:val="en-US"/>
        </w:rPr>
        <w:t>–</w:t>
      </w:r>
      <w:r w:rsidRPr="004E6C93">
        <w:rPr>
          <w:rFonts w:ascii="Garamond" w:hAnsi="Garamond"/>
          <w:i/>
          <w:iCs/>
          <w:sz w:val="24"/>
          <w:szCs w:val="24"/>
          <w:lang w:val="en-US"/>
        </w:rPr>
        <w:t xml:space="preserve"> Underpinning a decarbonised and secure EU energy system</w:t>
      </w:r>
      <w:r w:rsidRPr="004E6C93">
        <w:rPr>
          <w:rFonts w:ascii="Garamond" w:hAnsi="Garamond"/>
          <w:sz w:val="24"/>
          <w:szCs w:val="24"/>
          <w:lang w:val="en-US"/>
        </w:rPr>
        <w:t xml:space="preserve"> (OJ C</w:t>
      </w:r>
      <w:r w:rsidRPr="004E6C93">
        <w:rPr>
          <w:rFonts w:ascii="Times New Roman" w:hAnsi="Times New Roman" w:cs="Times New Roman"/>
          <w:sz w:val="24"/>
          <w:szCs w:val="24"/>
          <w:lang w:val="en-US"/>
        </w:rPr>
        <w:t> </w:t>
      </w:r>
      <w:r w:rsidRPr="004E6C93">
        <w:rPr>
          <w:rFonts w:ascii="Garamond" w:hAnsi="Garamond"/>
          <w:sz w:val="24"/>
          <w:szCs w:val="24"/>
          <w:lang w:val="en-US"/>
        </w:rPr>
        <w:t>103, pp.</w:t>
      </w:r>
      <w:r w:rsidRPr="004E6C93">
        <w:rPr>
          <w:rFonts w:ascii="Times New Roman" w:hAnsi="Times New Roman" w:cs="Times New Roman"/>
          <w:sz w:val="24"/>
          <w:szCs w:val="24"/>
          <w:lang w:val="en-US"/>
        </w:rPr>
        <w:t> </w:t>
      </w:r>
      <w:r w:rsidRPr="004E6C93">
        <w:rPr>
          <w:rFonts w:ascii="Garamond" w:hAnsi="Garamond"/>
          <w:sz w:val="24"/>
          <w:szCs w:val="24"/>
          <w:lang w:val="en-US"/>
        </w:rPr>
        <w:t>1</w:t>
      </w:r>
      <w:r w:rsidRPr="004E6C93">
        <w:rPr>
          <w:rFonts w:ascii="Garamond" w:hAnsi="Garamond" w:cs="Aptos"/>
          <w:sz w:val="24"/>
          <w:szCs w:val="24"/>
          <w:lang w:val="en-US"/>
        </w:rPr>
        <w:t>–</w:t>
      </w:r>
      <w:r w:rsidRPr="004E6C93">
        <w:rPr>
          <w:rFonts w:ascii="Garamond" w:hAnsi="Garamond"/>
          <w:sz w:val="24"/>
          <w:szCs w:val="24"/>
          <w:lang w:val="en-US"/>
        </w:rPr>
        <w:t>5). Official Journal of the European Union. https://eur-lex.europa.eu/legal-content/EN/TXT/?uri=CELEX:32023H0320(01)</w:t>
      </w:r>
    </w:p>
    <w:p w14:paraId="7C889CCA" w14:textId="77777777" w:rsidR="001C417B" w:rsidRPr="00106199" w:rsidRDefault="001C417B" w:rsidP="00CC12D6">
      <w:pPr>
        <w:spacing w:after="0" w:line="360" w:lineRule="auto"/>
        <w:ind w:left="720" w:hanging="720"/>
        <w:jc w:val="both"/>
        <w:rPr>
          <w:rFonts w:ascii="Garamond" w:hAnsi="Garamond"/>
          <w:sz w:val="24"/>
          <w:szCs w:val="24"/>
          <w:lang w:val="en-US"/>
        </w:rPr>
      </w:pPr>
      <w:r w:rsidRPr="001F22AF">
        <w:rPr>
          <w:rFonts w:ascii="Garamond" w:hAnsi="Garamond"/>
          <w:sz w:val="24"/>
          <w:szCs w:val="24"/>
          <w:lang w:val="en-US"/>
        </w:rPr>
        <w:t xml:space="preserve">European Union. (2023). </w:t>
      </w:r>
      <w:r w:rsidRPr="001F22AF">
        <w:rPr>
          <w:rFonts w:ascii="Garamond" w:hAnsi="Garamond"/>
          <w:i/>
          <w:iCs/>
          <w:sz w:val="24"/>
          <w:szCs w:val="24"/>
          <w:lang w:val="en-US"/>
        </w:rPr>
        <w:t>Regulation (EU) 2023/1542 of the European Parliament and of the Council of 12 July 2023 concerning batteries and waste batteries, amending Directive 2008/98/EC and Regulation (EU) 2019/1020 and repealing Directive 2006/66/EC</w:t>
      </w:r>
      <w:r w:rsidRPr="001F22AF">
        <w:rPr>
          <w:rFonts w:ascii="Garamond" w:hAnsi="Garamond"/>
          <w:sz w:val="24"/>
          <w:szCs w:val="24"/>
          <w:lang w:val="en-US"/>
        </w:rPr>
        <w:t xml:space="preserve">. Official Journal of the European Union. </w:t>
      </w:r>
      <w:hyperlink r:id="rId26" w:tgtFrame="_new" w:history="1">
        <w:r w:rsidRPr="00106199">
          <w:rPr>
            <w:rFonts w:ascii="Garamond" w:hAnsi="Garamond"/>
            <w:sz w:val="24"/>
            <w:szCs w:val="24"/>
            <w:lang w:val="en-US"/>
          </w:rPr>
          <w:t>https://eur-lex.europa.eu/legal-content/EN/TXT/?uri=CELEX%3A32023R1542</w:t>
        </w:r>
      </w:hyperlink>
    </w:p>
    <w:p w14:paraId="1FF3EE5E" w14:textId="77777777" w:rsidR="001C417B" w:rsidRPr="00A8007D" w:rsidRDefault="001C417B" w:rsidP="00CC12D6">
      <w:pPr>
        <w:spacing w:after="0" w:line="360" w:lineRule="auto"/>
        <w:ind w:left="720" w:hanging="720"/>
        <w:jc w:val="both"/>
        <w:rPr>
          <w:rFonts w:ascii="Garamond" w:hAnsi="Garamond"/>
          <w:sz w:val="24"/>
          <w:szCs w:val="24"/>
          <w:lang w:val="en-US"/>
        </w:rPr>
      </w:pPr>
      <w:r w:rsidRPr="00A8007D">
        <w:rPr>
          <w:rFonts w:ascii="Garamond" w:hAnsi="Garamond"/>
          <w:sz w:val="24"/>
          <w:szCs w:val="24"/>
          <w:lang w:val="en-US"/>
        </w:rPr>
        <w:t xml:space="preserve">Field, M. &amp; Keller, L. (1998). Project Manegement. Cengage Learning EMEA. </w:t>
      </w:r>
    </w:p>
    <w:p w14:paraId="6C0C3EB9" w14:textId="77777777" w:rsidR="001C417B" w:rsidRPr="00A8007D" w:rsidRDefault="001C417B" w:rsidP="00CC12D6">
      <w:pPr>
        <w:spacing w:after="0" w:line="360" w:lineRule="auto"/>
        <w:ind w:left="720" w:hanging="720"/>
        <w:jc w:val="both"/>
        <w:rPr>
          <w:rFonts w:ascii="Garamond" w:hAnsi="Garamond"/>
          <w:sz w:val="24"/>
          <w:szCs w:val="24"/>
          <w:lang w:val="en-US"/>
        </w:rPr>
      </w:pPr>
      <w:r w:rsidRPr="00A8007D">
        <w:rPr>
          <w:rFonts w:ascii="Garamond" w:hAnsi="Garamond"/>
          <w:sz w:val="24"/>
          <w:szCs w:val="24"/>
          <w:lang w:val="en-US"/>
        </w:rPr>
        <w:t xml:space="preserve">Freeman, S., Edwards, R., &amp; Schroder, B. (2006). How Smaller Born-Global Firms Use Networks and Alliances to Overcome Constraints to Rapid Internationalization. </w:t>
      </w:r>
      <w:r w:rsidRPr="00A8007D">
        <w:rPr>
          <w:rFonts w:ascii="Garamond" w:hAnsi="Garamond"/>
          <w:i/>
          <w:iCs/>
          <w:sz w:val="24"/>
          <w:szCs w:val="24"/>
          <w:lang w:val="en-US"/>
        </w:rPr>
        <w:t>Journal of International Marketing, 14</w:t>
      </w:r>
      <w:r w:rsidRPr="00A8007D">
        <w:rPr>
          <w:rFonts w:ascii="Garamond" w:hAnsi="Garamond"/>
          <w:sz w:val="24"/>
          <w:szCs w:val="24"/>
          <w:lang w:val="en-US"/>
        </w:rPr>
        <w:t xml:space="preserve">(3), 33-63. </w:t>
      </w:r>
      <w:hyperlink r:id="rId27" w:history="1">
        <w:r w:rsidRPr="00A8007D">
          <w:rPr>
            <w:rStyle w:val="Hyperlink"/>
            <w:rFonts w:ascii="Garamond" w:hAnsi="Garamond"/>
            <w:sz w:val="24"/>
            <w:szCs w:val="24"/>
            <w:lang w:val="en-US"/>
          </w:rPr>
          <w:t>https://doi.org/10.1509/jimk.14.3.33</w:t>
        </w:r>
      </w:hyperlink>
    </w:p>
    <w:p w14:paraId="2CCF305A" w14:textId="77777777" w:rsidR="001C417B" w:rsidRPr="00A8007D" w:rsidRDefault="001C417B" w:rsidP="00CC12D6">
      <w:pPr>
        <w:spacing w:after="0" w:line="360" w:lineRule="auto"/>
        <w:ind w:left="720" w:hanging="720"/>
        <w:jc w:val="both"/>
        <w:rPr>
          <w:rFonts w:ascii="Garamond" w:hAnsi="Garamond"/>
          <w:sz w:val="24"/>
          <w:szCs w:val="24"/>
          <w:lang w:val="en-US"/>
        </w:rPr>
      </w:pPr>
      <w:r w:rsidRPr="00A8007D">
        <w:rPr>
          <w:rFonts w:ascii="Garamond" w:hAnsi="Garamond"/>
          <w:sz w:val="24"/>
          <w:szCs w:val="24"/>
          <w:lang w:val="en-US"/>
        </w:rPr>
        <w:t>Gabrielsson, M., &amp; Gabrielsson, P. (2011). Internet-based sales channel strategies of born global firms. </w:t>
      </w:r>
      <w:r w:rsidRPr="00A8007D">
        <w:rPr>
          <w:rFonts w:ascii="Garamond" w:hAnsi="Garamond"/>
          <w:i/>
          <w:iCs/>
          <w:sz w:val="24"/>
          <w:szCs w:val="24"/>
          <w:lang w:val="en-US"/>
        </w:rPr>
        <w:t>International Business Review</w:t>
      </w:r>
      <w:r w:rsidRPr="00A8007D">
        <w:rPr>
          <w:rFonts w:ascii="Garamond" w:hAnsi="Garamond"/>
          <w:sz w:val="24"/>
          <w:szCs w:val="24"/>
          <w:lang w:val="en-US"/>
        </w:rPr>
        <w:t>, </w:t>
      </w:r>
      <w:r w:rsidRPr="00A8007D">
        <w:rPr>
          <w:rFonts w:ascii="Garamond" w:hAnsi="Garamond"/>
          <w:i/>
          <w:iCs/>
          <w:sz w:val="24"/>
          <w:szCs w:val="24"/>
          <w:lang w:val="en-US"/>
        </w:rPr>
        <w:t>20</w:t>
      </w:r>
      <w:r w:rsidRPr="00A8007D">
        <w:rPr>
          <w:rFonts w:ascii="Garamond" w:hAnsi="Garamond"/>
          <w:sz w:val="24"/>
          <w:szCs w:val="24"/>
          <w:lang w:val="en-US"/>
        </w:rPr>
        <w:t xml:space="preserve">(1), 88-99. https://doi.org/10.1016/j.ibusrev.2010.05.001 </w:t>
      </w:r>
    </w:p>
    <w:p w14:paraId="237EAAF6" w14:textId="77777777" w:rsidR="001C417B" w:rsidRPr="00A8007D" w:rsidRDefault="001C417B" w:rsidP="00CC12D6">
      <w:pPr>
        <w:spacing w:after="0" w:line="360" w:lineRule="auto"/>
        <w:ind w:left="720" w:hanging="720"/>
        <w:jc w:val="both"/>
        <w:rPr>
          <w:rFonts w:ascii="Garamond" w:hAnsi="Garamond"/>
          <w:sz w:val="24"/>
          <w:szCs w:val="24"/>
          <w:lang w:val="en-US"/>
        </w:rPr>
      </w:pPr>
      <w:r w:rsidRPr="001F22AF">
        <w:rPr>
          <w:rFonts w:ascii="Garamond" w:hAnsi="Garamond"/>
          <w:sz w:val="24"/>
          <w:szCs w:val="24"/>
          <w:lang w:val="en-US"/>
        </w:rPr>
        <w:t xml:space="preserve">Gao, G. Y., Murray, J. Y., Kotabe, M., &amp; Lu, J. (2010). </w:t>
      </w:r>
      <w:r w:rsidRPr="00A8007D">
        <w:rPr>
          <w:rFonts w:ascii="Garamond" w:hAnsi="Garamond"/>
          <w:sz w:val="24"/>
          <w:szCs w:val="24"/>
          <w:lang w:val="en-US"/>
        </w:rPr>
        <w:t>A "strategy tripod" perspective on export behaviors: Evidence from domestic and foreign firms based in an emerging economy</w:t>
      </w:r>
      <w:r w:rsidRPr="00A8007D">
        <w:rPr>
          <w:rFonts w:ascii="Garamond" w:hAnsi="Garamond"/>
          <w:i/>
          <w:iCs/>
          <w:sz w:val="24"/>
          <w:szCs w:val="24"/>
          <w:lang w:val="en-US"/>
        </w:rPr>
        <w:t>. Journal of International Business Studies</w:t>
      </w:r>
      <w:r>
        <w:rPr>
          <w:rFonts w:ascii="Garamond" w:hAnsi="Garamond"/>
          <w:sz w:val="24"/>
          <w:szCs w:val="24"/>
          <w:lang w:val="en-US"/>
        </w:rPr>
        <w:t xml:space="preserve">, </w:t>
      </w:r>
      <w:r w:rsidRPr="004667C2">
        <w:rPr>
          <w:rFonts w:ascii="Garamond" w:hAnsi="Garamond"/>
          <w:i/>
          <w:iCs/>
          <w:sz w:val="24"/>
          <w:szCs w:val="24"/>
        </w:rPr>
        <w:t>41</w:t>
      </w:r>
      <w:r w:rsidRPr="004667C2">
        <w:rPr>
          <w:rFonts w:ascii="Garamond" w:hAnsi="Garamond"/>
          <w:sz w:val="24"/>
          <w:szCs w:val="24"/>
        </w:rPr>
        <w:t>(6),</w:t>
      </w:r>
      <w:r>
        <w:rPr>
          <w:rFonts w:ascii="Garamond" w:hAnsi="Garamond"/>
          <w:sz w:val="24"/>
          <w:szCs w:val="24"/>
        </w:rPr>
        <w:t xml:space="preserve"> </w:t>
      </w:r>
      <w:r w:rsidRPr="004667C2">
        <w:rPr>
          <w:rFonts w:ascii="Garamond" w:hAnsi="Garamond"/>
          <w:sz w:val="24"/>
          <w:szCs w:val="24"/>
        </w:rPr>
        <w:t>1090–1091</w:t>
      </w:r>
      <w:r w:rsidRPr="00E13B57">
        <w:rPr>
          <w:rFonts w:ascii="Garamond" w:hAnsi="Garamond"/>
          <w:sz w:val="24"/>
          <w:szCs w:val="24"/>
          <w:lang w:val="en-US"/>
        </w:rPr>
        <w:br/>
        <w:t>https://doi.org/10.1057/jibs.2010.32</w:t>
      </w:r>
    </w:p>
    <w:p w14:paraId="4D717708" w14:textId="77777777" w:rsidR="001C417B" w:rsidRDefault="001C417B" w:rsidP="00CC12D6">
      <w:pPr>
        <w:spacing w:after="0" w:line="360" w:lineRule="auto"/>
        <w:ind w:left="720" w:hanging="720"/>
        <w:jc w:val="both"/>
        <w:rPr>
          <w:rFonts w:ascii="Garamond" w:hAnsi="Garamond"/>
          <w:sz w:val="24"/>
          <w:szCs w:val="24"/>
          <w:lang w:val="en-US"/>
        </w:rPr>
      </w:pPr>
      <w:r w:rsidRPr="005001FF">
        <w:rPr>
          <w:rFonts w:ascii="Garamond" w:hAnsi="Garamond"/>
          <w:sz w:val="24"/>
          <w:szCs w:val="24"/>
          <w:lang w:val="en-US"/>
        </w:rPr>
        <w:t xml:space="preserve">Gardó, T. F., García, H. C., &amp; Descals, A. M. (2015). </w:t>
      </w:r>
      <w:r w:rsidRPr="00A8007D">
        <w:rPr>
          <w:rFonts w:ascii="Garamond" w:hAnsi="Garamond"/>
          <w:sz w:val="24"/>
          <w:szCs w:val="24"/>
          <w:lang w:val="en-US"/>
        </w:rPr>
        <w:t xml:space="preserve">Internationalization of SME retailer: Barriers and the role of public support organizations. </w:t>
      </w:r>
      <w:r w:rsidRPr="00A8007D">
        <w:rPr>
          <w:rFonts w:ascii="Garamond" w:hAnsi="Garamond"/>
          <w:i/>
          <w:iCs/>
          <w:sz w:val="24"/>
          <w:szCs w:val="24"/>
          <w:lang w:val="en-US"/>
        </w:rPr>
        <w:t>International Journal of Retail &amp; Distribution Management, 43</w:t>
      </w:r>
      <w:r w:rsidRPr="00A8007D">
        <w:rPr>
          <w:rFonts w:ascii="Garamond" w:hAnsi="Garamond"/>
          <w:sz w:val="24"/>
          <w:szCs w:val="24"/>
          <w:lang w:val="en-US"/>
        </w:rPr>
        <w:t>(2), 183–200. doi: 10.1108/IJRDM-07-2013-0146.</w:t>
      </w:r>
    </w:p>
    <w:p w14:paraId="14F05BAE" w14:textId="77777777" w:rsidR="001C417B" w:rsidRPr="00510DF8" w:rsidRDefault="001C417B" w:rsidP="00CC12D6">
      <w:pPr>
        <w:spacing w:after="0" w:line="360" w:lineRule="auto"/>
        <w:ind w:left="720" w:hanging="720"/>
        <w:jc w:val="both"/>
        <w:rPr>
          <w:rFonts w:ascii="Garamond" w:hAnsi="Garamond"/>
          <w:sz w:val="24"/>
          <w:szCs w:val="24"/>
        </w:rPr>
      </w:pPr>
      <w:r w:rsidRPr="00AC531A">
        <w:rPr>
          <w:rFonts w:ascii="Garamond" w:hAnsi="Garamond"/>
          <w:sz w:val="24"/>
          <w:szCs w:val="24"/>
          <w:lang w:val="en-US"/>
        </w:rPr>
        <w:t xml:space="preserve">Global Petrol Prices. (2025, 1º trimester). </w:t>
      </w:r>
      <w:r w:rsidRPr="000A23E3">
        <w:rPr>
          <w:rFonts w:ascii="Garamond" w:hAnsi="Garamond"/>
          <w:i/>
          <w:iCs/>
          <w:sz w:val="24"/>
          <w:szCs w:val="24"/>
          <w:lang w:val="en-US"/>
        </w:rPr>
        <w:t>Electricity prices around the world</w:t>
      </w:r>
      <w:r w:rsidRPr="00AC531A">
        <w:rPr>
          <w:rFonts w:ascii="Garamond" w:hAnsi="Garamond"/>
          <w:sz w:val="24"/>
          <w:szCs w:val="24"/>
          <w:lang w:val="en-US"/>
        </w:rPr>
        <w:t xml:space="preserve">. </w:t>
      </w:r>
      <w:hyperlink r:id="rId28" w:anchor="hl37" w:tgtFrame="_new" w:history="1">
        <w:r w:rsidRPr="009A1738">
          <w:rPr>
            <w:rFonts w:ascii="Garamond" w:hAnsi="Garamond"/>
            <w:sz w:val="24"/>
            <w:szCs w:val="24"/>
          </w:rPr>
          <w:t>https://www.globalpetrolprices.com/electricity_prices/#hl37</w:t>
        </w:r>
      </w:hyperlink>
    </w:p>
    <w:p w14:paraId="63F9D9A8" w14:textId="77777777" w:rsidR="001C417B" w:rsidRPr="0085012D" w:rsidRDefault="001C417B" w:rsidP="00CC12D6">
      <w:pPr>
        <w:spacing w:after="0" w:line="360" w:lineRule="auto"/>
        <w:ind w:left="720" w:hanging="720"/>
        <w:jc w:val="both"/>
        <w:rPr>
          <w:rFonts w:ascii="Garamond" w:hAnsi="Garamond"/>
          <w:sz w:val="24"/>
          <w:szCs w:val="24"/>
          <w:lang w:val="en-US"/>
        </w:rPr>
      </w:pPr>
      <w:r w:rsidRPr="00510DF8">
        <w:rPr>
          <w:rFonts w:ascii="Garamond" w:hAnsi="Garamond"/>
          <w:sz w:val="24"/>
          <w:szCs w:val="24"/>
        </w:rPr>
        <w:t xml:space="preserve">Hagedoorn, J. &amp; Narula, R. (1996). </w:t>
      </w:r>
      <w:r w:rsidRPr="00A8007D">
        <w:rPr>
          <w:rFonts w:ascii="Garamond" w:hAnsi="Garamond"/>
          <w:sz w:val="24"/>
          <w:szCs w:val="24"/>
          <w:lang w:val="en-US"/>
        </w:rPr>
        <w:t xml:space="preserve">Choosing organizational modes of strategic technology partnering: international and sectoral differences. </w:t>
      </w:r>
      <w:r w:rsidRPr="00A8007D">
        <w:rPr>
          <w:rFonts w:ascii="Garamond" w:hAnsi="Garamond"/>
          <w:i/>
          <w:iCs/>
          <w:sz w:val="24"/>
          <w:szCs w:val="24"/>
          <w:lang w:val="en-US"/>
        </w:rPr>
        <w:t>Journal of International Business Studies.27</w:t>
      </w:r>
      <w:r w:rsidRPr="00A8007D">
        <w:rPr>
          <w:rFonts w:ascii="Garamond" w:hAnsi="Garamond"/>
          <w:sz w:val="24"/>
          <w:szCs w:val="24"/>
          <w:lang w:val="en-US"/>
        </w:rPr>
        <w:t>. p. 285-284</w:t>
      </w:r>
      <w:r>
        <w:rPr>
          <w:rFonts w:ascii="Garamond" w:hAnsi="Garamond"/>
          <w:sz w:val="24"/>
          <w:szCs w:val="24"/>
          <w:lang w:val="en-US"/>
        </w:rPr>
        <w:t xml:space="preserve">. </w:t>
      </w:r>
      <w:r w:rsidRPr="0085012D">
        <w:rPr>
          <w:rFonts w:ascii="Garamond" w:hAnsi="Garamond"/>
          <w:sz w:val="24"/>
          <w:szCs w:val="24"/>
          <w:lang w:val="en-US"/>
        </w:rPr>
        <w:t>https://doi.org/10.1057/palgrave.jibs.8490135</w:t>
      </w:r>
    </w:p>
    <w:p w14:paraId="031FEBC2" w14:textId="77777777" w:rsidR="001C417B" w:rsidRPr="00A8007D" w:rsidRDefault="001C417B" w:rsidP="00CC12D6">
      <w:pPr>
        <w:spacing w:after="0" w:line="360" w:lineRule="auto"/>
        <w:ind w:left="720" w:hanging="720"/>
        <w:jc w:val="both"/>
        <w:rPr>
          <w:rFonts w:ascii="Garamond" w:hAnsi="Garamond"/>
          <w:sz w:val="24"/>
          <w:szCs w:val="24"/>
          <w:lang w:val="en-US"/>
        </w:rPr>
      </w:pPr>
      <w:r w:rsidRPr="00A8007D">
        <w:rPr>
          <w:rFonts w:ascii="Garamond" w:hAnsi="Garamond"/>
          <w:sz w:val="24"/>
          <w:szCs w:val="24"/>
          <w:lang w:val="en-US"/>
        </w:rPr>
        <w:lastRenderedPageBreak/>
        <w:t>Hutchinson, K., Fleck, E., &amp; Lloyd-Reason, L. (2009). The role of business support organizations in the process of retailer internationalisation</w:t>
      </w:r>
      <w:r w:rsidRPr="00A8007D">
        <w:rPr>
          <w:rFonts w:ascii="Garamond" w:hAnsi="Garamond"/>
          <w:i/>
          <w:iCs/>
          <w:sz w:val="24"/>
          <w:szCs w:val="24"/>
          <w:lang w:val="en-US"/>
        </w:rPr>
        <w:t>. International Review of Retail, Distribution and Consumer Research, 19</w:t>
      </w:r>
      <w:r w:rsidRPr="00A8007D">
        <w:rPr>
          <w:rFonts w:ascii="Garamond" w:hAnsi="Garamond"/>
          <w:sz w:val="24"/>
          <w:szCs w:val="24"/>
          <w:lang w:val="en-US"/>
        </w:rPr>
        <w:t>(4), 371–388. doi: 10.1080/09593960903331378.</w:t>
      </w:r>
    </w:p>
    <w:p w14:paraId="7AA43043" w14:textId="77777777" w:rsidR="001C417B" w:rsidRPr="00A8007D" w:rsidRDefault="001C417B" w:rsidP="00CC12D6">
      <w:pPr>
        <w:spacing w:after="0" w:line="360" w:lineRule="auto"/>
        <w:ind w:left="720" w:hanging="720"/>
        <w:jc w:val="both"/>
        <w:rPr>
          <w:rFonts w:ascii="Garamond" w:hAnsi="Garamond"/>
          <w:sz w:val="24"/>
          <w:szCs w:val="24"/>
        </w:rPr>
      </w:pPr>
      <w:r w:rsidRPr="00A8007D">
        <w:rPr>
          <w:rFonts w:ascii="Garamond" w:hAnsi="Garamond"/>
          <w:sz w:val="24"/>
          <w:szCs w:val="24"/>
          <w:lang w:val="en-US"/>
        </w:rPr>
        <w:t>Iberdrola</w:t>
      </w:r>
      <w:r w:rsidRPr="00A8007D">
        <w:rPr>
          <w:rFonts w:ascii="Garamond" w:hAnsi="Garamond"/>
          <w:b/>
          <w:bCs/>
          <w:sz w:val="24"/>
          <w:szCs w:val="24"/>
          <w:lang w:val="en-US"/>
        </w:rPr>
        <w:t>.</w:t>
      </w:r>
      <w:r w:rsidRPr="00A8007D">
        <w:rPr>
          <w:rFonts w:ascii="Garamond" w:hAnsi="Garamond"/>
          <w:sz w:val="24"/>
          <w:szCs w:val="24"/>
          <w:lang w:val="en-US"/>
        </w:rPr>
        <w:t xml:space="preserve"> </w:t>
      </w:r>
      <w:r w:rsidRPr="00A8007D">
        <w:rPr>
          <w:rFonts w:ascii="Garamond" w:hAnsi="Garamond"/>
          <w:sz w:val="24"/>
          <w:szCs w:val="24"/>
        </w:rPr>
        <w:t xml:space="preserve">(s.d.). </w:t>
      </w:r>
      <w:r w:rsidRPr="00A8007D">
        <w:rPr>
          <w:rFonts w:ascii="Garamond" w:hAnsi="Garamond"/>
          <w:i/>
          <w:iCs/>
          <w:sz w:val="24"/>
          <w:szCs w:val="24"/>
        </w:rPr>
        <w:t>BESS: O que é um sistema de armazenamento de energia com baterias?</w:t>
      </w:r>
      <w:r w:rsidRPr="00A8007D">
        <w:rPr>
          <w:rFonts w:ascii="Garamond" w:hAnsi="Garamond"/>
          <w:sz w:val="24"/>
          <w:szCs w:val="24"/>
        </w:rPr>
        <w:t xml:space="preserve"> Iberdrola. </w:t>
      </w:r>
      <w:hyperlink r:id="rId29" w:tgtFrame="_new" w:history="1">
        <w:r w:rsidRPr="00A8007D">
          <w:rPr>
            <w:rStyle w:val="Hyperlink"/>
            <w:rFonts w:ascii="Garamond" w:hAnsi="Garamond"/>
            <w:sz w:val="24"/>
            <w:szCs w:val="24"/>
          </w:rPr>
          <w:t>https://www.iberdrola.com/quem-somos/nossa-atividade/armazenamento-energia/bess</w:t>
        </w:r>
      </w:hyperlink>
    </w:p>
    <w:p w14:paraId="07DC82CA" w14:textId="77777777" w:rsidR="001C417B" w:rsidRPr="001E7C79" w:rsidRDefault="001C417B" w:rsidP="00CC12D6">
      <w:pPr>
        <w:spacing w:after="0" w:line="360" w:lineRule="auto"/>
        <w:ind w:left="720" w:hanging="720"/>
        <w:jc w:val="both"/>
        <w:rPr>
          <w:rFonts w:ascii="Garamond" w:hAnsi="Garamond"/>
          <w:sz w:val="24"/>
          <w:szCs w:val="24"/>
          <w:lang w:val="en-US"/>
        </w:rPr>
      </w:pPr>
      <w:r w:rsidRPr="00A8007D">
        <w:rPr>
          <w:rFonts w:ascii="Garamond" w:hAnsi="Garamond"/>
          <w:sz w:val="24"/>
          <w:szCs w:val="24"/>
          <w:lang w:val="en-US"/>
        </w:rPr>
        <w:t xml:space="preserve">Johanson, J., &amp; Vahlne, J.-E. (1977). The internationalization process of the firm—A model of knowledge development and increasing foreign market commitments. </w:t>
      </w:r>
      <w:r w:rsidRPr="00A8007D">
        <w:rPr>
          <w:rFonts w:ascii="Garamond" w:hAnsi="Garamond"/>
          <w:i/>
          <w:iCs/>
          <w:sz w:val="24"/>
          <w:szCs w:val="24"/>
          <w:lang w:val="en-US"/>
        </w:rPr>
        <w:t>Journal of International Business Studies, 8</w:t>
      </w:r>
      <w:r w:rsidRPr="00A8007D">
        <w:rPr>
          <w:rFonts w:ascii="Garamond" w:hAnsi="Garamond"/>
          <w:sz w:val="24"/>
          <w:szCs w:val="24"/>
          <w:lang w:val="en-US"/>
        </w:rPr>
        <w:t xml:space="preserve">, 23–32. </w:t>
      </w:r>
      <w:r w:rsidRPr="001E7C79">
        <w:rPr>
          <w:rFonts w:ascii="Garamond" w:hAnsi="Garamond"/>
          <w:sz w:val="24"/>
          <w:szCs w:val="24"/>
          <w:lang w:val="en-US"/>
        </w:rPr>
        <w:t>https://doi.org/10.1057/palgrave.jibs.8490676</w:t>
      </w:r>
    </w:p>
    <w:p w14:paraId="319240F2" w14:textId="77777777" w:rsidR="001C417B" w:rsidRPr="00A8007D" w:rsidRDefault="001C417B" w:rsidP="00CC12D6">
      <w:pPr>
        <w:spacing w:after="0" w:line="360" w:lineRule="auto"/>
        <w:ind w:left="720" w:hanging="720"/>
        <w:jc w:val="both"/>
        <w:rPr>
          <w:rFonts w:ascii="Garamond" w:hAnsi="Garamond"/>
          <w:sz w:val="24"/>
          <w:szCs w:val="24"/>
          <w:lang w:val="en-US"/>
        </w:rPr>
      </w:pPr>
      <w:r w:rsidRPr="00A8007D">
        <w:rPr>
          <w:rFonts w:ascii="Garamond" w:hAnsi="Garamond"/>
          <w:sz w:val="24"/>
          <w:szCs w:val="24"/>
          <w:lang w:val="en-US"/>
        </w:rPr>
        <w:t xml:space="preserve">Johanson, J., &amp; Wiedersheim-Paul, F. (1975). The internationalization of the firm? Four Swedish cases. </w:t>
      </w:r>
      <w:r w:rsidRPr="00A8007D">
        <w:rPr>
          <w:rFonts w:ascii="Garamond" w:hAnsi="Garamond"/>
          <w:i/>
          <w:iCs/>
          <w:sz w:val="24"/>
          <w:szCs w:val="24"/>
          <w:lang w:val="en-US"/>
        </w:rPr>
        <w:t>Journal of Management Studies, 12</w:t>
      </w:r>
      <w:r w:rsidRPr="00A8007D">
        <w:rPr>
          <w:rFonts w:ascii="Garamond" w:hAnsi="Garamond"/>
          <w:sz w:val="24"/>
          <w:szCs w:val="24"/>
          <w:lang w:val="en-US"/>
        </w:rPr>
        <w:t>, 305–323.</w:t>
      </w:r>
      <w:r>
        <w:rPr>
          <w:rFonts w:ascii="Garamond" w:hAnsi="Garamond"/>
          <w:sz w:val="24"/>
          <w:szCs w:val="24"/>
          <w:lang w:val="en-US"/>
        </w:rPr>
        <w:t xml:space="preserve"> </w:t>
      </w:r>
      <w:r w:rsidRPr="00E13B57">
        <w:rPr>
          <w:rFonts w:ascii="Garamond" w:hAnsi="Garamond"/>
          <w:sz w:val="24"/>
          <w:szCs w:val="24"/>
          <w:lang w:val="en-US"/>
        </w:rPr>
        <w:t>DOI: 10.1111/j.1467-6486.1975.tb00514.x</w:t>
      </w:r>
    </w:p>
    <w:p w14:paraId="52D25B48" w14:textId="77777777" w:rsidR="001C417B" w:rsidRPr="00A8007D" w:rsidRDefault="001C417B" w:rsidP="00CC12D6">
      <w:pPr>
        <w:spacing w:after="0" w:line="360" w:lineRule="auto"/>
        <w:ind w:left="720" w:hanging="720"/>
        <w:jc w:val="both"/>
        <w:rPr>
          <w:rFonts w:ascii="Garamond" w:hAnsi="Garamond"/>
          <w:sz w:val="24"/>
          <w:szCs w:val="24"/>
          <w:lang w:val="en-US"/>
        </w:rPr>
      </w:pPr>
      <w:r w:rsidRPr="00A8007D">
        <w:rPr>
          <w:rFonts w:ascii="Garamond" w:hAnsi="Garamond"/>
          <w:sz w:val="24"/>
          <w:szCs w:val="24"/>
          <w:lang w:val="en-US"/>
        </w:rPr>
        <w:t xml:space="preserve">Johanson, M., &amp; Martín, O. (2015). The incremental expansion of Born Internationals: A comparison of new and old Born Internationals. </w:t>
      </w:r>
      <w:r w:rsidRPr="00A8007D">
        <w:rPr>
          <w:rFonts w:ascii="Garamond" w:hAnsi="Garamond"/>
          <w:i/>
          <w:iCs/>
          <w:sz w:val="24"/>
          <w:szCs w:val="24"/>
          <w:lang w:val="en-US"/>
        </w:rPr>
        <w:t>International Business Review, 24</w:t>
      </w:r>
      <w:r w:rsidRPr="00A8007D">
        <w:rPr>
          <w:rFonts w:ascii="Garamond" w:hAnsi="Garamond"/>
          <w:sz w:val="24"/>
          <w:szCs w:val="24"/>
          <w:lang w:val="en-US"/>
        </w:rPr>
        <w:t xml:space="preserve">(3), 476–496. http://dx.doi.org/10.1016/j.ibusrev.2014.10.006 </w:t>
      </w:r>
    </w:p>
    <w:p w14:paraId="6B04AB0D" w14:textId="77777777" w:rsidR="001C417B" w:rsidRPr="00A8007D" w:rsidRDefault="001C417B" w:rsidP="00CC12D6">
      <w:pPr>
        <w:spacing w:after="0" w:line="360" w:lineRule="auto"/>
        <w:ind w:left="720" w:hanging="720"/>
        <w:jc w:val="both"/>
        <w:rPr>
          <w:rFonts w:ascii="Garamond" w:hAnsi="Garamond"/>
          <w:sz w:val="24"/>
          <w:szCs w:val="24"/>
          <w:lang w:val="en-US"/>
        </w:rPr>
      </w:pPr>
      <w:r w:rsidRPr="00A8007D">
        <w:rPr>
          <w:rFonts w:ascii="Garamond" w:hAnsi="Garamond"/>
          <w:sz w:val="24"/>
          <w:szCs w:val="24"/>
          <w:lang w:val="en-US"/>
        </w:rPr>
        <w:t xml:space="preserve">Johnson, C. A., &amp; Khosravani, J. (2024). Greening the global battery chain? Critical reflections on the EU’s 2023 battery regulations. In </w:t>
      </w:r>
      <w:r w:rsidRPr="00A8007D">
        <w:rPr>
          <w:rFonts w:ascii="Garamond" w:hAnsi="Garamond"/>
          <w:i/>
          <w:iCs/>
          <w:sz w:val="24"/>
          <w:szCs w:val="24"/>
          <w:lang w:val="en-US"/>
        </w:rPr>
        <w:t>Extractive Industries and Society</w:t>
      </w:r>
      <w:r w:rsidRPr="00A8007D">
        <w:rPr>
          <w:rFonts w:ascii="Garamond" w:hAnsi="Garamond"/>
          <w:sz w:val="24"/>
          <w:szCs w:val="24"/>
          <w:lang w:val="en-US"/>
        </w:rPr>
        <w:t xml:space="preserve"> (Vol. 18). Elsevier Ltd. https://doi.org/10.1016/j.exis.2024.101467</w:t>
      </w:r>
    </w:p>
    <w:p w14:paraId="2D230005" w14:textId="77777777" w:rsidR="001C417B" w:rsidRDefault="001C417B" w:rsidP="00CC12D6">
      <w:pPr>
        <w:spacing w:after="0" w:line="360" w:lineRule="auto"/>
        <w:ind w:left="720" w:hanging="720"/>
        <w:jc w:val="both"/>
        <w:rPr>
          <w:rFonts w:ascii="Garamond" w:hAnsi="Garamond"/>
          <w:sz w:val="24"/>
          <w:szCs w:val="24"/>
          <w:lang w:val="en-US"/>
        </w:rPr>
      </w:pPr>
      <w:r w:rsidRPr="00A8007D">
        <w:rPr>
          <w:rFonts w:ascii="Garamond" w:hAnsi="Garamond"/>
          <w:sz w:val="24"/>
          <w:szCs w:val="24"/>
          <w:lang w:val="en-US"/>
        </w:rPr>
        <w:t xml:space="preserve">Kahiya, E. T. (2013). Export barriers and path to internationalization: A comparison of conventional enterprises and international new ventures. </w:t>
      </w:r>
      <w:r w:rsidRPr="00A8007D">
        <w:rPr>
          <w:rFonts w:ascii="Garamond" w:hAnsi="Garamond"/>
          <w:i/>
          <w:iCs/>
          <w:sz w:val="24"/>
          <w:szCs w:val="24"/>
          <w:lang w:val="en-US"/>
        </w:rPr>
        <w:t>Journal of International Entrepreneurship, 11</w:t>
      </w:r>
      <w:r w:rsidRPr="00A8007D">
        <w:rPr>
          <w:rFonts w:ascii="Garamond" w:hAnsi="Garamond"/>
          <w:sz w:val="24"/>
          <w:szCs w:val="24"/>
          <w:lang w:val="en-US"/>
        </w:rPr>
        <w:t>(1), 3–29. doi: 10.1007/s10843-013-0102-4.</w:t>
      </w:r>
    </w:p>
    <w:p w14:paraId="32C481AE" w14:textId="77777777" w:rsidR="001C417B" w:rsidRPr="00DF4BDD" w:rsidRDefault="001C417B" w:rsidP="00CC12D6">
      <w:pPr>
        <w:spacing w:after="0" w:line="360" w:lineRule="auto"/>
        <w:ind w:left="720" w:hanging="720"/>
        <w:jc w:val="both"/>
        <w:rPr>
          <w:rFonts w:ascii="Garamond" w:hAnsi="Garamond"/>
          <w:lang w:val="en-US"/>
        </w:rPr>
      </w:pPr>
      <w:r w:rsidRPr="00C3610D">
        <w:rPr>
          <w:rFonts w:ascii="Garamond" w:hAnsi="Garamond"/>
          <w:sz w:val="24"/>
          <w:szCs w:val="24"/>
          <w:lang w:val="en-US"/>
        </w:rPr>
        <w:t>Kamran, M. (2023). Global status of smart grids. In Fundamentals of Smart Grid Systems (pp. 461–473). Elsevier. https://doi.org/10.1016/b978-0-323-99560-3.00011</w:t>
      </w:r>
      <w:r w:rsidRPr="00C3610D">
        <w:rPr>
          <w:rFonts w:ascii="Garamond" w:hAnsi="Garamond"/>
          <w:lang w:val="en-US"/>
        </w:rPr>
        <w:t>-9</w:t>
      </w:r>
    </w:p>
    <w:p w14:paraId="37AFBD17" w14:textId="77777777" w:rsidR="001C417B" w:rsidRPr="00A8007D" w:rsidRDefault="001C417B" w:rsidP="00CC12D6">
      <w:pPr>
        <w:spacing w:after="0" w:line="360" w:lineRule="auto"/>
        <w:ind w:left="720" w:hanging="720"/>
        <w:jc w:val="both"/>
        <w:rPr>
          <w:rFonts w:ascii="Garamond" w:hAnsi="Garamond"/>
          <w:sz w:val="24"/>
          <w:szCs w:val="24"/>
          <w:lang w:val="en-US"/>
        </w:rPr>
      </w:pPr>
      <w:r w:rsidRPr="00106199">
        <w:rPr>
          <w:rFonts w:ascii="Garamond" w:hAnsi="Garamond"/>
          <w:sz w:val="24"/>
          <w:szCs w:val="24"/>
          <w:lang w:val="en-US"/>
        </w:rPr>
        <w:t xml:space="preserve">Kanda, W., Hjelm, O., Kairento, K., &amp; Nygårds, M. (2016). </w:t>
      </w:r>
      <w:r w:rsidRPr="00A8007D">
        <w:rPr>
          <w:rFonts w:ascii="Garamond" w:hAnsi="Garamond"/>
          <w:sz w:val="24"/>
          <w:szCs w:val="24"/>
          <w:lang w:val="en-US"/>
        </w:rPr>
        <w:t xml:space="preserve">Export of environmental technologies by publicly owned companies: Approaches, drivers and obstacles among Swedish municipal companies. </w:t>
      </w:r>
      <w:r w:rsidRPr="00A8007D">
        <w:rPr>
          <w:rFonts w:ascii="Garamond" w:hAnsi="Garamond"/>
          <w:i/>
          <w:iCs/>
          <w:sz w:val="24"/>
          <w:szCs w:val="24"/>
          <w:lang w:val="en-US"/>
        </w:rPr>
        <w:t>European Planning Studies, 24</w:t>
      </w:r>
      <w:r w:rsidRPr="00A8007D">
        <w:rPr>
          <w:rFonts w:ascii="Garamond" w:hAnsi="Garamond"/>
          <w:sz w:val="24"/>
          <w:szCs w:val="24"/>
          <w:lang w:val="en-US"/>
        </w:rPr>
        <w:t>(12), 2175–2196. doi: 10.1080/09654313.2016.1251881.</w:t>
      </w:r>
    </w:p>
    <w:p w14:paraId="6BF5DCC4" w14:textId="77777777" w:rsidR="001C417B" w:rsidRDefault="001C417B" w:rsidP="00CC12D6">
      <w:pPr>
        <w:spacing w:after="0" w:line="360" w:lineRule="auto"/>
        <w:ind w:left="720" w:hanging="720"/>
        <w:jc w:val="both"/>
        <w:rPr>
          <w:rFonts w:ascii="Garamond" w:hAnsi="Garamond"/>
          <w:sz w:val="24"/>
          <w:szCs w:val="24"/>
          <w:lang w:val="en-US"/>
        </w:rPr>
      </w:pPr>
      <w:r w:rsidRPr="00DE6FEA">
        <w:rPr>
          <w:rFonts w:ascii="Garamond" w:hAnsi="Garamond"/>
          <w:sz w:val="24"/>
          <w:szCs w:val="24"/>
          <w:lang w:val="en-US"/>
        </w:rPr>
        <w:t xml:space="preserve">Knight, G. A., &amp; Cavusgil, S. T. (2004). Innovation, organizational capabilities, and the born-global firm. </w:t>
      </w:r>
      <w:r w:rsidRPr="00DE6FEA">
        <w:rPr>
          <w:rFonts w:ascii="Garamond" w:hAnsi="Garamond"/>
          <w:i/>
          <w:iCs/>
          <w:sz w:val="24"/>
          <w:szCs w:val="24"/>
          <w:lang w:val="en-US"/>
        </w:rPr>
        <w:t>Journal of International Business Studies, 35</w:t>
      </w:r>
      <w:r w:rsidRPr="00DE6FEA">
        <w:rPr>
          <w:rFonts w:ascii="Garamond" w:hAnsi="Garamond"/>
          <w:sz w:val="24"/>
          <w:szCs w:val="24"/>
          <w:lang w:val="en-US"/>
        </w:rPr>
        <w:t xml:space="preserve">(2), 124–141. </w:t>
      </w:r>
      <w:hyperlink r:id="rId30" w:history="1">
        <w:r w:rsidRPr="00C54230">
          <w:rPr>
            <w:rStyle w:val="Hyperlink"/>
            <w:rFonts w:ascii="Garamond" w:hAnsi="Garamond"/>
            <w:sz w:val="24"/>
            <w:szCs w:val="24"/>
            <w:lang w:val="en-US"/>
          </w:rPr>
          <w:t>https://doi.org/10.1057/palgrave.jibs.8400071</w:t>
        </w:r>
      </w:hyperlink>
    </w:p>
    <w:p w14:paraId="52233AFF" w14:textId="77777777" w:rsidR="001C417B" w:rsidRDefault="001C417B" w:rsidP="00CC12D6">
      <w:pPr>
        <w:spacing w:after="0" w:line="360" w:lineRule="auto"/>
        <w:ind w:left="720" w:hanging="720"/>
        <w:jc w:val="both"/>
        <w:rPr>
          <w:rFonts w:ascii="Garamond" w:hAnsi="Garamond"/>
          <w:sz w:val="24"/>
          <w:szCs w:val="24"/>
          <w:lang w:val="en-US"/>
        </w:rPr>
      </w:pPr>
      <w:r w:rsidRPr="00630049">
        <w:rPr>
          <w:rFonts w:ascii="Garamond" w:hAnsi="Garamond"/>
          <w:sz w:val="24"/>
          <w:szCs w:val="24"/>
          <w:lang w:val="en-US"/>
        </w:rPr>
        <w:lastRenderedPageBreak/>
        <w:t>Knight</w:t>
      </w:r>
      <w:r w:rsidRPr="00A8007D">
        <w:rPr>
          <w:rFonts w:ascii="Garamond" w:hAnsi="Garamond"/>
          <w:sz w:val="24"/>
          <w:szCs w:val="24"/>
          <w:lang w:val="en-US"/>
        </w:rPr>
        <w:t>, G.A. and Cavusgil, S.T. (1996) ‘The Born Global Firm: A Challenge to Traditional Internationalization Theory’, in S.T. Cavusgil and T. Madsen (eds.) Advances in International Marketing, Vol. 8 JAI Press: Greenwich, CT. pp. 11–26.</w:t>
      </w:r>
    </w:p>
    <w:p w14:paraId="2C9B22C7" w14:textId="77777777" w:rsidR="001C417B" w:rsidRPr="00A8007D" w:rsidRDefault="001C417B" w:rsidP="00CC12D6">
      <w:pPr>
        <w:spacing w:after="0" w:line="360" w:lineRule="auto"/>
        <w:ind w:left="720" w:hanging="720"/>
        <w:jc w:val="both"/>
        <w:rPr>
          <w:rFonts w:ascii="Garamond" w:hAnsi="Garamond"/>
          <w:sz w:val="24"/>
          <w:szCs w:val="24"/>
          <w:lang w:val="en-US"/>
        </w:rPr>
      </w:pPr>
      <w:r w:rsidRPr="002373C5">
        <w:rPr>
          <w:rFonts w:ascii="Garamond" w:hAnsi="Garamond"/>
          <w:sz w:val="24"/>
          <w:szCs w:val="24"/>
          <w:lang w:val="en-US"/>
        </w:rPr>
        <w:t>Kogut, B., &amp; Singh, H.</w:t>
      </w:r>
      <w:r w:rsidRPr="00E75422">
        <w:rPr>
          <w:rFonts w:ascii="Garamond" w:hAnsi="Garamond"/>
          <w:sz w:val="24"/>
          <w:szCs w:val="24"/>
          <w:lang w:val="en-US"/>
        </w:rPr>
        <w:t xml:space="preserve"> (1988). The effect of national culture on the choice of entry mode. </w:t>
      </w:r>
      <w:r w:rsidRPr="00E75422">
        <w:rPr>
          <w:rFonts w:ascii="Garamond" w:hAnsi="Garamond"/>
          <w:i/>
          <w:iCs/>
          <w:sz w:val="24"/>
          <w:szCs w:val="24"/>
          <w:lang w:val="en-US"/>
        </w:rPr>
        <w:t>Journal of International Business Studies, 19</w:t>
      </w:r>
      <w:r w:rsidRPr="00E75422">
        <w:rPr>
          <w:rFonts w:ascii="Garamond" w:hAnsi="Garamond"/>
          <w:sz w:val="24"/>
          <w:szCs w:val="24"/>
          <w:lang w:val="en-US"/>
        </w:rPr>
        <w:t xml:space="preserve">, 411–432. </w:t>
      </w:r>
      <w:hyperlink r:id="rId31" w:history="1">
        <w:r w:rsidRPr="00E75422">
          <w:rPr>
            <w:rStyle w:val="Hyperlink"/>
            <w:rFonts w:ascii="Garamond" w:hAnsi="Garamond"/>
            <w:sz w:val="24"/>
            <w:szCs w:val="24"/>
            <w:lang w:val="en-US"/>
          </w:rPr>
          <w:t>https://doi.org/10.1057/palgrave.jibs.8490394</w:t>
        </w:r>
      </w:hyperlink>
    </w:p>
    <w:p w14:paraId="5691F379" w14:textId="77777777" w:rsidR="001C417B" w:rsidRPr="00A8007D" w:rsidRDefault="001C417B" w:rsidP="00CC12D6">
      <w:pPr>
        <w:spacing w:after="0" w:line="360" w:lineRule="auto"/>
        <w:ind w:left="720" w:hanging="720"/>
        <w:jc w:val="both"/>
        <w:rPr>
          <w:rFonts w:ascii="Garamond" w:hAnsi="Garamond"/>
          <w:sz w:val="24"/>
          <w:szCs w:val="24"/>
          <w:lang w:val="en-US"/>
        </w:rPr>
      </w:pPr>
      <w:r w:rsidRPr="00A8007D">
        <w:rPr>
          <w:rFonts w:ascii="Garamond" w:hAnsi="Garamond"/>
          <w:sz w:val="24"/>
          <w:szCs w:val="24"/>
          <w:lang w:val="en-US"/>
        </w:rPr>
        <w:t xml:space="preserve">Korsakiene, R. (2014). Internationalization of Lithuanian SMEs: Investigation of barriers and motives. </w:t>
      </w:r>
      <w:r w:rsidRPr="00A8007D">
        <w:rPr>
          <w:rFonts w:ascii="Garamond" w:hAnsi="Garamond"/>
          <w:i/>
          <w:iCs/>
          <w:sz w:val="24"/>
          <w:szCs w:val="24"/>
          <w:lang w:val="en-US"/>
        </w:rPr>
        <w:t>Economics and Business, 26</w:t>
      </w:r>
      <w:r w:rsidRPr="00A8007D">
        <w:rPr>
          <w:rFonts w:ascii="Garamond" w:hAnsi="Garamond"/>
          <w:sz w:val="24"/>
          <w:szCs w:val="24"/>
          <w:lang w:val="en-US"/>
        </w:rPr>
        <w:t>, 54–60. doi: 10.7250/eb.2014.020</w:t>
      </w:r>
    </w:p>
    <w:p w14:paraId="3836583A" w14:textId="77777777" w:rsidR="001C417B" w:rsidRPr="00A8007D" w:rsidRDefault="001C417B" w:rsidP="00CC12D6">
      <w:pPr>
        <w:spacing w:after="0" w:line="360" w:lineRule="auto"/>
        <w:ind w:left="720" w:hanging="720"/>
        <w:jc w:val="both"/>
        <w:rPr>
          <w:rFonts w:ascii="Garamond" w:hAnsi="Garamond"/>
          <w:sz w:val="24"/>
          <w:szCs w:val="24"/>
          <w:lang w:val="en-US"/>
        </w:rPr>
      </w:pPr>
      <w:r w:rsidRPr="00A8007D">
        <w:rPr>
          <w:rFonts w:ascii="Garamond" w:hAnsi="Garamond"/>
          <w:sz w:val="24"/>
          <w:szCs w:val="24"/>
          <w:lang w:val="en-US"/>
        </w:rPr>
        <w:t>Kuivalainen, O., Sundqvist, S., &amp; Servais, P. (2007). Firms' degree of born-globalness, international entrepreneurial orientation and export performance. </w:t>
      </w:r>
      <w:r w:rsidRPr="00A8007D">
        <w:rPr>
          <w:rFonts w:ascii="Garamond" w:hAnsi="Garamond"/>
          <w:i/>
          <w:iCs/>
          <w:sz w:val="24"/>
          <w:szCs w:val="24"/>
          <w:lang w:val="en-US"/>
        </w:rPr>
        <w:t>Journal of World Business</w:t>
      </w:r>
      <w:r w:rsidRPr="00A8007D">
        <w:rPr>
          <w:rFonts w:ascii="Garamond" w:hAnsi="Garamond"/>
          <w:sz w:val="24"/>
          <w:szCs w:val="24"/>
          <w:lang w:val="en-US"/>
        </w:rPr>
        <w:t>, </w:t>
      </w:r>
      <w:r w:rsidRPr="00A8007D">
        <w:rPr>
          <w:rFonts w:ascii="Garamond" w:hAnsi="Garamond"/>
          <w:i/>
          <w:iCs/>
          <w:sz w:val="24"/>
          <w:szCs w:val="24"/>
          <w:lang w:val="en-US"/>
        </w:rPr>
        <w:t>42</w:t>
      </w:r>
      <w:r w:rsidRPr="00A8007D">
        <w:rPr>
          <w:rFonts w:ascii="Garamond" w:hAnsi="Garamond"/>
          <w:sz w:val="24"/>
          <w:szCs w:val="24"/>
          <w:lang w:val="en-US"/>
        </w:rPr>
        <w:t>(3), 253-267. https://doi.org/10.1016/j.jwb.2007.04.010</w:t>
      </w:r>
    </w:p>
    <w:p w14:paraId="17E378CC" w14:textId="77777777" w:rsidR="001C417B" w:rsidRPr="00A8007D" w:rsidRDefault="001C417B" w:rsidP="00CC12D6">
      <w:pPr>
        <w:spacing w:after="0" w:line="360" w:lineRule="auto"/>
        <w:ind w:left="720" w:hanging="720"/>
        <w:jc w:val="both"/>
        <w:rPr>
          <w:rFonts w:ascii="Garamond" w:hAnsi="Garamond"/>
          <w:sz w:val="24"/>
          <w:szCs w:val="24"/>
          <w:lang w:val="en-US"/>
        </w:rPr>
      </w:pPr>
      <w:r w:rsidRPr="00A8007D">
        <w:rPr>
          <w:rFonts w:ascii="Garamond" w:hAnsi="Garamond"/>
          <w:sz w:val="24"/>
          <w:szCs w:val="24"/>
          <w:lang w:val="en-US"/>
        </w:rPr>
        <w:t>Kumar, V., &amp; Subramaniam, V. (1997). A Contingency Framework for the Mode of Entry Decision. </w:t>
      </w:r>
      <w:r w:rsidRPr="00A8007D">
        <w:rPr>
          <w:rFonts w:ascii="Garamond" w:hAnsi="Garamond"/>
          <w:i/>
          <w:iCs/>
          <w:sz w:val="24"/>
          <w:szCs w:val="24"/>
          <w:lang w:val="en-US"/>
        </w:rPr>
        <w:t>Journal of World Business, 32</w:t>
      </w:r>
      <w:r w:rsidRPr="00A8007D">
        <w:rPr>
          <w:rFonts w:ascii="Garamond" w:hAnsi="Garamond"/>
          <w:sz w:val="24"/>
          <w:szCs w:val="24"/>
          <w:lang w:val="en-US"/>
        </w:rPr>
        <w:t>(1), 53–72. </w:t>
      </w:r>
      <w:hyperlink r:id="rId32" w:history="1">
        <w:r w:rsidRPr="00A8007D">
          <w:rPr>
            <w:rStyle w:val="Hyperlink"/>
            <w:rFonts w:ascii="Garamond" w:hAnsi="Garamond"/>
            <w:sz w:val="24"/>
            <w:szCs w:val="24"/>
            <w:lang w:val="en-US"/>
          </w:rPr>
          <w:t>https://doi.org/10.1016/S1090-9516(97)90025-0</w:t>
        </w:r>
      </w:hyperlink>
      <w:r w:rsidRPr="00A8007D">
        <w:rPr>
          <w:rFonts w:ascii="Garamond" w:hAnsi="Garamond"/>
          <w:sz w:val="24"/>
          <w:szCs w:val="24"/>
          <w:lang w:val="en-US"/>
        </w:rPr>
        <w:t xml:space="preserve"> </w:t>
      </w:r>
    </w:p>
    <w:p w14:paraId="0C9DE7C7" w14:textId="77777777" w:rsidR="001C417B" w:rsidRPr="00A8007D" w:rsidRDefault="001C417B" w:rsidP="00CC12D6">
      <w:pPr>
        <w:spacing w:after="0" w:line="360" w:lineRule="auto"/>
        <w:ind w:left="720" w:hanging="720"/>
        <w:jc w:val="both"/>
        <w:rPr>
          <w:rFonts w:ascii="Garamond" w:hAnsi="Garamond"/>
          <w:sz w:val="24"/>
          <w:szCs w:val="24"/>
          <w:lang w:val="en-US"/>
        </w:rPr>
      </w:pPr>
      <w:r w:rsidRPr="00A8007D">
        <w:rPr>
          <w:rFonts w:ascii="Garamond" w:hAnsi="Garamond"/>
          <w:sz w:val="24"/>
          <w:szCs w:val="24"/>
          <w:lang w:val="en-US"/>
        </w:rPr>
        <w:t>Le</w:t>
      </w:r>
      <w:r>
        <w:rPr>
          <w:rFonts w:ascii="Garamond" w:hAnsi="Garamond"/>
          <w:sz w:val="24"/>
          <w:szCs w:val="24"/>
          <w:lang w:val="en-US"/>
        </w:rPr>
        <w:t>m</w:t>
      </w:r>
      <w:r w:rsidRPr="00A8007D">
        <w:rPr>
          <w:rFonts w:ascii="Garamond" w:hAnsi="Garamond"/>
          <w:sz w:val="24"/>
          <w:szCs w:val="24"/>
          <w:lang w:val="en-US"/>
        </w:rPr>
        <w:t xml:space="preserve">aire, J. P. (1999). </w:t>
      </w:r>
      <w:r w:rsidRPr="009F131B">
        <w:rPr>
          <w:rFonts w:ascii="Garamond" w:hAnsi="Garamond"/>
          <w:i/>
          <w:iCs/>
          <w:sz w:val="24"/>
          <w:szCs w:val="24"/>
        </w:rPr>
        <w:t>Estratégias de Internacionalização – Desenvolvimento Internacional da Empresa</w:t>
      </w:r>
      <w:r w:rsidRPr="00A8007D">
        <w:rPr>
          <w:rFonts w:ascii="Garamond" w:hAnsi="Garamond"/>
          <w:sz w:val="24"/>
          <w:szCs w:val="24"/>
        </w:rPr>
        <w:t xml:space="preserve">. </w:t>
      </w:r>
      <w:r w:rsidRPr="00A8007D">
        <w:rPr>
          <w:rFonts w:ascii="Garamond" w:hAnsi="Garamond"/>
          <w:sz w:val="24"/>
          <w:szCs w:val="24"/>
          <w:lang w:val="en-US"/>
        </w:rPr>
        <w:t>Lisboa: Instituto Piaget.</w:t>
      </w:r>
    </w:p>
    <w:p w14:paraId="20D18394" w14:textId="77777777" w:rsidR="001C417B" w:rsidRPr="00E13B57" w:rsidRDefault="001C417B" w:rsidP="00CC12D6">
      <w:pPr>
        <w:spacing w:after="0" w:line="360" w:lineRule="auto"/>
        <w:ind w:left="720" w:hanging="720"/>
        <w:jc w:val="both"/>
        <w:rPr>
          <w:rFonts w:ascii="Garamond" w:hAnsi="Garamond"/>
          <w:sz w:val="24"/>
          <w:szCs w:val="24"/>
        </w:rPr>
      </w:pPr>
      <w:r w:rsidRPr="00A8007D">
        <w:rPr>
          <w:rFonts w:ascii="Garamond" w:hAnsi="Garamond"/>
          <w:sz w:val="24"/>
          <w:szCs w:val="24"/>
          <w:lang w:val="en-US"/>
        </w:rPr>
        <w:t xml:space="preserve">Lee, J. K., &amp; Lee, W. N. (2009). Country-of-origin effects on consumer product evaluation and purchase intention: The role of objective versus subjective knowledge. </w:t>
      </w:r>
      <w:r w:rsidRPr="00E13B57">
        <w:rPr>
          <w:rFonts w:ascii="Garamond" w:hAnsi="Garamond"/>
          <w:i/>
          <w:iCs/>
          <w:sz w:val="24"/>
          <w:szCs w:val="24"/>
        </w:rPr>
        <w:t>Journal of International Consumer Marketing, 21</w:t>
      </w:r>
      <w:r w:rsidRPr="00E13B57">
        <w:rPr>
          <w:rFonts w:ascii="Garamond" w:hAnsi="Garamond"/>
          <w:sz w:val="24"/>
          <w:szCs w:val="24"/>
        </w:rPr>
        <w:t>(2), 137–151. https://doi.org/10.1080/08961530802153722</w:t>
      </w:r>
    </w:p>
    <w:p w14:paraId="20B186C8" w14:textId="14456F77" w:rsidR="001C417B" w:rsidRPr="00FF0CDF" w:rsidRDefault="001C417B" w:rsidP="00CC12D6">
      <w:pPr>
        <w:spacing w:after="0" w:line="360" w:lineRule="auto"/>
        <w:ind w:left="720" w:hanging="720"/>
        <w:jc w:val="both"/>
        <w:rPr>
          <w:rFonts w:ascii="Garamond" w:hAnsi="Garamond"/>
          <w:sz w:val="24"/>
          <w:szCs w:val="24"/>
        </w:rPr>
      </w:pPr>
      <w:r w:rsidRPr="00FF0CDF">
        <w:rPr>
          <w:rFonts w:ascii="Garamond" w:hAnsi="Garamond"/>
          <w:sz w:val="24"/>
          <w:szCs w:val="24"/>
        </w:rPr>
        <w:t xml:space="preserve">Lehmann, A. T. (2023). Motivações para o IDE e para a produção internacional. In A. Lehmann (Ed.), </w:t>
      </w:r>
      <w:r w:rsidRPr="00FF0CDF">
        <w:rPr>
          <w:rFonts w:ascii="Garamond" w:hAnsi="Garamond"/>
          <w:i/>
          <w:iCs/>
          <w:sz w:val="24"/>
          <w:szCs w:val="24"/>
        </w:rPr>
        <w:t>Multinacionais e Internacionalização</w:t>
      </w:r>
      <w:r w:rsidRPr="00FF0CDF">
        <w:rPr>
          <w:rFonts w:ascii="Garamond" w:hAnsi="Garamond"/>
          <w:sz w:val="24"/>
          <w:szCs w:val="24"/>
        </w:rPr>
        <w:t xml:space="preserve">. Faculdade de </w:t>
      </w:r>
      <w:r w:rsidR="007207F1">
        <w:rPr>
          <w:rFonts w:ascii="Garamond" w:hAnsi="Garamond"/>
          <w:sz w:val="24"/>
          <w:szCs w:val="24"/>
        </w:rPr>
        <w:t>E</w:t>
      </w:r>
      <w:r w:rsidRPr="00FF0CDF">
        <w:rPr>
          <w:rFonts w:ascii="Garamond" w:hAnsi="Garamond"/>
          <w:sz w:val="24"/>
          <w:szCs w:val="24"/>
        </w:rPr>
        <w:t xml:space="preserve">conomia da </w:t>
      </w:r>
      <w:r w:rsidR="007207F1">
        <w:rPr>
          <w:rFonts w:ascii="Garamond" w:hAnsi="Garamond"/>
          <w:sz w:val="24"/>
          <w:szCs w:val="24"/>
        </w:rPr>
        <w:t>U</w:t>
      </w:r>
      <w:r w:rsidRPr="00FF0CDF">
        <w:rPr>
          <w:rFonts w:ascii="Garamond" w:hAnsi="Garamond"/>
          <w:sz w:val="24"/>
          <w:szCs w:val="24"/>
        </w:rPr>
        <w:t>niversidade do Porto.</w:t>
      </w:r>
    </w:p>
    <w:p w14:paraId="558C5B1B" w14:textId="77777777" w:rsidR="001C417B" w:rsidRPr="000B42AE" w:rsidRDefault="001C417B" w:rsidP="00CC12D6">
      <w:pPr>
        <w:spacing w:after="0" w:line="360" w:lineRule="auto"/>
        <w:ind w:left="720" w:hanging="720"/>
        <w:jc w:val="both"/>
        <w:rPr>
          <w:rFonts w:ascii="Garamond" w:hAnsi="Garamond"/>
          <w:sz w:val="24"/>
          <w:szCs w:val="24"/>
          <w:lang w:val="en-US"/>
        </w:rPr>
      </w:pPr>
      <w:r w:rsidRPr="00FF0CDF">
        <w:rPr>
          <w:rFonts w:ascii="Garamond" w:hAnsi="Garamond"/>
          <w:sz w:val="24"/>
          <w:szCs w:val="24"/>
          <w:lang w:val="en-US"/>
        </w:rPr>
        <w:t xml:space="preserve">Luo, Y. (2007). </w:t>
      </w:r>
      <w:r w:rsidRPr="00A8007D">
        <w:rPr>
          <w:rFonts w:ascii="Garamond" w:hAnsi="Garamond"/>
          <w:sz w:val="24"/>
          <w:szCs w:val="24"/>
          <w:lang w:val="en-US"/>
        </w:rPr>
        <w:t xml:space="preserve">An integrated anti-opportunism system in international exchange. </w:t>
      </w:r>
      <w:r w:rsidRPr="00A8007D">
        <w:rPr>
          <w:rFonts w:ascii="Garamond" w:hAnsi="Garamond"/>
          <w:i/>
          <w:iCs/>
          <w:sz w:val="24"/>
          <w:szCs w:val="24"/>
          <w:lang w:val="en-US"/>
        </w:rPr>
        <w:t>Journal of International Business Studies, 38</w:t>
      </w:r>
      <w:r w:rsidRPr="00A8007D">
        <w:rPr>
          <w:rFonts w:ascii="Garamond" w:hAnsi="Garamond"/>
          <w:sz w:val="24"/>
          <w:szCs w:val="24"/>
          <w:lang w:val="en-US"/>
        </w:rPr>
        <w:t>, 855–877.</w:t>
      </w:r>
      <w:r>
        <w:rPr>
          <w:rFonts w:ascii="Garamond" w:hAnsi="Garamond"/>
          <w:sz w:val="24"/>
          <w:szCs w:val="24"/>
          <w:lang w:val="en-US"/>
        </w:rPr>
        <w:t xml:space="preserve"> </w:t>
      </w:r>
      <w:r w:rsidRPr="000B42AE">
        <w:rPr>
          <w:rFonts w:ascii="Garamond" w:hAnsi="Garamond"/>
          <w:sz w:val="24"/>
          <w:szCs w:val="24"/>
          <w:lang w:val="en-US"/>
        </w:rPr>
        <w:t>https://doi.org/10.1057/palgrave.jibs.8400300</w:t>
      </w:r>
    </w:p>
    <w:p w14:paraId="048FFA59" w14:textId="77777777" w:rsidR="001C417B" w:rsidRPr="00F7493F" w:rsidRDefault="001C417B" w:rsidP="00CC12D6">
      <w:pPr>
        <w:spacing w:after="0" w:line="360" w:lineRule="auto"/>
        <w:ind w:left="720" w:hanging="720"/>
        <w:jc w:val="both"/>
        <w:rPr>
          <w:rFonts w:ascii="Garamond" w:hAnsi="Garamond"/>
          <w:sz w:val="24"/>
          <w:szCs w:val="24"/>
          <w:lang w:val="en-US"/>
        </w:rPr>
      </w:pPr>
      <w:r w:rsidRPr="00E13B57">
        <w:rPr>
          <w:rFonts w:ascii="Garamond" w:hAnsi="Garamond"/>
          <w:sz w:val="24"/>
          <w:szCs w:val="24"/>
        </w:rPr>
        <w:t xml:space="preserve">Luo, Y., Zhao, H., &amp; Du, J. (2005). </w:t>
      </w:r>
      <w:r w:rsidRPr="00F7493F">
        <w:rPr>
          <w:rFonts w:ascii="Garamond" w:hAnsi="Garamond"/>
          <w:sz w:val="24"/>
          <w:szCs w:val="24"/>
          <w:lang w:val="en-US"/>
        </w:rPr>
        <w:t xml:space="preserve">The internationalization speed of e-commerce companies: An empirical analysis. </w:t>
      </w:r>
      <w:r w:rsidRPr="00F7493F">
        <w:rPr>
          <w:rFonts w:ascii="Garamond" w:hAnsi="Garamond"/>
          <w:i/>
          <w:iCs/>
          <w:sz w:val="24"/>
          <w:szCs w:val="24"/>
          <w:lang w:val="en-US"/>
        </w:rPr>
        <w:t>International Marketing Review, 22</w:t>
      </w:r>
      <w:r w:rsidRPr="00F7493F">
        <w:rPr>
          <w:rFonts w:ascii="Garamond" w:hAnsi="Garamond"/>
          <w:sz w:val="24"/>
          <w:szCs w:val="24"/>
          <w:lang w:val="en-US"/>
        </w:rPr>
        <w:t xml:space="preserve">(6), 693–709. </w:t>
      </w:r>
      <w:hyperlink r:id="rId33" w:history="1">
        <w:r w:rsidRPr="00F7493F">
          <w:rPr>
            <w:rStyle w:val="Hyperlink"/>
            <w:rFonts w:ascii="Garamond" w:hAnsi="Garamond"/>
            <w:sz w:val="24"/>
            <w:szCs w:val="24"/>
            <w:lang w:val="en-US"/>
          </w:rPr>
          <w:t>https://doi.org/10.1108/02651330510630294</w:t>
        </w:r>
      </w:hyperlink>
    </w:p>
    <w:p w14:paraId="2283CC26" w14:textId="77777777" w:rsidR="001C417B" w:rsidRDefault="001C417B" w:rsidP="00CC12D6">
      <w:pPr>
        <w:spacing w:after="0" w:line="360" w:lineRule="auto"/>
        <w:ind w:left="720" w:hanging="720"/>
        <w:jc w:val="both"/>
        <w:rPr>
          <w:rFonts w:ascii="Garamond" w:hAnsi="Garamond"/>
          <w:sz w:val="24"/>
          <w:szCs w:val="24"/>
          <w:lang w:val="en-US"/>
        </w:rPr>
      </w:pPr>
      <w:r w:rsidRPr="00A8007D">
        <w:rPr>
          <w:rFonts w:ascii="Garamond" w:hAnsi="Garamond"/>
          <w:sz w:val="24"/>
          <w:szCs w:val="24"/>
          <w:lang w:val="en-US"/>
        </w:rPr>
        <w:t xml:space="preserve">Madsen, T. K., &amp; Servais, P. (1997). The internationalization of born globals: An evolutionary process? </w:t>
      </w:r>
      <w:r w:rsidRPr="00A8007D">
        <w:rPr>
          <w:rFonts w:ascii="Garamond" w:hAnsi="Garamond"/>
          <w:i/>
          <w:iCs/>
          <w:sz w:val="24"/>
          <w:szCs w:val="24"/>
          <w:lang w:val="en-US"/>
        </w:rPr>
        <w:t>International Business Review, 6,</w:t>
      </w:r>
      <w:r w:rsidRPr="00A8007D">
        <w:rPr>
          <w:rFonts w:ascii="Garamond" w:hAnsi="Garamond"/>
          <w:sz w:val="24"/>
          <w:szCs w:val="24"/>
          <w:lang w:val="en-US"/>
        </w:rPr>
        <w:t xml:space="preserve"> 561–583</w:t>
      </w:r>
      <w:r>
        <w:rPr>
          <w:rFonts w:ascii="Garamond" w:hAnsi="Garamond"/>
          <w:sz w:val="24"/>
          <w:szCs w:val="24"/>
          <w:lang w:val="en-US"/>
        </w:rPr>
        <w:t xml:space="preserve">. </w:t>
      </w:r>
      <w:hyperlink r:id="rId34" w:history="1">
        <w:r w:rsidRPr="001C544F">
          <w:rPr>
            <w:rStyle w:val="Hyperlink"/>
            <w:rFonts w:ascii="Garamond" w:hAnsi="Garamond"/>
            <w:sz w:val="24"/>
            <w:szCs w:val="24"/>
            <w:lang w:val="en-US"/>
          </w:rPr>
          <w:t>https://doi.org/10.1016/S0969-5931(97)00032-2</w:t>
        </w:r>
      </w:hyperlink>
      <w:r>
        <w:rPr>
          <w:rFonts w:ascii="Garamond" w:hAnsi="Garamond"/>
          <w:sz w:val="24"/>
          <w:szCs w:val="24"/>
          <w:lang w:val="en-US"/>
        </w:rPr>
        <w:t xml:space="preserve">. </w:t>
      </w:r>
    </w:p>
    <w:p w14:paraId="353BA0E7" w14:textId="77777777" w:rsidR="001C417B" w:rsidRPr="005647CF" w:rsidRDefault="001C417B" w:rsidP="00CC12D6">
      <w:pPr>
        <w:spacing w:after="0" w:line="360" w:lineRule="auto"/>
        <w:ind w:left="720" w:hanging="720"/>
        <w:jc w:val="both"/>
        <w:rPr>
          <w:rFonts w:ascii="Garamond" w:hAnsi="Garamond"/>
          <w:sz w:val="24"/>
          <w:szCs w:val="24"/>
          <w:lang w:val="en-US"/>
        </w:rPr>
      </w:pPr>
      <w:r w:rsidRPr="005647CF">
        <w:rPr>
          <w:rFonts w:ascii="Garamond" w:hAnsi="Garamond"/>
          <w:sz w:val="24"/>
          <w:szCs w:val="24"/>
          <w:lang w:val="en-US"/>
        </w:rPr>
        <w:lastRenderedPageBreak/>
        <w:t xml:space="preserve">Makarevich, A., &amp; Kim, Y. C. (2019). Following in partners’ footsteps: An uncertainty reduction perspective on firms’ choice of new markets. </w:t>
      </w:r>
      <w:r w:rsidRPr="005647CF">
        <w:rPr>
          <w:rFonts w:ascii="Garamond" w:hAnsi="Garamond"/>
          <w:i/>
          <w:iCs/>
          <w:sz w:val="24"/>
          <w:szCs w:val="24"/>
          <w:lang w:val="en-US"/>
        </w:rPr>
        <w:t>Journal of Management Studies, 56</w:t>
      </w:r>
      <w:r w:rsidRPr="005647CF">
        <w:rPr>
          <w:rFonts w:ascii="Garamond" w:hAnsi="Garamond"/>
          <w:sz w:val="24"/>
          <w:szCs w:val="24"/>
          <w:lang w:val="en-US"/>
        </w:rPr>
        <w:t>(7), 1314–1344.</w:t>
      </w:r>
      <w:r w:rsidRPr="00E13B57">
        <w:rPr>
          <w:rFonts w:ascii="Arial" w:hAnsi="Arial" w:cs="Arial"/>
          <w:color w:val="333333"/>
          <w:shd w:val="clear" w:color="auto" w:fill="FFFFFF"/>
          <w:lang w:val="en-US"/>
        </w:rPr>
        <w:t xml:space="preserve"> </w:t>
      </w:r>
      <w:r w:rsidRPr="00E13B57">
        <w:rPr>
          <w:rFonts w:ascii="Garamond" w:hAnsi="Garamond"/>
          <w:sz w:val="24"/>
          <w:szCs w:val="24"/>
          <w:lang w:val="en-US"/>
        </w:rPr>
        <w:t>DOI: 10.1111/joms.12346</w:t>
      </w:r>
    </w:p>
    <w:p w14:paraId="4B988241" w14:textId="77777777" w:rsidR="001C417B" w:rsidRPr="00A8007D" w:rsidRDefault="001C417B" w:rsidP="00CC12D6">
      <w:pPr>
        <w:spacing w:after="0" w:line="360" w:lineRule="auto"/>
        <w:ind w:left="720" w:hanging="720"/>
        <w:jc w:val="both"/>
        <w:rPr>
          <w:rFonts w:ascii="Garamond" w:hAnsi="Garamond"/>
          <w:sz w:val="24"/>
          <w:szCs w:val="24"/>
          <w:lang w:val="en-US"/>
        </w:rPr>
      </w:pPr>
      <w:r w:rsidRPr="00A8007D">
        <w:rPr>
          <w:rFonts w:ascii="Garamond" w:hAnsi="Garamond"/>
          <w:sz w:val="24"/>
          <w:szCs w:val="24"/>
          <w:lang w:val="en-US"/>
        </w:rPr>
        <w:t xml:space="preserve">McDougall, P. P., &amp; Oviatt, B. M. (2000). International Entrepreneurship: The Intersection of Two Research Paths. </w:t>
      </w:r>
      <w:r w:rsidRPr="00A8007D">
        <w:rPr>
          <w:rFonts w:ascii="Garamond" w:hAnsi="Garamond"/>
          <w:i/>
          <w:iCs/>
          <w:sz w:val="24"/>
          <w:szCs w:val="24"/>
          <w:lang w:val="en-US"/>
        </w:rPr>
        <w:t>The Academy of Management Journal</w:t>
      </w:r>
      <w:r w:rsidRPr="00A8007D">
        <w:rPr>
          <w:rFonts w:ascii="Garamond" w:hAnsi="Garamond"/>
          <w:sz w:val="24"/>
          <w:szCs w:val="24"/>
          <w:lang w:val="en-US"/>
        </w:rPr>
        <w:t xml:space="preserve">, </w:t>
      </w:r>
      <w:r w:rsidRPr="00A8007D">
        <w:rPr>
          <w:rFonts w:ascii="Garamond" w:hAnsi="Garamond"/>
          <w:i/>
          <w:iCs/>
          <w:sz w:val="24"/>
          <w:szCs w:val="24"/>
          <w:lang w:val="en-US"/>
        </w:rPr>
        <w:t>43</w:t>
      </w:r>
      <w:r w:rsidRPr="00A8007D">
        <w:rPr>
          <w:rFonts w:ascii="Garamond" w:hAnsi="Garamond"/>
          <w:sz w:val="24"/>
          <w:szCs w:val="24"/>
          <w:lang w:val="en-US"/>
        </w:rPr>
        <w:t>(5), 902–906. https://doi.org/10.2307/1556418</w:t>
      </w:r>
    </w:p>
    <w:p w14:paraId="34C9C444" w14:textId="77777777" w:rsidR="001C417B" w:rsidRPr="00A8007D" w:rsidRDefault="001C417B" w:rsidP="00CC12D6">
      <w:pPr>
        <w:spacing w:after="0" w:line="360" w:lineRule="auto"/>
        <w:ind w:left="720" w:hanging="720"/>
        <w:jc w:val="both"/>
        <w:rPr>
          <w:rFonts w:ascii="Garamond" w:hAnsi="Garamond"/>
          <w:sz w:val="24"/>
          <w:szCs w:val="24"/>
          <w:lang w:val="en-US"/>
        </w:rPr>
      </w:pPr>
      <w:r w:rsidRPr="00A8007D">
        <w:rPr>
          <w:rFonts w:ascii="Garamond" w:hAnsi="Garamond"/>
          <w:sz w:val="24"/>
          <w:szCs w:val="24"/>
          <w:lang w:val="en-US"/>
        </w:rPr>
        <w:t xml:space="preserve">McDougall, P. P., Shane, S., &amp; Oviatt, B. M. (1994). Explaining the formation of international new ventures: The limits of theories from international business research. </w:t>
      </w:r>
      <w:r w:rsidRPr="00A8007D">
        <w:rPr>
          <w:rFonts w:ascii="Garamond" w:hAnsi="Garamond"/>
          <w:i/>
          <w:iCs/>
          <w:sz w:val="24"/>
          <w:szCs w:val="24"/>
          <w:lang w:val="en-US"/>
        </w:rPr>
        <w:t>Journal of Business Venturing, 9</w:t>
      </w:r>
      <w:r w:rsidRPr="00A8007D">
        <w:rPr>
          <w:rFonts w:ascii="Garamond" w:hAnsi="Garamond"/>
          <w:sz w:val="24"/>
          <w:szCs w:val="24"/>
          <w:lang w:val="en-US"/>
        </w:rPr>
        <w:t>, 469–487.</w:t>
      </w:r>
      <w:r>
        <w:rPr>
          <w:rFonts w:ascii="Garamond" w:hAnsi="Garamond"/>
          <w:sz w:val="24"/>
          <w:szCs w:val="24"/>
          <w:lang w:val="en-US"/>
        </w:rPr>
        <w:t xml:space="preserve"> </w:t>
      </w:r>
      <w:hyperlink r:id="rId35" w:history="1">
        <w:r w:rsidRPr="001C544F">
          <w:rPr>
            <w:rStyle w:val="Hyperlink"/>
            <w:rFonts w:ascii="Garamond" w:hAnsi="Garamond"/>
            <w:sz w:val="24"/>
            <w:szCs w:val="24"/>
            <w:lang w:val="en-US"/>
          </w:rPr>
          <w:t>https://doi.org/10.1016/0883-9026(94)90017-5</w:t>
        </w:r>
      </w:hyperlink>
      <w:r>
        <w:rPr>
          <w:rFonts w:ascii="Garamond" w:hAnsi="Garamond"/>
          <w:sz w:val="24"/>
          <w:szCs w:val="24"/>
          <w:lang w:val="en-US"/>
        </w:rPr>
        <w:t xml:space="preserve"> </w:t>
      </w:r>
    </w:p>
    <w:p w14:paraId="3B7B3793" w14:textId="77777777" w:rsidR="001C417B" w:rsidRPr="00A8007D" w:rsidRDefault="001C417B" w:rsidP="00CC12D6">
      <w:pPr>
        <w:spacing w:after="0" w:line="360" w:lineRule="auto"/>
        <w:ind w:left="720" w:hanging="720"/>
        <w:jc w:val="both"/>
        <w:rPr>
          <w:rFonts w:ascii="Garamond" w:hAnsi="Garamond"/>
          <w:sz w:val="24"/>
          <w:szCs w:val="24"/>
          <w:lang w:val="en-US"/>
        </w:rPr>
      </w:pPr>
      <w:r w:rsidRPr="00630049">
        <w:rPr>
          <w:rFonts w:ascii="Garamond" w:hAnsi="Garamond"/>
          <w:sz w:val="24"/>
          <w:szCs w:val="24"/>
          <w:lang w:val="en-US"/>
        </w:rPr>
        <w:t>McDougall</w:t>
      </w:r>
      <w:r w:rsidRPr="00A8007D">
        <w:rPr>
          <w:rFonts w:ascii="Garamond" w:hAnsi="Garamond"/>
          <w:sz w:val="24"/>
          <w:szCs w:val="24"/>
          <w:lang w:val="en-US"/>
        </w:rPr>
        <w:t xml:space="preserve">, P.P., &amp; Oviatt, B.M. (1997). International entrepreneurship literature in the 1990s and directions for future research. In D.L. Sexton &amp; R.W. Smilor (Eds.), Entrepreneurship 2000 (pp. 291-320). Chicago: Upstart Publishing </w:t>
      </w:r>
    </w:p>
    <w:p w14:paraId="010FD833" w14:textId="77777777" w:rsidR="001C417B" w:rsidRPr="00A8007D" w:rsidRDefault="001C417B" w:rsidP="00CC12D6">
      <w:pPr>
        <w:spacing w:after="0" w:line="360" w:lineRule="auto"/>
        <w:ind w:left="720" w:hanging="720"/>
        <w:jc w:val="both"/>
        <w:rPr>
          <w:rFonts w:ascii="Garamond" w:hAnsi="Garamond"/>
          <w:sz w:val="24"/>
          <w:szCs w:val="24"/>
          <w:lang w:val="en-US"/>
        </w:rPr>
      </w:pPr>
      <w:r w:rsidRPr="00A8007D">
        <w:rPr>
          <w:rFonts w:ascii="Garamond" w:hAnsi="Garamond"/>
          <w:sz w:val="24"/>
          <w:szCs w:val="24"/>
          <w:lang w:val="en-US"/>
        </w:rPr>
        <w:t>McDougall, P.P., &amp; Oviatt, B.M. (2003). Some Fundamental Issues in International Entrepreneurship.</w:t>
      </w:r>
      <w:r>
        <w:rPr>
          <w:rFonts w:ascii="Garamond" w:hAnsi="Garamond"/>
          <w:sz w:val="24"/>
          <w:szCs w:val="24"/>
          <w:lang w:val="en-US"/>
        </w:rPr>
        <w:t xml:space="preserve"> </w:t>
      </w:r>
      <w:r w:rsidRPr="00A8007D">
        <w:rPr>
          <w:rFonts w:ascii="Garamond" w:hAnsi="Garamond"/>
          <w:sz w:val="24"/>
          <w:szCs w:val="24"/>
          <w:lang w:val="en-US"/>
        </w:rPr>
        <w:t xml:space="preserve">Retrieved on October 31 </w:t>
      </w:r>
      <w:hyperlink r:id="rId36" w:history="1">
        <w:r w:rsidRPr="0023231D">
          <w:rPr>
            <w:rStyle w:val="Hyperlink"/>
            <w:lang w:val="en-US"/>
          </w:rPr>
          <w:t>https://growthorientedsustainableentrepreneurship.wordpress.com/wp-content/uploads/2016/07/gl-fundamental-issues-in-international-entrepreneurship.pdf</w:t>
        </w:r>
      </w:hyperlink>
    </w:p>
    <w:p w14:paraId="57E5CF2E" w14:textId="77777777" w:rsidR="001C417B" w:rsidRPr="00A8007D" w:rsidRDefault="001C417B" w:rsidP="00CC12D6">
      <w:pPr>
        <w:spacing w:after="0" w:line="360" w:lineRule="auto"/>
        <w:ind w:left="720" w:hanging="720"/>
        <w:jc w:val="both"/>
        <w:rPr>
          <w:rFonts w:ascii="Garamond" w:hAnsi="Garamond"/>
          <w:sz w:val="24"/>
          <w:szCs w:val="24"/>
          <w:lang w:val="en-US"/>
        </w:rPr>
      </w:pPr>
      <w:r w:rsidRPr="00A8007D">
        <w:rPr>
          <w:rFonts w:ascii="Garamond" w:hAnsi="Garamond"/>
          <w:sz w:val="24"/>
          <w:szCs w:val="24"/>
          <w:lang w:val="en-US"/>
        </w:rPr>
        <w:t xml:space="preserve">McKinsey &amp; Company. (2023, August 2). </w:t>
      </w:r>
      <w:r w:rsidRPr="00A8007D">
        <w:rPr>
          <w:rFonts w:ascii="Garamond" w:hAnsi="Garamond"/>
          <w:i/>
          <w:iCs/>
          <w:sz w:val="24"/>
          <w:szCs w:val="24"/>
          <w:lang w:val="en-US"/>
        </w:rPr>
        <w:t>Enabling renewable energy with battery energy storage systems</w:t>
      </w:r>
      <w:r w:rsidRPr="00A8007D">
        <w:rPr>
          <w:rFonts w:ascii="Garamond" w:hAnsi="Garamond"/>
          <w:sz w:val="24"/>
          <w:szCs w:val="24"/>
          <w:lang w:val="en-US"/>
        </w:rPr>
        <w:t xml:space="preserve">. McKinsey &amp; Company. </w:t>
      </w:r>
      <w:hyperlink r:id="rId37" w:history="1">
        <w:r w:rsidRPr="00A8007D">
          <w:rPr>
            <w:rStyle w:val="Hyperlink"/>
            <w:rFonts w:ascii="Garamond" w:hAnsi="Garamond"/>
            <w:sz w:val="24"/>
            <w:szCs w:val="24"/>
            <w:lang w:val="en-US"/>
          </w:rPr>
          <w:t>https://www.mckinsey.com/industries/automotive-and-assembly/our-insights/enabling-renewable-energy-with-battery-energy-storage-systems</w:t>
        </w:r>
      </w:hyperlink>
    </w:p>
    <w:p w14:paraId="2649E976" w14:textId="77777777" w:rsidR="001C417B" w:rsidRDefault="001C417B" w:rsidP="00CC12D6">
      <w:pPr>
        <w:spacing w:after="0" w:line="360" w:lineRule="auto"/>
        <w:ind w:left="720" w:hanging="720"/>
        <w:jc w:val="both"/>
        <w:rPr>
          <w:rFonts w:ascii="Garamond" w:hAnsi="Garamond"/>
          <w:sz w:val="24"/>
          <w:szCs w:val="24"/>
          <w:lang w:val="en-US"/>
        </w:rPr>
      </w:pPr>
      <w:r w:rsidRPr="00630049">
        <w:rPr>
          <w:rFonts w:ascii="Garamond" w:hAnsi="Garamond"/>
          <w:sz w:val="24"/>
          <w:szCs w:val="24"/>
          <w:lang w:val="en-US"/>
        </w:rPr>
        <w:t>McNaughton</w:t>
      </w:r>
      <w:r w:rsidRPr="00A8007D">
        <w:rPr>
          <w:rFonts w:ascii="Garamond" w:hAnsi="Garamond"/>
          <w:sz w:val="24"/>
          <w:szCs w:val="24"/>
          <w:lang w:val="en-US"/>
        </w:rPr>
        <w:t>, R. B., and J. Bell (2000). Capital Structure and the Pace of SME Internationalization. Paper presented at the 3rd International Entrepreneurship Conference on Globalisation and Emerging Businesses, McGill University, Canada</w:t>
      </w:r>
    </w:p>
    <w:p w14:paraId="7C8E1953" w14:textId="77777777" w:rsidR="001C417B" w:rsidRPr="00A8007D" w:rsidRDefault="001C417B" w:rsidP="00CC12D6">
      <w:pPr>
        <w:spacing w:after="0" w:line="360" w:lineRule="auto"/>
        <w:ind w:left="720" w:hanging="720"/>
        <w:jc w:val="both"/>
        <w:rPr>
          <w:rFonts w:ascii="Garamond" w:hAnsi="Garamond"/>
          <w:sz w:val="24"/>
          <w:szCs w:val="24"/>
          <w:lang w:val="en-US"/>
        </w:rPr>
      </w:pPr>
      <w:r w:rsidRPr="0033484D">
        <w:rPr>
          <w:rFonts w:ascii="Garamond" w:hAnsi="Garamond"/>
          <w:sz w:val="24"/>
          <w:szCs w:val="24"/>
          <w:lang w:val="en-US"/>
        </w:rPr>
        <w:t xml:space="preserve">Minbaeva, D., Pedersen, T., Björkman, I., Fey, C. F., &amp; Park, H. J. (2003). MNC knowledge transfer, subsidiary absorptive capacity, and HRM. </w:t>
      </w:r>
      <w:r w:rsidRPr="00FF0CDF">
        <w:rPr>
          <w:rFonts w:ascii="Garamond" w:hAnsi="Garamond"/>
          <w:i/>
          <w:iCs/>
          <w:sz w:val="24"/>
          <w:szCs w:val="24"/>
          <w:lang w:val="en-US"/>
        </w:rPr>
        <w:t>Journal of International Business Studies</w:t>
      </w:r>
      <w:r w:rsidRPr="0033484D">
        <w:rPr>
          <w:rFonts w:ascii="Garamond" w:hAnsi="Garamond"/>
          <w:sz w:val="24"/>
          <w:szCs w:val="24"/>
          <w:lang w:val="en-US"/>
        </w:rPr>
        <w:t>, 34(6), 586–599. https://doi.org/10.1057/palgrave.jibs.8400056</w:t>
      </w:r>
    </w:p>
    <w:p w14:paraId="726E6D9A" w14:textId="77777777" w:rsidR="001C417B" w:rsidRPr="00A8007D" w:rsidRDefault="001C417B" w:rsidP="00CC12D6">
      <w:pPr>
        <w:spacing w:after="0" w:line="360" w:lineRule="auto"/>
        <w:ind w:left="720" w:hanging="720"/>
        <w:jc w:val="both"/>
        <w:rPr>
          <w:rFonts w:ascii="Garamond" w:hAnsi="Garamond"/>
          <w:sz w:val="24"/>
          <w:szCs w:val="24"/>
          <w:lang w:val="en-US"/>
        </w:rPr>
      </w:pPr>
      <w:r w:rsidRPr="00A8007D">
        <w:rPr>
          <w:rFonts w:ascii="Garamond" w:hAnsi="Garamond"/>
          <w:sz w:val="24"/>
          <w:szCs w:val="24"/>
          <w:lang w:val="en-US"/>
        </w:rPr>
        <w:t>Morschett, D., Schramm-Klein, H., &amp; Swoboda, B. (2010). Decades of research on market entry modes: What do we really know about external antecedents of entry mode choice?</w:t>
      </w:r>
      <w:r w:rsidRPr="00A8007D">
        <w:rPr>
          <w:rFonts w:ascii="Garamond" w:hAnsi="Garamond"/>
          <w:i/>
          <w:iCs/>
          <w:sz w:val="24"/>
          <w:szCs w:val="24"/>
          <w:lang w:val="en-US"/>
        </w:rPr>
        <w:t>Journal of International Management, 16</w:t>
      </w:r>
      <w:r w:rsidRPr="00A8007D">
        <w:rPr>
          <w:rFonts w:ascii="Garamond" w:hAnsi="Garamond"/>
          <w:sz w:val="24"/>
          <w:szCs w:val="24"/>
          <w:lang w:val="en-US"/>
        </w:rPr>
        <w:t>, 60–77.</w:t>
      </w:r>
      <w:r>
        <w:rPr>
          <w:rFonts w:ascii="Garamond" w:hAnsi="Garamond"/>
          <w:sz w:val="24"/>
          <w:szCs w:val="24"/>
          <w:lang w:val="en-US"/>
        </w:rPr>
        <w:t xml:space="preserve"> </w:t>
      </w:r>
      <w:r w:rsidRPr="00597E4A">
        <w:rPr>
          <w:rFonts w:ascii="Garamond" w:hAnsi="Garamond"/>
          <w:sz w:val="24"/>
          <w:szCs w:val="24"/>
          <w:lang w:val="en-US"/>
        </w:rPr>
        <w:t>https://doi.org/10.1016/j.intman.2009.09.002</w:t>
      </w:r>
    </w:p>
    <w:p w14:paraId="116F8EE1" w14:textId="77777777" w:rsidR="001C417B" w:rsidRPr="00A8007D" w:rsidRDefault="001C417B" w:rsidP="00CC12D6">
      <w:pPr>
        <w:spacing w:after="0" w:line="360" w:lineRule="auto"/>
        <w:ind w:left="720" w:hanging="720"/>
        <w:jc w:val="both"/>
        <w:rPr>
          <w:rFonts w:ascii="Garamond" w:hAnsi="Garamond"/>
          <w:sz w:val="24"/>
          <w:szCs w:val="24"/>
          <w:lang w:val="en-US"/>
        </w:rPr>
      </w:pPr>
      <w:r w:rsidRPr="00A8007D">
        <w:rPr>
          <w:rFonts w:ascii="Garamond" w:hAnsi="Garamond"/>
          <w:sz w:val="24"/>
          <w:szCs w:val="24"/>
          <w:lang w:val="en-US"/>
        </w:rPr>
        <w:lastRenderedPageBreak/>
        <w:t xml:space="preserve">Mula, J. (2014). Reporting of internationalization of operations, GLOBOP: Design and management of global supply chains. </w:t>
      </w:r>
      <w:r w:rsidRPr="00A8007D">
        <w:rPr>
          <w:rFonts w:ascii="Garamond" w:hAnsi="Garamond"/>
          <w:i/>
          <w:iCs/>
          <w:sz w:val="24"/>
          <w:szCs w:val="24"/>
          <w:lang w:val="en-US"/>
        </w:rPr>
        <w:t>Industrial Engineering &amp; Management, 3</w:t>
      </w:r>
      <w:r w:rsidRPr="00A8007D">
        <w:rPr>
          <w:rFonts w:ascii="Garamond" w:hAnsi="Garamond"/>
          <w:sz w:val="24"/>
          <w:szCs w:val="24"/>
          <w:lang w:val="en-US"/>
        </w:rPr>
        <w:t>(3), 131. doi: 10.4172/2169-0316.1000131.</w:t>
      </w:r>
    </w:p>
    <w:p w14:paraId="7FC910CC" w14:textId="77777777" w:rsidR="001C417B" w:rsidRPr="00A8007D" w:rsidRDefault="001C417B" w:rsidP="00CC12D6">
      <w:pPr>
        <w:spacing w:after="0" w:line="360" w:lineRule="auto"/>
        <w:ind w:left="720" w:hanging="720"/>
        <w:jc w:val="both"/>
        <w:rPr>
          <w:rFonts w:ascii="Garamond" w:hAnsi="Garamond"/>
          <w:sz w:val="24"/>
          <w:szCs w:val="24"/>
          <w:lang w:val="en-US"/>
        </w:rPr>
      </w:pPr>
      <w:r w:rsidRPr="00A8007D">
        <w:rPr>
          <w:rFonts w:ascii="Garamond" w:hAnsi="Garamond"/>
          <w:sz w:val="24"/>
          <w:szCs w:val="24"/>
          <w:lang w:val="en-US"/>
        </w:rPr>
        <w:t xml:space="preserve">Oviatt, B. M., &amp; McDougall, P. (1995). Global start-ups: Entrepreneurs on a worldwide stage. </w:t>
      </w:r>
      <w:r w:rsidRPr="00A8007D">
        <w:rPr>
          <w:rFonts w:ascii="Garamond" w:hAnsi="Garamond"/>
          <w:i/>
          <w:iCs/>
          <w:sz w:val="24"/>
          <w:szCs w:val="24"/>
          <w:lang w:val="en-US"/>
        </w:rPr>
        <w:t>The Academy of Management Executive, 9</w:t>
      </w:r>
      <w:r w:rsidRPr="00A8007D">
        <w:rPr>
          <w:rFonts w:ascii="Garamond" w:hAnsi="Garamond"/>
          <w:sz w:val="24"/>
          <w:szCs w:val="24"/>
          <w:lang w:val="en-US"/>
        </w:rPr>
        <w:t>, 30–43.</w:t>
      </w:r>
      <w:r>
        <w:rPr>
          <w:rFonts w:ascii="Garamond" w:hAnsi="Garamond"/>
          <w:sz w:val="24"/>
          <w:szCs w:val="24"/>
          <w:lang w:val="en-US"/>
        </w:rPr>
        <w:t xml:space="preserve"> </w:t>
      </w:r>
      <w:hyperlink r:id="rId38" w:history="1">
        <w:r w:rsidRPr="00E13B57">
          <w:rPr>
            <w:rStyle w:val="Hyperlink"/>
            <w:rFonts w:ascii="Garamond" w:hAnsi="Garamond"/>
            <w:sz w:val="24"/>
            <w:szCs w:val="24"/>
            <w:lang w:val="en-US"/>
          </w:rPr>
          <w:t>https://doi.org/10.5465/ame.1995.9506273269</w:t>
        </w:r>
      </w:hyperlink>
    </w:p>
    <w:p w14:paraId="5F9651C0" w14:textId="77777777" w:rsidR="001C417B" w:rsidRPr="00510DF8" w:rsidRDefault="001C417B" w:rsidP="00CC12D6">
      <w:pPr>
        <w:spacing w:after="0" w:line="360" w:lineRule="auto"/>
        <w:ind w:left="720" w:hanging="720"/>
        <w:jc w:val="both"/>
        <w:rPr>
          <w:lang w:val="en-US"/>
        </w:rPr>
      </w:pPr>
      <w:r w:rsidRPr="00A8007D">
        <w:rPr>
          <w:rFonts w:ascii="Garamond" w:hAnsi="Garamond"/>
          <w:sz w:val="24"/>
          <w:szCs w:val="24"/>
          <w:lang w:val="en-US"/>
        </w:rPr>
        <w:t>Oviatt, B. M., &amp; McDougall, P. P. (2005). Defining International Entrepreneurship and Modeling the Speed of Internationalization</w:t>
      </w:r>
      <w:r w:rsidRPr="00A8007D">
        <w:rPr>
          <w:rFonts w:ascii="Garamond" w:hAnsi="Garamond"/>
          <w:i/>
          <w:iCs/>
          <w:sz w:val="24"/>
          <w:szCs w:val="24"/>
          <w:lang w:val="en-US"/>
        </w:rPr>
        <w:t>. Entrepreneurship Theory and Practice, 29</w:t>
      </w:r>
      <w:r w:rsidRPr="00A8007D">
        <w:rPr>
          <w:rFonts w:ascii="Garamond" w:hAnsi="Garamond"/>
          <w:sz w:val="24"/>
          <w:szCs w:val="24"/>
          <w:lang w:val="en-US"/>
        </w:rPr>
        <w:t xml:space="preserve">(5), 537-553. </w:t>
      </w:r>
      <w:hyperlink r:id="rId39" w:history="1">
        <w:r w:rsidRPr="00A8007D">
          <w:rPr>
            <w:rStyle w:val="Hyperlink"/>
            <w:rFonts w:ascii="Garamond" w:hAnsi="Garamond"/>
            <w:sz w:val="24"/>
            <w:szCs w:val="24"/>
            <w:lang w:val="en-US"/>
          </w:rPr>
          <w:t>https://doi.org/10.1111/j.1540-6520.2005.00097.x</w:t>
        </w:r>
      </w:hyperlink>
    </w:p>
    <w:p w14:paraId="24CB2578" w14:textId="77777777" w:rsidR="001C417B" w:rsidRPr="00272869" w:rsidRDefault="001C417B" w:rsidP="00CC12D6">
      <w:pPr>
        <w:spacing w:after="0" w:line="360" w:lineRule="auto"/>
        <w:ind w:left="720" w:hanging="720"/>
        <w:jc w:val="both"/>
        <w:rPr>
          <w:rFonts w:ascii="Garamond" w:hAnsi="Garamond"/>
          <w:sz w:val="24"/>
          <w:szCs w:val="24"/>
          <w:lang w:val="en-US"/>
        </w:rPr>
      </w:pPr>
      <w:r w:rsidRPr="009C44A8">
        <w:rPr>
          <w:rFonts w:ascii="Garamond" w:hAnsi="Garamond"/>
          <w:sz w:val="24"/>
          <w:szCs w:val="24"/>
          <w:lang w:val="en-US"/>
        </w:rPr>
        <w:t>Oviatt, B. M., &amp; McDougall, P. P. (1994). Toward a Theory of International New Ventures. </w:t>
      </w:r>
      <w:r w:rsidRPr="001B7A66">
        <w:rPr>
          <w:rFonts w:ascii="Garamond" w:hAnsi="Garamond"/>
          <w:i/>
          <w:iCs/>
          <w:sz w:val="24"/>
          <w:szCs w:val="24"/>
          <w:lang w:val="en-US"/>
        </w:rPr>
        <w:t>Journal of International Business Studies</w:t>
      </w:r>
      <w:r w:rsidRPr="009C44A8">
        <w:rPr>
          <w:rFonts w:ascii="Garamond" w:hAnsi="Garamond"/>
          <w:sz w:val="24"/>
          <w:szCs w:val="24"/>
          <w:lang w:val="en-US"/>
        </w:rPr>
        <w:t>, 25(1), 45–64.</w:t>
      </w:r>
      <w:r>
        <w:rPr>
          <w:rFonts w:ascii="Garamond" w:hAnsi="Garamond"/>
          <w:sz w:val="24"/>
          <w:szCs w:val="24"/>
          <w:lang w:val="en-US"/>
        </w:rPr>
        <w:t xml:space="preserve"> </w:t>
      </w:r>
      <w:r w:rsidRPr="00272869">
        <w:rPr>
          <w:rFonts w:ascii="Garamond" w:hAnsi="Garamond"/>
          <w:sz w:val="24"/>
          <w:szCs w:val="24"/>
          <w:lang w:val="en-US"/>
        </w:rPr>
        <w:t>https://doi.org/10.1057/palgrave.jibs.8490193</w:t>
      </w:r>
    </w:p>
    <w:p w14:paraId="20692398" w14:textId="77777777" w:rsidR="001C417B" w:rsidRPr="00A8007D" w:rsidRDefault="001C417B" w:rsidP="00CC12D6">
      <w:pPr>
        <w:spacing w:after="0" w:line="360" w:lineRule="auto"/>
        <w:ind w:left="720" w:hanging="720"/>
        <w:jc w:val="both"/>
        <w:rPr>
          <w:rFonts w:ascii="Garamond" w:hAnsi="Garamond"/>
          <w:sz w:val="24"/>
          <w:szCs w:val="24"/>
          <w:lang w:val="en-US"/>
        </w:rPr>
      </w:pPr>
      <w:r w:rsidRPr="00A8007D">
        <w:rPr>
          <w:rFonts w:ascii="Garamond" w:hAnsi="Garamond"/>
          <w:sz w:val="24"/>
          <w:szCs w:val="24"/>
          <w:lang w:val="en-US"/>
        </w:rPr>
        <w:t xml:space="preserve">Pan, Y., &amp; Tse, D. K. (2000). The Hierarchical Model of Market Entry Modes. </w:t>
      </w:r>
      <w:r w:rsidRPr="00A8007D">
        <w:rPr>
          <w:rFonts w:ascii="Garamond" w:hAnsi="Garamond"/>
          <w:i/>
          <w:iCs/>
          <w:sz w:val="24"/>
          <w:szCs w:val="24"/>
          <w:lang w:val="en-US"/>
        </w:rPr>
        <w:t>Journal of International Business Studies</w:t>
      </w:r>
      <w:r w:rsidRPr="00A8007D">
        <w:rPr>
          <w:rFonts w:ascii="Garamond" w:hAnsi="Garamond"/>
          <w:sz w:val="24"/>
          <w:szCs w:val="24"/>
          <w:lang w:val="en-US"/>
        </w:rPr>
        <w:t xml:space="preserve">, </w:t>
      </w:r>
      <w:r w:rsidRPr="00A8007D">
        <w:rPr>
          <w:rFonts w:ascii="Garamond" w:hAnsi="Garamond"/>
          <w:i/>
          <w:iCs/>
          <w:sz w:val="24"/>
          <w:szCs w:val="24"/>
          <w:lang w:val="en-US"/>
        </w:rPr>
        <w:t>31</w:t>
      </w:r>
      <w:r w:rsidRPr="00A8007D">
        <w:rPr>
          <w:rFonts w:ascii="Garamond" w:hAnsi="Garamond"/>
          <w:sz w:val="24"/>
          <w:szCs w:val="24"/>
          <w:lang w:val="en-US"/>
        </w:rPr>
        <w:t>(4), 535–554. http://www.jstor.org/stable/155660.</w:t>
      </w:r>
    </w:p>
    <w:p w14:paraId="7C873E21" w14:textId="77777777" w:rsidR="001C417B" w:rsidRPr="00A8007D" w:rsidRDefault="001C417B" w:rsidP="00CC12D6">
      <w:pPr>
        <w:spacing w:after="0" w:line="360" w:lineRule="auto"/>
        <w:ind w:left="720" w:hanging="720"/>
        <w:jc w:val="both"/>
        <w:rPr>
          <w:rFonts w:ascii="Garamond" w:hAnsi="Garamond"/>
          <w:sz w:val="24"/>
          <w:szCs w:val="24"/>
          <w:lang w:val="en-US"/>
        </w:rPr>
      </w:pPr>
      <w:r w:rsidRPr="00A8007D">
        <w:rPr>
          <w:rFonts w:ascii="Garamond" w:hAnsi="Garamond"/>
          <w:sz w:val="24"/>
          <w:szCs w:val="24"/>
          <w:lang w:val="en-US"/>
        </w:rPr>
        <w:t xml:space="preserve">Peng, M. W., Sun, S. L., Pinkham, B., &amp; Chen, H. (2009). </w:t>
      </w:r>
      <w:r w:rsidRPr="00C84FA1">
        <w:rPr>
          <w:rFonts w:ascii="Garamond" w:hAnsi="Garamond"/>
          <w:i/>
          <w:iCs/>
          <w:sz w:val="24"/>
          <w:szCs w:val="24"/>
          <w:lang w:val="en-US"/>
        </w:rPr>
        <w:t>The Institution-Based View as a Third Leg for a Strategy Tripod</w:t>
      </w:r>
      <w:r w:rsidRPr="00A8007D">
        <w:rPr>
          <w:rFonts w:ascii="Garamond" w:hAnsi="Garamond"/>
          <w:sz w:val="24"/>
          <w:szCs w:val="24"/>
          <w:lang w:val="en-US"/>
        </w:rPr>
        <w:t xml:space="preserve">. </w:t>
      </w:r>
      <w:r w:rsidRPr="00C84FA1">
        <w:rPr>
          <w:rFonts w:ascii="Garamond" w:hAnsi="Garamond"/>
          <w:sz w:val="24"/>
          <w:szCs w:val="24"/>
          <w:lang w:val="en-US"/>
        </w:rPr>
        <w:t xml:space="preserve">Academy of Management. </w:t>
      </w:r>
      <w:hyperlink r:id="rId40" w:history="1">
        <w:r w:rsidRPr="00E13B57">
          <w:rPr>
            <w:rStyle w:val="Hyperlink"/>
            <w:rFonts w:ascii="Garamond" w:hAnsi="Garamond"/>
            <w:sz w:val="24"/>
            <w:szCs w:val="24"/>
            <w:lang w:val="en-US"/>
          </w:rPr>
          <w:t>https://doi.org/10.5465/amp.2009.43479264</w:t>
        </w:r>
      </w:hyperlink>
    </w:p>
    <w:p w14:paraId="6B6775DE" w14:textId="77777777" w:rsidR="001C417B" w:rsidRPr="00A8007D" w:rsidRDefault="001C417B" w:rsidP="00CC12D6">
      <w:pPr>
        <w:spacing w:after="0" w:line="360" w:lineRule="auto"/>
        <w:ind w:left="720" w:hanging="720"/>
        <w:jc w:val="both"/>
        <w:rPr>
          <w:rFonts w:ascii="Garamond" w:hAnsi="Garamond"/>
          <w:sz w:val="24"/>
          <w:szCs w:val="24"/>
          <w:lang w:val="en-US"/>
        </w:rPr>
      </w:pPr>
      <w:r w:rsidRPr="00A8007D">
        <w:rPr>
          <w:rFonts w:ascii="Garamond" w:hAnsi="Garamond"/>
          <w:sz w:val="24"/>
          <w:szCs w:val="24"/>
          <w:lang w:val="en-US"/>
        </w:rPr>
        <w:t xml:space="preserve">Peng, V (2021, February 19). </w:t>
      </w:r>
      <w:r w:rsidRPr="00A8007D">
        <w:rPr>
          <w:rFonts w:ascii="Garamond" w:hAnsi="Garamond"/>
          <w:i/>
          <w:iCs/>
          <w:sz w:val="24"/>
          <w:szCs w:val="24"/>
          <w:lang w:val="en-US"/>
        </w:rPr>
        <w:t>Types of battery energy storage systems</w:t>
      </w:r>
      <w:r w:rsidRPr="00A8007D">
        <w:rPr>
          <w:rFonts w:ascii="Garamond" w:hAnsi="Garamond"/>
          <w:sz w:val="24"/>
          <w:szCs w:val="24"/>
          <w:lang w:val="en-US"/>
        </w:rPr>
        <w:t xml:space="preserve">. WattLogic. </w:t>
      </w:r>
      <w:hyperlink r:id="rId41" w:tgtFrame="_new" w:history="1">
        <w:r w:rsidRPr="00A8007D">
          <w:rPr>
            <w:rStyle w:val="Hyperlink"/>
            <w:rFonts w:ascii="Garamond" w:hAnsi="Garamond"/>
            <w:sz w:val="24"/>
            <w:szCs w:val="24"/>
            <w:lang w:val="en-US"/>
          </w:rPr>
          <w:t>https://wattlogic.com/blog/types-of-battery-energy-storage-systems/</w:t>
        </w:r>
      </w:hyperlink>
    </w:p>
    <w:p w14:paraId="7B21A57A" w14:textId="77777777" w:rsidR="001C417B" w:rsidRPr="002D7DCB" w:rsidRDefault="001C417B" w:rsidP="00CC12D6">
      <w:pPr>
        <w:spacing w:after="0" w:line="360" w:lineRule="auto"/>
        <w:ind w:left="720" w:hanging="720"/>
        <w:jc w:val="both"/>
        <w:rPr>
          <w:rFonts w:ascii="Garamond" w:hAnsi="Garamond"/>
          <w:sz w:val="24"/>
          <w:szCs w:val="24"/>
          <w:lang w:val="en-US"/>
        </w:rPr>
      </w:pPr>
      <w:r w:rsidRPr="00A8007D">
        <w:rPr>
          <w:rFonts w:ascii="Garamond" w:hAnsi="Garamond"/>
          <w:sz w:val="24"/>
          <w:szCs w:val="24"/>
          <w:lang w:val="en-US"/>
        </w:rPr>
        <w:t xml:space="preserve">Reid, S. D. (1981). The decision-maker and export entry and expansion. </w:t>
      </w:r>
      <w:r w:rsidRPr="00C84FA1">
        <w:rPr>
          <w:rFonts w:ascii="Garamond" w:hAnsi="Garamond"/>
          <w:i/>
          <w:iCs/>
          <w:sz w:val="24"/>
          <w:szCs w:val="24"/>
          <w:lang w:val="en-US"/>
        </w:rPr>
        <w:t>Journal of</w:t>
      </w:r>
      <w:r w:rsidRPr="00A8007D">
        <w:rPr>
          <w:rFonts w:ascii="Garamond" w:hAnsi="Garamond"/>
          <w:sz w:val="24"/>
          <w:szCs w:val="24"/>
          <w:lang w:val="en-US"/>
        </w:rPr>
        <w:t xml:space="preserve"> </w:t>
      </w:r>
      <w:r w:rsidRPr="00A8007D">
        <w:rPr>
          <w:rFonts w:ascii="Garamond" w:hAnsi="Garamond"/>
          <w:i/>
          <w:iCs/>
          <w:sz w:val="24"/>
          <w:szCs w:val="24"/>
          <w:lang w:val="en-US"/>
        </w:rPr>
        <w:t>International Business Studies, 12</w:t>
      </w:r>
      <w:r w:rsidRPr="00A8007D">
        <w:rPr>
          <w:rFonts w:ascii="Garamond" w:hAnsi="Garamond"/>
          <w:sz w:val="24"/>
          <w:szCs w:val="24"/>
          <w:lang w:val="en-US"/>
        </w:rPr>
        <w:t>, 101–112.</w:t>
      </w:r>
      <w:r>
        <w:rPr>
          <w:rFonts w:ascii="Garamond" w:hAnsi="Garamond"/>
          <w:sz w:val="24"/>
          <w:szCs w:val="24"/>
          <w:lang w:val="en-US"/>
        </w:rPr>
        <w:t xml:space="preserve"> </w:t>
      </w:r>
      <w:r w:rsidRPr="002D7DCB">
        <w:rPr>
          <w:rFonts w:ascii="Garamond" w:hAnsi="Garamond"/>
          <w:sz w:val="24"/>
          <w:szCs w:val="24"/>
          <w:lang w:val="en-US"/>
        </w:rPr>
        <w:t>https://doi.org/10.1057/palgrave.jibs.8490581</w:t>
      </w:r>
    </w:p>
    <w:p w14:paraId="54D645CF" w14:textId="77777777" w:rsidR="001C417B" w:rsidRPr="00A8007D" w:rsidRDefault="001C417B" w:rsidP="00CC12D6">
      <w:pPr>
        <w:spacing w:after="0" w:line="360" w:lineRule="auto"/>
        <w:ind w:left="720" w:hanging="720"/>
        <w:jc w:val="both"/>
        <w:rPr>
          <w:rFonts w:ascii="Garamond" w:hAnsi="Garamond"/>
          <w:sz w:val="24"/>
          <w:szCs w:val="24"/>
          <w:lang w:val="en-US"/>
        </w:rPr>
      </w:pPr>
      <w:r w:rsidRPr="00A8007D">
        <w:rPr>
          <w:rFonts w:ascii="Garamond" w:hAnsi="Garamond"/>
          <w:sz w:val="24"/>
          <w:szCs w:val="24"/>
          <w:lang w:val="en-US"/>
        </w:rPr>
        <w:t xml:space="preserve">Rennie, M. (1993) ‘Born global’, </w:t>
      </w:r>
      <w:r w:rsidRPr="00D42A76">
        <w:rPr>
          <w:rFonts w:ascii="Garamond" w:hAnsi="Garamond"/>
          <w:i/>
          <w:iCs/>
          <w:sz w:val="24"/>
          <w:szCs w:val="24"/>
          <w:lang w:val="en-US"/>
        </w:rPr>
        <w:t>McKinsey Quarterly</w:t>
      </w:r>
      <w:r w:rsidRPr="00A8007D">
        <w:rPr>
          <w:rFonts w:ascii="Garamond" w:hAnsi="Garamond"/>
          <w:sz w:val="24"/>
          <w:szCs w:val="24"/>
          <w:lang w:val="en-US"/>
        </w:rPr>
        <w:t xml:space="preserve"> (4): 45–52.</w:t>
      </w:r>
    </w:p>
    <w:p w14:paraId="3B410638" w14:textId="77777777" w:rsidR="001C417B" w:rsidRDefault="001C417B" w:rsidP="00CC12D6">
      <w:pPr>
        <w:spacing w:after="0" w:line="360" w:lineRule="auto"/>
        <w:ind w:left="720" w:hanging="720"/>
        <w:jc w:val="both"/>
        <w:rPr>
          <w:rFonts w:ascii="Garamond" w:hAnsi="Garamond"/>
          <w:sz w:val="24"/>
          <w:szCs w:val="24"/>
          <w:lang w:val="en-US"/>
        </w:rPr>
      </w:pPr>
      <w:r w:rsidRPr="00A8007D">
        <w:rPr>
          <w:rFonts w:ascii="Garamond" w:hAnsi="Garamond"/>
          <w:sz w:val="24"/>
          <w:szCs w:val="24"/>
          <w:lang w:val="en-US"/>
        </w:rPr>
        <w:t xml:space="preserve">Ruzzier, M., Hisrich, R. D., &amp; Antoncic, B. (2006). SME internationalization research: past, present, and future. </w:t>
      </w:r>
      <w:r w:rsidRPr="00A8007D">
        <w:rPr>
          <w:rFonts w:ascii="Garamond" w:hAnsi="Garamond"/>
          <w:i/>
          <w:iCs/>
          <w:sz w:val="24"/>
          <w:szCs w:val="24"/>
          <w:lang w:val="en-US"/>
        </w:rPr>
        <w:t>Journal of Small Business and Enterprise Development, 13</w:t>
      </w:r>
      <w:r w:rsidRPr="00A8007D">
        <w:rPr>
          <w:rFonts w:ascii="Garamond" w:hAnsi="Garamond"/>
          <w:sz w:val="24"/>
          <w:szCs w:val="24"/>
          <w:lang w:val="en-US"/>
        </w:rPr>
        <w:t>, 476–497.</w:t>
      </w:r>
      <w:r>
        <w:rPr>
          <w:rFonts w:ascii="Garamond" w:hAnsi="Garamond"/>
          <w:sz w:val="24"/>
          <w:szCs w:val="24"/>
          <w:lang w:val="en-US"/>
        </w:rPr>
        <w:t xml:space="preserve"> </w:t>
      </w:r>
      <w:r w:rsidRPr="00FD6388">
        <w:rPr>
          <w:rFonts w:ascii="Garamond" w:hAnsi="Garamond"/>
          <w:sz w:val="24"/>
          <w:szCs w:val="24"/>
          <w:lang w:val="en-US"/>
        </w:rPr>
        <w:t>https://doi.org/10.1108/14626000610705705</w:t>
      </w:r>
    </w:p>
    <w:p w14:paraId="48985B06" w14:textId="77777777" w:rsidR="001C417B" w:rsidRPr="0080410C" w:rsidRDefault="001C417B" w:rsidP="00CC12D6">
      <w:pPr>
        <w:spacing w:after="0" w:line="360" w:lineRule="auto"/>
        <w:ind w:left="720" w:hanging="720"/>
        <w:jc w:val="both"/>
        <w:rPr>
          <w:rFonts w:ascii="Garamond" w:hAnsi="Garamond"/>
          <w:sz w:val="24"/>
          <w:szCs w:val="24"/>
          <w:lang w:val="en-US"/>
        </w:rPr>
      </w:pPr>
      <w:r w:rsidRPr="00F7493F">
        <w:rPr>
          <w:rFonts w:ascii="Garamond" w:hAnsi="Garamond"/>
          <w:sz w:val="24"/>
          <w:szCs w:val="24"/>
          <w:lang w:val="en-US"/>
        </w:rPr>
        <w:t xml:space="preserve">Sakarya, S., Eckman, M., &amp; Hyllegard, K. H. (2007). Market selection for international expansion: Assessing opportunities in emerging markets. </w:t>
      </w:r>
      <w:r w:rsidRPr="00F7493F">
        <w:rPr>
          <w:rFonts w:ascii="Garamond" w:hAnsi="Garamond"/>
          <w:i/>
          <w:iCs/>
          <w:sz w:val="24"/>
          <w:szCs w:val="24"/>
          <w:lang w:val="en-US"/>
        </w:rPr>
        <w:t>International Marketing Review</w:t>
      </w:r>
      <w:r w:rsidRPr="00F7493F">
        <w:rPr>
          <w:rFonts w:ascii="Garamond" w:hAnsi="Garamond"/>
          <w:sz w:val="24"/>
          <w:szCs w:val="24"/>
          <w:lang w:val="en-US"/>
        </w:rPr>
        <w:t xml:space="preserve">, </w:t>
      </w:r>
      <w:r w:rsidRPr="00F7493F">
        <w:rPr>
          <w:rFonts w:ascii="Garamond" w:hAnsi="Garamond"/>
          <w:i/>
          <w:iCs/>
          <w:sz w:val="24"/>
          <w:szCs w:val="24"/>
          <w:lang w:val="en-US"/>
        </w:rPr>
        <w:t>24</w:t>
      </w:r>
      <w:r w:rsidRPr="00F7493F">
        <w:rPr>
          <w:rFonts w:ascii="Garamond" w:hAnsi="Garamond"/>
          <w:sz w:val="24"/>
          <w:szCs w:val="24"/>
          <w:lang w:val="en-US"/>
        </w:rPr>
        <w:t xml:space="preserve">(2), 208–238. </w:t>
      </w:r>
      <w:hyperlink r:id="rId42" w:history="1">
        <w:r w:rsidRPr="00F7493F">
          <w:rPr>
            <w:rStyle w:val="Hyperlink"/>
            <w:rFonts w:ascii="Garamond" w:hAnsi="Garamond"/>
            <w:sz w:val="24"/>
            <w:szCs w:val="24"/>
            <w:lang w:val="en-US"/>
          </w:rPr>
          <w:t>https://doi.org/10.1108/02651330710741820</w:t>
        </w:r>
      </w:hyperlink>
    </w:p>
    <w:p w14:paraId="17E8D65D" w14:textId="77777777" w:rsidR="001C417B" w:rsidRPr="00510DF8" w:rsidRDefault="001C417B" w:rsidP="00CC12D6">
      <w:pPr>
        <w:spacing w:after="0" w:line="360" w:lineRule="auto"/>
        <w:ind w:left="720" w:hanging="720"/>
        <w:jc w:val="both"/>
        <w:rPr>
          <w:rFonts w:ascii="Garamond" w:hAnsi="Garamond"/>
          <w:sz w:val="24"/>
          <w:szCs w:val="24"/>
        </w:rPr>
      </w:pPr>
      <w:r w:rsidRPr="00060621">
        <w:rPr>
          <w:rFonts w:ascii="Garamond" w:hAnsi="Garamond"/>
          <w:sz w:val="24"/>
          <w:szCs w:val="24"/>
          <w:lang w:val="en-US"/>
        </w:rPr>
        <w:t xml:space="preserve">Sánchez, P. C., &amp; Ferrá, B. E. (2018). Clusters of exporting priority countries. </w:t>
      </w:r>
      <w:r w:rsidRPr="00510DF8">
        <w:rPr>
          <w:rFonts w:ascii="Garamond" w:hAnsi="Garamond"/>
          <w:i/>
          <w:iCs/>
          <w:sz w:val="24"/>
          <w:szCs w:val="24"/>
        </w:rPr>
        <w:t>Cuadernos de</w:t>
      </w:r>
      <w:r w:rsidRPr="00510DF8">
        <w:rPr>
          <w:rFonts w:ascii="Garamond" w:hAnsi="Garamond"/>
          <w:sz w:val="28"/>
          <w:szCs w:val="28"/>
        </w:rPr>
        <w:t xml:space="preserve"> </w:t>
      </w:r>
      <w:r w:rsidRPr="00510DF8">
        <w:rPr>
          <w:rFonts w:ascii="Garamond" w:hAnsi="Garamond"/>
          <w:i/>
          <w:iCs/>
          <w:sz w:val="24"/>
          <w:szCs w:val="24"/>
        </w:rPr>
        <w:t>Gestión, 19</w:t>
      </w:r>
      <w:r w:rsidRPr="00510DF8">
        <w:rPr>
          <w:rFonts w:ascii="Garamond" w:hAnsi="Garamond"/>
          <w:sz w:val="24"/>
          <w:szCs w:val="24"/>
        </w:rPr>
        <w:t xml:space="preserve">(1), 147-174. </w:t>
      </w:r>
      <w:hyperlink r:id="rId43" w:history="1">
        <w:r w:rsidRPr="0055282B">
          <w:rPr>
            <w:rStyle w:val="Hyperlink"/>
            <w:rFonts w:ascii="Garamond" w:hAnsi="Garamond"/>
            <w:sz w:val="24"/>
            <w:szCs w:val="24"/>
          </w:rPr>
          <w:t>https://doi.org/10.5295/cdg.170733pc</w:t>
        </w:r>
      </w:hyperlink>
    </w:p>
    <w:p w14:paraId="5A7477D0" w14:textId="77777777" w:rsidR="001C417B" w:rsidRDefault="001C417B" w:rsidP="00CC12D6">
      <w:pPr>
        <w:spacing w:after="0" w:line="360" w:lineRule="auto"/>
        <w:ind w:left="720" w:hanging="720"/>
        <w:jc w:val="both"/>
        <w:rPr>
          <w:rFonts w:ascii="Garamond" w:hAnsi="Garamond"/>
          <w:sz w:val="24"/>
          <w:szCs w:val="24"/>
          <w:lang w:val="en-US"/>
        </w:rPr>
      </w:pPr>
      <w:r w:rsidRPr="00B9358B">
        <w:rPr>
          <w:rFonts w:ascii="Garamond" w:hAnsi="Garamond"/>
          <w:sz w:val="24"/>
          <w:szCs w:val="24"/>
        </w:rPr>
        <w:lastRenderedPageBreak/>
        <w:t xml:space="preserve">Sarkis, J., Zhu, Q., &amp; Lai, K. H. (2011). </w:t>
      </w:r>
      <w:r w:rsidRPr="00B9358B">
        <w:rPr>
          <w:rFonts w:ascii="Garamond" w:hAnsi="Garamond"/>
          <w:sz w:val="24"/>
          <w:szCs w:val="24"/>
          <w:lang w:val="en-US"/>
        </w:rPr>
        <w:t>An organizational theoretic review of green supply chain management literature. In International Journal of Production Economics (Vol. 130, Issue 1, pp. 1–15). Elsevier B.V. https://doi.org/10.1016/j.ijpe.2010.11.010</w:t>
      </w:r>
    </w:p>
    <w:p w14:paraId="41255216" w14:textId="77777777" w:rsidR="001C417B" w:rsidRPr="003D4BC1" w:rsidRDefault="001C417B" w:rsidP="00CC12D6">
      <w:pPr>
        <w:spacing w:after="0" w:line="360" w:lineRule="auto"/>
        <w:ind w:left="720" w:hanging="720"/>
        <w:jc w:val="both"/>
        <w:rPr>
          <w:rFonts w:ascii="Garamond" w:hAnsi="Garamond"/>
          <w:sz w:val="24"/>
          <w:szCs w:val="24"/>
          <w:lang w:val="en-US"/>
        </w:rPr>
      </w:pPr>
      <w:r w:rsidRPr="000D5BC9">
        <w:rPr>
          <w:rFonts w:ascii="Garamond" w:hAnsi="Garamond"/>
          <w:sz w:val="24"/>
          <w:szCs w:val="24"/>
          <w:lang w:val="en-US"/>
        </w:rPr>
        <w:t xml:space="preserve">Schellenberg, M., Harker, M. J., &amp; Jafari, A. (2018). International market entry mode–a systematic literature review. </w:t>
      </w:r>
      <w:r w:rsidRPr="00BB7262">
        <w:rPr>
          <w:rFonts w:ascii="Garamond" w:hAnsi="Garamond"/>
          <w:i/>
          <w:iCs/>
          <w:sz w:val="24"/>
          <w:szCs w:val="24"/>
          <w:lang w:val="en-US"/>
        </w:rPr>
        <w:t>Journal of Strategic Marketing</w:t>
      </w:r>
      <w:r w:rsidRPr="000D5BC9">
        <w:rPr>
          <w:rFonts w:ascii="Garamond" w:hAnsi="Garamond"/>
          <w:sz w:val="24"/>
          <w:szCs w:val="24"/>
          <w:lang w:val="en-US"/>
        </w:rPr>
        <w:t>, 26(7), 601–627. https://doi.org/10.1080/0965254X.2017.1339114</w:t>
      </w:r>
    </w:p>
    <w:p w14:paraId="4FCAE291" w14:textId="77777777" w:rsidR="001C417B" w:rsidRPr="00A8007D" w:rsidRDefault="001C417B" w:rsidP="00CC12D6">
      <w:pPr>
        <w:spacing w:after="0" w:line="360" w:lineRule="auto"/>
        <w:ind w:left="720" w:hanging="720"/>
        <w:jc w:val="both"/>
        <w:rPr>
          <w:rFonts w:ascii="Garamond" w:hAnsi="Garamond"/>
          <w:sz w:val="24"/>
          <w:szCs w:val="24"/>
          <w:lang w:val="en-US"/>
        </w:rPr>
      </w:pPr>
      <w:r w:rsidRPr="00A8007D">
        <w:rPr>
          <w:rFonts w:ascii="Garamond" w:hAnsi="Garamond"/>
          <w:sz w:val="24"/>
          <w:szCs w:val="24"/>
          <w:lang w:val="en-US"/>
        </w:rPr>
        <w:t xml:space="preserve">Seggie, S. H. (2012). Transaction cost economics in international marketing: A review and suggestions for the future. </w:t>
      </w:r>
      <w:r w:rsidRPr="00A8007D">
        <w:rPr>
          <w:rFonts w:ascii="Garamond" w:hAnsi="Garamond"/>
          <w:i/>
          <w:iCs/>
          <w:sz w:val="24"/>
          <w:szCs w:val="24"/>
          <w:lang w:val="en-US"/>
        </w:rPr>
        <w:t>Journal of International Marketing, 20</w:t>
      </w:r>
      <w:r w:rsidRPr="00A8007D">
        <w:rPr>
          <w:rFonts w:ascii="Garamond" w:hAnsi="Garamond"/>
          <w:sz w:val="24"/>
          <w:szCs w:val="24"/>
          <w:lang w:val="en-US"/>
        </w:rPr>
        <w:t>, 49–71.</w:t>
      </w:r>
      <w:r w:rsidRPr="00E13B57">
        <w:rPr>
          <w:lang w:val="en-US"/>
        </w:rPr>
        <w:t xml:space="preserve"> </w:t>
      </w:r>
      <w:r w:rsidRPr="00C13212">
        <w:rPr>
          <w:rFonts w:ascii="Garamond" w:hAnsi="Garamond"/>
          <w:sz w:val="24"/>
          <w:szCs w:val="24"/>
          <w:lang w:val="en-US"/>
        </w:rPr>
        <w:t>https://doi.org/10.2307/23268746</w:t>
      </w:r>
    </w:p>
    <w:p w14:paraId="3562C6F1" w14:textId="77777777" w:rsidR="001C417B" w:rsidRPr="00A8007D" w:rsidRDefault="001C417B" w:rsidP="00CC12D6">
      <w:pPr>
        <w:spacing w:after="0" w:line="360" w:lineRule="auto"/>
        <w:ind w:left="720" w:hanging="720"/>
        <w:jc w:val="both"/>
        <w:rPr>
          <w:rFonts w:ascii="Garamond" w:hAnsi="Garamond"/>
          <w:sz w:val="24"/>
          <w:szCs w:val="24"/>
          <w:lang w:val="en-US"/>
        </w:rPr>
      </w:pPr>
      <w:r w:rsidRPr="00E13B57">
        <w:rPr>
          <w:rFonts w:ascii="Garamond" w:hAnsi="Garamond"/>
          <w:sz w:val="24"/>
          <w:szCs w:val="24"/>
          <w:lang w:val="en-US"/>
        </w:rPr>
        <w:t xml:space="preserve">Suyambu, M. R. &amp; Vishwakarma, P. K. (2024). </w:t>
      </w:r>
      <w:r w:rsidRPr="00A8007D">
        <w:rPr>
          <w:rFonts w:ascii="Garamond" w:hAnsi="Garamond"/>
          <w:sz w:val="24"/>
          <w:szCs w:val="24"/>
          <w:lang w:val="en-US"/>
        </w:rPr>
        <w:t xml:space="preserve">Improving grid reliability with grid-scale Battery Energy Storage Systems (BESS). </w:t>
      </w:r>
      <w:r w:rsidRPr="00A8007D">
        <w:rPr>
          <w:rFonts w:ascii="Garamond" w:hAnsi="Garamond"/>
          <w:i/>
          <w:iCs/>
          <w:sz w:val="24"/>
          <w:szCs w:val="24"/>
          <w:lang w:val="en-US"/>
        </w:rPr>
        <w:t>International Journal of Science and Research Archive, 13</w:t>
      </w:r>
      <w:r w:rsidRPr="00A8007D">
        <w:rPr>
          <w:rFonts w:ascii="Garamond" w:hAnsi="Garamond"/>
          <w:sz w:val="24"/>
          <w:szCs w:val="24"/>
          <w:lang w:val="en-US"/>
        </w:rPr>
        <w:t xml:space="preserve">(1), 776–789. </w:t>
      </w:r>
      <w:hyperlink r:id="rId44" w:history="1">
        <w:r w:rsidRPr="00A8007D">
          <w:rPr>
            <w:rStyle w:val="Hyperlink"/>
            <w:rFonts w:ascii="Garamond" w:hAnsi="Garamond"/>
            <w:sz w:val="24"/>
            <w:szCs w:val="24"/>
            <w:lang w:val="en-US"/>
          </w:rPr>
          <w:t>https://doi.org/10.30574/ijsra.2024.13.1.1694</w:t>
        </w:r>
      </w:hyperlink>
    </w:p>
    <w:p w14:paraId="2976E577" w14:textId="77777777" w:rsidR="001C417B" w:rsidRPr="00A8007D" w:rsidRDefault="001C417B" w:rsidP="00CC12D6">
      <w:pPr>
        <w:spacing w:after="0" w:line="360" w:lineRule="auto"/>
        <w:ind w:left="720" w:hanging="720"/>
        <w:jc w:val="both"/>
        <w:rPr>
          <w:rFonts w:ascii="Garamond" w:hAnsi="Garamond"/>
          <w:sz w:val="24"/>
          <w:szCs w:val="24"/>
          <w:lang w:val="en-US"/>
        </w:rPr>
      </w:pPr>
      <w:r w:rsidRPr="00A8007D">
        <w:rPr>
          <w:rFonts w:ascii="Garamond" w:hAnsi="Garamond"/>
          <w:sz w:val="24"/>
          <w:szCs w:val="24"/>
          <w:lang w:val="en-US"/>
        </w:rPr>
        <w:t xml:space="preserve">Urban, W., Krot, K., &amp; Tomaszuk, A. (2023). A cross-national study of internationalisation barriers with reference to SME value chain. </w:t>
      </w:r>
      <w:r w:rsidRPr="00A8007D">
        <w:rPr>
          <w:rFonts w:ascii="Garamond" w:hAnsi="Garamond"/>
          <w:i/>
          <w:iCs/>
          <w:sz w:val="24"/>
          <w:szCs w:val="24"/>
          <w:lang w:val="en-US"/>
        </w:rPr>
        <w:t>Equilibrium. Quarterly Journal of Economics and Economic Policy</w:t>
      </w:r>
      <w:r w:rsidRPr="00A8007D">
        <w:rPr>
          <w:rFonts w:ascii="Garamond" w:hAnsi="Garamond"/>
          <w:sz w:val="24"/>
          <w:szCs w:val="24"/>
          <w:lang w:val="en-US"/>
        </w:rPr>
        <w:t xml:space="preserve">, </w:t>
      </w:r>
      <w:r w:rsidRPr="00A8007D">
        <w:rPr>
          <w:rFonts w:ascii="Garamond" w:hAnsi="Garamond"/>
          <w:i/>
          <w:iCs/>
          <w:sz w:val="24"/>
          <w:szCs w:val="24"/>
          <w:lang w:val="en-US"/>
        </w:rPr>
        <w:t>18</w:t>
      </w:r>
      <w:r w:rsidRPr="00A8007D">
        <w:rPr>
          <w:rFonts w:ascii="Garamond" w:hAnsi="Garamond"/>
          <w:sz w:val="24"/>
          <w:szCs w:val="24"/>
          <w:lang w:val="en-US"/>
        </w:rPr>
        <w:t>(2), 523–549. https://doi.org/10.24136/eq.2023.016</w:t>
      </w:r>
    </w:p>
    <w:p w14:paraId="514DDEDF" w14:textId="77777777" w:rsidR="001C417B" w:rsidRPr="001F22AF" w:rsidRDefault="001C417B" w:rsidP="00CC12D6">
      <w:pPr>
        <w:spacing w:after="0" w:line="360" w:lineRule="auto"/>
        <w:ind w:left="720" w:hanging="720"/>
        <w:jc w:val="both"/>
        <w:rPr>
          <w:rFonts w:ascii="Garamond" w:hAnsi="Garamond"/>
          <w:sz w:val="24"/>
          <w:szCs w:val="24"/>
          <w:lang w:val="en-US"/>
        </w:rPr>
      </w:pPr>
      <w:r w:rsidRPr="00A8007D">
        <w:rPr>
          <w:rFonts w:ascii="Garamond" w:hAnsi="Garamond"/>
          <w:sz w:val="24"/>
          <w:szCs w:val="24"/>
        </w:rPr>
        <w:t xml:space="preserve">Viana, C., &amp; Hortinha, J. (2005). “Marketing internacional”. </w:t>
      </w:r>
      <w:r w:rsidRPr="001F22AF">
        <w:rPr>
          <w:rFonts w:ascii="Garamond" w:hAnsi="Garamond"/>
          <w:sz w:val="24"/>
          <w:szCs w:val="24"/>
          <w:lang w:val="en-US"/>
        </w:rPr>
        <w:t xml:space="preserve">Edições Silabo. </w:t>
      </w:r>
    </w:p>
    <w:p w14:paraId="336BE648" w14:textId="77777777" w:rsidR="001C417B" w:rsidRPr="00A8007D" w:rsidRDefault="001C417B" w:rsidP="00CC12D6">
      <w:pPr>
        <w:spacing w:after="0" w:line="360" w:lineRule="auto"/>
        <w:ind w:left="720" w:hanging="720"/>
        <w:jc w:val="both"/>
        <w:rPr>
          <w:rFonts w:ascii="Garamond" w:hAnsi="Garamond"/>
          <w:sz w:val="24"/>
          <w:szCs w:val="24"/>
          <w:lang w:val="en-US"/>
        </w:rPr>
      </w:pPr>
      <w:r w:rsidRPr="00A8007D">
        <w:rPr>
          <w:rFonts w:ascii="Garamond" w:hAnsi="Garamond"/>
          <w:sz w:val="24"/>
          <w:szCs w:val="24"/>
          <w:lang w:val="en-US"/>
        </w:rPr>
        <w:t xml:space="preserve">Wach, K. (2015). Entrepreneurial orientation and business internationalisation process: The theoretical foundations of international entrepreneurship. </w:t>
      </w:r>
      <w:r w:rsidRPr="00A8007D">
        <w:rPr>
          <w:rFonts w:ascii="Garamond" w:hAnsi="Garamond"/>
          <w:i/>
          <w:iCs/>
          <w:sz w:val="24"/>
          <w:szCs w:val="24"/>
          <w:lang w:val="en-US"/>
        </w:rPr>
        <w:t>Entrepreneurial Business and Economics Review, 3</w:t>
      </w:r>
      <w:r w:rsidRPr="00A8007D">
        <w:rPr>
          <w:rFonts w:ascii="Garamond" w:hAnsi="Garamond"/>
          <w:sz w:val="24"/>
          <w:szCs w:val="24"/>
          <w:lang w:val="en-US"/>
        </w:rPr>
        <w:t>(2), 9–24. https://doi.org/10.15678/EBER.2015.030202</w:t>
      </w:r>
    </w:p>
    <w:p w14:paraId="4D6E26C1" w14:textId="77777777" w:rsidR="001C417B" w:rsidRPr="00A8007D" w:rsidRDefault="001C417B" w:rsidP="00CC12D6">
      <w:pPr>
        <w:spacing w:after="0" w:line="360" w:lineRule="auto"/>
        <w:ind w:left="720" w:hanging="720"/>
        <w:jc w:val="both"/>
        <w:rPr>
          <w:rFonts w:ascii="Garamond" w:hAnsi="Garamond"/>
          <w:sz w:val="24"/>
          <w:szCs w:val="24"/>
          <w:lang w:val="en-US"/>
        </w:rPr>
      </w:pPr>
      <w:r w:rsidRPr="00A8007D">
        <w:rPr>
          <w:rFonts w:ascii="Garamond" w:hAnsi="Garamond"/>
          <w:sz w:val="24"/>
          <w:szCs w:val="24"/>
          <w:lang w:val="en-US"/>
        </w:rPr>
        <w:t xml:space="preserve">Wang, W., Zhang, Z., Wang, L., Lan, H., &amp; Xiong, Y. (2024). Forecasting the market value of power battery industry chain: A novel RRMIDAS-SVR model. </w:t>
      </w:r>
      <w:r w:rsidRPr="00A8007D">
        <w:rPr>
          <w:rFonts w:ascii="Garamond" w:hAnsi="Garamond"/>
          <w:i/>
          <w:iCs/>
          <w:sz w:val="24"/>
          <w:szCs w:val="24"/>
          <w:lang w:val="en-US"/>
        </w:rPr>
        <w:t>Journal of Management Science and Engineering, 9</w:t>
      </w:r>
      <w:r w:rsidRPr="00A8007D">
        <w:rPr>
          <w:rFonts w:ascii="Garamond" w:hAnsi="Garamond"/>
          <w:sz w:val="24"/>
          <w:szCs w:val="24"/>
          <w:lang w:val="en-US"/>
        </w:rPr>
        <w:t>(4), 474–489.</w:t>
      </w:r>
      <w:r>
        <w:rPr>
          <w:rFonts w:ascii="Garamond" w:hAnsi="Garamond"/>
          <w:sz w:val="24"/>
          <w:szCs w:val="24"/>
          <w:lang w:val="en-US"/>
        </w:rPr>
        <w:t xml:space="preserve"> </w:t>
      </w:r>
      <w:r w:rsidRPr="00A17048">
        <w:rPr>
          <w:rFonts w:ascii="Garamond" w:hAnsi="Garamond"/>
          <w:sz w:val="24"/>
          <w:szCs w:val="24"/>
          <w:lang w:val="en-US"/>
        </w:rPr>
        <w:t>https://doi.org/10.1016/j.jmse.2024.06.004</w:t>
      </w:r>
    </w:p>
    <w:p w14:paraId="15D1A8B6" w14:textId="77777777" w:rsidR="001C417B" w:rsidRPr="00A8007D" w:rsidRDefault="001C417B" w:rsidP="00CC12D6">
      <w:pPr>
        <w:spacing w:after="0" w:line="360" w:lineRule="auto"/>
        <w:ind w:left="720" w:hanging="720"/>
        <w:jc w:val="both"/>
        <w:rPr>
          <w:rFonts w:ascii="Garamond" w:hAnsi="Garamond"/>
          <w:sz w:val="24"/>
          <w:szCs w:val="24"/>
          <w:lang w:val="en-US"/>
        </w:rPr>
      </w:pPr>
      <w:r w:rsidRPr="00A8007D">
        <w:rPr>
          <w:rFonts w:ascii="Garamond" w:hAnsi="Garamond"/>
          <w:sz w:val="24"/>
          <w:szCs w:val="24"/>
          <w:lang w:val="en-US"/>
        </w:rPr>
        <w:t xml:space="preserve">Whitelock, J. (2002). Theories of internationalisation and their impact on market entry. </w:t>
      </w:r>
      <w:r w:rsidRPr="00A8007D">
        <w:rPr>
          <w:rFonts w:ascii="Garamond" w:hAnsi="Garamond"/>
          <w:i/>
          <w:iCs/>
          <w:sz w:val="24"/>
          <w:szCs w:val="24"/>
          <w:lang w:val="en-US"/>
        </w:rPr>
        <w:t>International Marketing Review, 19</w:t>
      </w:r>
      <w:r w:rsidRPr="00A8007D">
        <w:rPr>
          <w:rFonts w:ascii="Garamond" w:hAnsi="Garamond"/>
          <w:sz w:val="24"/>
          <w:szCs w:val="24"/>
          <w:lang w:val="en-US"/>
        </w:rPr>
        <w:t>, 342–347.</w:t>
      </w:r>
      <w:r w:rsidRPr="00E13B57">
        <w:rPr>
          <w:lang w:val="en-US"/>
        </w:rPr>
        <w:t xml:space="preserve"> </w:t>
      </w:r>
      <w:r w:rsidRPr="00960870">
        <w:rPr>
          <w:rFonts w:ascii="Garamond" w:hAnsi="Garamond"/>
          <w:sz w:val="24"/>
          <w:szCs w:val="24"/>
          <w:lang w:val="en-US"/>
        </w:rPr>
        <w:t>https://doi.org/10.1108/02651330210435654</w:t>
      </w:r>
    </w:p>
    <w:p w14:paraId="2742057E" w14:textId="77777777" w:rsidR="001C417B" w:rsidRPr="00A8007D" w:rsidRDefault="001C417B" w:rsidP="00CC12D6">
      <w:pPr>
        <w:spacing w:after="0" w:line="360" w:lineRule="auto"/>
        <w:ind w:left="720" w:hanging="720"/>
        <w:jc w:val="both"/>
        <w:rPr>
          <w:rFonts w:ascii="Garamond" w:hAnsi="Garamond"/>
          <w:sz w:val="24"/>
          <w:szCs w:val="24"/>
          <w:lang w:val="en-US"/>
        </w:rPr>
      </w:pPr>
      <w:r w:rsidRPr="00A8007D">
        <w:rPr>
          <w:rFonts w:ascii="Garamond" w:hAnsi="Garamond"/>
          <w:sz w:val="24"/>
          <w:szCs w:val="24"/>
          <w:lang w:val="en-US"/>
        </w:rPr>
        <w:t xml:space="preserve">Williamson, O. E. (1975). Markets and hierarchies. In D. Faulkner (Ed.), </w:t>
      </w:r>
      <w:r w:rsidRPr="005111C5">
        <w:rPr>
          <w:rFonts w:ascii="Garamond" w:hAnsi="Garamond"/>
          <w:i/>
          <w:iCs/>
          <w:sz w:val="24"/>
          <w:szCs w:val="24"/>
          <w:lang w:val="en-US"/>
        </w:rPr>
        <w:t>Strategy critical perspectives on business and management</w:t>
      </w:r>
      <w:r w:rsidRPr="00A8007D">
        <w:rPr>
          <w:rFonts w:ascii="Garamond" w:hAnsi="Garamond"/>
          <w:sz w:val="24"/>
          <w:szCs w:val="24"/>
          <w:lang w:val="en-US"/>
        </w:rPr>
        <w:t xml:space="preserve"> (pp. 26–30). New York, NY: Routledge.</w:t>
      </w:r>
    </w:p>
    <w:p w14:paraId="2AD96F2B" w14:textId="77777777" w:rsidR="001C417B" w:rsidRPr="00510DF8" w:rsidRDefault="001C417B" w:rsidP="00CC12D6">
      <w:pPr>
        <w:spacing w:after="0" w:line="360" w:lineRule="auto"/>
        <w:ind w:left="720" w:hanging="720"/>
        <w:jc w:val="both"/>
        <w:rPr>
          <w:lang w:val="en-US"/>
        </w:rPr>
      </w:pPr>
      <w:r w:rsidRPr="00A8007D">
        <w:rPr>
          <w:rFonts w:ascii="Garamond" w:hAnsi="Garamond"/>
          <w:sz w:val="24"/>
          <w:szCs w:val="24"/>
          <w:lang w:val="en-US"/>
        </w:rPr>
        <w:t xml:space="preserve">Williamson, O. E. (1981). The Economics of Organization: The Transaction Cost Approach. </w:t>
      </w:r>
      <w:r w:rsidRPr="00A8007D">
        <w:rPr>
          <w:rFonts w:ascii="Garamond" w:hAnsi="Garamond"/>
          <w:i/>
          <w:iCs/>
          <w:sz w:val="24"/>
          <w:szCs w:val="24"/>
          <w:lang w:val="en-US"/>
        </w:rPr>
        <w:t>American Journal of Sociology</w:t>
      </w:r>
      <w:r w:rsidRPr="00A8007D">
        <w:rPr>
          <w:rFonts w:ascii="Garamond" w:hAnsi="Garamond"/>
          <w:sz w:val="24"/>
          <w:szCs w:val="24"/>
          <w:lang w:val="en-US"/>
        </w:rPr>
        <w:t xml:space="preserve">, </w:t>
      </w:r>
      <w:r w:rsidRPr="00A8007D">
        <w:rPr>
          <w:rFonts w:ascii="Garamond" w:hAnsi="Garamond"/>
          <w:i/>
          <w:iCs/>
          <w:sz w:val="24"/>
          <w:szCs w:val="24"/>
          <w:lang w:val="en-US"/>
        </w:rPr>
        <w:t>87</w:t>
      </w:r>
      <w:r w:rsidRPr="00A8007D">
        <w:rPr>
          <w:rFonts w:ascii="Garamond" w:hAnsi="Garamond"/>
          <w:sz w:val="24"/>
          <w:szCs w:val="24"/>
          <w:lang w:val="en-US"/>
        </w:rPr>
        <w:t xml:space="preserve">(3), 548–577. </w:t>
      </w:r>
      <w:hyperlink r:id="rId45" w:history="1">
        <w:r w:rsidRPr="00A8007D">
          <w:rPr>
            <w:rStyle w:val="Hyperlink"/>
            <w:rFonts w:ascii="Garamond" w:hAnsi="Garamond"/>
            <w:sz w:val="24"/>
            <w:szCs w:val="24"/>
            <w:lang w:val="en-US"/>
          </w:rPr>
          <w:t>http://www.jstor.org/stable/2778934</w:t>
        </w:r>
      </w:hyperlink>
    </w:p>
    <w:p w14:paraId="728A8788" w14:textId="77777777" w:rsidR="001C417B" w:rsidRPr="00A8007D" w:rsidRDefault="001C417B" w:rsidP="00CC12D6">
      <w:pPr>
        <w:spacing w:after="0" w:line="360" w:lineRule="auto"/>
        <w:ind w:left="720" w:hanging="720"/>
        <w:jc w:val="both"/>
        <w:rPr>
          <w:rFonts w:ascii="Garamond" w:hAnsi="Garamond"/>
          <w:sz w:val="24"/>
          <w:szCs w:val="24"/>
          <w:lang w:val="en-US"/>
        </w:rPr>
      </w:pPr>
      <w:r w:rsidRPr="00AC531A">
        <w:rPr>
          <w:rFonts w:ascii="Garamond" w:hAnsi="Garamond"/>
          <w:sz w:val="24"/>
          <w:szCs w:val="24"/>
          <w:lang w:val="en-US"/>
        </w:rPr>
        <w:t>World Bank Group &amp; Energy Sector Management Assistance Program</w:t>
      </w:r>
      <w:r>
        <w:rPr>
          <w:rFonts w:ascii="Garamond" w:hAnsi="Garamond"/>
          <w:sz w:val="24"/>
          <w:szCs w:val="24"/>
          <w:lang w:val="en-US"/>
        </w:rPr>
        <w:t xml:space="preserve">, </w:t>
      </w:r>
      <w:r w:rsidRPr="00AC531A">
        <w:rPr>
          <w:rFonts w:ascii="Garamond" w:hAnsi="Garamond"/>
          <w:sz w:val="24"/>
          <w:szCs w:val="24"/>
          <w:lang w:val="en-US"/>
        </w:rPr>
        <w:t xml:space="preserve">ESMAP. (2025). </w:t>
      </w:r>
      <w:r w:rsidRPr="00387B3B">
        <w:rPr>
          <w:rFonts w:ascii="Garamond" w:hAnsi="Garamond"/>
          <w:i/>
          <w:iCs/>
          <w:sz w:val="24"/>
          <w:szCs w:val="24"/>
          <w:lang w:val="en-US"/>
        </w:rPr>
        <w:t>Global Solar Atlas</w:t>
      </w:r>
      <w:r>
        <w:rPr>
          <w:rFonts w:ascii="Garamond" w:hAnsi="Garamond"/>
          <w:sz w:val="24"/>
          <w:szCs w:val="24"/>
          <w:lang w:val="en-US"/>
        </w:rPr>
        <w:t>.</w:t>
      </w:r>
      <w:r w:rsidRPr="00410D02">
        <w:rPr>
          <w:rFonts w:ascii="Garamond" w:hAnsi="Garamond"/>
          <w:sz w:val="24"/>
          <w:szCs w:val="24"/>
          <w:lang w:val="en-US"/>
        </w:rPr>
        <w:t xml:space="preserve"> </w:t>
      </w:r>
      <w:hyperlink r:id="rId46" w:history="1">
        <w:r w:rsidRPr="00410D02">
          <w:rPr>
            <w:rFonts w:ascii="Garamond" w:hAnsi="Garamond"/>
            <w:sz w:val="24"/>
            <w:szCs w:val="24"/>
            <w:lang w:val="en-US"/>
          </w:rPr>
          <w:t>https://globalsolaratlas.info/map</w:t>
        </w:r>
      </w:hyperlink>
    </w:p>
    <w:p w14:paraId="477E4E1D" w14:textId="77777777" w:rsidR="001C417B" w:rsidRPr="00A8007D" w:rsidRDefault="001C417B" w:rsidP="00CC12D6">
      <w:pPr>
        <w:spacing w:after="0" w:line="360" w:lineRule="auto"/>
        <w:ind w:left="720" w:hanging="720"/>
        <w:jc w:val="both"/>
        <w:rPr>
          <w:rFonts w:ascii="Garamond" w:hAnsi="Garamond"/>
          <w:sz w:val="24"/>
          <w:szCs w:val="24"/>
          <w:lang w:val="en-US"/>
        </w:rPr>
      </w:pPr>
      <w:r w:rsidRPr="00A8007D">
        <w:rPr>
          <w:rFonts w:ascii="Garamond" w:hAnsi="Garamond"/>
          <w:sz w:val="24"/>
          <w:szCs w:val="24"/>
          <w:lang w:val="en-US"/>
        </w:rPr>
        <w:lastRenderedPageBreak/>
        <w:t xml:space="preserve">World Bank Organization. (1987) </w:t>
      </w:r>
      <w:r w:rsidRPr="00A8007D">
        <w:rPr>
          <w:rFonts w:ascii="Garamond" w:hAnsi="Garamond"/>
          <w:i/>
          <w:iCs/>
          <w:sz w:val="24"/>
          <w:szCs w:val="24"/>
          <w:lang w:val="en-US"/>
        </w:rPr>
        <w:t xml:space="preserve">Management Contracts: Main features and Design Issues </w:t>
      </w:r>
      <w:hyperlink r:id="rId47" w:history="1">
        <w:r w:rsidRPr="00A8007D">
          <w:rPr>
            <w:rStyle w:val="Hyperlink"/>
            <w:rFonts w:ascii="Garamond" w:hAnsi="Garamond"/>
            <w:sz w:val="24"/>
            <w:szCs w:val="24"/>
            <w:lang w:val="en-US"/>
          </w:rPr>
          <w:t>https://documents1.worldbank.org/curated/pt/167541468766197080/pdf/multi-page.pdf</w:t>
        </w:r>
      </w:hyperlink>
    </w:p>
    <w:p w14:paraId="538782FA" w14:textId="77777777" w:rsidR="001C417B" w:rsidRDefault="001C417B" w:rsidP="00CC12D6">
      <w:pPr>
        <w:spacing w:after="0" w:line="360" w:lineRule="auto"/>
        <w:ind w:left="720" w:hanging="720"/>
        <w:jc w:val="both"/>
        <w:rPr>
          <w:rFonts w:ascii="Garamond" w:hAnsi="Garamond"/>
          <w:sz w:val="24"/>
          <w:szCs w:val="24"/>
          <w:lang w:val="en-US"/>
        </w:rPr>
      </w:pPr>
      <w:r w:rsidRPr="00A8007D">
        <w:rPr>
          <w:rFonts w:ascii="Garamond" w:hAnsi="Garamond"/>
          <w:sz w:val="24"/>
          <w:szCs w:val="24"/>
        </w:rPr>
        <w:t xml:space="preserve">Zhao, H., Luo, Y., &amp; Suh, T. (2004). </w:t>
      </w:r>
      <w:r w:rsidRPr="00A8007D">
        <w:rPr>
          <w:rFonts w:ascii="Garamond" w:hAnsi="Garamond"/>
          <w:sz w:val="24"/>
          <w:szCs w:val="24"/>
          <w:lang w:val="en-US"/>
        </w:rPr>
        <w:t xml:space="preserve">Transaction cost determinants and ownership-based entry mode choice: A meta-analytical review. </w:t>
      </w:r>
      <w:r w:rsidRPr="00A8007D">
        <w:rPr>
          <w:rFonts w:ascii="Garamond" w:hAnsi="Garamond"/>
          <w:i/>
          <w:iCs/>
          <w:sz w:val="24"/>
          <w:szCs w:val="24"/>
          <w:lang w:val="en-US"/>
        </w:rPr>
        <w:t>Journal of International Business Studies, 35</w:t>
      </w:r>
      <w:r w:rsidRPr="00A8007D">
        <w:rPr>
          <w:rFonts w:ascii="Garamond" w:hAnsi="Garamond"/>
          <w:sz w:val="24"/>
          <w:szCs w:val="24"/>
          <w:lang w:val="en-US"/>
        </w:rPr>
        <w:t>(6), 524-544. doi:10.1057/palgrave.jibs.8400106</w:t>
      </w:r>
    </w:p>
    <w:p w14:paraId="10B8A5DD" w14:textId="77777777" w:rsidR="001C417B" w:rsidRDefault="001C417B" w:rsidP="00CC12D6">
      <w:pPr>
        <w:spacing w:after="0" w:line="360" w:lineRule="auto"/>
        <w:ind w:left="720" w:hanging="720"/>
        <w:jc w:val="both"/>
        <w:sectPr w:rsidR="001C417B" w:rsidSect="00D11E80">
          <w:footerReference w:type="default" r:id="rId48"/>
          <w:pgSz w:w="12240" w:h="15840"/>
          <w:pgMar w:top="1701" w:right="1985" w:bottom="1701" w:left="1418" w:header="720" w:footer="720" w:gutter="0"/>
          <w:pgNumType w:start="1"/>
          <w:cols w:space="720"/>
          <w:docGrid w:linePitch="360"/>
        </w:sectPr>
      </w:pPr>
      <w:r w:rsidRPr="00AC531A">
        <w:rPr>
          <w:rFonts w:ascii="Garamond" w:hAnsi="Garamond"/>
          <w:sz w:val="24"/>
          <w:szCs w:val="24"/>
          <w:lang w:val="en-US"/>
        </w:rPr>
        <w:t xml:space="preserve">Zhu, K. (2024, August 27) </w:t>
      </w:r>
      <w:r w:rsidRPr="00983A86">
        <w:rPr>
          <w:rFonts w:ascii="Garamond" w:hAnsi="Garamond"/>
          <w:i/>
          <w:iCs/>
          <w:sz w:val="24"/>
          <w:szCs w:val="24"/>
          <w:lang w:val="en-US"/>
        </w:rPr>
        <w:t>Ranked: The 15 Countries whit the most solar power installed.</w:t>
      </w:r>
      <w:r w:rsidRPr="00AC531A">
        <w:rPr>
          <w:rFonts w:ascii="Garamond" w:hAnsi="Garamond"/>
          <w:sz w:val="24"/>
          <w:szCs w:val="24"/>
          <w:lang w:val="en-US"/>
        </w:rPr>
        <w:t xml:space="preserve"> </w:t>
      </w:r>
      <w:r w:rsidRPr="00983A86">
        <w:rPr>
          <w:rFonts w:ascii="Garamond" w:hAnsi="Garamond"/>
          <w:sz w:val="24"/>
          <w:szCs w:val="24"/>
        </w:rPr>
        <w:t>Vis</w:t>
      </w:r>
      <w:r>
        <w:rPr>
          <w:rFonts w:ascii="Garamond" w:hAnsi="Garamond"/>
          <w:sz w:val="24"/>
          <w:szCs w:val="24"/>
        </w:rPr>
        <w:t>u</w:t>
      </w:r>
      <w:r w:rsidRPr="00983A86">
        <w:rPr>
          <w:rFonts w:ascii="Garamond" w:hAnsi="Garamond"/>
          <w:sz w:val="24"/>
          <w:szCs w:val="24"/>
        </w:rPr>
        <w:t xml:space="preserve">al Capitalist </w:t>
      </w:r>
      <w:hyperlink r:id="rId49" w:history="1">
        <w:r w:rsidRPr="002E23D1">
          <w:rPr>
            <w:rFonts w:ascii="Garamond" w:hAnsi="Garamond"/>
            <w:sz w:val="24"/>
            <w:szCs w:val="24"/>
          </w:rPr>
          <w:t>https://www.visualcapitalist.com/countries-by-solar-power-ranking/</w:t>
        </w:r>
      </w:hyperlink>
    </w:p>
    <w:p w14:paraId="000F4E58" w14:textId="77777777" w:rsidR="0005675B" w:rsidRDefault="00F62A35" w:rsidP="00F73D3C">
      <w:pPr>
        <w:pStyle w:val="Heading1"/>
        <w:spacing w:line="360" w:lineRule="auto"/>
        <w:rPr>
          <w:sz w:val="20"/>
          <w:szCs w:val="20"/>
        </w:rPr>
      </w:pPr>
      <w:bookmarkStart w:id="27" w:name="_Toc202571366"/>
      <w:r w:rsidRPr="00537118">
        <w:lastRenderedPageBreak/>
        <w:t>Anexos</w:t>
      </w:r>
      <w:bookmarkEnd w:id="27"/>
      <w:r w:rsidR="0005675B" w:rsidRPr="0005675B">
        <w:rPr>
          <w:sz w:val="20"/>
          <w:szCs w:val="20"/>
        </w:rPr>
        <w:t xml:space="preserve"> </w:t>
      </w:r>
    </w:p>
    <w:p w14:paraId="176BFA55" w14:textId="767CB886" w:rsidR="00072F67" w:rsidRPr="00D55EB8" w:rsidRDefault="0005675B" w:rsidP="00F73D3C">
      <w:pPr>
        <w:spacing w:after="0" w:line="360" w:lineRule="auto"/>
        <w:rPr>
          <w:rFonts w:ascii="Garamond" w:hAnsi="Garamond"/>
        </w:rPr>
      </w:pPr>
      <w:r w:rsidRPr="00D55EB8">
        <w:rPr>
          <w:rFonts w:ascii="Garamond" w:hAnsi="Garamond"/>
          <w:b/>
          <w:bCs/>
        </w:rPr>
        <w:t xml:space="preserve">Tabela </w:t>
      </w:r>
      <w:r w:rsidR="0062431B" w:rsidRPr="00D55EB8">
        <w:rPr>
          <w:rFonts w:ascii="Garamond" w:hAnsi="Garamond"/>
          <w:b/>
          <w:bCs/>
        </w:rPr>
        <w:t>A.</w:t>
      </w:r>
      <w:r w:rsidRPr="00D55EB8">
        <w:rPr>
          <w:rFonts w:ascii="Garamond" w:hAnsi="Garamond"/>
          <w:b/>
          <w:bCs/>
        </w:rPr>
        <w:t>1: Solar power ranking</w:t>
      </w:r>
      <w:r w:rsidRPr="00D55EB8">
        <w:rPr>
          <w:rFonts w:ascii="Garamond" w:hAnsi="Garamond"/>
        </w:rPr>
        <w:t xml:space="preserve">. </w:t>
      </w:r>
    </w:p>
    <w:tbl>
      <w:tblPr>
        <w:tblW w:w="5524" w:type="dxa"/>
        <w:tblInd w:w="113" w:type="dxa"/>
        <w:tblLook w:val="04A0" w:firstRow="1" w:lastRow="0" w:firstColumn="1" w:lastColumn="0" w:noHBand="0" w:noVBand="1"/>
      </w:tblPr>
      <w:tblGrid>
        <w:gridCol w:w="1555"/>
        <w:gridCol w:w="1701"/>
        <w:gridCol w:w="2268"/>
      </w:tblGrid>
      <w:tr w:rsidR="00072F67" w:rsidRPr="00537118" w14:paraId="24A2BAEB" w14:textId="77777777" w:rsidTr="005040EC">
        <w:trPr>
          <w:trHeight w:val="20"/>
        </w:trPr>
        <w:tc>
          <w:tcPr>
            <w:tcW w:w="1555" w:type="dxa"/>
            <w:tcBorders>
              <w:top w:val="single" w:sz="4" w:space="0" w:color="A5A5A5"/>
              <w:left w:val="single" w:sz="4" w:space="0" w:color="A5A5A5"/>
              <w:bottom w:val="single" w:sz="8" w:space="0" w:color="A5A5A5"/>
              <w:right w:val="single" w:sz="4" w:space="0" w:color="A5A5A5"/>
            </w:tcBorders>
            <w:shd w:val="clear" w:color="000000" w:fill="F2F2F2"/>
            <w:vAlign w:val="center"/>
            <w:hideMark/>
          </w:tcPr>
          <w:p w14:paraId="246F40B5" w14:textId="77777777" w:rsidR="00072F67" w:rsidRPr="0062431B" w:rsidRDefault="00072F67" w:rsidP="005040EC">
            <w:pPr>
              <w:spacing w:after="0" w:line="240" w:lineRule="auto"/>
              <w:jc w:val="center"/>
              <w:rPr>
                <w:rFonts w:ascii="Garamond" w:eastAsia="Times New Roman" w:hAnsi="Garamond" w:cs="Calibri"/>
                <w:b/>
                <w:bCs/>
                <w:i/>
                <w:iCs/>
                <w:color w:val="212529"/>
                <w:kern w:val="0"/>
                <w14:ligatures w14:val="none"/>
              </w:rPr>
            </w:pPr>
            <w:r w:rsidRPr="0062431B">
              <w:rPr>
                <w:rFonts w:ascii="Garamond" w:eastAsia="Times New Roman" w:hAnsi="Garamond" w:cs="Calibri"/>
                <w:b/>
                <w:bCs/>
                <w:i/>
                <w:iCs/>
                <w:color w:val="212529"/>
                <w:kern w:val="0"/>
                <w14:ligatures w14:val="none"/>
              </w:rPr>
              <w:t>Ranking</w:t>
            </w:r>
          </w:p>
        </w:tc>
        <w:tc>
          <w:tcPr>
            <w:tcW w:w="1701" w:type="dxa"/>
            <w:tcBorders>
              <w:top w:val="single" w:sz="4" w:space="0" w:color="A5A5A5"/>
              <w:left w:val="single" w:sz="4" w:space="0" w:color="A5A5A5"/>
              <w:bottom w:val="single" w:sz="8" w:space="0" w:color="A5A5A5"/>
              <w:right w:val="single" w:sz="4" w:space="0" w:color="A5A5A5"/>
            </w:tcBorders>
            <w:shd w:val="clear" w:color="000000" w:fill="F2F2F2"/>
            <w:vAlign w:val="center"/>
            <w:hideMark/>
          </w:tcPr>
          <w:p w14:paraId="5B123193" w14:textId="040C8E7F" w:rsidR="00072F67" w:rsidRPr="00537118" w:rsidRDefault="0062431B" w:rsidP="005040EC">
            <w:pPr>
              <w:spacing w:after="0" w:line="240" w:lineRule="auto"/>
              <w:jc w:val="center"/>
              <w:rPr>
                <w:rFonts w:ascii="Garamond" w:eastAsia="Times New Roman" w:hAnsi="Garamond" w:cs="Calibri"/>
                <w:b/>
                <w:bCs/>
                <w:color w:val="212529"/>
                <w:kern w:val="0"/>
                <w14:ligatures w14:val="none"/>
              </w:rPr>
            </w:pPr>
            <w:r>
              <w:rPr>
                <w:rFonts w:ascii="Garamond" w:eastAsia="Times New Roman" w:hAnsi="Garamond" w:cs="Calibri"/>
                <w:b/>
                <w:bCs/>
                <w:color w:val="212529"/>
                <w:kern w:val="0"/>
                <w14:ligatures w14:val="none"/>
              </w:rPr>
              <w:t>País</w:t>
            </w:r>
          </w:p>
        </w:tc>
        <w:tc>
          <w:tcPr>
            <w:tcW w:w="2268" w:type="dxa"/>
            <w:tcBorders>
              <w:top w:val="single" w:sz="4" w:space="0" w:color="A5A5A5"/>
              <w:left w:val="single" w:sz="4" w:space="0" w:color="A5A5A5"/>
              <w:bottom w:val="single" w:sz="8" w:space="0" w:color="A5A5A5"/>
              <w:right w:val="single" w:sz="4" w:space="0" w:color="A5A5A5"/>
            </w:tcBorders>
            <w:shd w:val="clear" w:color="000000" w:fill="F2F2F2"/>
            <w:vAlign w:val="center"/>
            <w:hideMark/>
          </w:tcPr>
          <w:p w14:paraId="6404BBBA" w14:textId="60F65BB2" w:rsidR="00072F67" w:rsidRPr="00537118" w:rsidRDefault="00072F67" w:rsidP="005040EC">
            <w:pPr>
              <w:spacing w:after="0" w:line="240" w:lineRule="auto"/>
              <w:jc w:val="center"/>
              <w:rPr>
                <w:rFonts w:ascii="Garamond" w:eastAsia="Times New Roman" w:hAnsi="Garamond" w:cs="Calibri"/>
                <w:b/>
                <w:bCs/>
                <w:color w:val="212529"/>
                <w:kern w:val="0"/>
                <w14:ligatures w14:val="none"/>
              </w:rPr>
            </w:pPr>
            <w:r w:rsidRPr="00537118">
              <w:rPr>
                <w:rFonts w:ascii="Garamond" w:eastAsia="Times New Roman" w:hAnsi="Garamond" w:cs="Calibri"/>
                <w:b/>
                <w:bCs/>
                <w:color w:val="212529"/>
                <w:kern w:val="0"/>
                <w14:ligatures w14:val="none"/>
              </w:rPr>
              <w:t xml:space="preserve">Megawatts (MW) </w:t>
            </w:r>
            <w:r w:rsidR="005B6AC9">
              <w:rPr>
                <w:rFonts w:ascii="Garamond" w:eastAsia="Times New Roman" w:hAnsi="Garamond" w:cs="Calibri"/>
                <w:b/>
                <w:bCs/>
                <w:color w:val="212529"/>
                <w:kern w:val="0"/>
                <w14:ligatures w14:val="none"/>
              </w:rPr>
              <w:t>capacidade</w:t>
            </w:r>
            <w:r w:rsidR="0062431B">
              <w:rPr>
                <w:rFonts w:ascii="Garamond" w:eastAsia="Times New Roman" w:hAnsi="Garamond" w:cs="Calibri"/>
                <w:b/>
                <w:bCs/>
                <w:color w:val="212529"/>
                <w:kern w:val="0"/>
                <w14:ligatures w14:val="none"/>
              </w:rPr>
              <w:t xml:space="preserve"> instalada</w:t>
            </w:r>
            <w:r w:rsidRPr="00537118">
              <w:rPr>
                <w:rFonts w:ascii="Garamond" w:eastAsia="Times New Roman" w:hAnsi="Garamond" w:cs="Calibri"/>
                <w:b/>
                <w:bCs/>
                <w:color w:val="212529"/>
                <w:kern w:val="0"/>
                <w14:ligatures w14:val="none"/>
              </w:rPr>
              <w:t xml:space="preserve"> 2023</w:t>
            </w:r>
          </w:p>
        </w:tc>
      </w:tr>
      <w:tr w:rsidR="00072F67" w:rsidRPr="00537118" w14:paraId="79B1D78F" w14:textId="77777777" w:rsidTr="005040EC">
        <w:trPr>
          <w:trHeight w:val="20"/>
        </w:trPr>
        <w:tc>
          <w:tcPr>
            <w:tcW w:w="1555" w:type="dxa"/>
            <w:tcBorders>
              <w:top w:val="single" w:sz="4" w:space="0" w:color="A5A5A5"/>
              <w:left w:val="single" w:sz="4" w:space="0" w:color="A5A5A5"/>
              <w:bottom w:val="single" w:sz="4" w:space="0" w:color="A5A5A5"/>
              <w:right w:val="single" w:sz="4" w:space="0" w:color="A5A5A5"/>
            </w:tcBorders>
            <w:shd w:val="clear" w:color="EDEDED" w:fill="EDEDED"/>
            <w:vAlign w:val="center"/>
            <w:hideMark/>
          </w:tcPr>
          <w:p w14:paraId="11E995E0" w14:textId="77777777" w:rsidR="00072F67" w:rsidRPr="00537118" w:rsidRDefault="00072F67" w:rsidP="005040EC">
            <w:pPr>
              <w:spacing w:after="0" w:line="240" w:lineRule="auto"/>
              <w:jc w:val="center"/>
              <w:rPr>
                <w:rFonts w:ascii="Garamond" w:eastAsia="Times New Roman" w:hAnsi="Garamond" w:cs="Calibri"/>
                <w:color w:val="212529"/>
                <w:kern w:val="0"/>
                <w14:ligatures w14:val="none"/>
              </w:rPr>
            </w:pPr>
            <w:r w:rsidRPr="00537118">
              <w:rPr>
                <w:rFonts w:ascii="Garamond" w:eastAsia="Times New Roman" w:hAnsi="Garamond" w:cs="Calibri"/>
                <w:color w:val="212529"/>
                <w:kern w:val="0"/>
                <w14:ligatures w14:val="none"/>
              </w:rPr>
              <w:t>1</w:t>
            </w:r>
          </w:p>
        </w:tc>
        <w:tc>
          <w:tcPr>
            <w:tcW w:w="1701" w:type="dxa"/>
            <w:tcBorders>
              <w:top w:val="single" w:sz="4" w:space="0" w:color="A5A5A5"/>
              <w:left w:val="single" w:sz="4" w:space="0" w:color="A5A5A5"/>
              <w:bottom w:val="single" w:sz="4" w:space="0" w:color="A5A5A5"/>
              <w:right w:val="single" w:sz="4" w:space="0" w:color="A5A5A5"/>
            </w:tcBorders>
            <w:shd w:val="clear" w:color="EDEDED" w:fill="EDEDED"/>
            <w:vAlign w:val="center"/>
            <w:hideMark/>
          </w:tcPr>
          <w:p w14:paraId="4927774F" w14:textId="77777777" w:rsidR="00072F67" w:rsidRPr="00537118" w:rsidRDefault="00072F67" w:rsidP="005040EC">
            <w:pPr>
              <w:spacing w:after="0" w:line="240" w:lineRule="auto"/>
              <w:jc w:val="center"/>
              <w:rPr>
                <w:rFonts w:ascii="Garamond" w:eastAsia="Times New Roman" w:hAnsi="Garamond" w:cs="Calibri"/>
                <w:color w:val="212529"/>
                <w:kern w:val="0"/>
                <w14:ligatures w14:val="none"/>
              </w:rPr>
            </w:pPr>
            <w:r w:rsidRPr="00537118">
              <w:rPr>
                <w:rFonts w:ascii="Garamond" w:eastAsia="Times New Roman" w:hAnsi="Garamond" w:cs="Calibri"/>
                <w:color w:val="212529"/>
                <w:kern w:val="0"/>
                <w14:ligatures w14:val="none"/>
              </w:rPr>
              <w:t>China</w:t>
            </w:r>
          </w:p>
        </w:tc>
        <w:tc>
          <w:tcPr>
            <w:tcW w:w="2268" w:type="dxa"/>
            <w:tcBorders>
              <w:top w:val="single" w:sz="4" w:space="0" w:color="A5A5A5"/>
              <w:left w:val="single" w:sz="4" w:space="0" w:color="A5A5A5"/>
              <w:bottom w:val="single" w:sz="4" w:space="0" w:color="A5A5A5"/>
              <w:right w:val="single" w:sz="4" w:space="0" w:color="A5A5A5"/>
            </w:tcBorders>
            <w:shd w:val="clear" w:color="EDEDED" w:fill="EDEDED"/>
            <w:vAlign w:val="center"/>
            <w:hideMark/>
          </w:tcPr>
          <w:p w14:paraId="0A18EFBD" w14:textId="77777777" w:rsidR="00072F67" w:rsidRPr="00537118" w:rsidRDefault="00072F67" w:rsidP="005040EC">
            <w:pPr>
              <w:spacing w:after="0" w:line="240" w:lineRule="auto"/>
              <w:jc w:val="center"/>
              <w:rPr>
                <w:rFonts w:ascii="Garamond" w:eastAsia="Times New Roman" w:hAnsi="Garamond" w:cs="Calibri"/>
                <w:color w:val="212529"/>
                <w:kern w:val="0"/>
                <w14:ligatures w14:val="none"/>
              </w:rPr>
            </w:pPr>
            <w:r w:rsidRPr="00537118">
              <w:rPr>
                <w:rFonts w:ascii="Garamond" w:eastAsia="Times New Roman" w:hAnsi="Garamond" w:cs="Calibri"/>
                <w:color w:val="212529"/>
                <w:kern w:val="0"/>
                <w14:ligatures w14:val="none"/>
              </w:rPr>
              <w:t>609920,8</w:t>
            </w:r>
          </w:p>
        </w:tc>
      </w:tr>
      <w:tr w:rsidR="00072F67" w:rsidRPr="00537118" w14:paraId="69D86869" w14:textId="77777777" w:rsidTr="005040EC">
        <w:trPr>
          <w:trHeight w:val="20"/>
        </w:trPr>
        <w:tc>
          <w:tcPr>
            <w:tcW w:w="1555"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14:paraId="36A7881A" w14:textId="77777777" w:rsidR="00072F67" w:rsidRPr="00537118" w:rsidRDefault="00072F67" w:rsidP="005040EC">
            <w:pPr>
              <w:spacing w:after="0" w:line="240" w:lineRule="auto"/>
              <w:jc w:val="center"/>
              <w:rPr>
                <w:rFonts w:ascii="Garamond" w:eastAsia="Times New Roman" w:hAnsi="Garamond" w:cs="Calibri"/>
                <w:color w:val="212529"/>
                <w:kern w:val="0"/>
                <w14:ligatures w14:val="none"/>
              </w:rPr>
            </w:pPr>
            <w:r w:rsidRPr="00537118">
              <w:rPr>
                <w:rFonts w:ascii="Garamond" w:eastAsia="Times New Roman" w:hAnsi="Garamond" w:cs="Calibri"/>
                <w:color w:val="212529"/>
                <w:kern w:val="0"/>
                <w14:ligatures w14:val="none"/>
              </w:rPr>
              <w:t>2</w:t>
            </w:r>
          </w:p>
        </w:tc>
        <w:tc>
          <w:tcPr>
            <w:tcW w:w="1701"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14:paraId="541D30B9" w14:textId="16BDDC08" w:rsidR="00072F67" w:rsidRPr="00537118" w:rsidRDefault="0062431B" w:rsidP="005040EC">
            <w:pPr>
              <w:spacing w:after="0" w:line="240" w:lineRule="auto"/>
              <w:jc w:val="center"/>
              <w:rPr>
                <w:rFonts w:ascii="Garamond" w:eastAsia="Times New Roman" w:hAnsi="Garamond" w:cs="Calibri"/>
                <w:color w:val="212529"/>
                <w:kern w:val="0"/>
                <w14:ligatures w14:val="none"/>
              </w:rPr>
            </w:pPr>
            <w:r>
              <w:rPr>
                <w:rFonts w:ascii="Garamond" w:eastAsia="Times New Roman" w:hAnsi="Garamond" w:cs="Calibri"/>
                <w:color w:val="212529"/>
                <w:kern w:val="0"/>
                <w14:ligatures w14:val="none"/>
              </w:rPr>
              <w:t>E.U.A</w:t>
            </w:r>
          </w:p>
        </w:tc>
        <w:tc>
          <w:tcPr>
            <w:tcW w:w="2268"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14:paraId="7EE31CE5" w14:textId="77777777" w:rsidR="00072F67" w:rsidRPr="00537118" w:rsidRDefault="00072F67" w:rsidP="005040EC">
            <w:pPr>
              <w:spacing w:after="0" w:line="240" w:lineRule="auto"/>
              <w:jc w:val="center"/>
              <w:rPr>
                <w:rFonts w:ascii="Garamond" w:eastAsia="Times New Roman" w:hAnsi="Garamond" w:cs="Calibri"/>
                <w:color w:val="212529"/>
                <w:kern w:val="0"/>
                <w14:ligatures w14:val="none"/>
              </w:rPr>
            </w:pPr>
            <w:r w:rsidRPr="00537118">
              <w:rPr>
                <w:rFonts w:ascii="Garamond" w:eastAsia="Times New Roman" w:hAnsi="Garamond" w:cs="Calibri"/>
                <w:color w:val="212529"/>
                <w:kern w:val="0"/>
                <w14:ligatures w14:val="none"/>
              </w:rPr>
              <w:t>139205,28</w:t>
            </w:r>
          </w:p>
        </w:tc>
      </w:tr>
      <w:tr w:rsidR="00072F67" w:rsidRPr="00537118" w14:paraId="3F07120A" w14:textId="77777777" w:rsidTr="005040EC">
        <w:trPr>
          <w:trHeight w:val="20"/>
        </w:trPr>
        <w:tc>
          <w:tcPr>
            <w:tcW w:w="1555" w:type="dxa"/>
            <w:tcBorders>
              <w:top w:val="single" w:sz="4" w:space="0" w:color="A5A5A5"/>
              <w:left w:val="single" w:sz="4" w:space="0" w:color="A5A5A5"/>
              <w:bottom w:val="single" w:sz="4" w:space="0" w:color="A5A5A5"/>
              <w:right w:val="single" w:sz="4" w:space="0" w:color="A5A5A5"/>
            </w:tcBorders>
            <w:shd w:val="clear" w:color="EDEDED" w:fill="EDEDED"/>
            <w:vAlign w:val="center"/>
            <w:hideMark/>
          </w:tcPr>
          <w:p w14:paraId="2E2A81A7" w14:textId="77777777" w:rsidR="00072F67" w:rsidRPr="00537118" w:rsidRDefault="00072F67" w:rsidP="005040EC">
            <w:pPr>
              <w:spacing w:after="0" w:line="240" w:lineRule="auto"/>
              <w:jc w:val="center"/>
              <w:rPr>
                <w:rFonts w:ascii="Garamond" w:eastAsia="Times New Roman" w:hAnsi="Garamond" w:cs="Calibri"/>
                <w:color w:val="212529"/>
                <w:kern w:val="0"/>
                <w14:ligatures w14:val="none"/>
              </w:rPr>
            </w:pPr>
            <w:r w:rsidRPr="00537118">
              <w:rPr>
                <w:rFonts w:ascii="Garamond" w:eastAsia="Times New Roman" w:hAnsi="Garamond" w:cs="Calibri"/>
                <w:color w:val="212529"/>
                <w:kern w:val="0"/>
                <w14:ligatures w14:val="none"/>
              </w:rPr>
              <w:t>3</w:t>
            </w:r>
          </w:p>
        </w:tc>
        <w:tc>
          <w:tcPr>
            <w:tcW w:w="1701" w:type="dxa"/>
            <w:tcBorders>
              <w:top w:val="single" w:sz="4" w:space="0" w:color="A5A5A5"/>
              <w:left w:val="single" w:sz="4" w:space="0" w:color="A5A5A5"/>
              <w:bottom w:val="single" w:sz="4" w:space="0" w:color="A5A5A5"/>
              <w:right w:val="single" w:sz="4" w:space="0" w:color="A5A5A5"/>
            </w:tcBorders>
            <w:shd w:val="clear" w:color="EDEDED" w:fill="EDEDED"/>
            <w:vAlign w:val="center"/>
            <w:hideMark/>
          </w:tcPr>
          <w:p w14:paraId="2FBCA0A9" w14:textId="533512B4" w:rsidR="00072F67" w:rsidRPr="00537118" w:rsidRDefault="00072F67" w:rsidP="005040EC">
            <w:pPr>
              <w:spacing w:after="0" w:line="240" w:lineRule="auto"/>
              <w:jc w:val="center"/>
              <w:rPr>
                <w:rFonts w:ascii="Garamond" w:eastAsia="Times New Roman" w:hAnsi="Garamond" w:cs="Calibri"/>
                <w:color w:val="212529"/>
                <w:kern w:val="0"/>
                <w14:ligatures w14:val="none"/>
              </w:rPr>
            </w:pPr>
            <w:r w:rsidRPr="00537118">
              <w:rPr>
                <w:rFonts w:ascii="Garamond" w:eastAsia="Times New Roman" w:hAnsi="Garamond" w:cs="Calibri"/>
                <w:color w:val="212529"/>
                <w:kern w:val="0"/>
                <w14:ligatures w14:val="none"/>
              </w:rPr>
              <w:t>Jap</w:t>
            </w:r>
            <w:r w:rsidR="001D4A18">
              <w:rPr>
                <w:rFonts w:ascii="Garamond" w:eastAsia="Times New Roman" w:hAnsi="Garamond" w:cs="Calibri"/>
                <w:color w:val="212529"/>
                <w:kern w:val="0"/>
                <w14:ligatures w14:val="none"/>
              </w:rPr>
              <w:t>ão</w:t>
            </w:r>
          </w:p>
        </w:tc>
        <w:tc>
          <w:tcPr>
            <w:tcW w:w="2268" w:type="dxa"/>
            <w:tcBorders>
              <w:top w:val="single" w:sz="4" w:space="0" w:color="A5A5A5"/>
              <w:left w:val="single" w:sz="4" w:space="0" w:color="A5A5A5"/>
              <w:bottom w:val="single" w:sz="4" w:space="0" w:color="A5A5A5"/>
              <w:right w:val="single" w:sz="4" w:space="0" w:color="A5A5A5"/>
            </w:tcBorders>
            <w:shd w:val="clear" w:color="EDEDED" w:fill="EDEDED"/>
            <w:vAlign w:val="center"/>
            <w:hideMark/>
          </w:tcPr>
          <w:p w14:paraId="726C47B0" w14:textId="77777777" w:rsidR="00072F67" w:rsidRPr="00537118" w:rsidRDefault="00072F67" w:rsidP="005040EC">
            <w:pPr>
              <w:spacing w:after="0" w:line="240" w:lineRule="auto"/>
              <w:jc w:val="center"/>
              <w:rPr>
                <w:rFonts w:ascii="Garamond" w:eastAsia="Times New Roman" w:hAnsi="Garamond" w:cs="Calibri"/>
                <w:color w:val="212529"/>
                <w:kern w:val="0"/>
                <w14:ligatures w14:val="none"/>
              </w:rPr>
            </w:pPr>
            <w:r w:rsidRPr="00537118">
              <w:rPr>
                <w:rFonts w:ascii="Garamond" w:eastAsia="Times New Roman" w:hAnsi="Garamond" w:cs="Calibri"/>
                <w:color w:val="212529"/>
                <w:kern w:val="0"/>
                <w14:ligatures w14:val="none"/>
              </w:rPr>
              <w:t>87068</w:t>
            </w:r>
          </w:p>
        </w:tc>
      </w:tr>
      <w:tr w:rsidR="00072F67" w:rsidRPr="00537118" w14:paraId="21902E7A" w14:textId="77777777" w:rsidTr="005040EC">
        <w:trPr>
          <w:trHeight w:val="20"/>
        </w:trPr>
        <w:tc>
          <w:tcPr>
            <w:tcW w:w="1555"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14:paraId="0D4BE114" w14:textId="77777777" w:rsidR="00072F67" w:rsidRPr="00537118" w:rsidRDefault="00072F67" w:rsidP="005040EC">
            <w:pPr>
              <w:spacing w:after="0" w:line="240" w:lineRule="auto"/>
              <w:jc w:val="center"/>
              <w:rPr>
                <w:rFonts w:ascii="Garamond" w:eastAsia="Times New Roman" w:hAnsi="Garamond" w:cs="Calibri"/>
                <w:color w:val="212529"/>
                <w:kern w:val="0"/>
                <w14:ligatures w14:val="none"/>
              </w:rPr>
            </w:pPr>
            <w:r w:rsidRPr="00537118">
              <w:rPr>
                <w:rFonts w:ascii="Garamond" w:eastAsia="Times New Roman" w:hAnsi="Garamond" w:cs="Calibri"/>
                <w:color w:val="212529"/>
                <w:kern w:val="0"/>
                <w14:ligatures w14:val="none"/>
              </w:rPr>
              <w:t>4</w:t>
            </w:r>
          </w:p>
        </w:tc>
        <w:tc>
          <w:tcPr>
            <w:tcW w:w="1701"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14:paraId="33066EC5" w14:textId="6756A8F1" w:rsidR="00072F67" w:rsidRPr="00537118" w:rsidRDefault="001D4A18" w:rsidP="005040EC">
            <w:pPr>
              <w:spacing w:after="0" w:line="240" w:lineRule="auto"/>
              <w:jc w:val="center"/>
              <w:rPr>
                <w:rFonts w:ascii="Garamond" w:eastAsia="Times New Roman" w:hAnsi="Garamond" w:cs="Calibri"/>
                <w:color w:val="212529"/>
                <w:kern w:val="0"/>
                <w14:ligatures w14:val="none"/>
              </w:rPr>
            </w:pPr>
            <w:r>
              <w:rPr>
                <w:rFonts w:ascii="Garamond" w:eastAsia="Times New Roman" w:hAnsi="Garamond" w:cs="Calibri"/>
                <w:color w:val="212529"/>
                <w:kern w:val="0"/>
                <w14:ligatures w14:val="none"/>
              </w:rPr>
              <w:t>Alemanha</w:t>
            </w:r>
          </w:p>
        </w:tc>
        <w:tc>
          <w:tcPr>
            <w:tcW w:w="2268"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14:paraId="18D43F61" w14:textId="77777777" w:rsidR="00072F67" w:rsidRPr="00537118" w:rsidRDefault="00072F67" w:rsidP="005040EC">
            <w:pPr>
              <w:spacing w:after="0" w:line="240" w:lineRule="auto"/>
              <w:jc w:val="center"/>
              <w:rPr>
                <w:rFonts w:ascii="Garamond" w:eastAsia="Times New Roman" w:hAnsi="Garamond" w:cs="Calibri"/>
                <w:color w:val="212529"/>
                <w:kern w:val="0"/>
                <w14:ligatures w14:val="none"/>
              </w:rPr>
            </w:pPr>
            <w:r w:rsidRPr="00537118">
              <w:rPr>
                <w:rFonts w:ascii="Garamond" w:eastAsia="Times New Roman" w:hAnsi="Garamond" w:cs="Calibri"/>
                <w:color w:val="212529"/>
                <w:kern w:val="0"/>
                <w14:ligatures w14:val="none"/>
              </w:rPr>
              <w:t>81739</w:t>
            </w:r>
          </w:p>
        </w:tc>
      </w:tr>
      <w:tr w:rsidR="00072F67" w:rsidRPr="00537118" w14:paraId="17E68FCC" w14:textId="77777777" w:rsidTr="005040EC">
        <w:trPr>
          <w:trHeight w:val="20"/>
        </w:trPr>
        <w:tc>
          <w:tcPr>
            <w:tcW w:w="1555" w:type="dxa"/>
            <w:tcBorders>
              <w:top w:val="single" w:sz="4" w:space="0" w:color="A5A5A5"/>
              <w:left w:val="single" w:sz="4" w:space="0" w:color="A5A5A5"/>
              <w:bottom w:val="single" w:sz="4" w:space="0" w:color="A5A5A5"/>
              <w:right w:val="single" w:sz="4" w:space="0" w:color="A5A5A5"/>
            </w:tcBorders>
            <w:shd w:val="clear" w:color="EDEDED" w:fill="EDEDED"/>
            <w:vAlign w:val="center"/>
            <w:hideMark/>
          </w:tcPr>
          <w:p w14:paraId="3353C7AD" w14:textId="77777777" w:rsidR="00072F67" w:rsidRPr="00537118" w:rsidRDefault="00072F67" w:rsidP="005040EC">
            <w:pPr>
              <w:spacing w:after="0" w:line="240" w:lineRule="auto"/>
              <w:jc w:val="center"/>
              <w:rPr>
                <w:rFonts w:ascii="Garamond" w:eastAsia="Times New Roman" w:hAnsi="Garamond" w:cs="Calibri"/>
                <w:color w:val="212529"/>
                <w:kern w:val="0"/>
                <w14:ligatures w14:val="none"/>
              </w:rPr>
            </w:pPr>
            <w:r w:rsidRPr="00537118">
              <w:rPr>
                <w:rFonts w:ascii="Garamond" w:eastAsia="Times New Roman" w:hAnsi="Garamond" w:cs="Calibri"/>
                <w:color w:val="212529"/>
                <w:kern w:val="0"/>
                <w14:ligatures w14:val="none"/>
              </w:rPr>
              <w:t>5</w:t>
            </w:r>
          </w:p>
        </w:tc>
        <w:tc>
          <w:tcPr>
            <w:tcW w:w="1701" w:type="dxa"/>
            <w:tcBorders>
              <w:top w:val="single" w:sz="4" w:space="0" w:color="A5A5A5"/>
              <w:left w:val="single" w:sz="4" w:space="0" w:color="A5A5A5"/>
              <w:bottom w:val="single" w:sz="4" w:space="0" w:color="A5A5A5"/>
              <w:right w:val="single" w:sz="4" w:space="0" w:color="A5A5A5"/>
            </w:tcBorders>
            <w:shd w:val="clear" w:color="EDEDED" w:fill="EDEDED"/>
            <w:vAlign w:val="center"/>
            <w:hideMark/>
          </w:tcPr>
          <w:p w14:paraId="30200B05" w14:textId="36A1457E" w:rsidR="00072F67" w:rsidRPr="00537118" w:rsidRDefault="001D4A18" w:rsidP="005040EC">
            <w:pPr>
              <w:spacing w:after="0" w:line="240" w:lineRule="auto"/>
              <w:jc w:val="center"/>
              <w:rPr>
                <w:rFonts w:ascii="Garamond" w:eastAsia="Times New Roman" w:hAnsi="Garamond" w:cs="Calibri"/>
                <w:color w:val="212529"/>
                <w:kern w:val="0"/>
                <w14:ligatures w14:val="none"/>
              </w:rPr>
            </w:pPr>
            <w:r>
              <w:rPr>
                <w:rFonts w:ascii="Garamond" w:eastAsia="Times New Roman" w:hAnsi="Garamond" w:cs="Calibri"/>
                <w:color w:val="212529"/>
                <w:kern w:val="0"/>
                <w14:ligatures w14:val="none"/>
              </w:rPr>
              <w:t>Í</w:t>
            </w:r>
            <w:r w:rsidR="00072F67" w:rsidRPr="00537118">
              <w:rPr>
                <w:rFonts w:ascii="Garamond" w:eastAsia="Times New Roman" w:hAnsi="Garamond" w:cs="Calibri"/>
                <w:color w:val="212529"/>
                <w:kern w:val="0"/>
                <w14:ligatures w14:val="none"/>
              </w:rPr>
              <w:t>ndia</w:t>
            </w:r>
          </w:p>
        </w:tc>
        <w:tc>
          <w:tcPr>
            <w:tcW w:w="2268" w:type="dxa"/>
            <w:tcBorders>
              <w:top w:val="single" w:sz="4" w:space="0" w:color="A5A5A5"/>
              <w:left w:val="single" w:sz="4" w:space="0" w:color="A5A5A5"/>
              <w:bottom w:val="single" w:sz="4" w:space="0" w:color="A5A5A5"/>
              <w:right w:val="single" w:sz="4" w:space="0" w:color="A5A5A5"/>
            </w:tcBorders>
            <w:shd w:val="clear" w:color="EDEDED" w:fill="EDEDED"/>
            <w:vAlign w:val="center"/>
            <w:hideMark/>
          </w:tcPr>
          <w:p w14:paraId="58538A1E" w14:textId="77777777" w:rsidR="00072F67" w:rsidRPr="00537118" w:rsidRDefault="00072F67" w:rsidP="005040EC">
            <w:pPr>
              <w:spacing w:after="0" w:line="240" w:lineRule="auto"/>
              <w:jc w:val="center"/>
              <w:rPr>
                <w:rFonts w:ascii="Garamond" w:eastAsia="Times New Roman" w:hAnsi="Garamond" w:cs="Calibri"/>
                <w:color w:val="212529"/>
                <w:kern w:val="0"/>
                <w14:ligatures w14:val="none"/>
              </w:rPr>
            </w:pPr>
            <w:r w:rsidRPr="00537118">
              <w:rPr>
                <w:rFonts w:ascii="Garamond" w:eastAsia="Times New Roman" w:hAnsi="Garamond" w:cs="Calibri"/>
                <w:color w:val="212529"/>
                <w:kern w:val="0"/>
                <w14:ligatures w14:val="none"/>
              </w:rPr>
              <w:t>73109,34</w:t>
            </w:r>
          </w:p>
        </w:tc>
      </w:tr>
      <w:tr w:rsidR="00072F67" w:rsidRPr="00537118" w14:paraId="138D0BB1" w14:textId="77777777" w:rsidTr="005040EC">
        <w:trPr>
          <w:trHeight w:val="20"/>
        </w:trPr>
        <w:tc>
          <w:tcPr>
            <w:tcW w:w="1555"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14:paraId="032731FF" w14:textId="77777777" w:rsidR="00072F67" w:rsidRPr="00537118" w:rsidRDefault="00072F67" w:rsidP="005040EC">
            <w:pPr>
              <w:spacing w:after="0" w:line="240" w:lineRule="auto"/>
              <w:jc w:val="center"/>
              <w:rPr>
                <w:rFonts w:ascii="Garamond" w:eastAsia="Times New Roman" w:hAnsi="Garamond" w:cs="Calibri"/>
                <w:color w:val="212529"/>
                <w:kern w:val="0"/>
                <w14:ligatures w14:val="none"/>
              </w:rPr>
            </w:pPr>
            <w:r w:rsidRPr="00537118">
              <w:rPr>
                <w:rFonts w:ascii="Garamond" w:eastAsia="Times New Roman" w:hAnsi="Garamond" w:cs="Calibri"/>
                <w:color w:val="212529"/>
                <w:kern w:val="0"/>
                <w14:ligatures w14:val="none"/>
              </w:rPr>
              <w:t>6</w:t>
            </w:r>
          </w:p>
        </w:tc>
        <w:tc>
          <w:tcPr>
            <w:tcW w:w="1701"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14:paraId="11B5AF8C" w14:textId="17B3519B" w:rsidR="00072F67" w:rsidRPr="00537118" w:rsidRDefault="00072F67" w:rsidP="005040EC">
            <w:pPr>
              <w:spacing w:after="0" w:line="240" w:lineRule="auto"/>
              <w:jc w:val="center"/>
              <w:rPr>
                <w:rFonts w:ascii="Garamond" w:eastAsia="Times New Roman" w:hAnsi="Garamond" w:cs="Calibri"/>
                <w:color w:val="212529"/>
                <w:kern w:val="0"/>
                <w14:ligatures w14:val="none"/>
              </w:rPr>
            </w:pPr>
            <w:r w:rsidRPr="00537118">
              <w:rPr>
                <w:rFonts w:ascii="Garamond" w:eastAsia="Times New Roman" w:hAnsi="Garamond" w:cs="Calibri"/>
                <w:color w:val="212529"/>
                <w:kern w:val="0"/>
                <w14:ligatures w14:val="none"/>
              </w:rPr>
              <w:t>Bra</w:t>
            </w:r>
            <w:r w:rsidR="001D4A18">
              <w:rPr>
                <w:rFonts w:ascii="Garamond" w:eastAsia="Times New Roman" w:hAnsi="Garamond" w:cs="Calibri"/>
                <w:color w:val="212529"/>
                <w:kern w:val="0"/>
                <w14:ligatures w14:val="none"/>
              </w:rPr>
              <w:t>s</w:t>
            </w:r>
            <w:r w:rsidRPr="00537118">
              <w:rPr>
                <w:rFonts w:ascii="Garamond" w:eastAsia="Times New Roman" w:hAnsi="Garamond" w:cs="Calibri"/>
                <w:color w:val="212529"/>
                <w:kern w:val="0"/>
                <w14:ligatures w14:val="none"/>
              </w:rPr>
              <w:t>il</w:t>
            </w:r>
          </w:p>
        </w:tc>
        <w:tc>
          <w:tcPr>
            <w:tcW w:w="2268"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14:paraId="021C5246" w14:textId="77777777" w:rsidR="00072F67" w:rsidRPr="00537118" w:rsidRDefault="00072F67" w:rsidP="005040EC">
            <w:pPr>
              <w:spacing w:after="0" w:line="240" w:lineRule="auto"/>
              <w:jc w:val="center"/>
              <w:rPr>
                <w:rFonts w:ascii="Garamond" w:eastAsia="Times New Roman" w:hAnsi="Garamond" w:cs="Calibri"/>
                <w:color w:val="212529"/>
                <w:kern w:val="0"/>
                <w14:ligatures w14:val="none"/>
              </w:rPr>
            </w:pPr>
            <w:r w:rsidRPr="00537118">
              <w:rPr>
                <w:rFonts w:ascii="Garamond" w:eastAsia="Times New Roman" w:hAnsi="Garamond" w:cs="Calibri"/>
                <w:color w:val="212529"/>
                <w:kern w:val="0"/>
                <w14:ligatures w14:val="none"/>
              </w:rPr>
              <w:t>37449,21</w:t>
            </w:r>
          </w:p>
        </w:tc>
      </w:tr>
      <w:tr w:rsidR="00072F67" w:rsidRPr="00537118" w14:paraId="6B8DED44" w14:textId="77777777" w:rsidTr="005040EC">
        <w:trPr>
          <w:trHeight w:val="20"/>
        </w:trPr>
        <w:tc>
          <w:tcPr>
            <w:tcW w:w="1555" w:type="dxa"/>
            <w:tcBorders>
              <w:top w:val="single" w:sz="4" w:space="0" w:color="A5A5A5"/>
              <w:left w:val="single" w:sz="4" w:space="0" w:color="A5A5A5"/>
              <w:bottom w:val="single" w:sz="4" w:space="0" w:color="A5A5A5"/>
              <w:right w:val="single" w:sz="4" w:space="0" w:color="A5A5A5"/>
            </w:tcBorders>
            <w:shd w:val="clear" w:color="EDEDED" w:fill="EDEDED"/>
            <w:vAlign w:val="center"/>
            <w:hideMark/>
          </w:tcPr>
          <w:p w14:paraId="25064AFD" w14:textId="77777777" w:rsidR="00072F67" w:rsidRPr="00537118" w:rsidRDefault="00072F67" w:rsidP="005040EC">
            <w:pPr>
              <w:spacing w:after="0" w:line="240" w:lineRule="auto"/>
              <w:jc w:val="center"/>
              <w:rPr>
                <w:rFonts w:ascii="Garamond" w:eastAsia="Times New Roman" w:hAnsi="Garamond" w:cs="Calibri"/>
                <w:color w:val="212529"/>
                <w:kern w:val="0"/>
                <w14:ligatures w14:val="none"/>
              </w:rPr>
            </w:pPr>
            <w:r w:rsidRPr="00537118">
              <w:rPr>
                <w:rFonts w:ascii="Garamond" w:eastAsia="Times New Roman" w:hAnsi="Garamond" w:cs="Calibri"/>
                <w:color w:val="212529"/>
                <w:kern w:val="0"/>
                <w14:ligatures w14:val="none"/>
              </w:rPr>
              <w:t>7</w:t>
            </w:r>
          </w:p>
        </w:tc>
        <w:tc>
          <w:tcPr>
            <w:tcW w:w="1701" w:type="dxa"/>
            <w:tcBorders>
              <w:top w:val="single" w:sz="4" w:space="0" w:color="A5A5A5"/>
              <w:left w:val="single" w:sz="4" w:space="0" w:color="A5A5A5"/>
              <w:bottom w:val="single" w:sz="4" w:space="0" w:color="A5A5A5"/>
              <w:right w:val="single" w:sz="4" w:space="0" w:color="A5A5A5"/>
            </w:tcBorders>
            <w:shd w:val="clear" w:color="EDEDED" w:fill="EDEDED"/>
            <w:vAlign w:val="center"/>
            <w:hideMark/>
          </w:tcPr>
          <w:p w14:paraId="7D77938A" w14:textId="3B4B13B1" w:rsidR="00072F67" w:rsidRPr="00537118" w:rsidRDefault="001D4A18" w:rsidP="005040EC">
            <w:pPr>
              <w:spacing w:after="0" w:line="240" w:lineRule="auto"/>
              <w:jc w:val="center"/>
              <w:rPr>
                <w:rFonts w:ascii="Garamond" w:eastAsia="Times New Roman" w:hAnsi="Garamond" w:cs="Calibri"/>
                <w:color w:val="212529"/>
                <w:kern w:val="0"/>
                <w14:ligatures w14:val="none"/>
              </w:rPr>
            </w:pPr>
            <w:r w:rsidRPr="00537118">
              <w:rPr>
                <w:rFonts w:ascii="Garamond" w:eastAsia="Times New Roman" w:hAnsi="Garamond" w:cs="Calibri"/>
                <w:color w:val="212529"/>
                <w:kern w:val="0"/>
                <w14:ligatures w14:val="none"/>
              </w:rPr>
              <w:t>Austrália</w:t>
            </w:r>
          </w:p>
        </w:tc>
        <w:tc>
          <w:tcPr>
            <w:tcW w:w="2268" w:type="dxa"/>
            <w:tcBorders>
              <w:top w:val="single" w:sz="4" w:space="0" w:color="A5A5A5"/>
              <w:left w:val="single" w:sz="4" w:space="0" w:color="A5A5A5"/>
              <w:bottom w:val="single" w:sz="4" w:space="0" w:color="A5A5A5"/>
              <w:right w:val="single" w:sz="4" w:space="0" w:color="A5A5A5"/>
            </w:tcBorders>
            <w:shd w:val="clear" w:color="EDEDED" w:fill="EDEDED"/>
            <w:vAlign w:val="center"/>
            <w:hideMark/>
          </w:tcPr>
          <w:p w14:paraId="6F6407D8" w14:textId="77777777" w:rsidR="00072F67" w:rsidRPr="00537118" w:rsidRDefault="00072F67" w:rsidP="005040EC">
            <w:pPr>
              <w:spacing w:after="0" w:line="240" w:lineRule="auto"/>
              <w:jc w:val="center"/>
              <w:rPr>
                <w:rFonts w:ascii="Garamond" w:eastAsia="Times New Roman" w:hAnsi="Garamond" w:cs="Calibri"/>
                <w:color w:val="212529"/>
                <w:kern w:val="0"/>
                <w14:ligatures w14:val="none"/>
              </w:rPr>
            </w:pPr>
            <w:r w:rsidRPr="00537118">
              <w:rPr>
                <w:rFonts w:ascii="Garamond" w:eastAsia="Times New Roman" w:hAnsi="Garamond" w:cs="Calibri"/>
                <w:color w:val="212529"/>
                <w:kern w:val="0"/>
                <w14:ligatures w14:val="none"/>
              </w:rPr>
              <w:t>33683</w:t>
            </w:r>
          </w:p>
        </w:tc>
      </w:tr>
      <w:tr w:rsidR="00072F67" w:rsidRPr="00537118" w14:paraId="636F6413" w14:textId="77777777" w:rsidTr="005040EC">
        <w:trPr>
          <w:trHeight w:val="20"/>
        </w:trPr>
        <w:tc>
          <w:tcPr>
            <w:tcW w:w="1555"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14:paraId="3ED43706" w14:textId="77777777" w:rsidR="00072F67" w:rsidRPr="00537118" w:rsidRDefault="00072F67" w:rsidP="005040EC">
            <w:pPr>
              <w:spacing w:after="0" w:line="240" w:lineRule="auto"/>
              <w:jc w:val="center"/>
              <w:rPr>
                <w:rFonts w:ascii="Garamond" w:eastAsia="Times New Roman" w:hAnsi="Garamond" w:cs="Calibri"/>
                <w:color w:val="212529"/>
                <w:kern w:val="0"/>
                <w14:ligatures w14:val="none"/>
              </w:rPr>
            </w:pPr>
            <w:r w:rsidRPr="00537118">
              <w:rPr>
                <w:rFonts w:ascii="Garamond" w:eastAsia="Times New Roman" w:hAnsi="Garamond" w:cs="Calibri"/>
                <w:color w:val="212529"/>
                <w:kern w:val="0"/>
                <w14:ligatures w14:val="none"/>
              </w:rPr>
              <w:t>8</w:t>
            </w:r>
          </w:p>
        </w:tc>
        <w:tc>
          <w:tcPr>
            <w:tcW w:w="1701"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14:paraId="6E4FBB9E" w14:textId="115C951A" w:rsidR="00072F67" w:rsidRPr="00537118" w:rsidRDefault="001D4A18" w:rsidP="005040EC">
            <w:pPr>
              <w:spacing w:after="0" w:line="240" w:lineRule="auto"/>
              <w:jc w:val="center"/>
              <w:rPr>
                <w:rFonts w:ascii="Garamond" w:eastAsia="Times New Roman" w:hAnsi="Garamond" w:cs="Calibri"/>
                <w:color w:val="212529"/>
                <w:kern w:val="0"/>
                <w14:ligatures w14:val="none"/>
              </w:rPr>
            </w:pPr>
            <w:r>
              <w:rPr>
                <w:rFonts w:ascii="Garamond" w:eastAsia="Times New Roman" w:hAnsi="Garamond" w:cs="Calibri"/>
                <w:color w:val="212529"/>
                <w:kern w:val="0"/>
                <w14:ligatures w14:val="none"/>
              </w:rPr>
              <w:t>Espanha</w:t>
            </w:r>
          </w:p>
        </w:tc>
        <w:tc>
          <w:tcPr>
            <w:tcW w:w="2268"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14:paraId="03DD7F75" w14:textId="77777777" w:rsidR="00072F67" w:rsidRPr="00537118" w:rsidRDefault="00072F67" w:rsidP="005040EC">
            <w:pPr>
              <w:spacing w:after="0" w:line="240" w:lineRule="auto"/>
              <w:jc w:val="center"/>
              <w:rPr>
                <w:rFonts w:ascii="Garamond" w:eastAsia="Times New Roman" w:hAnsi="Garamond" w:cs="Calibri"/>
                <w:color w:val="212529"/>
                <w:kern w:val="0"/>
                <w14:ligatures w14:val="none"/>
              </w:rPr>
            </w:pPr>
            <w:r w:rsidRPr="00537118">
              <w:rPr>
                <w:rFonts w:ascii="Garamond" w:eastAsia="Times New Roman" w:hAnsi="Garamond" w:cs="Calibri"/>
                <w:color w:val="212529"/>
                <w:kern w:val="0"/>
                <w14:ligatures w14:val="none"/>
              </w:rPr>
              <w:t>31016,27</w:t>
            </w:r>
          </w:p>
        </w:tc>
      </w:tr>
      <w:tr w:rsidR="00072F67" w:rsidRPr="00537118" w14:paraId="45110BB5" w14:textId="77777777" w:rsidTr="005040EC">
        <w:trPr>
          <w:trHeight w:val="20"/>
        </w:trPr>
        <w:tc>
          <w:tcPr>
            <w:tcW w:w="1555" w:type="dxa"/>
            <w:tcBorders>
              <w:top w:val="single" w:sz="4" w:space="0" w:color="A5A5A5"/>
              <w:left w:val="single" w:sz="4" w:space="0" w:color="A5A5A5"/>
              <w:bottom w:val="single" w:sz="4" w:space="0" w:color="A5A5A5"/>
              <w:right w:val="single" w:sz="4" w:space="0" w:color="A5A5A5"/>
            </w:tcBorders>
            <w:shd w:val="clear" w:color="EDEDED" w:fill="EDEDED"/>
            <w:vAlign w:val="center"/>
            <w:hideMark/>
          </w:tcPr>
          <w:p w14:paraId="435F0C10" w14:textId="77777777" w:rsidR="00072F67" w:rsidRPr="00537118" w:rsidRDefault="00072F67" w:rsidP="005040EC">
            <w:pPr>
              <w:spacing w:after="0" w:line="240" w:lineRule="auto"/>
              <w:jc w:val="center"/>
              <w:rPr>
                <w:rFonts w:ascii="Garamond" w:eastAsia="Times New Roman" w:hAnsi="Garamond" w:cs="Calibri"/>
                <w:color w:val="212529"/>
                <w:kern w:val="0"/>
                <w14:ligatures w14:val="none"/>
              </w:rPr>
            </w:pPr>
            <w:r w:rsidRPr="00537118">
              <w:rPr>
                <w:rFonts w:ascii="Garamond" w:eastAsia="Times New Roman" w:hAnsi="Garamond" w:cs="Calibri"/>
                <w:color w:val="212529"/>
                <w:kern w:val="0"/>
                <w14:ligatures w14:val="none"/>
              </w:rPr>
              <w:t>9</w:t>
            </w:r>
          </w:p>
        </w:tc>
        <w:tc>
          <w:tcPr>
            <w:tcW w:w="1701" w:type="dxa"/>
            <w:tcBorders>
              <w:top w:val="single" w:sz="4" w:space="0" w:color="A5A5A5"/>
              <w:left w:val="single" w:sz="4" w:space="0" w:color="A5A5A5"/>
              <w:bottom w:val="single" w:sz="4" w:space="0" w:color="A5A5A5"/>
              <w:right w:val="single" w:sz="4" w:space="0" w:color="A5A5A5"/>
            </w:tcBorders>
            <w:shd w:val="clear" w:color="EDEDED" w:fill="EDEDED"/>
            <w:vAlign w:val="center"/>
            <w:hideMark/>
          </w:tcPr>
          <w:p w14:paraId="305E8F84" w14:textId="1D6EBCA1" w:rsidR="00072F67" w:rsidRPr="00537118" w:rsidRDefault="00072F67" w:rsidP="005040EC">
            <w:pPr>
              <w:spacing w:after="0" w:line="240" w:lineRule="auto"/>
              <w:jc w:val="center"/>
              <w:rPr>
                <w:rFonts w:ascii="Garamond" w:eastAsia="Times New Roman" w:hAnsi="Garamond" w:cs="Calibri"/>
                <w:color w:val="212529"/>
                <w:kern w:val="0"/>
                <w14:ligatures w14:val="none"/>
              </w:rPr>
            </w:pPr>
            <w:r w:rsidRPr="00537118">
              <w:rPr>
                <w:rFonts w:ascii="Garamond" w:eastAsia="Times New Roman" w:hAnsi="Garamond" w:cs="Calibri"/>
                <w:color w:val="212529"/>
                <w:kern w:val="0"/>
                <w14:ligatures w14:val="none"/>
              </w:rPr>
              <w:t>It</w:t>
            </w:r>
            <w:r w:rsidR="001D4A18">
              <w:rPr>
                <w:rFonts w:ascii="Garamond" w:eastAsia="Times New Roman" w:hAnsi="Garamond" w:cs="Calibri"/>
                <w:color w:val="212529"/>
                <w:kern w:val="0"/>
                <w14:ligatures w14:val="none"/>
              </w:rPr>
              <w:t>ália</w:t>
            </w:r>
          </w:p>
        </w:tc>
        <w:tc>
          <w:tcPr>
            <w:tcW w:w="2268" w:type="dxa"/>
            <w:tcBorders>
              <w:top w:val="single" w:sz="4" w:space="0" w:color="A5A5A5"/>
              <w:left w:val="single" w:sz="4" w:space="0" w:color="A5A5A5"/>
              <w:bottom w:val="single" w:sz="4" w:space="0" w:color="A5A5A5"/>
              <w:right w:val="single" w:sz="4" w:space="0" w:color="A5A5A5"/>
            </w:tcBorders>
            <w:shd w:val="clear" w:color="EDEDED" w:fill="EDEDED"/>
            <w:vAlign w:val="center"/>
            <w:hideMark/>
          </w:tcPr>
          <w:p w14:paraId="36B47C4B" w14:textId="77777777" w:rsidR="00072F67" w:rsidRPr="00537118" w:rsidRDefault="00072F67" w:rsidP="005040EC">
            <w:pPr>
              <w:spacing w:after="0" w:line="240" w:lineRule="auto"/>
              <w:jc w:val="center"/>
              <w:rPr>
                <w:rFonts w:ascii="Garamond" w:eastAsia="Times New Roman" w:hAnsi="Garamond" w:cs="Calibri"/>
                <w:color w:val="212529"/>
                <w:kern w:val="0"/>
                <w14:ligatures w14:val="none"/>
              </w:rPr>
            </w:pPr>
            <w:r w:rsidRPr="00537118">
              <w:rPr>
                <w:rFonts w:ascii="Garamond" w:eastAsia="Times New Roman" w:hAnsi="Garamond" w:cs="Calibri"/>
                <w:color w:val="212529"/>
                <w:kern w:val="0"/>
                <w14:ligatures w14:val="none"/>
              </w:rPr>
              <w:t>29795,32</w:t>
            </w:r>
          </w:p>
        </w:tc>
      </w:tr>
      <w:tr w:rsidR="00072F67" w:rsidRPr="00537118" w14:paraId="52295288" w14:textId="77777777" w:rsidTr="005040EC">
        <w:trPr>
          <w:trHeight w:val="20"/>
        </w:trPr>
        <w:tc>
          <w:tcPr>
            <w:tcW w:w="1555"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14:paraId="39FAFD04" w14:textId="77777777" w:rsidR="00072F67" w:rsidRPr="00537118" w:rsidRDefault="00072F67" w:rsidP="005040EC">
            <w:pPr>
              <w:spacing w:after="0" w:line="240" w:lineRule="auto"/>
              <w:jc w:val="center"/>
              <w:rPr>
                <w:rFonts w:ascii="Garamond" w:eastAsia="Times New Roman" w:hAnsi="Garamond" w:cs="Calibri"/>
                <w:color w:val="212529"/>
                <w:kern w:val="0"/>
                <w14:ligatures w14:val="none"/>
              </w:rPr>
            </w:pPr>
            <w:r w:rsidRPr="00537118">
              <w:rPr>
                <w:rFonts w:ascii="Garamond" w:eastAsia="Times New Roman" w:hAnsi="Garamond" w:cs="Calibri"/>
                <w:color w:val="212529"/>
                <w:kern w:val="0"/>
                <w14:ligatures w14:val="none"/>
              </w:rPr>
              <w:t>10</w:t>
            </w:r>
          </w:p>
        </w:tc>
        <w:tc>
          <w:tcPr>
            <w:tcW w:w="1701"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14:paraId="6CC94942" w14:textId="0DD9DDB9" w:rsidR="00072F67" w:rsidRPr="00537118" w:rsidRDefault="001D4A18" w:rsidP="005040EC">
            <w:pPr>
              <w:spacing w:after="0" w:line="240" w:lineRule="auto"/>
              <w:jc w:val="center"/>
              <w:rPr>
                <w:rFonts w:ascii="Garamond" w:eastAsia="Times New Roman" w:hAnsi="Garamond" w:cs="Calibri"/>
                <w:color w:val="212529"/>
                <w:kern w:val="0"/>
                <w14:ligatures w14:val="none"/>
              </w:rPr>
            </w:pPr>
            <w:r>
              <w:rPr>
                <w:rFonts w:ascii="Garamond" w:eastAsia="Times New Roman" w:hAnsi="Garamond" w:cs="Calibri"/>
                <w:color w:val="212529"/>
                <w:kern w:val="0"/>
                <w14:ligatures w14:val="none"/>
              </w:rPr>
              <w:t>Coreia do Sul</w:t>
            </w:r>
          </w:p>
        </w:tc>
        <w:tc>
          <w:tcPr>
            <w:tcW w:w="2268"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14:paraId="010C5BC5" w14:textId="77777777" w:rsidR="00072F67" w:rsidRPr="00537118" w:rsidRDefault="00072F67" w:rsidP="005040EC">
            <w:pPr>
              <w:spacing w:after="0" w:line="240" w:lineRule="auto"/>
              <w:jc w:val="center"/>
              <w:rPr>
                <w:rFonts w:ascii="Garamond" w:eastAsia="Times New Roman" w:hAnsi="Garamond" w:cs="Calibri"/>
                <w:color w:val="212529"/>
                <w:kern w:val="0"/>
                <w14:ligatures w14:val="none"/>
              </w:rPr>
            </w:pPr>
            <w:r w:rsidRPr="00537118">
              <w:rPr>
                <w:rFonts w:ascii="Garamond" w:eastAsia="Times New Roman" w:hAnsi="Garamond" w:cs="Calibri"/>
                <w:color w:val="212529"/>
                <w:kern w:val="0"/>
                <w14:ligatures w14:val="none"/>
              </w:rPr>
              <w:t>27046,23</w:t>
            </w:r>
          </w:p>
        </w:tc>
      </w:tr>
      <w:tr w:rsidR="00072F67" w:rsidRPr="00537118" w14:paraId="66EF9D9B" w14:textId="77777777" w:rsidTr="005040EC">
        <w:trPr>
          <w:trHeight w:val="20"/>
        </w:trPr>
        <w:tc>
          <w:tcPr>
            <w:tcW w:w="1555" w:type="dxa"/>
            <w:tcBorders>
              <w:top w:val="single" w:sz="4" w:space="0" w:color="A5A5A5"/>
              <w:left w:val="single" w:sz="4" w:space="0" w:color="A5A5A5"/>
              <w:bottom w:val="single" w:sz="4" w:space="0" w:color="A5A5A5"/>
              <w:right w:val="single" w:sz="4" w:space="0" w:color="A5A5A5"/>
            </w:tcBorders>
            <w:shd w:val="clear" w:color="EDEDED" w:fill="EDEDED"/>
            <w:vAlign w:val="center"/>
            <w:hideMark/>
          </w:tcPr>
          <w:p w14:paraId="16500D91" w14:textId="77777777" w:rsidR="00072F67" w:rsidRPr="00537118" w:rsidRDefault="00072F67" w:rsidP="005040EC">
            <w:pPr>
              <w:spacing w:after="0" w:line="240" w:lineRule="auto"/>
              <w:jc w:val="center"/>
              <w:rPr>
                <w:rFonts w:ascii="Garamond" w:eastAsia="Times New Roman" w:hAnsi="Garamond" w:cs="Calibri"/>
                <w:color w:val="212529"/>
                <w:kern w:val="0"/>
                <w14:ligatures w14:val="none"/>
              </w:rPr>
            </w:pPr>
            <w:r w:rsidRPr="00537118">
              <w:rPr>
                <w:rFonts w:ascii="Garamond" w:eastAsia="Times New Roman" w:hAnsi="Garamond" w:cs="Calibri"/>
                <w:color w:val="212529"/>
                <w:kern w:val="0"/>
                <w14:ligatures w14:val="none"/>
              </w:rPr>
              <w:t>11</w:t>
            </w:r>
          </w:p>
        </w:tc>
        <w:tc>
          <w:tcPr>
            <w:tcW w:w="1701" w:type="dxa"/>
            <w:tcBorders>
              <w:top w:val="single" w:sz="4" w:space="0" w:color="A5A5A5"/>
              <w:left w:val="single" w:sz="4" w:space="0" w:color="A5A5A5"/>
              <w:bottom w:val="single" w:sz="4" w:space="0" w:color="A5A5A5"/>
              <w:right w:val="single" w:sz="4" w:space="0" w:color="A5A5A5"/>
            </w:tcBorders>
            <w:shd w:val="clear" w:color="EDEDED" w:fill="EDEDED"/>
            <w:vAlign w:val="center"/>
            <w:hideMark/>
          </w:tcPr>
          <w:p w14:paraId="182530AC" w14:textId="59FD25D2" w:rsidR="00072F67" w:rsidRPr="00537118" w:rsidRDefault="007413A1" w:rsidP="005040EC">
            <w:pPr>
              <w:spacing w:after="0" w:line="240" w:lineRule="auto"/>
              <w:jc w:val="center"/>
              <w:rPr>
                <w:rFonts w:ascii="Garamond" w:eastAsia="Times New Roman" w:hAnsi="Garamond" w:cs="Calibri"/>
                <w:color w:val="212529"/>
                <w:kern w:val="0"/>
                <w14:ligatures w14:val="none"/>
              </w:rPr>
            </w:pPr>
            <w:r>
              <w:rPr>
                <w:rFonts w:ascii="Garamond" w:eastAsia="Times New Roman" w:hAnsi="Garamond" w:cs="Calibri"/>
                <w:color w:val="212529"/>
                <w:kern w:val="0"/>
                <w14:ligatures w14:val="none"/>
              </w:rPr>
              <w:t>Países Baixos</w:t>
            </w:r>
          </w:p>
        </w:tc>
        <w:tc>
          <w:tcPr>
            <w:tcW w:w="2268" w:type="dxa"/>
            <w:tcBorders>
              <w:top w:val="single" w:sz="4" w:space="0" w:color="A5A5A5"/>
              <w:left w:val="single" w:sz="4" w:space="0" w:color="A5A5A5"/>
              <w:bottom w:val="single" w:sz="4" w:space="0" w:color="A5A5A5"/>
              <w:right w:val="single" w:sz="4" w:space="0" w:color="A5A5A5"/>
            </w:tcBorders>
            <w:shd w:val="clear" w:color="EDEDED" w:fill="EDEDED"/>
            <w:vAlign w:val="center"/>
            <w:hideMark/>
          </w:tcPr>
          <w:p w14:paraId="65C8E46A" w14:textId="77777777" w:rsidR="00072F67" w:rsidRPr="00537118" w:rsidRDefault="00072F67" w:rsidP="005040EC">
            <w:pPr>
              <w:spacing w:after="0" w:line="240" w:lineRule="auto"/>
              <w:jc w:val="center"/>
              <w:rPr>
                <w:rFonts w:ascii="Garamond" w:eastAsia="Times New Roman" w:hAnsi="Garamond" w:cs="Calibri"/>
                <w:color w:val="212529"/>
                <w:kern w:val="0"/>
                <w14:ligatures w14:val="none"/>
              </w:rPr>
            </w:pPr>
            <w:r w:rsidRPr="00537118">
              <w:rPr>
                <w:rFonts w:ascii="Garamond" w:eastAsia="Times New Roman" w:hAnsi="Garamond" w:cs="Calibri"/>
                <w:color w:val="212529"/>
                <w:kern w:val="0"/>
                <w14:ligatures w14:val="none"/>
              </w:rPr>
              <w:t>23904</w:t>
            </w:r>
          </w:p>
        </w:tc>
      </w:tr>
      <w:tr w:rsidR="00072F67" w:rsidRPr="00537118" w14:paraId="31D1DEAC" w14:textId="77777777" w:rsidTr="005040EC">
        <w:trPr>
          <w:trHeight w:val="20"/>
        </w:trPr>
        <w:tc>
          <w:tcPr>
            <w:tcW w:w="1555"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14:paraId="117E411E" w14:textId="77777777" w:rsidR="00072F67" w:rsidRPr="00537118" w:rsidRDefault="00072F67" w:rsidP="005040EC">
            <w:pPr>
              <w:spacing w:after="0" w:line="240" w:lineRule="auto"/>
              <w:jc w:val="center"/>
              <w:rPr>
                <w:rFonts w:ascii="Garamond" w:eastAsia="Times New Roman" w:hAnsi="Garamond" w:cs="Calibri"/>
                <w:color w:val="212529"/>
                <w:kern w:val="0"/>
                <w14:ligatures w14:val="none"/>
              </w:rPr>
            </w:pPr>
            <w:r w:rsidRPr="00537118">
              <w:rPr>
                <w:rFonts w:ascii="Garamond" w:eastAsia="Times New Roman" w:hAnsi="Garamond" w:cs="Calibri"/>
                <w:color w:val="212529"/>
                <w:kern w:val="0"/>
                <w14:ligatures w14:val="none"/>
              </w:rPr>
              <w:t>12</w:t>
            </w:r>
          </w:p>
        </w:tc>
        <w:tc>
          <w:tcPr>
            <w:tcW w:w="1701"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14:paraId="3394CE67" w14:textId="237E68E4" w:rsidR="00072F67" w:rsidRPr="00537118" w:rsidRDefault="00072F67" w:rsidP="005040EC">
            <w:pPr>
              <w:spacing w:after="0" w:line="240" w:lineRule="auto"/>
              <w:jc w:val="center"/>
              <w:rPr>
                <w:rFonts w:ascii="Garamond" w:eastAsia="Times New Roman" w:hAnsi="Garamond" w:cs="Calibri"/>
                <w:color w:val="212529"/>
                <w:kern w:val="0"/>
                <w14:ligatures w14:val="none"/>
              </w:rPr>
            </w:pPr>
            <w:r w:rsidRPr="00537118">
              <w:rPr>
                <w:rFonts w:ascii="Garamond" w:eastAsia="Times New Roman" w:hAnsi="Garamond" w:cs="Calibri"/>
                <w:color w:val="212529"/>
                <w:kern w:val="0"/>
                <w14:ligatures w14:val="none"/>
              </w:rPr>
              <w:t>Fran</w:t>
            </w:r>
            <w:r w:rsidR="007413A1">
              <w:rPr>
                <w:rFonts w:ascii="Garamond" w:eastAsia="Times New Roman" w:hAnsi="Garamond" w:cs="Calibri"/>
                <w:color w:val="212529"/>
                <w:kern w:val="0"/>
                <w14:ligatures w14:val="none"/>
              </w:rPr>
              <w:t>ça</w:t>
            </w:r>
          </w:p>
        </w:tc>
        <w:tc>
          <w:tcPr>
            <w:tcW w:w="2268"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14:paraId="6EBF093A" w14:textId="77777777" w:rsidR="00072F67" w:rsidRPr="00537118" w:rsidRDefault="00072F67" w:rsidP="005040EC">
            <w:pPr>
              <w:spacing w:after="0" w:line="240" w:lineRule="auto"/>
              <w:jc w:val="center"/>
              <w:rPr>
                <w:rFonts w:ascii="Garamond" w:eastAsia="Times New Roman" w:hAnsi="Garamond" w:cs="Calibri"/>
                <w:color w:val="212529"/>
                <w:kern w:val="0"/>
                <w14:ligatures w14:val="none"/>
              </w:rPr>
            </w:pPr>
            <w:r w:rsidRPr="00537118">
              <w:rPr>
                <w:rFonts w:ascii="Garamond" w:eastAsia="Times New Roman" w:hAnsi="Garamond" w:cs="Calibri"/>
                <w:color w:val="212529"/>
                <w:kern w:val="0"/>
                <w14:ligatures w14:val="none"/>
              </w:rPr>
              <w:t>20551,29</w:t>
            </w:r>
          </w:p>
        </w:tc>
      </w:tr>
      <w:tr w:rsidR="00072F67" w:rsidRPr="00537118" w14:paraId="1AAB869D" w14:textId="77777777" w:rsidTr="005040EC">
        <w:trPr>
          <w:trHeight w:val="20"/>
        </w:trPr>
        <w:tc>
          <w:tcPr>
            <w:tcW w:w="1555" w:type="dxa"/>
            <w:tcBorders>
              <w:top w:val="single" w:sz="4" w:space="0" w:color="A5A5A5"/>
              <w:left w:val="single" w:sz="4" w:space="0" w:color="A5A5A5"/>
              <w:bottom w:val="single" w:sz="4" w:space="0" w:color="A5A5A5"/>
              <w:right w:val="single" w:sz="4" w:space="0" w:color="A5A5A5"/>
            </w:tcBorders>
            <w:shd w:val="clear" w:color="EDEDED" w:fill="EDEDED"/>
            <w:vAlign w:val="center"/>
            <w:hideMark/>
          </w:tcPr>
          <w:p w14:paraId="5B5835D6" w14:textId="77777777" w:rsidR="00072F67" w:rsidRPr="00537118" w:rsidRDefault="00072F67" w:rsidP="005040EC">
            <w:pPr>
              <w:spacing w:after="0" w:line="240" w:lineRule="auto"/>
              <w:jc w:val="center"/>
              <w:rPr>
                <w:rFonts w:ascii="Garamond" w:eastAsia="Times New Roman" w:hAnsi="Garamond" w:cs="Calibri"/>
                <w:color w:val="212529"/>
                <w:kern w:val="0"/>
                <w14:ligatures w14:val="none"/>
              </w:rPr>
            </w:pPr>
            <w:r w:rsidRPr="00537118">
              <w:rPr>
                <w:rFonts w:ascii="Garamond" w:eastAsia="Times New Roman" w:hAnsi="Garamond" w:cs="Calibri"/>
                <w:color w:val="212529"/>
                <w:kern w:val="0"/>
                <w14:ligatures w14:val="none"/>
              </w:rPr>
              <w:t>13</w:t>
            </w:r>
          </w:p>
        </w:tc>
        <w:tc>
          <w:tcPr>
            <w:tcW w:w="1701" w:type="dxa"/>
            <w:tcBorders>
              <w:top w:val="single" w:sz="4" w:space="0" w:color="A5A5A5"/>
              <w:left w:val="single" w:sz="4" w:space="0" w:color="A5A5A5"/>
              <w:bottom w:val="single" w:sz="4" w:space="0" w:color="A5A5A5"/>
              <w:right w:val="single" w:sz="4" w:space="0" w:color="A5A5A5"/>
            </w:tcBorders>
            <w:shd w:val="clear" w:color="EDEDED" w:fill="EDEDED"/>
            <w:vAlign w:val="center"/>
            <w:hideMark/>
          </w:tcPr>
          <w:p w14:paraId="62164C46" w14:textId="77777777" w:rsidR="00072F67" w:rsidRPr="00537118" w:rsidRDefault="00072F67" w:rsidP="005040EC">
            <w:pPr>
              <w:spacing w:after="0" w:line="240" w:lineRule="auto"/>
              <w:jc w:val="center"/>
              <w:rPr>
                <w:rFonts w:ascii="Garamond" w:eastAsia="Times New Roman" w:hAnsi="Garamond" w:cs="Calibri"/>
                <w:color w:val="212529"/>
                <w:kern w:val="0"/>
                <w14:ligatures w14:val="none"/>
              </w:rPr>
            </w:pPr>
            <w:r w:rsidRPr="00537118">
              <w:rPr>
                <w:rFonts w:ascii="Garamond" w:eastAsia="Times New Roman" w:hAnsi="Garamond" w:cs="Calibri"/>
                <w:color w:val="212529"/>
                <w:kern w:val="0"/>
                <w14:ligatures w14:val="none"/>
              </w:rPr>
              <w:t>Vietnam</w:t>
            </w:r>
          </w:p>
        </w:tc>
        <w:tc>
          <w:tcPr>
            <w:tcW w:w="2268" w:type="dxa"/>
            <w:tcBorders>
              <w:top w:val="single" w:sz="4" w:space="0" w:color="A5A5A5"/>
              <w:left w:val="single" w:sz="4" w:space="0" w:color="A5A5A5"/>
              <w:bottom w:val="single" w:sz="4" w:space="0" w:color="A5A5A5"/>
              <w:right w:val="single" w:sz="4" w:space="0" w:color="A5A5A5"/>
            </w:tcBorders>
            <w:shd w:val="clear" w:color="EDEDED" w:fill="EDEDED"/>
            <w:vAlign w:val="center"/>
            <w:hideMark/>
          </w:tcPr>
          <w:p w14:paraId="0C790B19" w14:textId="77777777" w:rsidR="00072F67" w:rsidRPr="00537118" w:rsidRDefault="00072F67" w:rsidP="005040EC">
            <w:pPr>
              <w:spacing w:after="0" w:line="240" w:lineRule="auto"/>
              <w:jc w:val="center"/>
              <w:rPr>
                <w:rFonts w:ascii="Garamond" w:eastAsia="Times New Roman" w:hAnsi="Garamond" w:cs="Calibri"/>
                <w:color w:val="212529"/>
                <w:kern w:val="0"/>
                <w14:ligatures w14:val="none"/>
              </w:rPr>
            </w:pPr>
            <w:r w:rsidRPr="00537118">
              <w:rPr>
                <w:rFonts w:ascii="Garamond" w:eastAsia="Times New Roman" w:hAnsi="Garamond" w:cs="Calibri"/>
                <w:color w:val="212529"/>
                <w:kern w:val="0"/>
                <w14:ligatures w14:val="none"/>
              </w:rPr>
              <w:t>17077,41</w:t>
            </w:r>
          </w:p>
        </w:tc>
      </w:tr>
      <w:tr w:rsidR="00072F67" w:rsidRPr="00537118" w14:paraId="08E8F423" w14:textId="77777777" w:rsidTr="005040EC">
        <w:trPr>
          <w:trHeight w:val="20"/>
        </w:trPr>
        <w:tc>
          <w:tcPr>
            <w:tcW w:w="1555"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14:paraId="41580848" w14:textId="77777777" w:rsidR="00072F67" w:rsidRPr="00537118" w:rsidRDefault="00072F67" w:rsidP="005040EC">
            <w:pPr>
              <w:spacing w:after="0" w:line="240" w:lineRule="auto"/>
              <w:jc w:val="center"/>
              <w:rPr>
                <w:rFonts w:ascii="Garamond" w:eastAsia="Times New Roman" w:hAnsi="Garamond" w:cs="Calibri"/>
                <w:color w:val="212529"/>
                <w:kern w:val="0"/>
                <w14:ligatures w14:val="none"/>
              </w:rPr>
            </w:pPr>
            <w:r w:rsidRPr="00537118">
              <w:rPr>
                <w:rFonts w:ascii="Garamond" w:eastAsia="Times New Roman" w:hAnsi="Garamond" w:cs="Calibri"/>
                <w:color w:val="212529"/>
                <w:kern w:val="0"/>
                <w14:ligatures w14:val="none"/>
              </w:rPr>
              <w:t>14</w:t>
            </w:r>
          </w:p>
        </w:tc>
        <w:tc>
          <w:tcPr>
            <w:tcW w:w="1701"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14:paraId="6942846D" w14:textId="64D72D37" w:rsidR="00072F67" w:rsidRPr="00537118" w:rsidRDefault="00072F67" w:rsidP="005040EC">
            <w:pPr>
              <w:spacing w:after="0" w:line="240" w:lineRule="auto"/>
              <w:jc w:val="center"/>
              <w:rPr>
                <w:rFonts w:ascii="Garamond" w:eastAsia="Times New Roman" w:hAnsi="Garamond" w:cs="Calibri"/>
                <w:color w:val="212529"/>
                <w:kern w:val="0"/>
                <w14:ligatures w14:val="none"/>
              </w:rPr>
            </w:pPr>
            <w:r w:rsidRPr="00537118">
              <w:rPr>
                <w:rFonts w:ascii="Garamond" w:eastAsia="Times New Roman" w:hAnsi="Garamond" w:cs="Calibri"/>
                <w:color w:val="212529"/>
                <w:kern w:val="0"/>
                <w14:ligatures w14:val="none"/>
              </w:rPr>
              <w:t>Pol</w:t>
            </w:r>
            <w:r w:rsidR="005B6AC9">
              <w:rPr>
                <w:rFonts w:ascii="Garamond" w:eastAsia="Times New Roman" w:hAnsi="Garamond" w:cs="Calibri"/>
                <w:color w:val="212529"/>
                <w:kern w:val="0"/>
                <w14:ligatures w14:val="none"/>
              </w:rPr>
              <w:t>ónia</w:t>
            </w:r>
          </w:p>
        </w:tc>
        <w:tc>
          <w:tcPr>
            <w:tcW w:w="2268"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14:paraId="37DF345F" w14:textId="77777777" w:rsidR="00072F67" w:rsidRPr="00537118" w:rsidRDefault="00072F67" w:rsidP="005040EC">
            <w:pPr>
              <w:spacing w:after="0" w:line="240" w:lineRule="auto"/>
              <w:jc w:val="center"/>
              <w:rPr>
                <w:rFonts w:ascii="Garamond" w:eastAsia="Times New Roman" w:hAnsi="Garamond" w:cs="Calibri"/>
                <w:color w:val="212529"/>
                <w:kern w:val="0"/>
                <w14:ligatures w14:val="none"/>
              </w:rPr>
            </w:pPr>
            <w:r w:rsidRPr="00537118">
              <w:rPr>
                <w:rFonts w:ascii="Garamond" w:eastAsia="Times New Roman" w:hAnsi="Garamond" w:cs="Calibri"/>
                <w:color w:val="212529"/>
                <w:kern w:val="0"/>
                <w14:ligatures w14:val="none"/>
              </w:rPr>
              <w:t>15809,39</w:t>
            </w:r>
          </w:p>
        </w:tc>
      </w:tr>
      <w:tr w:rsidR="00072F67" w:rsidRPr="00537118" w14:paraId="6562D44A" w14:textId="77777777" w:rsidTr="005040EC">
        <w:trPr>
          <w:trHeight w:val="20"/>
        </w:trPr>
        <w:tc>
          <w:tcPr>
            <w:tcW w:w="1555" w:type="dxa"/>
            <w:tcBorders>
              <w:top w:val="single" w:sz="4" w:space="0" w:color="A5A5A5"/>
              <w:left w:val="single" w:sz="4" w:space="0" w:color="A5A5A5"/>
              <w:bottom w:val="single" w:sz="4" w:space="0" w:color="A5A5A5"/>
              <w:right w:val="single" w:sz="4" w:space="0" w:color="A5A5A5"/>
            </w:tcBorders>
            <w:shd w:val="clear" w:color="EDEDED" w:fill="EDEDED"/>
            <w:vAlign w:val="center"/>
            <w:hideMark/>
          </w:tcPr>
          <w:p w14:paraId="6BEA8B19" w14:textId="77777777" w:rsidR="00072F67" w:rsidRPr="00537118" w:rsidRDefault="00072F67" w:rsidP="005040EC">
            <w:pPr>
              <w:spacing w:after="0" w:line="240" w:lineRule="auto"/>
              <w:jc w:val="center"/>
              <w:rPr>
                <w:rFonts w:ascii="Garamond" w:eastAsia="Times New Roman" w:hAnsi="Garamond" w:cs="Calibri"/>
                <w:color w:val="212529"/>
                <w:kern w:val="0"/>
                <w14:ligatures w14:val="none"/>
              </w:rPr>
            </w:pPr>
            <w:r w:rsidRPr="00537118">
              <w:rPr>
                <w:rFonts w:ascii="Garamond" w:eastAsia="Times New Roman" w:hAnsi="Garamond" w:cs="Calibri"/>
                <w:color w:val="212529"/>
                <w:kern w:val="0"/>
                <w14:ligatures w14:val="none"/>
              </w:rPr>
              <w:t>15</w:t>
            </w:r>
          </w:p>
        </w:tc>
        <w:tc>
          <w:tcPr>
            <w:tcW w:w="1701" w:type="dxa"/>
            <w:tcBorders>
              <w:top w:val="single" w:sz="4" w:space="0" w:color="A5A5A5"/>
              <w:left w:val="single" w:sz="4" w:space="0" w:color="A5A5A5"/>
              <w:bottom w:val="single" w:sz="4" w:space="0" w:color="A5A5A5"/>
              <w:right w:val="single" w:sz="4" w:space="0" w:color="A5A5A5"/>
            </w:tcBorders>
            <w:shd w:val="clear" w:color="EDEDED" w:fill="EDEDED"/>
            <w:vAlign w:val="center"/>
            <w:hideMark/>
          </w:tcPr>
          <w:p w14:paraId="1FE73A9D" w14:textId="392398AF" w:rsidR="00072F67" w:rsidRPr="00537118" w:rsidRDefault="005B6AC9" w:rsidP="005040EC">
            <w:pPr>
              <w:spacing w:after="0" w:line="240" w:lineRule="auto"/>
              <w:jc w:val="center"/>
              <w:rPr>
                <w:rFonts w:ascii="Garamond" w:eastAsia="Times New Roman" w:hAnsi="Garamond" w:cs="Calibri"/>
                <w:color w:val="212529"/>
                <w:kern w:val="0"/>
                <w14:ligatures w14:val="none"/>
              </w:rPr>
            </w:pPr>
            <w:r>
              <w:rPr>
                <w:rFonts w:ascii="Garamond" w:eastAsia="Times New Roman" w:hAnsi="Garamond" w:cs="Calibri"/>
                <w:color w:val="212529"/>
                <w:kern w:val="0"/>
                <w14:ligatures w14:val="none"/>
              </w:rPr>
              <w:t>Reino Unido</w:t>
            </w:r>
          </w:p>
        </w:tc>
        <w:tc>
          <w:tcPr>
            <w:tcW w:w="2268" w:type="dxa"/>
            <w:tcBorders>
              <w:top w:val="single" w:sz="4" w:space="0" w:color="A5A5A5"/>
              <w:left w:val="single" w:sz="4" w:space="0" w:color="A5A5A5"/>
              <w:bottom w:val="single" w:sz="4" w:space="0" w:color="A5A5A5"/>
              <w:right w:val="single" w:sz="4" w:space="0" w:color="A5A5A5"/>
            </w:tcBorders>
            <w:shd w:val="clear" w:color="EDEDED" w:fill="EDEDED"/>
            <w:vAlign w:val="center"/>
            <w:hideMark/>
          </w:tcPr>
          <w:p w14:paraId="04C06EAF" w14:textId="77777777" w:rsidR="00072F67" w:rsidRPr="00537118" w:rsidRDefault="00072F67" w:rsidP="005040EC">
            <w:pPr>
              <w:spacing w:after="0" w:line="240" w:lineRule="auto"/>
              <w:jc w:val="center"/>
              <w:rPr>
                <w:rFonts w:ascii="Garamond" w:eastAsia="Times New Roman" w:hAnsi="Garamond" w:cs="Calibri"/>
                <w:color w:val="212529"/>
                <w:kern w:val="0"/>
                <w14:ligatures w14:val="none"/>
              </w:rPr>
            </w:pPr>
            <w:r w:rsidRPr="00537118">
              <w:rPr>
                <w:rFonts w:ascii="Garamond" w:eastAsia="Times New Roman" w:hAnsi="Garamond" w:cs="Calibri"/>
                <w:color w:val="212529"/>
                <w:kern w:val="0"/>
                <w14:ligatures w14:val="none"/>
              </w:rPr>
              <w:t>15656,5</w:t>
            </w:r>
          </w:p>
        </w:tc>
      </w:tr>
    </w:tbl>
    <w:p w14:paraId="1B76F4E0" w14:textId="0D9992FF" w:rsidR="00072F67" w:rsidRPr="00537118" w:rsidRDefault="00072F67" w:rsidP="00072F67">
      <w:pPr>
        <w:rPr>
          <w:rFonts w:ascii="Garamond" w:hAnsi="Garamond"/>
          <w:sz w:val="20"/>
          <w:szCs w:val="20"/>
        </w:rPr>
      </w:pPr>
      <w:r w:rsidRPr="00537118">
        <w:rPr>
          <w:rFonts w:ascii="Garamond" w:hAnsi="Garamond"/>
          <w:sz w:val="20"/>
          <w:szCs w:val="20"/>
        </w:rPr>
        <w:t>Elaboração própria; Fonte de dados: Visual Capitalist (</w:t>
      </w:r>
      <w:hyperlink r:id="rId50" w:history="1">
        <w:r w:rsidRPr="00537118">
          <w:rPr>
            <w:rStyle w:val="Hyperlink"/>
            <w:rFonts w:ascii="Garamond" w:hAnsi="Garamond"/>
            <w:sz w:val="20"/>
            <w:szCs w:val="20"/>
          </w:rPr>
          <w:t>https://www.visualcapitalist.com/countries-by-solar-power-ranking/</w:t>
        </w:r>
      </w:hyperlink>
      <w:r w:rsidRPr="00537118">
        <w:rPr>
          <w:rFonts w:ascii="Garamond" w:hAnsi="Garamond"/>
          <w:sz w:val="20"/>
          <w:szCs w:val="20"/>
        </w:rPr>
        <w:t>)</w:t>
      </w:r>
    </w:p>
    <w:p w14:paraId="3D9CEE9F" w14:textId="755264D2" w:rsidR="00072F67" w:rsidRPr="00D55EB8" w:rsidRDefault="007651EE" w:rsidP="00072F67">
      <w:pPr>
        <w:rPr>
          <w:rFonts w:ascii="Garamond" w:hAnsi="Garamond"/>
          <w:b/>
          <w:bCs/>
        </w:rPr>
      </w:pPr>
      <w:r w:rsidRPr="00D55EB8">
        <w:rPr>
          <w:rFonts w:ascii="Garamond" w:hAnsi="Garamond"/>
          <w:b/>
          <w:bCs/>
        </w:rPr>
        <w:t>Tabela A.2: Países com PVOUT excelente.</w:t>
      </w:r>
    </w:p>
    <w:tbl>
      <w:tblPr>
        <w:tblW w:w="3601" w:type="dxa"/>
        <w:tblInd w:w="113" w:type="dxa"/>
        <w:tblLook w:val="04A0" w:firstRow="1" w:lastRow="0" w:firstColumn="1" w:lastColumn="0" w:noHBand="0" w:noVBand="1"/>
      </w:tblPr>
      <w:tblGrid>
        <w:gridCol w:w="465"/>
        <w:gridCol w:w="2412"/>
        <w:gridCol w:w="724"/>
      </w:tblGrid>
      <w:tr w:rsidR="00072F67" w:rsidRPr="00537118" w14:paraId="35C42B9F" w14:textId="77777777" w:rsidTr="005040EC">
        <w:trPr>
          <w:trHeight w:val="300"/>
        </w:trPr>
        <w:tc>
          <w:tcPr>
            <w:tcW w:w="3601"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87B1AE9" w14:textId="154DFC64" w:rsidR="00072F67" w:rsidRPr="00537118" w:rsidRDefault="00072F67" w:rsidP="005040EC">
            <w:pPr>
              <w:spacing w:after="0" w:line="240" w:lineRule="auto"/>
              <w:jc w:val="center"/>
              <w:rPr>
                <w:rFonts w:ascii="Garamond" w:eastAsia="Times New Roman" w:hAnsi="Garamond" w:cs="Calibri"/>
                <w:b/>
                <w:bCs/>
                <w:color w:val="000000"/>
                <w:kern w:val="0"/>
                <w14:ligatures w14:val="none"/>
              </w:rPr>
            </w:pPr>
            <w:r w:rsidRPr="00537118">
              <w:rPr>
                <w:rFonts w:ascii="Garamond" w:eastAsia="Times New Roman" w:hAnsi="Garamond" w:cs="Calibri"/>
                <w:b/>
                <w:bCs/>
                <w:color w:val="000000"/>
                <w:kern w:val="0"/>
                <w14:ligatures w14:val="none"/>
              </w:rPr>
              <w:t>PVOUT</w:t>
            </w:r>
            <w:r w:rsidR="0062431B">
              <w:rPr>
                <w:rFonts w:ascii="Garamond" w:eastAsia="Times New Roman" w:hAnsi="Garamond" w:cs="Calibri"/>
                <w:b/>
                <w:bCs/>
                <w:color w:val="000000"/>
                <w:kern w:val="0"/>
                <w14:ligatures w14:val="none"/>
              </w:rPr>
              <w:t xml:space="preserve"> Excelente</w:t>
            </w:r>
          </w:p>
        </w:tc>
      </w:tr>
      <w:tr w:rsidR="00072F67" w:rsidRPr="00537118" w14:paraId="63D6B16D" w14:textId="77777777" w:rsidTr="005040EC">
        <w:trPr>
          <w:trHeight w:val="300"/>
        </w:trPr>
        <w:tc>
          <w:tcPr>
            <w:tcW w:w="465" w:type="dxa"/>
            <w:tcBorders>
              <w:top w:val="single" w:sz="4" w:space="0" w:color="C9C9C9"/>
              <w:left w:val="single" w:sz="4" w:space="0" w:color="C9C9C9"/>
              <w:bottom w:val="single" w:sz="4" w:space="0" w:color="C9C9C9"/>
              <w:right w:val="nil"/>
            </w:tcBorders>
            <w:shd w:val="clear" w:color="EDEDED" w:fill="EDEDED"/>
            <w:noWrap/>
            <w:vAlign w:val="center"/>
            <w:hideMark/>
          </w:tcPr>
          <w:p w14:paraId="41CA3779" w14:textId="77777777" w:rsidR="00072F67" w:rsidRPr="00537118" w:rsidRDefault="00072F67" w:rsidP="005040EC">
            <w:pPr>
              <w:spacing w:after="0" w:line="240" w:lineRule="auto"/>
              <w:jc w:val="center"/>
              <w:rPr>
                <w:rFonts w:ascii="Garamond" w:eastAsia="Times New Roman" w:hAnsi="Garamond" w:cs="Calibri"/>
                <w:color w:val="000000"/>
                <w:kern w:val="0"/>
                <w14:ligatures w14:val="none"/>
              </w:rPr>
            </w:pPr>
            <w:r w:rsidRPr="00537118">
              <w:rPr>
                <w:rFonts w:ascii="Garamond" w:eastAsia="Times New Roman" w:hAnsi="Garamond" w:cs="Calibri"/>
                <w:color w:val="000000"/>
                <w:kern w:val="0"/>
                <w14:ligatures w14:val="none"/>
              </w:rPr>
              <w:t>1</w:t>
            </w:r>
          </w:p>
        </w:tc>
        <w:tc>
          <w:tcPr>
            <w:tcW w:w="2412" w:type="dxa"/>
            <w:tcBorders>
              <w:top w:val="single" w:sz="4" w:space="0" w:color="C9C9C9"/>
              <w:left w:val="nil"/>
              <w:bottom w:val="single" w:sz="4" w:space="0" w:color="C9C9C9"/>
              <w:right w:val="nil"/>
            </w:tcBorders>
            <w:shd w:val="clear" w:color="EDEDED" w:fill="EDEDED"/>
            <w:noWrap/>
            <w:vAlign w:val="center"/>
            <w:hideMark/>
          </w:tcPr>
          <w:p w14:paraId="05BEE617" w14:textId="65DAAFB7" w:rsidR="00072F67" w:rsidRPr="00537118" w:rsidRDefault="00072F67" w:rsidP="005040EC">
            <w:pPr>
              <w:spacing w:after="0" w:line="240" w:lineRule="auto"/>
              <w:jc w:val="center"/>
              <w:rPr>
                <w:rFonts w:ascii="Garamond" w:eastAsia="Times New Roman" w:hAnsi="Garamond" w:cs="Calibri"/>
                <w:color w:val="000000"/>
                <w:kern w:val="0"/>
                <w14:ligatures w14:val="none"/>
              </w:rPr>
            </w:pPr>
            <w:r w:rsidRPr="00537118">
              <w:rPr>
                <w:rFonts w:ascii="Garamond" w:eastAsia="Times New Roman" w:hAnsi="Garamond" w:cs="Calibri"/>
                <w:color w:val="000000"/>
                <w:kern w:val="0"/>
                <w14:ligatures w14:val="none"/>
              </w:rPr>
              <w:t>M</w:t>
            </w:r>
            <w:r w:rsidR="005B6AC9">
              <w:rPr>
                <w:rFonts w:ascii="Garamond" w:eastAsia="Times New Roman" w:hAnsi="Garamond" w:cs="Calibri"/>
                <w:color w:val="000000"/>
                <w:kern w:val="0"/>
                <w14:ligatures w14:val="none"/>
              </w:rPr>
              <w:t>a</w:t>
            </w:r>
            <w:r w:rsidRPr="00537118">
              <w:rPr>
                <w:rFonts w:ascii="Garamond" w:eastAsia="Times New Roman" w:hAnsi="Garamond" w:cs="Calibri"/>
                <w:color w:val="000000"/>
                <w:kern w:val="0"/>
                <w14:ligatures w14:val="none"/>
              </w:rPr>
              <w:t>r</w:t>
            </w:r>
            <w:r w:rsidR="005B6AC9">
              <w:rPr>
                <w:rFonts w:ascii="Garamond" w:eastAsia="Times New Roman" w:hAnsi="Garamond" w:cs="Calibri"/>
                <w:color w:val="000000"/>
                <w:kern w:val="0"/>
                <w14:ligatures w14:val="none"/>
              </w:rPr>
              <w:t>rocos</w:t>
            </w:r>
          </w:p>
        </w:tc>
        <w:tc>
          <w:tcPr>
            <w:tcW w:w="724" w:type="dxa"/>
            <w:tcBorders>
              <w:top w:val="single" w:sz="4" w:space="0" w:color="C9C9C9"/>
              <w:left w:val="nil"/>
              <w:bottom w:val="single" w:sz="4" w:space="0" w:color="C9C9C9"/>
              <w:right w:val="single" w:sz="4" w:space="0" w:color="C9C9C9"/>
            </w:tcBorders>
            <w:shd w:val="clear" w:color="EDEDED" w:fill="EDEDED"/>
            <w:noWrap/>
            <w:vAlign w:val="center"/>
            <w:hideMark/>
          </w:tcPr>
          <w:p w14:paraId="078DBEA0" w14:textId="77777777" w:rsidR="00072F67" w:rsidRPr="00537118" w:rsidRDefault="00072F67" w:rsidP="005040EC">
            <w:pPr>
              <w:spacing w:after="0" w:line="240" w:lineRule="auto"/>
              <w:jc w:val="center"/>
              <w:rPr>
                <w:rFonts w:ascii="Garamond" w:eastAsia="Times New Roman" w:hAnsi="Garamond" w:cs="Calibri"/>
                <w:kern w:val="0"/>
                <w:sz w:val="20"/>
                <w:szCs w:val="20"/>
                <w14:ligatures w14:val="none"/>
              </w:rPr>
            </w:pPr>
            <w:r w:rsidRPr="00537118">
              <w:rPr>
                <w:rFonts w:ascii="Garamond" w:eastAsia="Times New Roman" w:hAnsi="Garamond" w:cs="Calibri"/>
                <w:kern w:val="0"/>
                <w:sz w:val="20"/>
                <w:szCs w:val="20"/>
                <w14:ligatures w14:val="none"/>
              </w:rPr>
              <w:t>5,01</w:t>
            </w:r>
          </w:p>
        </w:tc>
      </w:tr>
      <w:tr w:rsidR="00072F67" w:rsidRPr="00537118" w14:paraId="74E77FB8" w14:textId="77777777" w:rsidTr="005040EC">
        <w:trPr>
          <w:trHeight w:val="300"/>
        </w:trPr>
        <w:tc>
          <w:tcPr>
            <w:tcW w:w="465" w:type="dxa"/>
            <w:tcBorders>
              <w:top w:val="single" w:sz="4" w:space="0" w:color="C9C9C9"/>
              <w:left w:val="single" w:sz="4" w:space="0" w:color="C9C9C9"/>
              <w:bottom w:val="single" w:sz="4" w:space="0" w:color="C9C9C9"/>
              <w:right w:val="nil"/>
            </w:tcBorders>
            <w:shd w:val="clear" w:color="auto" w:fill="auto"/>
            <w:noWrap/>
            <w:vAlign w:val="center"/>
            <w:hideMark/>
          </w:tcPr>
          <w:p w14:paraId="3E61905E" w14:textId="77777777" w:rsidR="00072F67" w:rsidRPr="00537118" w:rsidRDefault="00072F67" w:rsidP="005040EC">
            <w:pPr>
              <w:spacing w:after="0" w:line="240" w:lineRule="auto"/>
              <w:jc w:val="center"/>
              <w:rPr>
                <w:rFonts w:ascii="Garamond" w:eastAsia="Times New Roman" w:hAnsi="Garamond" w:cs="Calibri"/>
                <w:color w:val="000000"/>
                <w:kern w:val="0"/>
                <w14:ligatures w14:val="none"/>
              </w:rPr>
            </w:pPr>
            <w:r w:rsidRPr="00537118">
              <w:rPr>
                <w:rFonts w:ascii="Garamond" w:eastAsia="Times New Roman" w:hAnsi="Garamond" w:cs="Calibri"/>
                <w:color w:val="000000"/>
                <w:kern w:val="0"/>
                <w14:ligatures w14:val="none"/>
              </w:rPr>
              <w:t>2</w:t>
            </w:r>
          </w:p>
        </w:tc>
        <w:tc>
          <w:tcPr>
            <w:tcW w:w="2412" w:type="dxa"/>
            <w:tcBorders>
              <w:top w:val="single" w:sz="4" w:space="0" w:color="C9C9C9"/>
              <w:left w:val="nil"/>
              <w:bottom w:val="single" w:sz="4" w:space="0" w:color="C9C9C9"/>
              <w:right w:val="nil"/>
            </w:tcBorders>
            <w:shd w:val="clear" w:color="auto" w:fill="auto"/>
            <w:noWrap/>
            <w:vAlign w:val="center"/>
            <w:hideMark/>
          </w:tcPr>
          <w:p w14:paraId="3FEC43F6" w14:textId="72BC9129" w:rsidR="00072F67" w:rsidRPr="00537118" w:rsidRDefault="00072F67" w:rsidP="005040EC">
            <w:pPr>
              <w:spacing w:after="0" w:line="240" w:lineRule="auto"/>
              <w:jc w:val="center"/>
              <w:rPr>
                <w:rFonts w:ascii="Garamond" w:eastAsia="Times New Roman" w:hAnsi="Garamond" w:cs="Calibri"/>
                <w:color w:val="000000"/>
                <w:kern w:val="0"/>
                <w14:ligatures w14:val="none"/>
              </w:rPr>
            </w:pPr>
            <w:r w:rsidRPr="00537118">
              <w:rPr>
                <w:rFonts w:ascii="Garamond" w:eastAsia="Times New Roman" w:hAnsi="Garamond" w:cs="Calibri"/>
                <w:color w:val="000000"/>
                <w:kern w:val="0"/>
                <w14:ligatures w14:val="none"/>
              </w:rPr>
              <w:t>Alg</w:t>
            </w:r>
            <w:r w:rsidR="005B6AC9">
              <w:rPr>
                <w:rFonts w:ascii="Garamond" w:eastAsia="Times New Roman" w:hAnsi="Garamond" w:cs="Calibri"/>
                <w:color w:val="000000"/>
                <w:kern w:val="0"/>
                <w14:ligatures w14:val="none"/>
              </w:rPr>
              <w:t>é</w:t>
            </w:r>
            <w:r w:rsidRPr="00537118">
              <w:rPr>
                <w:rFonts w:ascii="Garamond" w:eastAsia="Times New Roman" w:hAnsi="Garamond" w:cs="Calibri"/>
                <w:color w:val="000000"/>
                <w:kern w:val="0"/>
                <w14:ligatures w14:val="none"/>
              </w:rPr>
              <w:t xml:space="preserve">ria </w:t>
            </w:r>
          </w:p>
        </w:tc>
        <w:tc>
          <w:tcPr>
            <w:tcW w:w="724" w:type="dxa"/>
            <w:tcBorders>
              <w:top w:val="single" w:sz="4" w:space="0" w:color="C9C9C9"/>
              <w:left w:val="nil"/>
              <w:bottom w:val="single" w:sz="4" w:space="0" w:color="C9C9C9"/>
              <w:right w:val="single" w:sz="4" w:space="0" w:color="C9C9C9"/>
            </w:tcBorders>
            <w:shd w:val="clear" w:color="auto" w:fill="auto"/>
            <w:noWrap/>
            <w:vAlign w:val="center"/>
            <w:hideMark/>
          </w:tcPr>
          <w:p w14:paraId="65F7F7BA" w14:textId="77777777" w:rsidR="00072F67" w:rsidRPr="00537118" w:rsidRDefault="00072F67" w:rsidP="005040EC">
            <w:pPr>
              <w:spacing w:after="0" w:line="240" w:lineRule="auto"/>
              <w:jc w:val="center"/>
              <w:rPr>
                <w:rFonts w:ascii="Garamond" w:eastAsia="Times New Roman" w:hAnsi="Garamond" w:cs="Calibri"/>
                <w:kern w:val="0"/>
                <w:sz w:val="20"/>
                <w:szCs w:val="20"/>
                <w14:ligatures w14:val="none"/>
              </w:rPr>
            </w:pPr>
            <w:r w:rsidRPr="00537118">
              <w:rPr>
                <w:rFonts w:ascii="Garamond" w:eastAsia="Times New Roman" w:hAnsi="Garamond" w:cs="Calibri"/>
                <w:kern w:val="0"/>
                <w:sz w:val="20"/>
                <w:szCs w:val="20"/>
                <w14:ligatures w14:val="none"/>
              </w:rPr>
              <w:t>4,92</w:t>
            </w:r>
          </w:p>
        </w:tc>
      </w:tr>
      <w:tr w:rsidR="00072F67" w:rsidRPr="00537118" w14:paraId="21E8E9FA" w14:textId="77777777" w:rsidTr="005040EC">
        <w:trPr>
          <w:trHeight w:val="300"/>
        </w:trPr>
        <w:tc>
          <w:tcPr>
            <w:tcW w:w="465" w:type="dxa"/>
            <w:tcBorders>
              <w:top w:val="single" w:sz="4" w:space="0" w:color="C9C9C9"/>
              <w:left w:val="single" w:sz="4" w:space="0" w:color="C9C9C9"/>
              <w:bottom w:val="single" w:sz="4" w:space="0" w:color="C9C9C9"/>
              <w:right w:val="nil"/>
            </w:tcBorders>
            <w:shd w:val="clear" w:color="EDEDED" w:fill="EDEDED"/>
            <w:noWrap/>
            <w:vAlign w:val="center"/>
            <w:hideMark/>
          </w:tcPr>
          <w:p w14:paraId="701BBE49" w14:textId="77777777" w:rsidR="00072F67" w:rsidRPr="00537118" w:rsidRDefault="00072F67" w:rsidP="005040EC">
            <w:pPr>
              <w:spacing w:after="0" w:line="240" w:lineRule="auto"/>
              <w:jc w:val="center"/>
              <w:rPr>
                <w:rFonts w:ascii="Garamond" w:eastAsia="Times New Roman" w:hAnsi="Garamond" w:cs="Calibri"/>
                <w:color w:val="000000"/>
                <w:kern w:val="0"/>
                <w14:ligatures w14:val="none"/>
              </w:rPr>
            </w:pPr>
            <w:r w:rsidRPr="00537118">
              <w:rPr>
                <w:rFonts w:ascii="Garamond" w:eastAsia="Times New Roman" w:hAnsi="Garamond" w:cs="Calibri"/>
                <w:color w:val="000000"/>
                <w:kern w:val="0"/>
                <w14:ligatures w14:val="none"/>
              </w:rPr>
              <w:t>3</w:t>
            </w:r>
          </w:p>
        </w:tc>
        <w:tc>
          <w:tcPr>
            <w:tcW w:w="2412" w:type="dxa"/>
            <w:tcBorders>
              <w:top w:val="single" w:sz="4" w:space="0" w:color="C9C9C9"/>
              <w:left w:val="nil"/>
              <w:bottom w:val="single" w:sz="4" w:space="0" w:color="C9C9C9"/>
              <w:right w:val="nil"/>
            </w:tcBorders>
            <w:shd w:val="clear" w:color="EDEDED" w:fill="EDEDED"/>
            <w:noWrap/>
            <w:vAlign w:val="center"/>
            <w:hideMark/>
          </w:tcPr>
          <w:p w14:paraId="735FEDE1" w14:textId="44925B59" w:rsidR="00072F67" w:rsidRPr="00537118" w:rsidRDefault="005B6AC9" w:rsidP="005040EC">
            <w:pPr>
              <w:spacing w:after="0" w:line="240" w:lineRule="auto"/>
              <w:jc w:val="center"/>
              <w:rPr>
                <w:rFonts w:ascii="Garamond" w:eastAsia="Times New Roman" w:hAnsi="Garamond" w:cs="Calibri"/>
                <w:color w:val="000000"/>
                <w:kern w:val="0"/>
                <w14:ligatures w14:val="none"/>
              </w:rPr>
            </w:pPr>
            <w:r w:rsidRPr="00537118">
              <w:rPr>
                <w:rFonts w:ascii="Garamond" w:eastAsia="Times New Roman" w:hAnsi="Garamond" w:cs="Calibri"/>
                <w:color w:val="000000"/>
                <w:kern w:val="0"/>
                <w14:ligatures w14:val="none"/>
              </w:rPr>
              <w:t>Líbia</w:t>
            </w:r>
          </w:p>
        </w:tc>
        <w:tc>
          <w:tcPr>
            <w:tcW w:w="724" w:type="dxa"/>
            <w:tcBorders>
              <w:top w:val="single" w:sz="4" w:space="0" w:color="C9C9C9"/>
              <w:left w:val="nil"/>
              <w:bottom w:val="single" w:sz="4" w:space="0" w:color="C9C9C9"/>
              <w:right w:val="single" w:sz="4" w:space="0" w:color="C9C9C9"/>
            </w:tcBorders>
            <w:shd w:val="clear" w:color="EDEDED" w:fill="EDEDED"/>
            <w:noWrap/>
            <w:vAlign w:val="center"/>
            <w:hideMark/>
          </w:tcPr>
          <w:p w14:paraId="4235B837" w14:textId="77777777" w:rsidR="00072F67" w:rsidRPr="00537118" w:rsidRDefault="00072F67" w:rsidP="005040EC">
            <w:pPr>
              <w:spacing w:after="0" w:line="240" w:lineRule="auto"/>
              <w:jc w:val="center"/>
              <w:rPr>
                <w:rFonts w:ascii="Garamond" w:eastAsia="Times New Roman" w:hAnsi="Garamond" w:cs="Calibri"/>
                <w:kern w:val="0"/>
                <w:sz w:val="20"/>
                <w:szCs w:val="20"/>
                <w14:ligatures w14:val="none"/>
              </w:rPr>
            </w:pPr>
            <w:r w:rsidRPr="00537118">
              <w:rPr>
                <w:rFonts w:ascii="Garamond" w:eastAsia="Times New Roman" w:hAnsi="Garamond" w:cs="Calibri"/>
                <w:kern w:val="0"/>
                <w:sz w:val="20"/>
                <w:szCs w:val="20"/>
                <w14:ligatures w14:val="none"/>
              </w:rPr>
              <w:t>5,12</w:t>
            </w:r>
          </w:p>
        </w:tc>
      </w:tr>
      <w:tr w:rsidR="00072F67" w:rsidRPr="00537118" w14:paraId="163ED83C" w14:textId="77777777" w:rsidTr="005040EC">
        <w:trPr>
          <w:trHeight w:val="300"/>
        </w:trPr>
        <w:tc>
          <w:tcPr>
            <w:tcW w:w="465" w:type="dxa"/>
            <w:tcBorders>
              <w:top w:val="single" w:sz="4" w:space="0" w:color="C9C9C9"/>
              <w:left w:val="single" w:sz="4" w:space="0" w:color="C9C9C9"/>
              <w:bottom w:val="single" w:sz="4" w:space="0" w:color="C9C9C9"/>
              <w:right w:val="nil"/>
            </w:tcBorders>
            <w:shd w:val="clear" w:color="auto" w:fill="auto"/>
            <w:noWrap/>
            <w:vAlign w:val="center"/>
            <w:hideMark/>
          </w:tcPr>
          <w:p w14:paraId="7F64E70B" w14:textId="77777777" w:rsidR="00072F67" w:rsidRPr="00537118" w:rsidRDefault="00072F67" w:rsidP="005040EC">
            <w:pPr>
              <w:spacing w:after="0" w:line="240" w:lineRule="auto"/>
              <w:jc w:val="center"/>
              <w:rPr>
                <w:rFonts w:ascii="Garamond" w:eastAsia="Times New Roman" w:hAnsi="Garamond" w:cs="Calibri"/>
                <w:color w:val="000000"/>
                <w:kern w:val="0"/>
                <w14:ligatures w14:val="none"/>
              </w:rPr>
            </w:pPr>
            <w:r w:rsidRPr="00537118">
              <w:rPr>
                <w:rFonts w:ascii="Garamond" w:eastAsia="Times New Roman" w:hAnsi="Garamond" w:cs="Calibri"/>
                <w:color w:val="000000"/>
                <w:kern w:val="0"/>
                <w14:ligatures w14:val="none"/>
              </w:rPr>
              <w:t>4</w:t>
            </w:r>
          </w:p>
        </w:tc>
        <w:tc>
          <w:tcPr>
            <w:tcW w:w="2412" w:type="dxa"/>
            <w:tcBorders>
              <w:top w:val="single" w:sz="4" w:space="0" w:color="C9C9C9"/>
              <w:left w:val="nil"/>
              <w:bottom w:val="single" w:sz="4" w:space="0" w:color="C9C9C9"/>
              <w:right w:val="nil"/>
            </w:tcBorders>
            <w:shd w:val="clear" w:color="auto" w:fill="auto"/>
            <w:noWrap/>
            <w:vAlign w:val="center"/>
            <w:hideMark/>
          </w:tcPr>
          <w:p w14:paraId="5D009F49" w14:textId="2FACBA4A" w:rsidR="00072F67" w:rsidRPr="00537118" w:rsidRDefault="00072F67" w:rsidP="005040EC">
            <w:pPr>
              <w:spacing w:after="0" w:line="240" w:lineRule="auto"/>
              <w:jc w:val="center"/>
              <w:rPr>
                <w:rFonts w:ascii="Garamond" w:eastAsia="Times New Roman" w:hAnsi="Garamond" w:cs="Calibri"/>
                <w:color w:val="000000"/>
                <w:kern w:val="0"/>
                <w14:ligatures w14:val="none"/>
              </w:rPr>
            </w:pPr>
            <w:r w:rsidRPr="00537118">
              <w:rPr>
                <w:rFonts w:ascii="Garamond" w:eastAsia="Times New Roman" w:hAnsi="Garamond" w:cs="Calibri"/>
                <w:color w:val="000000"/>
                <w:kern w:val="0"/>
                <w14:ligatures w14:val="none"/>
              </w:rPr>
              <w:t>Ar</w:t>
            </w:r>
            <w:r w:rsidR="00113F8A">
              <w:rPr>
                <w:rFonts w:ascii="Garamond" w:eastAsia="Times New Roman" w:hAnsi="Garamond" w:cs="Calibri"/>
                <w:color w:val="000000"/>
                <w:kern w:val="0"/>
                <w14:ligatures w14:val="none"/>
              </w:rPr>
              <w:t>á</w:t>
            </w:r>
            <w:r w:rsidRPr="00537118">
              <w:rPr>
                <w:rFonts w:ascii="Garamond" w:eastAsia="Times New Roman" w:hAnsi="Garamond" w:cs="Calibri"/>
                <w:color w:val="000000"/>
                <w:kern w:val="0"/>
                <w14:ligatures w14:val="none"/>
              </w:rPr>
              <w:t>bia</w:t>
            </w:r>
            <w:r w:rsidR="00113F8A">
              <w:rPr>
                <w:rFonts w:ascii="Garamond" w:eastAsia="Times New Roman" w:hAnsi="Garamond" w:cs="Calibri"/>
                <w:color w:val="000000"/>
                <w:kern w:val="0"/>
                <w14:ligatures w14:val="none"/>
              </w:rPr>
              <w:t xml:space="preserve"> Saudita</w:t>
            </w:r>
          </w:p>
        </w:tc>
        <w:tc>
          <w:tcPr>
            <w:tcW w:w="724" w:type="dxa"/>
            <w:tcBorders>
              <w:top w:val="single" w:sz="4" w:space="0" w:color="C9C9C9"/>
              <w:left w:val="nil"/>
              <w:bottom w:val="single" w:sz="4" w:space="0" w:color="C9C9C9"/>
              <w:right w:val="single" w:sz="4" w:space="0" w:color="C9C9C9"/>
            </w:tcBorders>
            <w:shd w:val="clear" w:color="auto" w:fill="auto"/>
            <w:noWrap/>
            <w:vAlign w:val="center"/>
            <w:hideMark/>
          </w:tcPr>
          <w:p w14:paraId="7BEB8AF5" w14:textId="77777777" w:rsidR="00072F67" w:rsidRPr="00537118" w:rsidRDefault="00072F67" w:rsidP="005040EC">
            <w:pPr>
              <w:spacing w:after="0" w:line="240" w:lineRule="auto"/>
              <w:jc w:val="center"/>
              <w:rPr>
                <w:rFonts w:ascii="Garamond" w:eastAsia="Times New Roman" w:hAnsi="Garamond" w:cs="Calibri"/>
                <w:kern w:val="0"/>
                <w:sz w:val="20"/>
                <w:szCs w:val="20"/>
                <w14:ligatures w14:val="none"/>
              </w:rPr>
            </w:pPr>
            <w:r w:rsidRPr="00537118">
              <w:rPr>
                <w:rFonts w:ascii="Garamond" w:eastAsia="Times New Roman" w:hAnsi="Garamond" w:cs="Calibri"/>
                <w:kern w:val="0"/>
                <w:sz w:val="20"/>
                <w:szCs w:val="20"/>
                <w14:ligatures w14:val="none"/>
              </w:rPr>
              <w:t>5,16</w:t>
            </w:r>
          </w:p>
        </w:tc>
      </w:tr>
      <w:tr w:rsidR="00072F67" w:rsidRPr="00537118" w14:paraId="7C95A693" w14:textId="77777777" w:rsidTr="005040EC">
        <w:trPr>
          <w:trHeight w:val="300"/>
        </w:trPr>
        <w:tc>
          <w:tcPr>
            <w:tcW w:w="465" w:type="dxa"/>
            <w:tcBorders>
              <w:top w:val="single" w:sz="4" w:space="0" w:color="C9C9C9"/>
              <w:left w:val="single" w:sz="4" w:space="0" w:color="C9C9C9"/>
              <w:bottom w:val="single" w:sz="4" w:space="0" w:color="C9C9C9"/>
              <w:right w:val="nil"/>
            </w:tcBorders>
            <w:shd w:val="clear" w:color="EDEDED" w:fill="EDEDED"/>
            <w:noWrap/>
            <w:vAlign w:val="center"/>
            <w:hideMark/>
          </w:tcPr>
          <w:p w14:paraId="03FA39C3" w14:textId="77777777" w:rsidR="00072F67" w:rsidRPr="00537118" w:rsidRDefault="00072F67" w:rsidP="005040EC">
            <w:pPr>
              <w:spacing w:after="0" w:line="240" w:lineRule="auto"/>
              <w:jc w:val="center"/>
              <w:rPr>
                <w:rFonts w:ascii="Garamond" w:eastAsia="Times New Roman" w:hAnsi="Garamond" w:cs="Calibri"/>
                <w:color w:val="000000"/>
                <w:kern w:val="0"/>
                <w14:ligatures w14:val="none"/>
              </w:rPr>
            </w:pPr>
            <w:r w:rsidRPr="00537118">
              <w:rPr>
                <w:rFonts w:ascii="Garamond" w:eastAsia="Times New Roman" w:hAnsi="Garamond" w:cs="Calibri"/>
                <w:color w:val="000000"/>
                <w:kern w:val="0"/>
                <w14:ligatures w14:val="none"/>
              </w:rPr>
              <w:t>5</w:t>
            </w:r>
          </w:p>
        </w:tc>
        <w:tc>
          <w:tcPr>
            <w:tcW w:w="2412" w:type="dxa"/>
            <w:tcBorders>
              <w:top w:val="single" w:sz="4" w:space="0" w:color="C9C9C9"/>
              <w:left w:val="nil"/>
              <w:bottom w:val="single" w:sz="4" w:space="0" w:color="C9C9C9"/>
              <w:right w:val="nil"/>
            </w:tcBorders>
            <w:shd w:val="clear" w:color="EDEDED" w:fill="EDEDED"/>
            <w:noWrap/>
            <w:vAlign w:val="center"/>
            <w:hideMark/>
          </w:tcPr>
          <w:p w14:paraId="318697A7" w14:textId="359F5C1A" w:rsidR="00072F67" w:rsidRPr="00537118" w:rsidRDefault="00113F8A" w:rsidP="005040EC">
            <w:pPr>
              <w:spacing w:after="0" w:line="240" w:lineRule="auto"/>
              <w:jc w:val="center"/>
              <w:rPr>
                <w:rFonts w:ascii="Garamond" w:eastAsia="Times New Roman" w:hAnsi="Garamond" w:cs="Calibri"/>
                <w:color w:val="000000"/>
                <w:kern w:val="0"/>
                <w14:ligatures w14:val="none"/>
              </w:rPr>
            </w:pPr>
            <w:r w:rsidRPr="00537118">
              <w:rPr>
                <w:rFonts w:ascii="Garamond" w:eastAsia="Times New Roman" w:hAnsi="Garamond" w:cs="Calibri"/>
                <w:color w:val="000000"/>
                <w:kern w:val="0"/>
                <w14:ligatures w14:val="none"/>
              </w:rPr>
              <w:t>Namíbia</w:t>
            </w:r>
          </w:p>
        </w:tc>
        <w:tc>
          <w:tcPr>
            <w:tcW w:w="724" w:type="dxa"/>
            <w:tcBorders>
              <w:top w:val="single" w:sz="4" w:space="0" w:color="C9C9C9"/>
              <w:left w:val="nil"/>
              <w:bottom w:val="single" w:sz="4" w:space="0" w:color="C9C9C9"/>
              <w:right w:val="single" w:sz="4" w:space="0" w:color="C9C9C9"/>
            </w:tcBorders>
            <w:shd w:val="clear" w:color="EDEDED" w:fill="EDEDED"/>
            <w:noWrap/>
            <w:vAlign w:val="center"/>
            <w:hideMark/>
          </w:tcPr>
          <w:p w14:paraId="1374A2C9" w14:textId="77777777" w:rsidR="00072F67" w:rsidRPr="00537118" w:rsidRDefault="00072F67" w:rsidP="005040EC">
            <w:pPr>
              <w:spacing w:after="0" w:line="240" w:lineRule="auto"/>
              <w:jc w:val="center"/>
              <w:rPr>
                <w:rFonts w:ascii="Garamond" w:eastAsia="Times New Roman" w:hAnsi="Garamond" w:cs="Calibri"/>
                <w:kern w:val="0"/>
                <w:sz w:val="20"/>
                <w:szCs w:val="20"/>
                <w14:ligatures w14:val="none"/>
              </w:rPr>
            </w:pPr>
            <w:r w:rsidRPr="00537118">
              <w:rPr>
                <w:rFonts w:ascii="Garamond" w:eastAsia="Times New Roman" w:hAnsi="Garamond" w:cs="Calibri"/>
                <w:kern w:val="0"/>
                <w:sz w:val="20"/>
                <w:szCs w:val="20"/>
                <w14:ligatures w14:val="none"/>
              </w:rPr>
              <w:t>5,38</w:t>
            </w:r>
          </w:p>
        </w:tc>
      </w:tr>
      <w:tr w:rsidR="00072F67" w:rsidRPr="00537118" w14:paraId="28F12F20" w14:textId="77777777" w:rsidTr="005040EC">
        <w:trPr>
          <w:trHeight w:val="300"/>
        </w:trPr>
        <w:tc>
          <w:tcPr>
            <w:tcW w:w="465" w:type="dxa"/>
            <w:tcBorders>
              <w:top w:val="single" w:sz="4" w:space="0" w:color="C9C9C9"/>
              <w:left w:val="single" w:sz="4" w:space="0" w:color="C9C9C9"/>
              <w:bottom w:val="single" w:sz="4" w:space="0" w:color="C9C9C9"/>
              <w:right w:val="nil"/>
            </w:tcBorders>
            <w:shd w:val="clear" w:color="auto" w:fill="auto"/>
            <w:noWrap/>
            <w:vAlign w:val="center"/>
            <w:hideMark/>
          </w:tcPr>
          <w:p w14:paraId="14244007" w14:textId="77777777" w:rsidR="00072F67" w:rsidRPr="00537118" w:rsidRDefault="00072F67" w:rsidP="005040EC">
            <w:pPr>
              <w:spacing w:after="0" w:line="240" w:lineRule="auto"/>
              <w:jc w:val="center"/>
              <w:rPr>
                <w:rFonts w:ascii="Garamond" w:eastAsia="Times New Roman" w:hAnsi="Garamond" w:cs="Calibri"/>
                <w:color w:val="000000"/>
                <w:kern w:val="0"/>
                <w14:ligatures w14:val="none"/>
              </w:rPr>
            </w:pPr>
            <w:r w:rsidRPr="00537118">
              <w:rPr>
                <w:rFonts w:ascii="Garamond" w:eastAsia="Times New Roman" w:hAnsi="Garamond" w:cs="Calibri"/>
                <w:color w:val="000000"/>
                <w:kern w:val="0"/>
                <w14:ligatures w14:val="none"/>
              </w:rPr>
              <w:t>6</w:t>
            </w:r>
          </w:p>
        </w:tc>
        <w:tc>
          <w:tcPr>
            <w:tcW w:w="2412" w:type="dxa"/>
            <w:tcBorders>
              <w:top w:val="single" w:sz="4" w:space="0" w:color="C9C9C9"/>
              <w:left w:val="nil"/>
              <w:bottom w:val="single" w:sz="4" w:space="0" w:color="C9C9C9"/>
              <w:right w:val="nil"/>
            </w:tcBorders>
            <w:shd w:val="clear" w:color="auto" w:fill="auto"/>
            <w:noWrap/>
            <w:vAlign w:val="center"/>
            <w:hideMark/>
          </w:tcPr>
          <w:p w14:paraId="4DB9124D" w14:textId="19492324" w:rsidR="00072F67" w:rsidRPr="00537118" w:rsidRDefault="00113F8A" w:rsidP="005040EC">
            <w:pPr>
              <w:spacing w:after="0" w:line="240" w:lineRule="auto"/>
              <w:jc w:val="center"/>
              <w:rPr>
                <w:rFonts w:ascii="Garamond" w:eastAsia="Times New Roman" w:hAnsi="Garamond" w:cs="Calibri"/>
                <w:color w:val="000000"/>
                <w:kern w:val="0"/>
                <w14:ligatures w14:val="none"/>
              </w:rPr>
            </w:pPr>
            <w:r>
              <w:rPr>
                <w:rFonts w:ascii="Garamond" w:eastAsia="Times New Roman" w:hAnsi="Garamond" w:cs="Calibri"/>
                <w:color w:val="000000"/>
                <w:kern w:val="0"/>
                <w14:ligatures w14:val="none"/>
              </w:rPr>
              <w:t>Á</w:t>
            </w:r>
            <w:r w:rsidR="00072F67" w:rsidRPr="00537118">
              <w:rPr>
                <w:rFonts w:ascii="Garamond" w:eastAsia="Times New Roman" w:hAnsi="Garamond" w:cs="Calibri"/>
                <w:color w:val="000000"/>
                <w:kern w:val="0"/>
                <w14:ligatures w14:val="none"/>
              </w:rPr>
              <w:t>frica</w:t>
            </w:r>
            <w:r>
              <w:rPr>
                <w:rFonts w:ascii="Garamond" w:eastAsia="Times New Roman" w:hAnsi="Garamond" w:cs="Calibri"/>
                <w:color w:val="000000"/>
                <w:kern w:val="0"/>
                <w14:ligatures w14:val="none"/>
              </w:rPr>
              <w:t xml:space="preserve"> do Sul</w:t>
            </w:r>
          </w:p>
        </w:tc>
        <w:tc>
          <w:tcPr>
            <w:tcW w:w="724" w:type="dxa"/>
            <w:tcBorders>
              <w:top w:val="single" w:sz="4" w:space="0" w:color="C9C9C9"/>
              <w:left w:val="nil"/>
              <w:bottom w:val="single" w:sz="4" w:space="0" w:color="C9C9C9"/>
              <w:right w:val="single" w:sz="4" w:space="0" w:color="C9C9C9"/>
            </w:tcBorders>
            <w:shd w:val="clear" w:color="auto" w:fill="auto"/>
            <w:noWrap/>
            <w:vAlign w:val="center"/>
            <w:hideMark/>
          </w:tcPr>
          <w:p w14:paraId="4FFFF1EF" w14:textId="77777777" w:rsidR="00072F67" w:rsidRPr="00537118" w:rsidRDefault="00072F67" w:rsidP="005040EC">
            <w:pPr>
              <w:spacing w:after="0" w:line="240" w:lineRule="auto"/>
              <w:jc w:val="center"/>
              <w:rPr>
                <w:rFonts w:ascii="Garamond" w:eastAsia="Times New Roman" w:hAnsi="Garamond" w:cs="Calibri"/>
                <w:kern w:val="0"/>
                <w:sz w:val="20"/>
                <w:szCs w:val="20"/>
                <w14:ligatures w14:val="none"/>
              </w:rPr>
            </w:pPr>
            <w:r w:rsidRPr="00537118">
              <w:rPr>
                <w:rFonts w:ascii="Garamond" w:eastAsia="Times New Roman" w:hAnsi="Garamond" w:cs="Calibri"/>
                <w:kern w:val="0"/>
                <w:sz w:val="20"/>
                <w:szCs w:val="20"/>
                <w14:ligatures w14:val="none"/>
              </w:rPr>
              <w:t>5,00</w:t>
            </w:r>
          </w:p>
        </w:tc>
      </w:tr>
      <w:tr w:rsidR="00072F67" w:rsidRPr="00537118" w14:paraId="61483E6B" w14:textId="77777777" w:rsidTr="005040EC">
        <w:trPr>
          <w:trHeight w:val="300"/>
        </w:trPr>
        <w:tc>
          <w:tcPr>
            <w:tcW w:w="465" w:type="dxa"/>
            <w:tcBorders>
              <w:top w:val="single" w:sz="4" w:space="0" w:color="C9C9C9"/>
              <w:left w:val="single" w:sz="4" w:space="0" w:color="C9C9C9"/>
              <w:bottom w:val="single" w:sz="4" w:space="0" w:color="C9C9C9"/>
              <w:right w:val="nil"/>
            </w:tcBorders>
            <w:shd w:val="clear" w:color="EDEDED" w:fill="EDEDED"/>
            <w:noWrap/>
            <w:vAlign w:val="center"/>
            <w:hideMark/>
          </w:tcPr>
          <w:p w14:paraId="47A9952C" w14:textId="77777777" w:rsidR="00072F67" w:rsidRPr="00537118" w:rsidRDefault="00072F67" w:rsidP="005040EC">
            <w:pPr>
              <w:spacing w:after="0" w:line="240" w:lineRule="auto"/>
              <w:jc w:val="center"/>
              <w:rPr>
                <w:rFonts w:ascii="Garamond" w:eastAsia="Times New Roman" w:hAnsi="Garamond" w:cs="Calibri"/>
                <w:color w:val="000000"/>
                <w:kern w:val="0"/>
                <w14:ligatures w14:val="none"/>
              </w:rPr>
            </w:pPr>
            <w:r w:rsidRPr="00537118">
              <w:rPr>
                <w:rFonts w:ascii="Garamond" w:eastAsia="Times New Roman" w:hAnsi="Garamond" w:cs="Calibri"/>
                <w:color w:val="000000"/>
                <w:kern w:val="0"/>
                <w14:ligatures w14:val="none"/>
              </w:rPr>
              <w:t>7</w:t>
            </w:r>
          </w:p>
        </w:tc>
        <w:tc>
          <w:tcPr>
            <w:tcW w:w="2412" w:type="dxa"/>
            <w:tcBorders>
              <w:top w:val="single" w:sz="4" w:space="0" w:color="C9C9C9"/>
              <w:left w:val="nil"/>
              <w:bottom w:val="single" w:sz="4" w:space="0" w:color="C9C9C9"/>
              <w:right w:val="nil"/>
            </w:tcBorders>
            <w:shd w:val="clear" w:color="EDEDED" w:fill="EDEDED"/>
            <w:noWrap/>
            <w:vAlign w:val="center"/>
            <w:hideMark/>
          </w:tcPr>
          <w:p w14:paraId="4FCC9BD0" w14:textId="1A3E0AEE" w:rsidR="00072F67" w:rsidRPr="00537118" w:rsidRDefault="00072F67" w:rsidP="005040EC">
            <w:pPr>
              <w:spacing w:after="0" w:line="240" w:lineRule="auto"/>
              <w:jc w:val="center"/>
              <w:rPr>
                <w:rFonts w:ascii="Garamond" w:eastAsia="Times New Roman" w:hAnsi="Garamond" w:cs="Calibri"/>
                <w:color w:val="000000"/>
                <w:kern w:val="0"/>
                <w14:ligatures w14:val="none"/>
              </w:rPr>
            </w:pPr>
            <w:r w:rsidRPr="00537118">
              <w:rPr>
                <w:rFonts w:ascii="Garamond" w:eastAsia="Times New Roman" w:hAnsi="Garamond" w:cs="Calibri"/>
                <w:color w:val="000000"/>
                <w:kern w:val="0"/>
                <w14:ligatures w14:val="none"/>
              </w:rPr>
              <w:t>Af</w:t>
            </w:r>
            <w:r w:rsidR="00113F8A">
              <w:rPr>
                <w:rFonts w:ascii="Garamond" w:eastAsia="Times New Roman" w:hAnsi="Garamond" w:cs="Calibri"/>
                <w:color w:val="000000"/>
                <w:kern w:val="0"/>
                <w14:ligatures w14:val="none"/>
              </w:rPr>
              <w:t>eganistão</w:t>
            </w:r>
          </w:p>
        </w:tc>
        <w:tc>
          <w:tcPr>
            <w:tcW w:w="724" w:type="dxa"/>
            <w:tcBorders>
              <w:top w:val="single" w:sz="4" w:space="0" w:color="C9C9C9"/>
              <w:left w:val="nil"/>
              <w:bottom w:val="single" w:sz="4" w:space="0" w:color="C9C9C9"/>
              <w:right w:val="single" w:sz="4" w:space="0" w:color="C9C9C9"/>
            </w:tcBorders>
            <w:shd w:val="clear" w:color="EDEDED" w:fill="EDEDED"/>
            <w:noWrap/>
            <w:vAlign w:val="center"/>
            <w:hideMark/>
          </w:tcPr>
          <w:p w14:paraId="77826ACD" w14:textId="77777777" w:rsidR="00072F67" w:rsidRPr="00537118" w:rsidRDefault="00072F67" w:rsidP="005040EC">
            <w:pPr>
              <w:spacing w:after="0" w:line="240" w:lineRule="auto"/>
              <w:jc w:val="center"/>
              <w:rPr>
                <w:rFonts w:ascii="Garamond" w:eastAsia="Times New Roman" w:hAnsi="Garamond" w:cs="Calibri"/>
                <w:kern w:val="0"/>
                <w:sz w:val="20"/>
                <w:szCs w:val="20"/>
                <w14:ligatures w14:val="none"/>
              </w:rPr>
            </w:pPr>
            <w:r w:rsidRPr="00537118">
              <w:rPr>
                <w:rFonts w:ascii="Garamond" w:eastAsia="Times New Roman" w:hAnsi="Garamond" w:cs="Calibri"/>
                <w:kern w:val="0"/>
                <w:sz w:val="20"/>
                <w:szCs w:val="20"/>
                <w14:ligatures w14:val="none"/>
              </w:rPr>
              <w:t>5,02</w:t>
            </w:r>
          </w:p>
        </w:tc>
      </w:tr>
      <w:tr w:rsidR="00072F67" w:rsidRPr="00537118" w14:paraId="4EBE3197" w14:textId="77777777" w:rsidTr="005040EC">
        <w:trPr>
          <w:trHeight w:val="300"/>
        </w:trPr>
        <w:tc>
          <w:tcPr>
            <w:tcW w:w="465" w:type="dxa"/>
            <w:tcBorders>
              <w:top w:val="single" w:sz="4" w:space="0" w:color="C9C9C9"/>
              <w:left w:val="single" w:sz="4" w:space="0" w:color="C9C9C9"/>
              <w:bottom w:val="single" w:sz="4" w:space="0" w:color="C9C9C9"/>
              <w:right w:val="nil"/>
            </w:tcBorders>
            <w:shd w:val="clear" w:color="auto" w:fill="auto"/>
            <w:noWrap/>
            <w:vAlign w:val="center"/>
            <w:hideMark/>
          </w:tcPr>
          <w:p w14:paraId="2B8F8A21" w14:textId="77777777" w:rsidR="00072F67" w:rsidRPr="00537118" w:rsidRDefault="00072F67" w:rsidP="005040EC">
            <w:pPr>
              <w:spacing w:after="0" w:line="240" w:lineRule="auto"/>
              <w:jc w:val="center"/>
              <w:rPr>
                <w:rFonts w:ascii="Garamond" w:eastAsia="Times New Roman" w:hAnsi="Garamond" w:cs="Calibri"/>
                <w:color w:val="000000"/>
                <w:kern w:val="0"/>
                <w14:ligatures w14:val="none"/>
              </w:rPr>
            </w:pPr>
            <w:r w:rsidRPr="00537118">
              <w:rPr>
                <w:rFonts w:ascii="Garamond" w:eastAsia="Times New Roman" w:hAnsi="Garamond" w:cs="Calibri"/>
                <w:color w:val="000000"/>
                <w:kern w:val="0"/>
                <w14:ligatures w14:val="none"/>
              </w:rPr>
              <w:t>8</w:t>
            </w:r>
          </w:p>
        </w:tc>
        <w:tc>
          <w:tcPr>
            <w:tcW w:w="2412" w:type="dxa"/>
            <w:tcBorders>
              <w:top w:val="single" w:sz="4" w:space="0" w:color="C9C9C9"/>
              <w:left w:val="nil"/>
              <w:bottom w:val="single" w:sz="4" w:space="0" w:color="C9C9C9"/>
              <w:right w:val="nil"/>
            </w:tcBorders>
            <w:shd w:val="clear" w:color="auto" w:fill="auto"/>
            <w:noWrap/>
            <w:vAlign w:val="center"/>
            <w:hideMark/>
          </w:tcPr>
          <w:p w14:paraId="3CB2E61C" w14:textId="77777777" w:rsidR="00072F67" w:rsidRPr="00537118" w:rsidRDefault="00072F67" w:rsidP="005040EC">
            <w:pPr>
              <w:spacing w:after="0" w:line="240" w:lineRule="auto"/>
              <w:jc w:val="center"/>
              <w:rPr>
                <w:rFonts w:ascii="Garamond" w:eastAsia="Times New Roman" w:hAnsi="Garamond" w:cs="Calibri"/>
                <w:color w:val="000000"/>
                <w:kern w:val="0"/>
                <w14:ligatures w14:val="none"/>
              </w:rPr>
            </w:pPr>
            <w:r w:rsidRPr="00537118">
              <w:rPr>
                <w:rFonts w:ascii="Garamond" w:eastAsia="Times New Roman" w:hAnsi="Garamond" w:cs="Calibri"/>
                <w:color w:val="000000"/>
                <w:kern w:val="0"/>
                <w14:ligatures w14:val="none"/>
              </w:rPr>
              <w:t xml:space="preserve">Argentina </w:t>
            </w:r>
          </w:p>
        </w:tc>
        <w:tc>
          <w:tcPr>
            <w:tcW w:w="724" w:type="dxa"/>
            <w:tcBorders>
              <w:top w:val="single" w:sz="4" w:space="0" w:color="C9C9C9"/>
              <w:left w:val="nil"/>
              <w:bottom w:val="single" w:sz="4" w:space="0" w:color="C9C9C9"/>
              <w:right w:val="single" w:sz="4" w:space="0" w:color="C9C9C9"/>
            </w:tcBorders>
            <w:shd w:val="clear" w:color="auto" w:fill="auto"/>
            <w:noWrap/>
            <w:vAlign w:val="center"/>
            <w:hideMark/>
          </w:tcPr>
          <w:p w14:paraId="36329D02" w14:textId="77777777" w:rsidR="00072F67" w:rsidRPr="00537118" w:rsidRDefault="00072F67" w:rsidP="005040EC">
            <w:pPr>
              <w:spacing w:after="0" w:line="240" w:lineRule="auto"/>
              <w:jc w:val="center"/>
              <w:rPr>
                <w:rFonts w:ascii="Garamond" w:eastAsia="Times New Roman" w:hAnsi="Garamond" w:cs="Calibri"/>
                <w:kern w:val="0"/>
                <w:sz w:val="20"/>
                <w:szCs w:val="20"/>
                <w14:ligatures w14:val="none"/>
              </w:rPr>
            </w:pPr>
            <w:r w:rsidRPr="00537118">
              <w:rPr>
                <w:rFonts w:ascii="Garamond" w:eastAsia="Times New Roman" w:hAnsi="Garamond" w:cs="Calibri"/>
                <w:kern w:val="0"/>
                <w:sz w:val="20"/>
                <w:szCs w:val="20"/>
                <w14:ligatures w14:val="none"/>
              </w:rPr>
              <w:t>4,60</w:t>
            </w:r>
          </w:p>
        </w:tc>
      </w:tr>
      <w:tr w:rsidR="00072F67" w:rsidRPr="00537118" w14:paraId="74533209" w14:textId="77777777" w:rsidTr="005040EC">
        <w:trPr>
          <w:trHeight w:val="300"/>
        </w:trPr>
        <w:tc>
          <w:tcPr>
            <w:tcW w:w="465" w:type="dxa"/>
            <w:tcBorders>
              <w:top w:val="single" w:sz="4" w:space="0" w:color="C9C9C9"/>
              <w:left w:val="single" w:sz="4" w:space="0" w:color="C9C9C9"/>
              <w:bottom w:val="single" w:sz="4" w:space="0" w:color="C9C9C9"/>
              <w:right w:val="nil"/>
            </w:tcBorders>
            <w:shd w:val="clear" w:color="EDEDED" w:fill="EDEDED"/>
            <w:noWrap/>
            <w:vAlign w:val="center"/>
            <w:hideMark/>
          </w:tcPr>
          <w:p w14:paraId="71813BDA" w14:textId="77777777" w:rsidR="00072F67" w:rsidRPr="00537118" w:rsidRDefault="00072F67" w:rsidP="005040EC">
            <w:pPr>
              <w:spacing w:after="0" w:line="240" w:lineRule="auto"/>
              <w:jc w:val="center"/>
              <w:rPr>
                <w:rFonts w:ascii="Garamond" w:eastAsia="Times New Roman" w:hAnsi="Garamond" w:cs="Calibri"/>
                <w:color w:val="000000"/>
                <w:kern w:val="0"/>
                <w14:ligatures w14:val="none"/>
              </w:rPr>
            </w:pPr>
            <w:r w:rsidRPr="00537118">
              <w:rPr>
                <w:rFonts w:ascii="Garamond" w:eastAsia="Times New Roman" w:hAnsi="Garamond" w:cs="Calibri"/>
                <w:color w:val="000000"/>
                <w:kern w:val="0"/>
                <w14:ligatures w14:val="none"/>
              </w:rPr>
              <w:t>9</w:t>
            </w:r>
          </w:p>
        </w:tc>
        <w:tc>
          <w:tcPr>
            <w:tcW w:w="2412" w:type="dxa"/>
            <w:tcBorders>
              <w:top w:val="single" w:sz="4" w:space="0" w:color="C9C9C9"/>
              <w:left w:val="nil"/>
              <w:bottom w:val="single" w:sz="4" w:space="0" w:color="C9C9C9"/>
              <w:right w:val="nil"/>
            </w:tcBorders>
            <w:shd w:val="clear" w:color="EDEDED" w:fill="EDEDED"/>
            <w:noWrap/>
            <w:vAlign w:val="center"/>
            <w:hideMark/>
          </w:tcPr>
          <w:p w14:paraId="05E21DC6" w14:textId="080467BA" w:rsidR="00072F67" w:rsidRPr="00537118" w:rsidRDefault="00113F8A" w:rsidP="005040EC">
            <w:pPr>
              <w:spacing w:after="0" w:line="240" w:lineRule="auto"/>
              <w:jc w:val="center"/>
              <w:rPr>
                <w:rFonts w:ascii="Garamond" w:eastAsia="Times New Roman" w:hAnsi="Garamond" w:cs="Calibri"/>
                <w:color w:val="000000"/>
                <w:kern w:val="0"/>
                <w14:ligatures w14:val="none"/>
              </w:rPr>
            </w:pPr>
            <w:r w:rsidRPr="00537118">
              <w:rPr>
                <w:rFonts w:ascii="Garamond" w:eastAsia="Times New Roman" w:hAnsi="Garamond" w:cs="Calibri"/>
                <w:color w:val="000000"/>
                <w:kern w:val="0"/>
                <w14:ligatures w14:val="none"/>
              </w:rPr>
              <w:t>Austrália</w:t>
            </w:r>
          </w:p>
        </w:tc>
        <w:tc>
          <w:tcPr>
            <w:tcW w:w="724" w:type="dxa"/>
            <w:tcBorders>
              <w:top w:val="single" w:sz="4" w:space="0" w:color="C9C9C9"/>
              <w:left w:val="nil"/>
              <w:bottom w:val="single" w:sz="4" w:space="0" w:color="C9C9C9"/>
              <w:right w:val="single" w:sz="4" w:space="0" w:color="C9C9C9"/>
            </w:tcBorders>
            <w:shd w:val="clear" w:color="EDEDED" w:fill="EDEDED"/>
            <w:noWrap/>
            <w:vAlign w:val="center"/>
            <w:hideMark/>
          </w:tcPr>
          <w:p w14:paraId="4E9CE6E8" w14:textId="77777777" w:rsidR="00072F67" w:rsidRPr="00537118" w:rsidRDefault="00072F67" w:rsidP="005040EC">
            <w:pPr>
              <w:spacing w:after="0" w:line="240" w:lineRule="auto"/>
              <w:jc w:val="center"/>
              <w:rPr>
                <w:rFonts w:ascii="Garamond" w:eastAsia="Times New Roman" w:hAnsi="Garamond" w:cs="Calibri"/>
                <w:kern w:val="0"/>
                <w:sz w:val="20"/>
                <w:szCs w:val="20"/>
                <w14:ligatures w14:val="none"/>
              </w:rPr>
            </w:pPr>
            <w:r w:rsidRPr="00537118">
              <w:rPr>
                <w:rFonts w:ascii="Garamond" w:eastAsia="Times New Roman" w:hAnsi="Garamond" w:cs="Calibri"/>
                <w:kern w:val="0"/>
                <w:sz w:val="20"/>
                <w:szCs w:val="20"/>
                <w14:ligatures w14:val="none"/>
              </w:rPr>
              <w:t>4,71</w:t>
            </w:r>
          </w:p>
        </w:tc>
      </w:tr>
      <w:tr w:rsidR="00072F67" w:rsidRPr="00537118" w14:paraId="0444AD0D" w14:textId="77777777" w:rsidTr="005040EC">
        <w:trPr>
          <w:trHeight w:val="300"/>
        </w:trPr>
        <w:tc>
          <w:tcPr>
            <w:tcW w:w="465" w:type="dxa"/>
            <w:tcBorders>
              <w:top w:val="single" w:sz="4" w:space="0" w:color="C9C9C9"/>
              <w:left w:val="single" w:sz="4" w:space="0" w:color="C9C9C9"/>
              <w:bottom w:val="single" w:sz="4" w:space="0" w:color="C9C9C9"/>
              <w:right w:val="nil"/>
            </w:tcBorders>
            <w:shd w:val="clear" w:color="auto" w:fill="auto"/>
            <w:noWrap/>
            <w:vAlign w:val="center"/>
            <w:hideMark/>
          </w:tcPr>
          <w:p w14:paraId="36B388B8" w14:textId="77777777" w:rsidR="00072F67" w:rsidRPr="00537118" w:rsidRDefault="00072F67" w:rsidP="005040EC">
            <w:pPr>
              <w:spacing w:after="0" w:line="240" w:lineRule="auto"/>
              <w:jc w:val="center"/>
              <w:rPr>
                <w:rFonts w:ascii="Garamond" w:eastAsia="Times New Roman" w:hAnsi="Garamond" w:cs="Calibri"/>
                <w:color w:val="000000"/>
                <w:kern w:val="0"/>
                <w14:ligatures w14:val="none"/>
              </w:rPr>
            </w:pPr>
            <w:r w:rsidRPr="00537118">
              <w:rPr>
                <w:rFonts w:ascii="Garamond" w:eastAsia="Times New Roman" w:hAnsi="Garamond" w:cs="Calibri"/>
                <w:color w:val="000000"/>
                <w:kern w:val="0"/>
                <w14:ligatures w14:val="none"/>
              </w:rPr>
              <w:t>10</w:t>
            </w:r>
          </w:p>
        </w:tc>
        <w:tc>
          <w:tcPr>
            <w:tcW w:w="2412" w:type="dxa"/>
            <w:tcBorders>
              <w:top w:val="single" w:sz="4" w:space="0" w:color="C9C9C9"/>
              <w:left w:val="nil"/>
              <w:bottom w:val="single" w:sz="4" w:space="0" w:color="C9C9C9"/>
              <w:right w:val="nil"/>
            </w:tcBorders>
            <w:shd w:val="clear" w:color="auto" w:fill="auto"/>
            <w:noWrap/>
            <w:vAlign w:val="center"/>
            <w:hideMark/>
          </w:tcPr>
          <w:p w14:paraId="2090C1A7" w14:textId="77777777" w:rsidR="00072F67" w:rsidRPr="00537118" w:rsidRDefault="00072F67" w:rsidP="005040EC">
            <w:pPr>
              <w:spacing w:after="0" w:line="240" w:lineRule="auto"/>
              <w:jc w:val="center"/>
              <w:rPr>
                <w:rFonts w:ascii="Garamond" w:eastAsia="Times New Roman" w:hAnsi="Garamond" w:cs="Calibri"/>
                <w:color w:val="000000"/>
                <w:kern w:val="0"/>
                <w14:ligatures w14:val="none"/>
              </w:rPr>
            </w:pPr>
            <w:r w:rsidRPr="00537118">
              <w:rPr>
                <w:rFonts w:ascii="Garamond" w:eastAsia="Times New Roman" w:hAnsi="Garamond" w:cs="Calibri"/>
                <w:color w:val="000000"/>
                <w:kern w:val="0"/>
                <w14:ligatures w14:val="none"/>
              </w:rPr>
              <w:t>Chile</w:t>
            </w:r>
          </w:p>
        </w:tc>
        <w:tc>
          <w:tcPr>
            <w:tcW w:w="724" w:type="dxa"/>
            <w:tcBorders>
              <w:top w:val="single" w:sz="4" w:space="0" w:color="C9C9C9"/>
              <w:left w:val="nil"/>
              <w:bottom w:val="single" w:sz="4" w:space="0" w:color="C9C9C9"/>
              <w:right w:val="single" w:sz="4" w:space="0" w:color="C9C9C9"/>
            </w:tcBorders>
            <w:shd w:val="clear" w:color="auto" w:fill="auto"/>
            <w:noWrap/>
            <w:vAlign w:val="center"/>
            <w:hideMark/>
          </w:tcPr>
          <w:p w14:paraId="6C61F018" w14:textId="77777777" w:rsidR="00072F67" w:rsidRPr="00537118" w:rsidRDefault="00072F67" w:rsidP="005040EC">
            <w:pPr>
              <w:spacing w:after="0" w:line="240" w:lineRule="auto"/>
              <w:jc w:val="center"/>
              <w:rPr>
                <w:rFonts w:ascii="Garamond" w:eastAsia="Times New Roman" w:hAnsi="Garamond" w:cs="Calibri"/>
                <w:kern w:val="0"/>
                <w:sz w:val="20"/>
                <w:szCs w:val="20"/>
                <w14:ligatures w14:val="none"/>
              </w:rPr>
            </w:pPr>
            <w:r w:rsidRPr="00537118">
              <w:rPr>
                <w:rFonts w:ascii="Garamond" w:eastAsia="Times New Roman" w:hAnsi="Garamond" w:cs="Calibri"/>
                <w:kern w:val="0"/>
                <w:sz w:val="20"/>
                <w:szCs w:val="20"/>
                <w14:ligatures w14:val="none"/>
              </w:rPr>
              <w:t>5,36</w:t>
            </w:r>
          </w:p>
        </w:tc>
      </w:tr>
      <w:tr w:rsidR="00072F67" w:rsidRPr="00537118" w14:paraId="5E66A64E" w14:textId="77777777" w:rsidTr="005040EC">
        <w:trPr>
          <w:trHeight w:val="300"/>
        </w:trPr>
        <w:tc>
          <w:tcPr>
            <w:tcW w:w="465" w:type="dxa"/>
            <w:tcBorders>
              <w:top w:val="single" w:sz="4" w:space="0" w:color="C9C9C9"/>
              <w:left w:val="single" w:sz="4" w:space="0" w:color="C9C9C9"/>
              <w:bottom w:val="single" w:sz="4" w:space="0" w:color="C9C9C9"/>
              <w:right w:val="nil"/>
            </w:tcBorders>
            <w:shd w:val="clear" w:color="EDEDED" w:fill="EDEDED"/>
            <w:noWrap/>
            <w:vAlign w:val="center"/>
            <w:hideMark/>
          </w:tcPr>
          <w:p w14:paraId="59AF8797" w14:textId="77777777" w:rsidR="00072F67" w:rsidRPr="00537118" w:rsidRDefault="00072F67" w:rsidP="005040EC">
            <w:pPr>
              <w:spacing w:after="0" w:line="240" w:lineRule="auto"/>
              <w:jc w:val="center"/>
              <w:rPr>
                <w:rFonts w:ascii="Garamond" w:eastAsia="Times New Roman" w:hAnsi="Garamond" w:cs="Calibri"/>
                <w:color w:val="000000"/>
                <w:kern w:val="0"/>
                <w14:ligatures w14:val="none"/>
              </w:rPr>
            </w:pPr>
            <w:r w:rsidRPr="00537118">
              <w:rPr>
                <w:rFonts w:ascii="Garamond" w:eastAsia="Times New Roman" w:hAnsi="Garamond" w:cs="Calibri"/>
                <w:color w:val="000000"/>
                <w:kern w:val="0"/>
                <w14:ligatures w14:val="none"/>
              </w:rPr>
              <w:t>11</w:t>
            </w:r>
          </w:p>
        </w:tc>
        <w:tc>
          <w:tcPr>
            <w:tcW w:w="2412" w:type="dxa"/>
            <w:tcBorders>
              <w:top w:val="single" w:sz="4" w:space="0" w:color="C9C9C9"/>
              <w:left w:val="nil"/>
              <w:bottom w:val="single" w:sz="4" w:space="0" w:color="C9C9C9"/>
              <w:right w:val="nil"/>
            </w:tcBorders>
            <w:shd w:val="clear" w:color="EDEDED" w:fill="EDEDED"/>
            <w:noWrap/>
            <w:vAlign w:val="center"/>
            <w:hideMark/>
          </w:tcPr>
          <w:p w14:paraId="3DF18AB7" w14:textId="6088C1C6" w:rsidR="00072F67" w:rsidRPr="00537118" w:rsidRDefault="00072F67" w:rsidP="005040EC">
            <w:pPr>
              <w:spacing w:after="0" w:line="240" w:lineRule="auto"/>
              <w:jc w:val="center"/>
              <w:rPr>
                <w:rFonts w:ascii="Garamond" w:eastAsia="Times New Roman" w:hAnsi="Garamond" w:cs="Calibri"/>
                <w:color w:val="000000"/>
                <w:kern w:val="0"/>
                <w14:ligatures w14:val="none"/>
              </w:rPr>
            </w:pPr>
            <w:r w:rsidRPr="00537118">
              <w:rPr>
                <w:rFonts w:ascii="Garamond" w:eastAsia="Times New Roman" w:hAnsi="Garamond" w:cs="Calibri"/>
                <w:color w:val="000000"/>
                <w:kern w:val="0"/>
                <w14:ligatures w14:val="none"/>
              </w:rPr>
              <w:t>Iraq</w:t>
            </w:r>
            <w:r w:rsidR="00113F8A">
              <w:rPr>
                <w:rFonts w:ascii="Garamond" w:eastAsia="Times New Roman" w:hAnsi="Garamond" w:cs="Calibri"/>
                <w:color w:val="000000"/>
                <w:kern w:val="0"/>
                <w14:ligatures w14:val="none"/>
              </w:rPr>
              <w:t>ue</w:t>
            </w:r>
          </w:p>
        </w:tc>
        <w:tc>
          <w:tcPr>
            <w:tcW w:w="724" w:type="dxa"/>
            <w:tcBorders>
              <w:top w:val="single" w:sz="4" w:space="0" w:color="C9C9C9"/>
              <w:left w:val="nil"/>
              <w:bottom w:val="single" w:sz="4" w:space="0" w:color="C9C9C9"/>
              <w:right w:val="single" w:sz="4" w:space="0" w:color="C9C9C9"/>
            </w:tcBorders>
            <w:shd w:val="clear" w:color="EDEDED" w:fill="EDEDED"/>
            <w:noWrap/>
            <w:vAlign w:val="center"/>
            <w:hideMark/>
          </w:tcPr>
          <w:p w14:paraId="766366AB" w14:textId="77777777" w:rsidR="00072F67" w:rsidRPr="00537118" w:rsidRDefault="00072F67" w:rsidP="005040EC">
            <w:pPr>
              <w:spacing w:after="0" w:line="240" w:lineRule="auto"/>
              <w:jc w:val="center"/>
              <w:rPr>
                <w:rFonts w:ascii="Garamond" w:eastAsia="Times New Roman" w:hAnsi="Garamond" w:cs="Calibri"/>
                <w:kern w:val="0"/>
                <w:sz w:val="20"/>
                <w:szCs w:val="20"/>
                <w14:ligatures w14:val="none"/>
              </w:rPr>
            </w:pPr>
            <w:r w:rsidRPr="00537118">
              <w:rPr>
                <w:rFonts w:ascii="Garamond" w:eastAsia="Times New Roman" w:hAnsi="Garamond" w:cs="Calibri"/>
                <w:kern w:val="0"/>
                <w:sz w:val="20"/>
                <w:szCs w:val="20"/>
                <w14:ligatures w14:val="none"/>
              </w:rPr>
              <w:t>4,68</w:t>
            </w:r>
          </w:p>
        </w:tc>
      </w:tr>
      <w:tr w:rsidR="00072F67" w:rsidRPr="00537118" w14:paraId="78F200F9" w14:textId="77777777" w:rsidTr="005040EC">
        <w:trPr>
          <w:trHeight w:val="300"/>
        </w:trPr>
        <w:tc>
          <w:tcPr>
            <w:tcW w:w="465" w:type="dxa"/>
            <w:tcBorders>
              <w:top w:val="single" w:sz="4" w:space="0" w:color="C9C9C9"/>
              <w:left w:val="single" w:sz="4" w:space="0" w:color="C9C9C9"/>
              <w:bottom w:val="single" w:sz="4" w:space="0" w:color="C9C9C9"/>
              <w:right w:val="nil"/>
            </w:tcBorders>
            <w:shd w:val="clear" w:color="auto" w:fill="auto"/>
            <w:noWrap/>
            <w:vAlign w:val="center"/>
            <w:hideMark/>
          </w:tcPr>
          <w:p w14:paraId="2306E5AA" w14:textId="77777777" w:rsidR="00072F67" w:rsidRPr="00537118" w:rsidRDefault="00072F67" w:rsidP="005040EC">
            <w:pPr>
              <w:spacing w:after="0" w:line="240" w:lineRule="auto"/>
              <w:jc w:val="center"/>
              <w:rPr>
                <w:rFonts w:ascii="Garamond" w:eastAsia="Times New Roman" w:hAnsi="Garamond" w:cs="Calibri"/>
                <w:color w:val="000000"/>
                <w:kern w:val="0"/>
                <w14:ligatures w14:val="none"/>
              </w:rPr>
            </w:pPr>
            <w:r w:rsidRPr="00537118">
              <w:rPr>
                <w:rFonts w:ascii="Garamond" w:eastAsia="Times New Roman" w:hAnsi="Garamond" w:cs="Calibri"/>
                <w:color w:val="000000"/>
                <w:kern w:val="0"/>
                <w14:ligatures w14:val="none"/>
              </w:rPr>
              <w:t>12</w:t>
            </w:r>
          </w:p>
        </w:tc>
        <w:tc>
          <w:tcPr>
            <w:tcW w:w="2412" w:type="dxa"/>
            <w:tcBorders>
              <w:top w:val="single" w:sz="4" w:space="0" w:color="C9C9C9"/>
              <w:left w:val="nil"/>
              <w:bottom w:val="single" w:sz="4" w:space="0" w:color="C9C9C9"/>
              <w:right w:val="nil"/>
            </w:tcBorders>
            <w:shd w:val="clear" w:color="auto" w:fill="auto"/>
            <w:noWrap/>
            <w:vAlign w:val="center"/>
            <w:hideMark/>
          </w:tcPr>
          <w:p w14:paraId="5AA570BD" w14:textId="5C540BC6" w:rsidR="00072F67" w:rsidRPr="00537118" w:rsidRDefault="00113F8A" w:rsidP="005040EC">
            <w:pPr>
              <w:spacing w:after="0" w:line="240" w:lineRule="auto"/>
              <w:jc w:val="center"/>
              <w:rPr>
                <w:rFonts w:ascii="Garamond" w:eastAsia="Times New Roman" w:hAnsi="Garamond" w:cs="Calibri"/>
                <w:color w:val="000000"/>
                <w:kern w:val="0"/>
                <w14:ligatures w14:val="none"/>
              </w:rPr>
            </w:pPr>
            <w:r w:rsidRPr="00537118">
              <w:rPr>
                <w:rFonts w:ascii="Garamond" w:eastAsia="Times New Roman" w:hAnsi="Garamond" w:cs="Calibri"/>
                <w:color w:val="000000"/>
                <w:kern w:val="0"/>
                <w14:ligatures w14:val="none"/>
              </w:rPr>
              <w:t>Paquistão</w:t>
            </w:r>
          </w:p>
        </w:tc>
        <w:tc>
          <w:tcPr>
            <w:tcW w:w="724" w:type="dxa"/>
            <w:tcBorders>
              <w:top w:val="single" w:sz="4" w:space="0" w:color="C9C9C9"/>
              <w:left w:val="nil"/>
              <w:bottom w:val="single" w:sz="4" w:space="0" w:color="C9C9C9"/>
              <w:right w:val="single" w:sz="4" w:space="0" w:color="C9C9C9"/>
            </w:tcBorders>
            <w:shd w:val="clear" w:color="auto" w:fill="auto"/>
            <w:noWrap/>
            <w:vAlign w:val="center"/>
            <w:hideMark/>
          </w:tcPr>
          <w:p w14:paraId="17E2F587" w14:textId="77777777" w:rsidR="00072F67" w:rsidRPr="00537118" w:rsidRDefault="00072F67" w:rsidP="005040EC">
            <w:pPr>
              <w:spacing w:after="0" w:line="240" w:lineRule="auto"/>
              <w:jc w:val="center"/>
              <w:rPr>
                <w:rFonts w:ascii="Garamond" w:eastAsia="Times New Roman" w:hAnsi="Garamond" w:cs="Calibri"/>
                <w:kern w:val="0"/>
                <w:sz w:val="20"/>
                <w:szCs w:val="20"/>
                <w14:ligatures w14:val="none"/>
              </w:rPr>
            </w:pPr>
            <w:r w:rsidRPr="00537118">
              <w:rPr>
                <w:rFonts w:ascii="Garamond" w:eastAsia="Times New Roman" w:hAnsi="Garamond" w:cs="Calibri"/>
                <w:kern w:val="0"/>
                <w:sz w:val="20"/>
                <w:szCs w:val="20"/>
                <w14:ligatures w14:val="none"/>
              </w:rPr>
              <w:t>4,71</w:t>
            </w:r>
          </w:p>
        </w:tc>
      </w:tr>
      <w:tr w:rsidR="00072F67" w:rsidRPr="00537118" w14:paraId="5704AC04" w14:textId="77777777" w:rsidTr="005040EC">
        <w:trPr>
          <w:trHeight w:val="300"/>
        </w:trPr>
        <w:tc>
          <w:tcPr>
            <w:tcW w:w="465" w:type="dxa"/>
            <w:tcBorders>
              <w:top w:val="single" w:sz="4" w:space="0" w:color="C9C9C9"/>
              <w:left w:val="single" w:sz="4" w:space="0" w:color="C9C9C9"/>
              <w:bottom w:val="single" w:sz="4" w:space="0" w:color="C9C9C9"/>
              <w:right w:val="nil"/>
            </w:tcBorders>
            <w:shd w:val="clear" w:color="EDEDED" w:fill="EDEDED"/>
            <w:noWrap/>
            <w:vAlign w:val="center"/>
            <w:hideMark/>
          </w:tcPr>
          <w:p w14:paraId="771C54DA" w14:textId="6DF3F189" w:rsidR="00072F67" w:rsidRPr="00537118" w:rsidRDefault="00072F67" w:rsidP="005040EC">
            <w:pPr>
              <w:spacing w:after="0" w:line="240" w:lineRule="auto"/>
              <w:jc w:val="center"/>
              <w:rPr>
                <w:rFonts w:ascii="Garamond" w:eastAsia="Times New Roman" w:hAnsi="Garamond" w:cs="Calibri"/>
                <w:color w:val="000000"/>
                <w:kern w:val="0"/>
                <w14:ligatures w14:val="none"/>
              </w:rPr>
            </w:pPr>
            <w:r w:rsidRPr="00537118">
              <w:rPr>
                <w:rFonts w:ascii="Garamond" w:eastAsia="Times New Roman" w:hAnsi="Garamond" w:cs="Calibri"/>
                <w:color w:val="000000"/>
                <w:kern w:val="0"/>
                <w14:ligatures w14:val="none"/>
              </w:rPr>
              <w:t>13</w:t>
            </w:r>
          </w:p>
        </w:tc>
        <w:tc>
          <w:tcPr>
            <w:tcW w:w="2412" w:type="dxa"/>
            <w:tcBorders>
              <w:top w:val="single" w:sz="4" w:space="0" w:color="C9C9C9"/>
              <w:left w:val="nil"/>
              <w:bottom w:val="single" w:sz="4" w:space="0" w:color="C9C9C9"/>
              <w:right w:val="nil"/>
            </w:tcBorders>
            <w:shd w:val="clear" w:color="EDEDED" w:fill="EDEDED"/>
            <w:noWrap/>
            <w:vAlign w:val="center"/>
            <w:hideMark/>
          </w:tcPr>
          <w:p w14:paraId="14F02DE7" w14:textId="3051AD04" w:rsidR="00072F67" w:rsidRPr="00537118" w:rsidRDefault="00E62E50" w:rsidP="005040EC">
            <w:pPr>
              <w:spacing w:after="0" w:line="240" w:lineRule="auto"/>
              <w:jc w:val="center"/>
              <w:rPr>
                <w:rFonts w:ascii="Garamond" w:eastAsia="Times New Roman" w:hAnsi="Garamond" w:cs="Calibri"/>
                <w:color w:val="000000"/>
                <w:kern w:val="0"/>
                <w14:ligatures w14:val="none"/>
              </w:rPr>
            </w:pPr>
            <w:r w:rsidRPr="00537118">
              <w:rPr>
                <w:rFonts w:ascii="Garamond" w:eastAsia="Times New Roman" w:hAnsi="Garamond" w:cs="Calibri"/>
                <w:color w:val="000000"/>
                <w:kern w:val="0"/>
                <w14:ligatures w14:val="none"/>
              </w:rPr>
              <w:t>México</w:t>
            </w:r>
          </w:p>
        </w:tc>
        <w:tc>
          <w:tcPr>
            <w:tcW w:w="724" w:type="dxa"/>
            <w:tcBorders>
              <w:top w:val="single" w:sz="4" w:space="0" w:color="C9C9C9"/>
              <w:left w:val="nil"/>
              <w:bottom w:val="single" w:sz="4" w:space="0" w:color="C9C9C9"/>
              <w:right w:val="single" w:sz="4" w:space="0" w:color="C9C9C9"/>
            </w:tcBorders>
            <w:shd w:val="clear" w:color="EDEDED" w:fill="EDEDED"/>
            <w:noWrap/>
            <w:vAlign w:val="center"/>
            <w:hideMark/>
          </w:tcPr>
          <w:p w14:paraId="5D1DB063" w14:textId="77777777" w:rsidR="00072F67" w:rsidRPr="00537118" w:rsidRDefault="00072F67" w:rsidP="005040EC">
            <w:pPr>
              <w:spacing w:after="0" w:line="240" w:lineRule="auto"/>
              <w:jc w:val="center"/>
              <w:rPr>
                <w:rFonts w:ascii="Garamond" w:eastAsia="Times New Roman" w:hAnsi="Garamond" w:cs="Calibri"/>
                <w:kern w:val="0"/>
                <w:sz w:val="20"/>
                <w:szCs w:val="20"/>
                <w14:ligatures w14:val="none"/>
              </w:rPr>
            </w:pPr>
            <w:r w:rsidRPr="00537118">
              <w:rPr>
                <w:rFonts w:ascii="Garamond" w:eastAsia="Times New Roman" w:hAnsi="Garamond" w:cs="Calibri"/>
                <w:kern w:val="0"/>
                <w:sz w:val="20"/>
                <w:szCs w:val="20"/>
                <w14:ligatures w14:val="none"/>
              </w:rPr>
              <w:t>4,92</w:t>
            </w:r>
          </w:p>
        </w:tc>
      </w:tr>
      <w:tr w:rsidR="00072F67" w:rsidRPr="00537118" w14:paraId="708FC905" w14:textId="77777777" w:rsidTr="005040EC">
        <w:trPr>
          <w:trHeight w:val="300"/>
        </w:trPr>
        <w:tc>
          <w:tcPr>
            <w:tcW w:w="465" w:type="dxa"/>
            <w:tcBorders>
              <w:top w:val="single" w:sz="4" w:space="0" w:color="C9C9C9"/>
              <w:left w:val="single" w:sz="4" w:space="0" w:color="C9C9C9"/>
              <w:bottom w:val="single" w:sz="4" w:space="0" w:color="C9C9C9"/>
              <w:right w:val="nil"/>
            </w:tcBorders>
            <w:shd w:val="clear" w:color="auto" w:fill="auto"/>
            <w:noWrap/>
            <w:vAlign w:val="center"/>
            <w:hideMark/>
          </w:tcPr>
          <w:p w14:paraId="6947FE6D" w14:textId="77777777" w:rsidR="00072F67" w:rsidRPr="00537118" w:rsidRDefault="00072F67" w:rsidP="005040EC">
            <w:pPr>
              <w:spacing w:after="0" w:line="240" w:lineRule="auto"/>
              <w:jc w:val="center"/>
              <w:rPr>
                <w:rFonts w:ascii="Garamond" w:eastAsia="Times New Roman" w:hAnsi="Garamond" w:cs="Calibri"/>
                <w:color w:val="000000"/>
                <w:kern w:val="0"/>
                <w14:ligatures w14:val="none"/>
              </w:rPr>
            </w:pPr>
            <w:r w:rsidRPr="00537118">
              <w:rPr>
                <w:rFonts w:ascii="Garamond" w:eastAsia="Times New Roman" w:hAnsi="Garamond" w:cs="Calibri"/>
                <w:color w:val="000000"/>
                <w:kern w:val="0"/>
                <w14:ligatures w14:val="none"/>
              </w:rPr>
              <w:t>14</w:t>
            </w:r>
          </w:p>
        </w:tc>
        <w:tc>
          <w:tcPr>
            <w:tcW w:w="2412" w:type="dxa"/>
            <w:tcBorders>
              <w:top w:val="single" w:sz="4" w:space="0" w:color="C9C9C9"/>
              <w:left w:val="nil"/>
              <w:bottom w:val="single" w:sz="4" w:space="0" w:color="C9C9C9"/>
              <w:right w:val="nil"/>
            </w:tcBorders>
            <w:shd w:val="clear" w:color="auto" w:fill="auto"/>
            <w:noWrap/>
            <w:vAlign w:val="center"/>
            <w:hideMark/>
          </w:tcPr>
          <w:p w14:paraId="09F887CC" w14:textId="3D14D45C" w:rsidR="00072F67" w:rsidRPr="00537118" w:rsidRDefault="00E62E50" w:rsidP="005040EC">
            <w:pPr>
              <w:spacing w:after="0" w:line="240" w:lineRule="auto"/>
              <w:jc w:val="center"/>
              <w:rPr>
                <w:rFonts w:ascii="Garamond" w:eastAsia="Times New Roman" w:hAnsi="Garamond" w:cs="Calibri"/>
                <w:color w:val="000000"/>
                <w:kern w:val="0"/>
                <w14:ligatures w14:val="none"/>
              </w:rPr>
            </w:pPr>
            <w:r w:rsidRPr="00537118">
              <w:rPr>
                <w:rFonts w:ascii="Garamond" w:eastAsia="Times New Roman" w:hAnsi="Garamond" w:cs="Calibri"/>
                <w:color w:val="000000"/>
                <w:kern w:val="0"/>
                <w14:ligatures w14:val="none"/>
              </w:rPr>
              <w:t>Mongólia</w:t>
            </w:r>
          </w:p>
        </w:tc>
        <w:tc>
          <w:tcPr>
            <w:tcW w:w="724" w:type="dxa"/>
            <w:tcBorders>
              <w:top w:val="single" w:sz="4" w:space="0" w:color="C9C9C9"/>
              <w:left w:val="nil"/>
              <w:bottom w:val="single" w:sz="4" w:space="0" w:color="C9C9C9"/>
              <w:right w:val="single" w:sz="4" w:space="0" w:color="C9C9C9"/>
            </w:tcBorders>
            <w:shd w:val="clear" w:color="auto" w:fill="auto"/>
            <w:noWrap/>
            <w:vAlign w:val="center"/>
            <w:hideMark/>
          </w:tcPr>
          <w:p w14:paraId="1E7E5BAD" w14:textId="77777777" w:rsidR="00072F67" w:rsidRPr="00537118" w:rsidRDefault="00072F67" w:rsidP="005040EC">
            <w:pPr>
              <w:spacing w:after="0" w:line="240" w:lineRule="auto"/>
              <w:jc w:val="center"/>
              <w:rPr>
                <w:rFonts w:ascii="Garamond" w:eastAsia="Times New Roman" w:hAnsi="Garamond" w:cs="Calibri"/>
                <w:kern w:val="0"/>
                <w:sz w:val="20"/>
                <w:szCs w:val="20"/>
                <w14:ligatures w14:val="none"/>
              </w:rPr>
            </w:pPr>
            <w:r w:rsidRPr="00537118">
              <w:rPr>
                <w:rFonts w:ascii="Garamond" w:eastAsia="Times New Roman" w:hAnsi="Garamond" w:cs="Calibri"/>
                <w:kern w:val="0"/>
                <w:sz w:val="20"/>
                <w:szCs w:val="20"/>
                <w14:ligatures w14:val="none"/>
              </w:rPr>
              <w:t>4,76</w:t>
            </w:r>
          </w:p>
        </w:tc>
      </w:tr>
      <w:tr w:rsidR="00072F67" w:rsidRPr="00537118" w14:paraId="00D3CFEB" w14:textId="77777777" w:rsidTr="005040EC">
        <w:trPr>
          <w:trHeight w:val="300"/>
        </w:trPr>
        <w:tc>
          <w:tcPr>
            <w:tcW w:w="465" w:type="dxa"/>
            <w:tcBorders>
              <w:top w:val="single" w:sz="4" w:space="0" w:color="C9C9C9"/>
              <w:left w:val="single" w:sz="4" w:space="0" w:color="C9C9C9"/>
              <w:bottom w:val="single" w:sz="4" w:space="0" w:color="C9C9C9"/>
              <w:right w:val="nil"/>
            </w:tcBorders>
            <w:shd w:val="clear" w:color="EDEDED" w:fill="EDEDED"/>
            <w:noWrap/>
            <w:vAlign w:val="center"/>
            <w:hideMark/>
          </w:tcPr>
          <w:p w14:paraId="571FC877" w14:textId="77777777" w:rsidR="00072F67" w:rsidRPr="00537118" w:rsidRDefault="00072F67" w:rsidP="005040EC">
            <w:pPr>
              <w:spacing w:after="0" w:line="240" w:lineRule="auto"/>
              <w:jc w:val="center"/>
              <w:rPr>
                <w:rFonts w:ascii="Garamond" w:eastAsia="Times New Roman" w:hAnsi="Garamond" w:cs="Calibri"/>
                <w:color w:val="000000"/>
                <w:kern w:val="0"/>
                <w14:ligatures w14:val="none"/>
              </w:rPr>
            </w:pPr>
            <w:r w:rsidRPr="00537118">
              <w:rPr>
                <w:rFonts w:ascii="Garamond" w:eastAsia="Times New Roman" w:hAnsi="Garamond" w:cs="Calibri"/>
                <w:color w:val="000000"/>
                <w:kern w:val="0"/>
                <w14:ligatures w14:val="none"/>
              </w:rPr>
              <w:t>15</w:t>
            </w:r>
          </w:p>
        </w:tc>
        <w:tc>
          <w:tcPr>
            <w:tcW w:w="2412" w:type="dxa"/>
            <w:tcBorders>
              <w:top w:val="single" w:sz="4" w:space="0" w:color="C9C9C9"/>
              <w:left w:val="nil"/>
              <w:bottom w:val="single" w:sz="4" w:space="0" w:color="C9C9C9"/>
              <w:right w:val="nil"/>
            </w:tcBorders>
            <w:shd w:val="clear" w:color="EDEDED" w:fill="EDEDED"/>
            <w:noWrap/>
            <w:vAlign w:val="center"/>
            <w:hideMark/>
          </w:tcPr>
          <w:p w14:paraId="795A5C9C" w14:textId="68DA7243" w:rsidR="00072F67" w:rsidRPr="00537118" w:rsidRDefault="00072F67" w:rsidP="005040EC">
            <w:pPr>
              <w:spacing w:after="0" w:line="240" w:lineRule="auto"/>
              <w:jc w:val="center"/>
              <w:rPr>
                <w:rFonts w:ascii="Garamond" w:eastAsia="Times New Roman" w:hAnsi="Garamond" w:cs="Calibri"/>
                <w:color w:val="000000"/>
                <w:kern w:val="0"/>
                <w14:ligatures w14:val="none"/>
              </w:rPr>
            </w:pPr>
            <w:r w:rsidRPr="00537118">
              <w:rPr>
                <w:rFonts w:ascii="Garamond" w:eastAsia="Times New Roman" w:hAnsi="Garamond" w:cs="Calibri"/>
                <w:color w:val="000000"/>
                <w:kern w:val="0"/>
                <w14:ligatures w14:val="none"/>
              </w:rPr>
              <w:t>Per</w:t>
            </w:r>
            <w:r w:rsidR="00E62E50">
              <w:rPr>
                <w:rFonts w:ascii="Garamond" w:eastAsia="Times New Roman" w:hAnsi="Garamond" w:cs="Calibri"/>
                <w:color w:val="000000"/>
                <w:kern w:val="0"/>
                <w14:ligatures w14:val="none"/>
              </w:rPr>
              <w:t>ú</w:t>
            </w:r>
          </w:p>
        </w:tc>
        <w:tc>
          <w:tcPr>
            <w:tcW w:w="724" w:type="dxa"/>
            <w:tcBorders>
              <w:top w:val="single" w:sz="4" w:space="0" w:color="C9C9C9"/>
              <w:left w:val="nil"/>
              <w:bottom w:val="single" w:sz="4" w:space="0" w:color="C9C9C9"/>
              <w:right w:val="single" w:sz="4" w:space="0" w:color="C9C9C9"/>
            </w:tcBorders>
            <w:shd w:val="clear" w:color="EDEDED" w:fill="EDEDED"/>
            <w:noWrap/>
            <w:vAlign w:val="center"/>
            <w:hideMark/>
          </w:tcPr>
          <w:p w14:paraId="1A9FD5A5" w14:textId="77777777" w:rsidR="00072F67" w:rsidRPr="00537118" w:rsidRDefault="00072F67" w:rsidP="005040EC">
            <w:pPr>
              <w:spacing w:after="0" w:line="240" w:lineRule="auto"/>
              <w:jc w:val="center"/>
              <w:rPr>
                <w:rFonts w:ascii="Garamond" w:eastAsia="Times New Roman" w:hAnsi="Garamond" w:cs="Calibri"/>
                <w:kern w:val="0"/>
                <w:sz w:val="20"/>
                <w:szCs w:val="20"/>
                <w14:ligatures w14:val="none"/>
              </w:rPr>
            </w:pPr>
            <w:r w:rsidRPr="00537118">
              <w:rPr>
                <w:rFonts w:ascii="Garamond" w:eastAsia="Times New Roman" w:hAnsi="Garamond" w:cs="Calibri"/>
                <w:kern w:val="0"/>
                <w:sz w:val="20"/>
                <w:szCs w:val="20"/>
                <w14:ligatures w14:val="none"/>
              </w:rPr>
              <w:t>4,90</w:t>
            </w:r>
          </w:p>
        </w:tc>
      </w:tr>
      <w:tr w:rsidR="00072F67" w:rsidRPr="00537118" w14:paraId="167580A6" w14:textId="77777777" w:rsidTr="005040EC">
        <w:trPr>
          <w:trHeight w:val="300"/>
        </w:trPr>
        <w:tc>
          <w:tcPr>
            <w:tcW w:w="465" w:type="dxa"/>
            <w:tcBorders>
              <w:top w:val="single" w:sz="4" w:space="0" w:color="C9C9C9"/>
              <w:left w:val="single" w:sz="4" w:space="0" w:color="C9C9C9"/>
              <w:bottom w:val="single" w:sz="4" w:space="0" w:color="C9C9C9"/>
              <w:right w:val="nil"/>
            </w:tcBorders>
            <w:shd w:val="clear" w:color="auto" w:fill="auto"/>
            <w:noWrap/>
            <w:vAlign w:val="center"/>
            <w:hideMark/>
          </w:tcPr>
          <w:p w14:paraId="58DC2DF5" w14:textId="77777777" w:rsidR="00072F67" w:rsidRPr="00537118" w:rsidRDefault="00072F67" w:rsidP="005040EC">
            <w:pPr>
              <w:spacing w:after="0" w:line="240" w:lineRule="auto"/>
              <w:jc w:val="center"/>
              <w:rPr>
                <w:rFonts w:ascii="Garamond" w:eastAsia="Times New Roman" w:hAnsi="Garamond" w:cs="Calibri"/>
                <w:color w:val="000000"/>
                <w:kern w:val="0"/>
                <w14:ligatures w14:val="none"/>
              </w:rPr>
            </w:pPr>
            <w:r w:rsidRPr="00537118">
              <w:rPr>
                <w:rFonts w:ascii="Garamond" w:eastAsia="Times New Roman" w:hAnsi="Garamond" w:cs="Calibri"/>
                <w:color w:val="000000"/>
                <w:kern w:val="0"/>
                <w14:ligatures w14:val="none"/>
              </w:rPr>
              <w:t>16</w:t>
            </w:r>
          </w:p>
        </w:tc>
        <w:tc>
          <w:tcPr>
            <w:tcW w:w="2412" w:type="dxa"/>
            <w:tcBorders>
              <w:top w:val="single" w:sz="4" w:space="0" w:color="C9C9C9"/>
              <w:left w:val="nil"/>
              <w:bottom w:val="single" w:sz="4" w:space="0" w:color="C9C9C9"/>
              <w:right w:val="nil"/>
            </w:tcBorders>
            <w:shd w:val="clear" w:color="auto" w:fill="auto"/>
            <w:noWrap/>
            <w:vAlign w:val="center"/>
            <w:hideMark/>
          </w:tcPr>
          <w:p w14:paraId="11DBE3B4" w14:textId="36BD17D2" w:rsidR="00072F67" w:rsidRPr="00537118" w:rsidRDefault="00E62E50" w:rsidP="005040EC">
            <w:pPr>
              <w:spacing w:after="0" w:line="240" w:lineRule="auto"/>
              <w:jc w:val="center"/>
              <w:rPr>
                <w:rFonts w:ascii="Garamond" w:eastAsia="Times New Roman" w:hAnsi="Garamond" w:cs="Calibri"/>
                <w:color w:val="000000"/>
                <w:kern w:val="0"/>
                <w14:ligatures w14:val="none"/>
              </w:rPr>
            </w:pPr>
            <w:r>
              <w:rPr>
                <w:rFonts w:ascii="Garamond" w:eastAsia="Times New Roman" w:hAnsi="Garamond" w:cs="Calibri"/>
                <w:color w:val="000000"/>
                <w:kern w:val="0"/>
                <w14:ligatures w14:val="none"/>
              </w:rPr>
              <w:t xml:space="preserve">Nova </w:t>
            </w:r>
            <w:r w:rsidR="00EF04B0">
              <w:rPr>
                <w:rFonts w:ascii="Garamond" w:eastAsia="Times New Roman" w:hAnsi="Garamond" w:cs="Calibri"/>
                <w:color w:val="000000"/>
                <w:kern w:val="0"/>
                <w14:ligatures w14:val="none"/>
              </w:rPr>
              <w:t>Zelândia</w:t>
            </w:r>
            <w:r w:rsidR="00072F67" w:rsidRPr="00537118">
              <w:rPr>
                <w:rFonts w:ascii="Garamond" w:eastAsia="Times New Roman" w:hAnsi="Garamond" w:cs="Calibri"/>
                <w:color w:val="000000"/>
                <w:kern w:val="0"/>
                <w14:ligatures w14:val="none"/>
              </w:rPr>
              <w:t xml:space="preserve"> </w:t>
            </w:r>
          </w:p>
        </w:tc>
        <w:tc>
          <w:tcPr>
            <w:tcW w:w="724" w:type="dxa"/>
            <w:tcBorders>
              <w:top w:val="single" w:sz="4" w:space="0" w:color="C9C9C9"/>
              <w:left w:val="nil"/>
              <w:bottom w:val="single" w:sz="4" w:space="0" w:color="C9C9C9"/>
              <w:right w:val="single" w:sz="4" w:space="0" w:color="C9C9C9"/>
            </w:tcBorders>
            <w:shd w:val="clear" w:color="auto" w:fill="auto"/>
            <w:noWrap/>
            <w:vAlign w:val="center"/>
            <w:hideMark/>
          </w:tcPr>
          <w:p w14:paraId="3BBB2B36" w14:textId="77777777" w:rsidR="00072F67" w:rsidRPr="00537118" w:rsidRDefault="00072F67" w:rsidP="005040EC">
            <w:pPr>
              <w:spacing w:after="0" w:line="240" w:lineRule="auto"/>
              <w:jc w:val="center"/>
              <w:rPr>
                <w:rFonts w:ascii="Garamond" w:eastAsia="Times New Roman" w:hAnsi="Garamond" w:cs="Calibri"/>
                <w:kern w:val="0"/>
                <w:sz w:val="20"/>
                <w:szCs w:val="20"/>
                <w14:ligatures w14:val="none"/>
              </w:rPr>
            </w:pPr>
            <w:r w:rsidRPr="00537118">
              <w:rPr>
                <w:rFonts w:ascii="Garamond" w:eastAsia="Times New Roman" w:hAnsi="Garamond" w:cs="Calibri"/>
                <w:kern w:val="0"/>
                <w:sz w:val="20"/>
                <w:szCs w:val="20"/>
                <w14:ligatures w14:val="none"/>
              </w:rPr>
              <w:t>3,68</w:t>
            </w:r>
          </w:p>
        </w:tc>
      </w:tr>
    </w:tbl>
    <w:p w14:paraId="34D52577" w14:textId="0C49BC79" w:rsidR="00072F67" w:rsidRPr="00537118" w:rsidRDefault="00072F67" w:rsidP="00072F67">
      <w:pPr>
        <w:rPr>
          <w:rFonts w:ascii="Garamond" w:hAnsi="Garamond"/>
          <w:sz w:val="20"/>
          <w:szCs w:val="20"/>
        </w:rPr>
      </w:pPr>
      <w:r w:rsidRPr="00537118">
        <w:rPr>
          <w:rFonts w:ascii="Garamond" w:hAnsi="Garamond"/>
          <w:sz w:val="20"/>
          <w:szCs w:val="20"/>
        </w:rPr>
        <w:lastRenderedPageBreak/>
        <w:t>Fonte: Elaboração própria; Fonte de dados: Global Solar Atlas (</w:t>
      </w:r>
      <w:hyperlink r:id="rId51" w:history="1">
        <w:r w:rsidRPr="00537118">
          <w:rPr>
            <w:rStyle w:val="Hyperlink"/>
            <w:rFonts w:ascii="Garamond" w:hAnsi="Garamond"/>
            <w:sz w:val="20"/>
            <w:szCs w:val="20"/>
          </w:rPr>
          <w:t>https://globalsolaratlas.info/map</w:t>
        </w:r>
      </w:hyperlink>
      <w:r w:rsidRPr="00537118">
        <w:rPr>
          <w:rFonts w:ascii="Garamond" w:hAnsi="Garamond"/>
          <w:sz w:val="20"/>
          <w:szCs w:val="20"/>
        </w:rPr>
        <w:t>)</w:t>
      </w:r>
    </w:p>
    <w:p w14:paraId="3CE82980" w14:textId="77777777" w:rsidR="007651EE" w:rsidRDefault="007651EE" w:rsidP="00072F67">
      <w:pPr>
        <w:rPr>
          <w:rFonts w:ascii="Garamond" w:hAnsi="Garamond"/>
        </w:rPr>
      </w:pPr>
    </w:p>
    <w:p w14:paraId="700B12CE" w14:textId="748033DC" w:rsidR="00072F67" w:rsidRPr="00D55EB8" w:rsidRDefault="007651EE" w:rsidP="00072F67">
      <w:pPr>
        <w:rPr>
          <w:rFonts w:ascii="Garamond" w:hAnsi="Garamond"/>
          <w:b/>
          <w:bCs/>
          <w:sz w:val="20"/>
          <w:szCs w:val="20"/>
        </w:rPr>
      </w:pPr>
      <w:r w:rsidRPr="00D55EB8">
        <w:rPr>
          <w:rFonts w:ascii="Garamond" w:hAnsi="Garamond"/>
          <w:b/>
          <w:bCs/>
        </w:rPr>
        <w:t>Tabela A.3: EPI.</w:t>
      </w:r>
    </w:p>
    <w:tbl>
      <w:tblPr>
        <w:tblW w:w="7097" w:type="dxa"/>
        <w:tblLook w:val="04A0" w:firstRow="1" w:lastRow="0" w:firstColumn="1" w:lastColumn="0" w:noHBand="0" w:noVBand="1"/>
      </w:tblPr>
      <w:tblGrid>
        <w:gridCol w:w="1557"/>
        <w:gridCol w:w="574"/>
        <w:gridCol w:w="2075"/>
        <w:gridCol w:w="677"/>
        <w:gridCol w:w="1640"/>
        <w:gridCol w:w="574"/>
      </w:tblGrid>
      <w:tr w:rsidR="00072F67" w:rsidRPr="00537118" w14:paraId="0DFCCE70" w14:textId="77777777" w:rsidTr="005040EC">
        <w:trPr>
          <w:trHeight w:val="300"/>
        </w:trPr>
        <w:tc>
          <w:tcPr>
            <w:tcW w:w="7097" w:type="dxa"/>
            <w:gridSpan w:val="6"/>
            <w:tcBorders>
              <w:top w:val="nil"/>
              <w:left w:val="nil"/>
              <w:bottom w:val="nil"/>
              <w:right w:val="nil"/>
            </w:tcBorders>
            <w:shd w:val="clear" w:color="5B9BD5" w:fill="808080"/>
            <w:noWrap/>
            <w:vAlign w:val="bottom"/>
            <w:hideMark/>
          </w:tcPr>
          <w:p w14:paraId="73DD5B19" w14:textId="77777777" w:rsidR="00072F67" w:rsidRPr="00537118" w:rsidRDefault="00072F67" w:rsidP="005040EC">
            <w:pPr>
              <w:spacing w:after="0" w:line="240" w:lineRule="auto"/>
              <w:jc w:val="center"/>
              <w:rPr>
                <w:rFonts w:ascii="Garamond" w:eastAsia="Times New Roman" w:hAnsi="Garamond" w:cs="Calibri"/>
                <w:b/>
                <w:bCs/>
                <w:color w:val="FFFFFF"/>
                <w:kern w:val="0"/>
                <w14:ligatures w14:val="none"/>
              </w:rPr>
            </w:pPr>
            <w:r w:rsidRPr="00537118">
              <w:rPr>
                <w:rFonts w:ascii="Garamond" w:eastAsia="Times New Roman" w:hAnsi="Garamond" w:cs="Calibri"/>
                <w:b/>
                <w:bCs/>
                <w:color w:val="FFFFFF"/>
                <w:kern w:val="0"/>
                <w14:ligatures w14:val="none"/>
              </w:rPr>
              <w:t>EPI (2024)</w:t>
            </w:r>
          </w:p>
        </w:tc>
      </w:tr>
      <w:tr w:rsidR="00072F67" w:rsidRPr="00537118" w14:paraId="6A09BA64" w14:textId="77777777" w:rsidTr="005040EC">
        <w:trPr>
          <w:trHeight w:val="300"/>
        </w:trPr>
        <w:tc>
          <w:tcPr>
            <w:tcW w:w="1557" w:type="dxa"/>
            <w:tcBorders>
              <w:top w:val="single" w:sz="4" w:space="0" w:color="C9C9C9"/>
              <w:left w:val="single" w:sz="4" w:space="0" w:color="C9C9C9"/>
              <w:bottom w:val="single" w:sz="4" w:space="0" w:color="C9C9C9"/>
              <w:right w:val="nil"/>
            </w:tcBorders>
            <w:shd w:val="clear" w:color="EDEDED" w:fill="EDEDED"/>
            <w:noWrap/>
            <w:vAlign w:val="center"/>
            <w:hideMark/>
          </w:tcPr>
          <w:p w14:paraId="36885802" w14:textId="77777777" w:rsidR="00072F67" w:rsidRPr="00537118" w:rsidRDefault="00072F67" w:rsidP="005040EC">
            <w:pPr>
              <w:spacing w:after="0" w:line="240" w:lineRule="auto"/>
              <w:jc w:val="center"/>
              <w:rPr>
                <w:rFonts w:ascii="Garamond" w:eastAsia="Times New Roman" w:hAnsi="Garamond" w:cs="Calibri"/>
                <w:color w:val="000000"/>
                <w:kern w:val="0"/>
                <w14:ligatures w14:val="none"/>
              </w:rPr>
            </w:pPr>
            <w:r w:rsidRPr="00537118">
              <w:rPr>
                <w:rFonts w:ascii="Garamond" w:eastAsia="Times New Roman" w:hAnsi="Garamond" w:cs="Calibri"/>
                <w:color w:val="000000"/>
                <w:kern w:val="0"/>
                <w14:ligatures w14:val="none"/>
              </w:rPr>
              <w:t>China</w:t>
            </w:r>
          </w:p>
        </w:tc>
        <w:tc>
          <w:tcPr>
            <w:tcW w:w="574" w:type="dxa"/>
            <w:tcBorders>
              <w:top w:val="single" w:sz="4" w:space="0" w:color="C9C9C9"/>
              <w:left w:val="nil"/>
              <w:bottom w:val="single" w:sz="4" w:space="0" w:color="C9C9C9"/>
              <w:right w:val="nil"/>
            </w:tcBorders>
            <w:shd w:val="clear" w:color="EDEDED" w:fill="EDEDED"/>
            <w:noWrap/>
            <w:vAlign w:val="center"/>
            <w:hideMark/>
          </w:tcPr>
          <w:p w14:paraId="27A51CD8" w14:textId="77777777" w:rsidR="00072F67" w:rsidRPr="00537118" w:rsidRDefault="00072F67" w:rsidP="005040EC">
            <w:pPr>
              <w:spacing w:after="0" w:line="240" w:lineRule="auto"/>
              <w:jc w:val="center"/>
              <w:rPr>
                <w:rFonts w:ascii="Garamond" w:eastAsia="Times New Roman" w:hAnsi="Garamond" w:cs="Calibri"/>
                <w:color w:val="000000"/>
                <w:kern w:val="0"/>
                <w14:ligatures w14:val="none"/>
              </w:rPr>
            </w:pPr>
            <w:r w:rsidRPr="00537118">
              <w:rPr>
                <w:rFonts w:ascii="Garamond" w:eastAsia="Times New Roman" w:hAnsi="Garamond" w:cs="Calibri"/>
                <w:color w:val="000000"/>
                <w:kern w:val="0"/>
                <w14:ligatures w14:val="none"/>
              </w:rPr>
              <w:t>35,4</w:t>
            </w:r>
          </w:p>
        </w:tc>
        <w:tc>
          <w:tcPr>
            <w:tcW w:w="2075" w:type="dxa"/>
            <w:tcBorders>
              <w:top w:val="single" w:sz="4" w:space="0" w:color="C9C9C9"/>
              <w:left w:val="nil"/>
              <w:bottom w:val="single" w:sz="4" w:space="0" w:color="C9C9C9"/>
              <w:right w:val="nil"/>
            </w:tcBorders>
            <w:shd w:val="clear" w:color="EDEDED" w:fill="EDEDED"/>
            <w:noWrap/>
            <w:vAlign w:val="center"/>
            <w:hideMark/>
          </w:tcPr>
          <w:p w14:paraId="04505553" w14:textId="3B7113C2" w:rsidR="00072F67" w:rsidRPr="00537118" w:rsidRDefault="00A941C4" w:rsidP="005040EC">
            <w:pPr>
              <w:spacing w:after="0" w:line="240" w:lineRule="auto"/>
              <w:jc w:val="center"/>
              <w:rPr>
                <w:rFonts w:ascii="Garamond" w:eastAsia="Times New Roman" w:hAnsi="Garamond" w:cs="Calibri"/>
                <w:color w:val="000000"/>
                <w:kern w:val="0"/>
                <w14:ligatures w14:val="none"/>
              </w:rPr>
            </w:pPr>
            <w:r>
              <w:rPr>
                <w:rFonts w:ascii="Garamond" w:eastAsia="Times New Roman" w:hAnsi="Garamond" w:cs="Calibri"/>
                <w:color w:val="212529"/>
                <w:kern w:val="0"/>
                <w14:ligatures w14:val="none"/>
              </w:rPr>
              <w:t>Países Baixos</w:t>
            </w:r>
          </w:p>
        </w:tc>
        <w:tc>
          <w:tcPr>
            <w:tcW w:w="677" w:type="dxa"/>
            <w:tcBorders>
              <w:top w:val="single" w:sz="4" w:space="0" w:color="C9C9C9"/>
              <w:left w:val="nil"/>
              <w:bottom w:val="single" w:sz="4" w:space="0" w:color="C9C9C9"/>
              <w:right w:val="nil"/>
            </w:tcBorders>
            <w:shd w:val="clear" w:color="EDEDED" w:fill="EDEDED"/>
            <w:noWrap/>
            <w:vAlign w:val="center"/>
            <w:hideMark/>
          </w:tcPr>
          <w:p w14:paraId="18E6163D" w14:textId="77777777" w:rsidR="00072F67" w:rsidRPr="00537118" w:rsidRDefault="00072F67" w:rsidP="005040EC">
            <w:pPr>
              <w:spacing w:after="0" w:line="240" w:lineRule="auto"/>
              <w:jc w:val="center"/>
              <w:rPr>
                <w:rFonts w:ascii="Garamond" w:eastAsia="Times New Roman" w:hAnsi="Garamond" w:cs="Calibri"/>
                <w:color w:val="000000"/>
                <w:kern w:val="0"/>
                <w14:ligatures w14:val="none"/>
              </w:rPr>
            </w:pPr>
            <w:r w:rsidRPr="00537118">
              <w:rPr>
                <w:rFonts w:ascii="Garamond" w:eastAsia="Times New Roman" w:hAnsi="Garamond" w:cs="Calibri"/>
                <w:color w:val="000000"/>
                <w:kern w:val="0"/>
                <w14:ligatures w14:val="none"/>
              </w:rPr>
              <w:t>66,9</w:t>
            </w:r>
          </w:p>
        </w:tc>
        <w:tc>
          <w:tcPr>
            <w:tcW w:w="1640" w:type="dxa"/>
            <w:tcBorders>
              <w:top w:val="single" w:sz="4" w:space="0" w:color="C9C9C9"/>
              <w:left w:val="nil"/>
              <w:bottom w:val="single" w:sz="4" w:space="0" w:color="C9C9C9"/>
              <w:right w:val="nil"/>
            </w:tcBorders>
            <w:shd w:val="clear" w:color="EDEDED" w:fill="EDEDED"/>
            <w:noWrap/>
            <w:vAlign w:val="center"/>
            <w:hideMark/>
          </w:tcPr>
          <w:p w14:paraId="4DEFE7C5" w14:textId="0706EC63" w:rsidR="00072F67" w:rsidRPr="00537118" w:rsidRDefault="00A941C4" w:rsidP="005040EC">
            <w:pPr>
              <w:spacing w:after="0" w:line="240" w:lineRule="auto"/>
              <w:jc w:val="center"/>
              <w:rPr>
                <w:rFonts w:ascii="Garamond" w:eastAsia="Times New Roman" w:hAnsi="Garamond" w:cs="Calibri"/>
                <w:color w:val="000000"/>
                <w:kern w:val="0"/>
                <w14:ligatures w14:val="none"/>
              </w:rPr>
            </w:pPr>
            <w:r>
              <w:rPr>
                <w:rFonts w:ascii="Garamond" w:eastAsia="Times New Roman" w:hAnsi="Garamond" w:cs="Calibri"/>
                <w:color w:val="000000"/>
                <w:kern w:val="0"/>
                <w14:ligatures w14:val="none"/>
              </w:rPr>
              <w:t>Á</w:t>
            </w:r>
            <w:r w:rsidRPr="00537118">
              <w:rPr>
                <w:rFonts w:ascii="Garamond" w:eastAsia="Times New Roman" w:hAnsi="Garamond" w:cs="Calibri"/>
                <w:color w:val="000000"/>
                <w:kern w:val="0"/>
                <w14:ligatures w14:val="none"/>
              </w:rPr>
              <w:t>frica</w:t>
            </w:r>
            <w:r>
              <w:rPr>
                <w:rFonts w:ascii="Garamond" w:eastAsia="Times New Roman" w:hAnsi="Garamond" w:cs="Calibri"/>
                <w:color w:val="000000"/>
                <w:kern w:val="0"/>
                <w14:ligatures w14:val="none"/>
              </w:rPr>
              <w:t xml:space="preserve"> do Sul</w:t>
            </w:r>
          </w:p>
        </w:tc>
        <w:tc>
          <w:tcPr>
            <w:tcW w:w="574" w:type="dxa"/>
            <w:tcBorders>
              <w:top w:val="single" w:sz="4" w:space="0" w:color="C9C9C9"/>
              <w:left w:val="nil"/>
              <w:bottom w:val="single" w:sz="4" w:space="0" w:color="C9C9C9"/>
              <w:right w:val="single" w:sz="4" w:space="0" w:color="C9C9C9"/>
            </w:tcBorders>
            <w:shd w:val="clear" w:color="EDEDED" w:fill="EDEDED"/>
            <w:noWrap/>
            <w:vAlign w:val="center"/>
            <w:hideMark/>
          </w:tcPr>
          <w:p w14:paraId="079B4098" w14:textId="77777777" w:rsidR="00072F67" w:rsidRPr="00537118" w:rsidRDefault="00072F67" w:rsidP="005040EC">
            <w:pPr>
              <w:spacing w:after="0" w:line="240" w:lineRule="auto"/>
              <w:jc w:val="center"/>
              <w:rPr>
                <w:rFonts w:ascii="Garamond" w:eastAsia="Times New Roman" w:hAnsi="Garamond" w:cs="Calibri"/>
                <w:color w:val="000000"/>
                <w:kern w:val="0"/>
                <w14:ligatures w14:val="none"/>
              </w:rPr>
            </w:pPr>
            <w:r w:rsidRPr="00537118">
              <w:rPr>
                <w:rFonts w:ascii="Garamond" w:eastAsia="Times New Roman" w:hAnsi="Garamond" w:cs="Calibri"/>
                <w:color w:val="000000"/>
                <w:kern w:val="0"/>
                <w14:ligatures w14:val="none"/>
              </w:rPr>
              <w:t>42,7</w:t>
            </w:r>
          </w:p>
        </w:tc>
      </w:tr>
      <w:tr w:rsidR="00072F67" w:rsidRPr="00537118" w14:paraId="3C1AB851" w14:textId="77777777" w:rsidTr="005040EC">
        <w:trPr>
          <w:trHeight w:val="300"/>
        </w:trPr>
        <w:tc>
          <w:tcPr>
            <w:tcW w:w="1557" w:type="dxa"/>
            <w:tcBorders>
              <w:top w:val="single" w:sz="4" w:space="0" w:color="C9C9C9"/>
              <w:left w:val="single" w:sz="4" w:space="0" w:color="C9C9C9"/>
              <w:bottom w:val="single" w:sz="4" w:space="0" w:color="C9C9C9"/>
              <w:right w:val="nil"/>
            </w:tcBorders>
            <w:shd w:val="clear" w:color="auto" w:fill="auto"/>
            <w:noWrap/>
            <w:vAlign w:val="center"/>
            <w:hideMark/>
          </w:tcPr>
          <w:p w14:paraId="124090DB" w14:textId="20174E56" w:rsidR="00072F67" w:rsidRPr="00537118" w:rsidRDefault="00A32CC5" w:rsidP="005040EC">
            <w:pPr>
              <w:spacing w:after="0" w:line="240" w:lineRule="auto"/>
              <w:jc w:val="center"/>
              <w:rPr>
                <w:rFonts w:ascii="Garamond" w:eastAsia="Times New Roman" w:hAnsi="Garamond" w:cs="Calibri"/>
                <w:color w:val="000000"/>
                <w:kern w:val="0"/>
                <w14:ligatures w14:val="none"/>
              </w:rPr>
            </w:pPr>
            <w:r>
              <w:rPr>
                <w:rFonts w:ascii="Garamond" w:eastAsia="Times New Roman" w:hAnsi="Garamond" w:cs="Calibri"/>
                <w:color w:val="000000"/>
                <w:kern w:val="0"/>
                <w14:ligatures w14:val="none"/>
              </w:rPr>
              <w:t>E.U.A.</w:t>
            </w:r>
          </w:p>
        </w:tc>
        <w:tc>
          <w:tcPr>
            <w:tcW w:w="574" w:type="dxa"/>
            <w:tcBorders>
              <w:top w:val="single" w:sz="4" w:space="0" w:color="C9C9C9"/>
              <w:left w:val="nil"/>
              <w:bottom w:val="single" w:sz="4" w:space="0" w:color="C9C9C9"/>
              <w:right w:val="nil"/>
            </w:tcBorders>
            <w:shd w:val="clear" w:color="auto" w:fill="auto"/>
            <w:noWrap/>
            <w:vAlign w:val="center"/>
            <w:hideMark/>
          </w:tcPr>
          <w:p w14:paraId="5201E511" w14:textId="77777777" w:rsidR="00072F67" w:rsidRPr="00537118" w:rsidRDefault="00072F67" w:rsidP="005040EC">
            <w:pPr>
              <w:spacing w:after="0" w:line="240" w:lineRule="auto"/>
              <w:jc w:val="center"/>
              <w:rPr>
                <w:rFonts w:ascii="Garamond" w:eastAsia="Times New Roman" w:hAnsi="Garamond" w:cs="Calibri"/>
                <w:color w:val="000000"/>
                <w:kern w:val="0"/>
                <w14:ligatures w14:val="none"/>
              </w:rPr>
            </w:pPr>
            <w:r w:rsidRPr="00537118">
              <w:rPr>
                <w:rFonts w:ascii="Garamond" w:eastAsia="Times New Roman" w:hAnsi="Garamond" w:cs="Calibri"/>
                <w:color w:val="000000"/>
                <w:kern w:val="0"/>
                <w14:ligatures w14:val="none"/>
              </w:rPr>
              <w:t>57,2</w:t>
            </w:r>
          </w:p>
        </w:tc>
        <w:tc>
          <w:tcPr>
            <w:tcW w:w="2075" w:type="dxa"/>
            <w:tcBorders>
              <w:top w:val="single" w:sz="4" w:space="0" w:color="C9C9C9"/>
              <w:left w:val="nil"/>
              <w:bottom w:val="single" w:sz="4" w:space="0" w:color="C9C9C9"/>
              <w:right w:val="nil"/>
            </w:tcBorders>
            <w:shd w:val="clear" w:color="auto" w:fill="auto"/>
            <w:noWrap/>
            <w:vAlign w:val="center"/>
            <w:hideMark/>
          </w:tcPr>
          <w:p w14:paraId="2DBDB044" w14:textId="7932D31C" w:rsidR="00072F67" w:rsidRPr="00537118" w:rsidRDefault="00A941C4" w:rsidP="005040EC">
            <w:pPr>
              <w:spacing w:after="0" w:line="240" w:lineRule="auto"/>
              <w:jc w:val="center"/>
              <w:rPr>
                <w:rFonts w:ascii="Garamond" w:eastAsia="Times New Roman" w:hAnsi="Garamond" w:cs="Calibri"/>
                <w:color w:val="000000"/>
                <w:kern w:val="0"/>
                <w14:ligatures w14:val="none"/>
              </w:rPr>
            </w:pPr>
            <w:r w:rsidRPr="00537118">
              <w:rPr>
                <w:rFonts w:ascii="Garamond" w:eastAsia="Times New Roman" w:hAnsi="Garamond" w:cs="Calibri"/>
                <w:color w:val="212529"/>
                <w:kern w:val="0"/>
                <w14:ligatures w14:val="none"/>
              </w:rPr>
              <w:t>Fran</w:t>
            </w:r>
            <w:r>
              <w:rPr>
                <w:rFonts w:ascii="Garamond" w:eastAsia="Times New Roman" w:hAnsi="Garamond" w:cs="Calibri"/>
                <w:color w:val="212529"/>
                <w:kern w:val="0"/>
                <w14:ligatures w14:val="none"/>
              </w:rPr>
              <w:t>ça</w:t>
            </w:r>
          </w:p>
        </w:tc>
        <w:tc>
          <w:tcPr>
            <w:tcW w:w="677" w:type="dxa"/>
            <w:tcBorders>
              <w:top w:val="single" w:sz="4" w:space="0" w:color="C9C9C9"/>
              <w:left w:val="nil"/>
              <w:bottom w:val="single" w:sz="4" w:space="0" w:color="C9C9C9"/>
              <w:right w:val="nil"/>
            </w:tcBorders>
            <w:shd w:val="clear" w:color="auto" w:fill="auto"/>
            <w:noWrap/>
            <w:vAlign w:val="center"/>
            <w:hideMark/>
          </w:tcPr>
          <w:p w14:paraId="611FFA8A" w14:textId="77777777" w:rsidR="00072F67" w:rsidRPr="00537118" w:rsidRDefault="00072F67" w:rsidP="005040EC">
            <w:pPr>
              <w:spacing w:after="0" w:line="240" w:lineRule="auto"/>
              <w:jc w:val="center"/>
              <w:rPr>
                <w:rFonts w:ascii="Garamond" w:eastAsia="Times New Roman" w:hAnsi="Garamond" w:cs="Calibri"/>
                <w:color w:val="000000"/>
                <w:kern w:val="0"/>
                <w14:ligatures w14:val="none"/>
              </w:rPr>
            </w:pPr>
            <w:r w:rsidRPr="00537118">
              <w:rPr>
                <w:rFonts w:ascii="Garamond" w:eastAsia="Times New Roman" w:hAnsi="Garamond" w:cs="Calibri"/>
                <w:color w:val="000000"/>
                <w:kern w:val="0"/>
                <w14:ligatures w14:val="none"/>
              </w:rPr>
              <w:t>67</w:t>
            </w:r>
          </w:p>
        </w:tc>
        <w:tc>
          <w:tcPr>
            <w:tcW w:w="1640" w:type="dxa"/>
            <w:tcBorders>
              <w:top w:val="single" w:sz="4" w:space="0" w:color="C9C9C9"/>
              <w:left w:val="nil"/>
              <w:bottom w:val="single" w:sz="4" w:space="0" w:color="C9C9C9"/>
              <w:right w:val="nil"/>
            </w:tcBorders>
            <w:shd w:val="clear" w:color="auto" w:fill="auto"/>
            <w:noWrap/>
            <w:vAlign w:val="center"/>
            <w:hideMark/>
          </w:tcPr>
          <w:p w14:paraId="22DB782C" w14:textId="174340D2" w:rsidR="00072F67" w:rsidRPr="00537118" w:rsidRDefault="00A941C4" w:rsidP="005040EC">
            <w:pPr>
              <w:spacing w:after="0" w:line="240" w:lineRule="auto"/>
              <w:jc w:val="center"/>
              <w:rPr>
                <w:rFonts w:ascii="Garamond" w:eastAsia="Times New Roman" w:hAnsi="Garamond" w:cs="Calibri"/>
                <w:color w:val="000000"/>
                <w:kern w:val="0"/>
                <w14:ligatures w14:val="none"/>
              </w:rPr>
            </w:pPr>
            <w:r w:rsidRPr="00537118">
              <w:rPr>
                <w:rFonts w:ascii="Garamond" w:eastAsia="Times New Roman" w:hAnsi="Garamond" w:cs="Calibri"/>
                <w:color w:val="000000"/>
                <w:kern w:val="0"/>
                <w14:ligatures w14:val="none"/>
              </w:rPr>
              <w:t>Af</w:t>
            </w:r>
            <w:r>
              <w:rPr>
                <w:rFonts w:ascii="Garamond" w:eastAsia="Times New Roman" w:hAnsi="Garamond" w:cs="Calibri"/>
                <w:color w:val="000000"/>
                <w:kern w:val="0"/>
                <w14:ligatures w14:val="none"/>
              </w:rPr>
              <w:t>eganistão</w:t>
            </w:r>
          </w:p>
        </w:tc>
        <w:tc>
          <w:tcPr>
            <w:tcW w:w="574" w:type="dxa"/>
            <w:tcBorders>
              <w:top w:val="single" w:sz="4" w:space="0" w:color="C9C9C9"/>
              <w:left w:val="nil"/>
              <w:bottom w:val="single" w:sz="4" w:space="0" w:color="C9C9C9"/>
              <w:right w:val="single" w:sz="4" w:space="0" w:color="C9C9C9"/>
            </w:tcBorders>
            <w:shd w:val="clear" w:color="auto" w:fill="auto"/>
            <w:noWrap/>
            <w:vAlign w:val="center"/>
            <w:hideMark/>
          </w:tcPr>
          <w:p w14:paraId="589DE302" w14:textId="77777777" w:rsidR="00072F67" w:rsidRPr="00537118" w:rsidRDefault="00072F67" w:rsidP="005040EC">
            <w:pPr>
              <w:spacing w:after="0" w:line="240" w:lineRule="auto"/>
              <w:jc w:val="center"/>
              <w:rPr>
                <w:rFonts w:ascii="Garamond" w:eastAsia="Times New Roman" w:hAnsi="Garamond" w:cs="Calibri"/>
                <w:color w:val="000000"/>
                <w:kern w:val="0"/>
                <w14:ligatures w14:val="none"/>
              </w:rPr>
            </w:pPr>
            <w:r w:rsidRPr="00537118">
              <w:rPr>
                <w:rFonts w:ascii="Garamond" w:eastAsia="Times New Roman" w:hAnsi="Garamond" w:cs="Calibri"/>
                <w:color w:val="000000"/>
                <w:kern w:val="0"/>
                <w14:ligatures w14:val="none"/>
              </w:rPr>
              <w:t>31</w:t>
            </w:r>
          </w:p>
        </w:tc>
      </w:tr>
      <w:tr w:rsidR="00072F67" w:rsidRPr="00537118" w14:paraId="2D1AFF00" w14:textId="77777777" w:rsidTr="005040EC">
        <w:trPr>
          <w:trHeight w:val="300"/>
        </w:trPr>
        <w:tc>
          <w:tcPr>
            <w:tcW w:w="1557" w:type="dxa"/>
            <w:tcBorders>
              <w:top w:val="single" w:sz="4" w:space="0" w:color="C9C9C9"/>
              <w:left w:val="single" w:sz="4" w:space="0" w:color="C9C9C9"/>
              <w:bottom w:val="single" w:sz="4" w:space="0" w:color="C9C9C9"/>
              <w:right w:val="nil"/>
            </w:tcBorders>
            <w:shd w:val="clear" w:color="EDEDED" w:fill="EDEDED"/>
            <w:noWrap/>
            <w:vAlign w:val="center"/>
            <w:hideMark/>
          </w:tcPr>
          <w:p w14:paraId="681DC72D" w14:textId="76038E5C" w:rsidR="00072F67" w:rsidRPr="00537118" w:rsidRDefault="00072F67" w:rsidP="005040EC">
            <w:pPr>
              <w:spacing w:after="0" w:line="240" w:lineRule="auto"/>
              <w:jc w:val="center"/>
              <w:rPr>
                <w:rFonts w:ascii="Garamond" w:eastAsia="Times New Roman" w:hAnsi="Garamond" w:cs="Calibri"/>
                <w:color w:val="000000"/>
                <w:kern w:val="0"/>
                <w14:ligatures w14:val="none"/>
              </w:rPr>
            </w:pPr>
            <w:r w:rsidRPr="00537118">
              <w:rPr>
                <w:rFonts w:ascii="Garamond" w:eastAsia="Times New Roman" w:hAnsi="Garamond" w:cs="Calibri"/>
                <w:color w:val="000000"/>
                <w:kern w:val="0"/>
                <w14:ligatures w14:val="none"/>
              </w:rPr>
              <w:t>Jap</w:t>
            </w:r>
            <w:r w:rsidR="007651EE">
              <w:rPr>
                <w:rFonts w:ascii="Garamond" w:eastAsia="Times New Roman" w:hAnsi="Garamond" w:cs="Calibri"/>
                <w:color w:val="000000"/>
                <w:kern w:val="0"/>
                <w14:ligatures w14:val="none"/>
              </w:rPr>
              <w:t>ão</w:t>
            </w:r>
          </w:p>
        </w:tc>
        <w:tc>
          <w:tcPr>
            <w:tcW w:w="574" w:type="dxa"/>
            <w:tcBorders>
              <w:top w:val="single" w:sz="4" w:space="0" w:color="C9C9C9"/>
              <w:left w:val="nil"/>
              <w:bottom w:val="single" w:sz="4" w:space="0" w:color="C9C9C9"/>
              <w:right w:val="nil"/>
            </w:tcBorders>
            <w:shd w:val="clear" w:color="EDEDED" w:fill="EDEDED"/>
            <w:noWrap/>
            <w:vAlign w:val="center"/>
            <w:hideMark/>
          </w:tcPr>
          <w:p w14:paraId="596EFBB0" w14:textId="77777777" w:rsidR="00072F67" w:rsidRPr="00537118" w:rsidRDefault="00072F67" w:rsidP="005040EC">
            <w:pPr>
              <w:spacing w:after="0" w:line="240" w:lineRule="auto"/>
              <w:jc w:val="center"/>
              <w:rPr>
                <w:rFonts w:ascii="Garamond" w:eastAsia="Times New Roman" w:hAnsi="Garamond" w:cs="Calibri"/>
                <w:color w:val="000000"/>
                <w:kern w:val="0"/>
                <w14:ligatures w14:val="none"/>
              </w:rPr>
            </w:pPr>
            <w:r w:rsidRPr="00537118">
              <w:rPr>
                <w:rFonts w:ascii="Garamond" w:eastAsia="Times New Roman" w:hAnsi="Garamond" w:cs="Calibri"/>
                <w:color w:val="000000"/>
                <w:kern w:val="0"/>
                <w14:ligatures w14:val="none"/>
              </w:rPr>
              <w:t>61,4</w:t>
            </w:r>
          </w:p>
        </w:tc>
        <w:tc>
          <w:tcPr>
            <w:tcW w:w="2075" w:type="dxa"/>
            <w:tcBorders>
              <w:top w:val="single" w:sz="4" w:space="0" w:color="C9C9C9"/>
              <w:left w:val="nil"/>
              <w:bottom w:val="single" w:sz="4" w:space="0" w:color="C9C9C9"/>
              <w:right w:val="nil"/>
            </w:tcBorders>
            <w:shd w:val="clear" w:color="EDEDED" w:fill="EDEDED"/>
            <w:noWrap/>
            <w:vAlign w:val="center"/>
            <w:hideMark/>
          </w:tcPr>
          <w:p w14:paraId="11BA6FD3" w14:textId="2DD9D3AE" w:rsidR="00072F67" w:rsidRPr="00537118" w:rsidRDefault="00072F67" w:rsidP="005040EC">
            <w:pPr>
              <w:spacing w:after="0" w:line="240" w:lineRule="auto"/>
              <w:jc w:val="center"/>
              <w:rPr>
                <w:rFonts w:ascii="Garamond" w:eastAsia="Times New Roman" w:hAnsi="Garamond" w:cs="Calibri"/>
                <w:color w:val="000000"/>
                <w:kern w:val="0"/>
                <w14:ligatures w14:val="none"/>
              </w:rPr>
            </w:pPr>
            <w:r w:rsidRPr="00537118">
              <w:rPr>
                <w:rFonts w:ascii="Garamond" w:eastAsia="Times New Roman" w:hAnsi="Garamond" w:cs="Calibri"/>
                <w:color w:val="000000"/>
                <w:kern w:val="0"/>
                <w14:ligatures w14:val="none"/>
              </w:rPr>
              <w:t>Vietnam</w:t>
            </w:r>
            <w:r w:rsidR="00A941C4">
              <w:rPr>
                <w:rFonts w:ascii="Garamond" w:eastAsia="Times New Roman" w:hAnsi="Garamond" w:cs="Calibri"/>
                <w:color w:val="000000"/>
                <w:kern w:val="0"/>
                <w14:ligatures w14:val="none"/>
              </w:rPr>
              <w:t>e</w:t>
            </w:r>
          </w:p>
        </w:tc>
        <w:tc>
          <w:tcPr>
            <w:tcW w:w="677" w:type="dxa"/>
            <w:tcBorders>
              <w:top w:val="single" w:sz="4" w:space="0" w:color="C9C9C9"/>
              <w:left w:val="nil"/>
              <w:bottom w:val="single" w:sz="4" w:space="0" w:color="C9C9C9"/>
              <w:right w:val="nil"/>
            </w:tcBorders>
            <w:shd w:val="clear" w:color="EDEDED" w:fill="EDEDED"/>
            <w:noWrap/>
            <w:vAlign w:val="center"/>
            <w:hideMark/>
          </w:tcPr>
          <w:p w14:paraId="38609FCF" w14:textId="77777777" w:rsidR="00072F67" w:rsidRPr="00537118" w:rsidRDefault="00072F67" w:rsidP="005040EC">
            <w:pPr>
              <w:spacing w:after="0" w:line="240" w:lineRule="auto"/>
              <w:jc w:val="center"/>
              <w:rPr>
                <w:rFonts w:ascii="Garamond" w:eastAsia="Times New Roman" w:hAnsi="Garamond" w:cs="Calibri"/>
                <w:color w:val="000000"/>
                <w:kern w:val="0"/>
                <w14:ligatures w14:val="none"/>
              </w:rPr>
            </w:pPr>
            <w:r w:rsidRPr="00537118">
              <w:rPr>
                <w:rFonts w:ascii="Garamond" w:eastAsia="Times New Roman" w:hAnsi="Garamond" w:cs="Calibri"/>
                <w:color w:val="000000"/>
                <w:kern w:val="0"/>
                <w14:ligatures w14:val="none"/>
              </w:rPr>
              <w:t>24,6</w:t>
            </w:r>
          </w:p>
        </w:tc>
        <w:tc>
          <w:tcPr>
            <w:tcW w:w="1640" w:type="dxa"/>
            <w:tcBorders>
              <w:top w:val="single" w:sz="4" w:space="0" w:color="C9C9C9"/>
              <w:left w:val="nil"/>
              <w:bottom w:val="single" w:sz="4" w:space="0" w:color="C9C9C9"/>
              <w:right w:val="nil"/>
            </w:tcBorders>
            <w:shd w:val="clear" w:color="EDEDED" w:fill="EDEDED"/>
            <w:noWrap/>
            <w:vAlign w:val="center"/>
            <w:hideMark/>
          </w:tcPr>
          <w:p w14:paraId="6DDF9DD7" w14:textId="77777777" w:rsidR="00072F67" w:rsidRPr="00537118" w:rsidRDefault="00072F67" w:rsidP="005040EC">
            <w:pPr>
              <w:spacing w:after="0" w:line="240" w:lineRule="auto"/>
              <w:jc w:val="center"/>
              <w:rPr>
                <w:rFonts w:ascii="Garamond" w:eastAsia="Times New Roman" w:hAnsi="Garamond" w:cs="Calibri"/>
                <w:color w:val="000000"/>
                <w:kern w:val="0"/>
                <w14:ligatures w14:val="none"/>
              </w:rPr>
            </w:pPr>
            <w:r w:rsidRPr="00537118">
              <w:rPr>
                <w:rFonts w:ascii="Garamond" w:eastAsia="Times New Roman" w:hAnsi="Garamond" w:cs="Calibri"/>
                <w:color w:val="000000"/>
                <w:kern w:val="0"/>
                <w14:ligatures w14:val="none"/>
              </w:rPr>
              <w:t xml:space="preserve">Argentina </w:t>
            </w:r>
          </w:p>
        </w:tc>
        <w:tc>
          <w:tcPr>
            <w:tcW w:w="574" w:type="dxa"/>
            <w:tcBorders>
              <w:top w:val="single" w:sz="4" w:space="0" w:color="C9C9C9"/>
              <w:left w:val="nil"/>
              <w:bottom w:val="single" w:sz="4" w:space="0" w:color="C9C9C9"/>
              <w:right w:val="single" w:sz="4" w:space="0" w:color="C9C9C9"/>
            </w:tcBorders>
            <w:shd w:val="clear" w:color="EDEDED" w:fill="EDEDED"/>
            <w:noWrap/>
            <w:vAlign w:val="center"/>
            <w:hideMark/>
          </w:tcPr>
          <w:p w14:paraId="36B7328C" w14:textId="77777777" w:rsidR="00072F67" w:rsidRPr="00537118" w:rsidRDefault="00072F67" w:rsidP="005040EC">
            <w:pPr>
              <w:spacing w:after="0" w:line="240" w:lineRule="auto"/>
              <w:jc w:val="center"/>
              <w:rPr>
                <w:rFonts w:ascii="Garamond" w:eastAsia="Times New Roman" w:hAnsi="Garamond" w:cs="Calibri"/>
                <w:color w:val="000000"/>
                <w:kern w:val="0"/>
                <w14:ligatures w14:val="none"/>
              </w:rPr>
            </w:pPr>
            <w:r w:rsidRPr="00537118">
              <w:rPr>
                <w:rFonts w:ascii="Garamond" w:eastAsia="Times New Roman" w:hAnsi="Garamond" w:cs="Calibri"/>
                <w:color w:val="000000"/>
                <w:kern w:val="0"/>
                <w14:ligatures w14:val="none"/>
              </w:rPr>
              <w:t>47</w:t>
            </w:r>
          </w:p>
        </w:tc>
      </w:tr>
      <w:tr w:rsidR="00072F67" w:rsidRPr="00537118" w14:paraId="1C6C2A5B" w14:textId="77777777" w:rsidTr="005040EC">
        <w:trPr>
          <w:trHeight w:val="300"/>
        </w:trPr>
        <w:tc>
          <w:tcPr>
            <w:tcW w:w="1557" w:type="dxa"/>
            <w:tcBorders>
              <w:top w:val="single" w:sz="4" w:space="0" w:color="C9C9C9"/>
              <w:left w:val="single" w:sz="4" w:space="0" w:color="C9C9C9"/>
              <w:bottom w:val="single" w:sz="4" w:space="0" w:color="C9C9C9"/>
              <w:right w:val="nil"/>
            </w:tcBorders>
            <w:shd w:val="clear" w:color="auto" w:fill="auto"/>
            <w:noWrap/>
            <w:vAlign w:val="center"/>
            <w:hideMark/>
          </w:tcPr>
          <w:p w14:paraId="7FB56A2E" w14:textId="78975486" w:rsidR="00072F67" w:rsidRPr="00537118" w:rsidRDefault="007651EE" w:rsidP="005040EC">
            <w:pPr>
              <w:spacing w:after="0" w:line="240" w:lineRule="auto"/>
              <w:jc w:val="center"/>
              <w:rPr>
                <w:rFonts w:ascii="Garamond" w:eastAsia="Times New Roman" w:hAnsi="Garamond" w:cs="Calibri"/>
                <w:color w:val="000000"/>
                <w:kern w:val="0"/>
                <w14:ligatures w14:val="none"/>
              </w:rPr>
            </w:pPr>
            <w:r>
              <w:rPr>
                <w:rFonts w:ascii="Garamond" w:eastAsia="Times New Roman" w:hAnsi="Garamond" w:cs="Calibri"/>
                <w:color w:val="000000"/>
                <w:kern w:val="0"/>
                <w14:ligatures w14:val="none"/>
              </w:rPr>
              <w:t>Alemanha</w:t>
            </w:r>
          </w:p>
        </w:tc>
        <w:tc>
          <w:tcPr>
            <w:tcW w:w="574" w:type="dxa"/>
            <w:tcBorders>
              <w:top w:val="single" w:sz="4" w:space="0" w:color="C9C9C9"/>
              <w:left w:val="nil"/>
              <w:bottom w:val="single" w:sz="4" w:space="0" w:color="C9C9C9"/>
              <w:right w:val="nil"/>
            </w:tcBorders>
            <w:shd w:val="clear" w:color="auto" w:fill="auto"/>
            <w:noWrap/>
            <w:vAlign w:val="center"/>
            <w:hideMark/>
          </w:tcPr>
          <w:p w14:paraId="6DB755FA" w14:textId="77777777" w:rsidR="00072F67" w:rsidRPr="00537118" w:rsidRDefault="00072F67" w:rsidP="005040EC">
            <w:pPr>
              <w:spacing w:after="0" w:line="240" w:lineRule="auto"/>
              <w:jc w:val="center"/>
              <w:rPr>
                <w:rFonts w:ascii="Garamond" w:eastAsia="Times New Roman" w:hAnsi="Garamond" w:cs="Calibri"/>
                <w:color w:val="000000"/>
                <w:kern w:val="0"/>
                <w14:ligatures w14:val="none"/>
              </w:rPr>
            </w:pPr>
            <w:r w:rsidRPr="00537118">
              <w:rPr>
                <w:rFonts w:ascii="Garamond" w:eastAsia="Times New Roman" w:hAnsi="Garamond" w:cs="Calibri"/>
                <w:color w:val="000000"/>
                <w:kern w:val="0"/>
                <w14:ligatures w14:val="none"/>
              </w:rPr>
              <w:t>74,5</w:t>
            </w:r>
          </w:p>
        </w:tc>
        <w:tc>
          <w:tcPr>
            <w:tcW w:w="2075" w:type="dxa"/>
            <w:tcBorders>
              <w:top w:val="single" w:sz="4" w:space="0" w:color="C9C9C9"/>
              <w:left w:val="nil"/>
              <w:bottom w:val="single" w:sz="4" w:space="0" w:color="C9C9C9"/>
              <w:right w:val="nil"/>
            </w:tcBorders>
            <w:shd w:val="clear" w:color="auto" w:fill="auto"/>
            <w:noWrap/>
            <w:vAlign w:val="center"/>
            <w:hideMark/>
          </w:tcPr>
          <w:p w14:paraId="2D6A4DFC" w14:textId="1D30C64F" w:rsidR="00072F67" w:rsidRPr="00537118" w:rsidRDefault="00A941C4" w:rsidP="005040EC">
            <w:pPr>
              <w:spacing w:after="0" w:line="240" w:lineRule="auto"/>
              <w:jc w:val="center"/>
              <w:rPr>
                <w:rFonts w:ascii="Garamond" w:eastAsia="Times New Roman" w:hAnsi="Garamond" w:cs="Calibri"/>
                <w:color w:val="000000"/>
                <w:kern w:val="0"/>
                <w14:ligatures w14:val="none"/>
              </w:rPr>
            </w:pPr>
            <w:r w:rsidRPr="00537118">
              <w:rPr>
                <w:rFonts w:ascii="Garamond" w:eastAsia="Times New Roman" w:hAnsi="Garamond" w:cs="Calibri"/>
                <w:color w:val="212529"/>
                <w:kern w:val="0"/>
                <w14:ligatures w14:val="none"/>
              </w:rPr>
              <w:t>Pol</w:t>
            </w:r>
            <w:r>
              <w:rPr>
                <w:rFonts w:ascii="Garamond" w:eastAsia="Times New Roman" w:hAnsi="Garamond" w:cs="Calibri"/>
                <w:color w:val="212529"/>
                <w:kern w:val="0"/>
                <w14:ligatures w14:val="none"/>
              </w:rPr>
              <w:t>ónia</w:t>
            </w:r>
          </w:p>
        </w:tc>
        <w:tc>
          <w:tcPr>
            <w:tcW w:w="677" w:type="dxa"/>
            <w:tcBorders>
              <w:top w:val="single" w:sz="4" w:space="0" w:color="C9C9C9"/>
              <w:left w:val="nil"/>
              <w:bottom w:val="single" w:sz="4" w:space="0" w:color="C9C9C9"/>
              <w:right w:val="nil"/>
            </w:tcBorders>
            <w:shd w:val="clear" w:color="auto" w:fill="auto"/>
            <w:noWrap/>
            <w:vAlign w:val="center"/>
            <w:hideMark/>
          </w:tcPr>
          <w:p w14:paraId="623E8141" w14:textId="77777777" w:rsidR="00072F67" w:rsidRPr="00537118" w:rsidRDefault="00072F67" w:rsidP="005040EC">
            <w:pPr>
              <w:spacing w:after="0" w:line="240" w:lineRule="auto"/>
              <w:jc w:val="center"/>
              <w:rPr>
                <w:rFonts w:ascii="Garamond" w:eastAsia="Times New Roman" w:hAnsi="Garamond" w:cs="Calibri"/>
                <w:color w:val="000000"/>
                <w:kern w:val="0"/>
                <w14:ligatures w14:val="none"/>
              </w:rPr>
            </w:pPr>
            <w:r w:rsidRPr="00537118">
              <w:rPr>
                <w:rFonts w:ascii="Garamond" w:eastAsia="Times New Roman" w:hAnsi="Garamond" w:cs="Calibri"/>
                <w:color w:val="000000"/>
                <w:kern w:val="0"/>
                <w14:ligatures w14:val="none"/>
              </w:rPr>
              <w:t>64,2</w:t>
            </w:r>
          </w:p>
        </w:tc>
        <w:tc>
          <w:tcPr>
            <w:tcW w:w="1640" w:type="dxa"/>
            <w:tcBorders>
              <w:top w:val="single" w:sz="4" w:space="0" w:color="C9C9C9"/>
              <w:left w:val="nil"/>
              <w:bottom w:val="single" w:sz="4" w:space="0" w:color="C9C9C9"/>
              <w:right w:val="nil"/>
            </w:tcBorders>
            <w:shd w:val="clear" w:color="auto" w:fill="auto"/>
            <w:noWrap/>
            <w:vAlign w:val="center"/>
            <w:hideMark/>
          </w:tcPr>
          <w:p w14:paraId="12F18A1C" w14:textId="77777777" w:rsidR="00072F67" w:rsidRPr="00537118" w:rsidRDefault="00072F67" w:rsidP="005040EC">
            <w:pPr>
              <w:spacing w:after="0" w:line="240" w:lineRule="auto"/>
              <w:jc w:val="center"/>
              <w:rPr>
                <w:rFonts w:ascii="Garamond" w:eastAsia="Times New Roman" w:hAnsi="Garamond" w:cs="Calibri"/>
                <w:color w:val="000000"/>
                <w:kern w:val="0"/>
                <w14:ligatures w14:val="none"/>
              </w:rPr>
            </w:pPr>
            <w:r w:rsidRPr="00537118">
              <w:rPr>
                <w:rFonts w:ascii="Garamond" w:eastAsia="Times New Roman" w:hAnsi="Garamond" w:cs="Calibri"/>
                <w:color w:val="000000"/>
                <w:kern w:val="0"/>
                <w14:ligatures w14:val="none"/>
              </w:rPr>
              <w:t>Chile</w:t>
            </w:r>
          </w:p>
        </w:tc>
        <w:tc>
          <w:tcPr>
            <w:tcW w:w="574" w:type="dxa"/>
            <w:tcBorders>
              <w:top w:val="single" w:sz="4" w:space="0" w:color="C9C9C9"/>
              <w:left w:val="nil"/>
              <w:bottom w:val="single" w:sz="4" w:space="0" w:color="C9C9C9"/>
              <w:right w:val="single" w:sz="4" w:space="0" w:color="C9C9C9"/>
            </w:tcBorders>
            <w:shd w:val="clear" w:color="auto" w:fill="auto"/>
            <w:noWrap/>
            <w:vAlign w:val="center"/>
            <w:hideMark/>
          </w:tcPr>
          <w:p w14:paraId="574C1270" w14:textId="77777777" w:rsidR="00072F67" w:rsidRPr="00537118" w:rsidRDefault="00072F67" w:rsidP="005040EC">
            <w:pPr>
              <w:spacing w:after="0" w:line="240" w:lineRule="auto"/>
              <w:jc w:val="center"/>
              <w:rPr>
                <w:rFonts w:ascii="Garamond" w:eastAsia="Times New Roman" w:hAnsi="Garamond" w:cs="Calibri"/>
                <w:color w:val="000000"/>
                <w:kern w:val="0"/>
                <w14:ligatures w14:val="none"/>
              </w:rPr>
            </w:pPr>
            <w:r w:rsidRPr="00537118">
              <w:rPr>
                <w:rFonts w:ascii="Garamond" w:eastAsia="Times New Roman" w:hAnsi="Garamond" w:cs="Calibri"/>
                <w:color w:val="000000"/>
                <w:kern w:val="0"/>
                <w14:ligatures w14:val="none"/>
              </w:rPr>
              <w:t>49,6</w:t>
            </w:r>
          </w:p>
        </w:tc>
      </w:tr>
      <w:tr w:rsidR="00072F67" w:rsidRPr="00537118" w14:paraId="7246E6B5" w14:textId="77777777" w:rsidTr="005040EC">
        <w:trPr>
          <w:trHeight w:val="300"/>
        </w:trPr>
        <w:tc>
          <w:tcPr>
            <w:tcW w:w="1557" w:type="dxa"/>
            <w:tcBorders>
              <w:top w:val="single" w:sz="4" w:space="0" w:color="C9C9C9"/>
              <w:left w:val="single" w:sz="4" w:space="0" w:color="C9C9C9"/>
              <w:bottom w:val="single" w:sz="4" w:space="0" w:color="C9C9C9"/>
              <w:right w:val="nil"/>
            </w:tcBorders>
            <w:shd w:val="clear" w:color="EDEDED" w:fill="EDEDED"/>
            <w:noWrap/>
            <w:vAlign w:val="center"/>
            <w:hideMark/>
          </w:tcPr>
          <w:p w14:paraId="7CA1AC76" w14:textId="34049EFA" w:rsidR="00072F67" w:rsidRPr="00537118" w:rsidRDefault="007651EE" w:rsidP="005040EC">
            <w:pPr>
              <w:spacing w:after="0" w:line="240" w:lineRule="auto"/>
              <w:jc w:val="center"/>
              <w:rPr>
                <w:rFonts w:ascii="Garamond" w:eastAsia="Times New Roman" w:hAnsi="Garamond" w:cs="Calibri"/>
                <w:color w:val="000000"/>
                <w:kern w:val="0"/>
                <w14:ligatures w14:val="none"/>
              </w:rPr>
            </w:pPr>
            <w:r>
              <w:rPr>
                <w:rFonts w:ascii="Garamond" w:eastAsia="Times New Roman" w:hAnsi="Garamond" w:cs="Calibri"/>
                <w:color w:val="000000"/>
                <w:kern w:val="0"/>
                <w14:ligatures w14:val="none"/>
              </w:rPr>
              <w:t>Í</w:t>
            </w:r>
            <w:r w:rsidR="00072F67" w:rsidRPr="00537118">
              <w:rPr>
                <w:rFonts w:ascii="Garamond" w:eastAsia="Times New Roman" w:hAnsi="Garamond" w:cs="Calibri"/>
                <w:color w:val="000000"/>
                <w:kern w:val="0"/>
                <w14:ligatures w14:val="none"/>
              </w:rPr>
              <w:t>ndia</w:t>
            </w:r>
          </w:p>
        </w:tc>
        <w:tc>
          <w:tcPr>
            <w:tcW w:w="574" w:type="dxa"/>
            <w:tcBorders>
              <w:top w:val="single" w:sz="4" w:space="0" w:color="C9C9C9"/>
              <w:left w:val="nil"/>
              <w:bottom w:val="single" w:sz="4" w:space="0" w:color="C9C9C9"/>
              <w:right w:val="nil"/>
            </w:tcBorders>
            <w:shd w:val="clear" w:color="EDEDED" w:fill="EDEDED"/>
            <w:noWrap/>
            <w:vAlign w:val="center"/>
            <w:hideMark/>
          </w:tcPr>
          <w:p w14:paraId="61622F0A" w14:textId="77777777" w:rsidR="00072F67" w:rsidRPr="00537118" w:rsidRDefault="00072F67" w:rsidP="005040EC">
            <w:pPr>
              <w:spacing w:after="0" w:line="240" w:lineRule="auto"/>
              <w:jc w:val="center"/>
              <w:rPr>
                <w:rFonts w:ascii="Garamond" w:eastAsia="Times New Roman" w:hAnsi="Garamond" w:cs="Calibri"/>
                <w:color w:val="000000"/>
                <w:kern w:val="0"/>
                <w14:ligatures w14:val="none"/>
              </w:rPr>
            </w:pPr>
            <w:r w:rsidRPr="00537118">
              <w:rPr>
                <w:rFonts w:ascii="Garamond" w:eastAsia="Times New Roman" w:hAnsi="Garamond" w:cs="Calibri"/>
                <w:color w:val="000000"/>
                <w:kern w:val="0"/>
                <w14:ligatures w14:val="none"/>
              </w:rPr>
              <w:t>27,6</w:t>
            </w:r>
          </w:p>
        </w:tc>
        <w:tc>
          <w:tcPr>
            <w:tcW w:w="2075" w:type="dxa"/>
            <w:tcBorders>
              <w:top w:val="single" w:sz="4" w:space="0" w:color="C9C9C9"/>
              <w:left w:val="nil"/>
              <w:bottom w:val="single" w:sz="4" w:space="0" w:color="C9C9C9"/>
              <w:right w:val="nil"/>
            </w:tcBorders>
            <w:shd w:val="clear" w:color="EDEDED" w:fill="EDEDED"/>
            <w:noWrap/>
            <w:vAlign w:val="center"/>
            <w:hideMark/>
          </w:tcPr>
          <w:p w14:paraId="0EB37C5C" w14:textId="5BF4A553" w:rsidR="00072F67" w:rsidRPr="00537118" w:rsidRDefault="00A941C4" w:rsidP="005040EC">
            <w:pPr>
              <w:spacing w:after="0" w:line="240" w:lineRule="auto"/>
              <w:jc w:val="center"/>
              <w:rPr>
                <w:rFonts w:ascii="Garamond" w:eastAsia="Times New Roman" w:hAnsi="Garamond" w:cs="Calibri"/>
                <w:color w:val="000000"/>
                <w:kern w:val="0"/>
                <w14:ligatures w14:val="none"/>
              </w:rPr>
            </w:pPr>
            <w:r>
              <w:rPr>
                <w:rFonts w:ascii="Garamond" w:eastAsia="Times New Roman" w:hAnsi="Garamond" w:cs="Calibri"/>
                <w:color w:val="212529"/>
                <w:kern w:val="0"/>
                <w14:ligatures w14:val="none"/>
              </w:rPr>
              <w:t>Reino Unido</w:t>
            </w:r>
          </w:p>
        </w:tc>
        <w:tc>
          <w:tcPr>
            <w:tcW w:w="677" w:type="dxa"/>
            <w:tcBorders>
              <w:top w:val="single" w:sz="4" w:space="0" w:color="C9C9C9"/>
              <w:left w:val="nil"/>
              <w:bottom w:val="single" w:sz="4" w:space="0" w:color="C9C9C9"/>
              <w:right w:val="nil"/>
            </w:tcBorders>
            <w:shd w:val="clear" w:color="EDEDED" w:fill="EDEDED"/>
            <w:noWrap/>
            <w:vAlign w:val="center"/>
            <w:hideMark/>
          </w:tcPr>
          <w:p w14:paraId="16B69437" w14:textId="77777777" w:rsidR="00072F67" w:rsidRPr="00537118" w:rsidRDefault="00072F67" w:rsidP="005040EC">
            <w:pPr>
              <w:spacing w:after="0" w:line="240" w:lineRule="auto"/>
              <w:jc w:val="center"/>
              <w:rPr>
                <w:rFonts w:ascii="Garamond" w:eastAsia="Times New Roman" w:hAnsi="Garamond" w:cs="Calibri"/>
                <w:color w:val="000000"/>
                <w:kern w:val="0"/>
                <w14:ligatures w14:val="none"/>
              </w:rPr>
            </w:pPr>
            <w:r w:rsidRPr="00537118">
              <w:rPr>
                <w:rFonts w:ascii="Garamond" w:eastAsia="Times New Roman" w:hAnsi="Garamond" w:cs="Calibri"/>
                <w:color w:val="000000"/>
                <w:kern w:val="0"/>
                <w14:ligatures w14:val="none"/>
              </w:rPr>
              <w:t>72,6</w:t>
            </w:r>
          </w:p>
        </w:tc>
        <w:tc>
          <w:tcPr>
            <w:tcW w:w="1640" w:type="dxa"/>
            <w:tcBorders>
              <w:top w:val="single" w:sz="4" w:space="0" w:color="C9C9C9"/>
              <w:left w:val="nil"/>
              <w:bottom w:val="single" w:sz="4" w:space="0" w:color="C9C9C9"/>
              <w:right w:val="nil"/>
            </w:tcBorders>
            <w:shd w:val="clear" w:color="EDEDED" w:fill="EDEDED"/>
            <w:noWrap/>
            <w:vAlign w:val="center"/>
            <w:hideMark/>
          </w:tcPr>
          <w:p w14:paraId="7560BDB2" w14:textId="775D22FA" w:rsidR="00072F67" w:rsidRPr="00537118" w:rsidRDefault="00072F67" w:rsidP="005040EC">
            <w:pPr>
              <w:spacing w:after="0" w:line="240" w:lineRule="auto"/>
              <w:jc w:val="center"/>
              <w:rPr>
                <w:rFonts w:ascii="Garamond" w:eastAsia="Times New Roman" w:hAnsi="Garamond" w:cs="Calibri"/>
                <w:color w:val="000000"/>
                <w:kern w:val="0"/>
                <w14:ligatures w14:val="none"/>
              </w:rPr>
            </w:pPr>
            <w:r w:rsidRPr="00537118">
              <w:rPr>
                <w:rFonts w:ascii="Garamond" w:eastAsia="Times New Roman" w:hAnsi="Garamond" w:cs="Calibri"/>
                <w:color w:val="000000"/>
                <w:kern w:val="0"/>
                <w14:ligatures w14:val="none"/>
              </w:rPr>
              <w:t>Iraq</w:t>
            </w:r>
            <w:r w:rsidR="00A941C4">
              <w:rPr>
                <w:rFonts w:ascii="Garamond" w:eastAsia="Times New Roman" w:hAnsi="Garamond" w:cs="Calibri"/>
                <w:color w:val="000000"/>
                <w:kern w:val="0"/>
                <w14:ligatures w14:val="none"/>
              </w:rPr>
              <w:t>ue</w:t>
            </w:r>
          </w:p>
        </w:tc>
        <w:tc>
          <w:tcPr>
            <w:tcW w:w="574" w:type="dxa"/>
            <w:tcBorders>
              <w:top w:val="single" w:sz="4" w:space="0" w:color="C9C9C9"/>
              <w:left w:val="nil"/>
              <w:bottom w:val="single" w:sz="4" w:space="0" w:color="C9C9C9"/>
              <w:right w:val="single" w:sz="4" w:space="0" w:color="C9C9C9"/>
            </w:tcBorders>
            <w:shd w:val="clear" w:color="EDEDED" w:fill="EDEDED"/>
            <w:noWrap/>
            <w:vAlign w:val="center"/>
            <w:hideMark/>
          </w:tcPr>
          <w:p w14:paraId="1B5A4CF4" w14:textId="77777777" w:rsidR="00072F67" w:rsidRPr="00537118" w:rsidRDefault="00072F67" w:rsidP="005040EC">
            <w:pPr>
              <w:spacing w:after="0" w:line="240" w:lineRule="auto"/>
              <w:jc w:val="center"/>
              <w:rPr>
                <w:rFonts w:ascii="Garamond" w:eastAsia="Times New Roman" w:hAnsi="Garamond" w:cs="Calibri"/>
                <w:color w:val="000000"/>
                <w:kern w:val="0"/>
                <w14:ligatures w14:val="none"/>
              </w:rPr>
            </w:pPr>
            <w:r w:rsidRPr="00537118">
              <w:rPr>
                <w:rFonts w:ascii="Garamond" w:eastAsia="Times New Roman" w:hAnsi="Garamond" w:cs="Calibri"/>
                <w:color w:val="000000"/>
                <w:kern w:val="0"/>
                <w14:ligatures w14:val="none"/>
              </w:rPr>
              <w:t>30,3</w:t>
            </w:r>
          </w:p>
        </w:tc>
      </w:tr>
      <w:tr w:rsidR="00072F67" w:rsidRPr="00537118" w14:paraId="5419C8E9" w14:textId="77777777" w:rsidTr="005040EC">
        <w:trPr>
          <w:trHeight w:val="300"/>
        </w:trPr>
        <w:tc>
          <w:tcPr>
            <w:tcW w:w="1557" w:type="dxa"/>
            <w:tcBorders>
              <w:top w:val="single" w:sz="4" w:space="0" w:color="C9C9C9"/>
              <w:left w:val="single" w:sz="4" w:space="0" w:color="C9C9C9"/>
              <w:bottom w:val="single" w:sz="4" w:space="0" w:color="C9C9C9"/>
              <w:right w:val="nil"/>
            </w:tcBorders>
            <w:shd w:val="clear" w:color="auto" w:fill="auto"/>
            <w:noWrap/>
            <w:vAlign w:val="center"/>
            <w:hideMark/>
          </w:tcPr>
          <w:p w14:paraId="250DA531" w14:textId="152BF33C" w:rsidR="00072F67" w:rsidRPr="00537118" w:rsidRDefault="007651EE" w:rsidP="005040EC">
            <w:pPr>
              <w:spacing w:after="0" w:line="240" w:lineRule="auto"/>
              <w:jc w:val="center"/>
              <w:rPr>
                <w:rFonts w:ascii="Garamond" w:eastAsia="Times New Roman" w:hAnsi="Garamond" w:cs="Calibri"/>
                <w:color w:val="000000"/>
                <w:kern w:val="0"/>
                <w14:ligatures w14:val="none"/>
              </w:rPr>
            </w:pPr>
            <w:r w:rsidRPr="00537118">
              <w:rPr>
                <w:rFonts w:ascii="Garamond" w:eastAsia="Times New Roman" w:hAnsi="Garamond" w:cs="Calibri"/>
                <w:color w:val="000000"/>
                <w:kern w:val="0"/>
                <w14:ligatures w14:val="none"/>
              </w:rPr>
              <w:t>Brasil</w:t>
            </w:r>
          </w:p>
        </w:tc>
        <w:tc>
          <w:tcPr>
            <w:tcW w:w="574" w:type="dxa"/>
            <w:tcBorders>
              <w:top w:val="single" w:sz="4" w:space="0" w:color="C9C9C9"/>
              <w:left w:val="nil"/>
              <w:bottom w:val="single" w:sz="4" w:space="0" w:color="C9C9C9"/>
              <w:right w:val="nil"/>
            </w:tcBorders>
            <w:shd w:val="clear" w:color="auto" w:fill="auto"/>
            <w:noWrap/>
            <w:vAlign w:val="center"/>
            <w:hideMark/>
          </w:tcPr>
          <w:p w14:paraId="178710F6" w14:textId="77777777" w:rsidR="00072F67" w:rsidRPr="00537118" w:rsidRDefault="00072F67" w:rsidP="005040EC">
            <w:pPr>
              <w:spacing w:after="0" w:line="240" w:lineRule="auto"/>
              <w:jc w:val="center"/>
              <w:rPr>
                <w:rFonts w:ascii="Garamond" w:eastAsia="Times New Roman" w:hAnsi="Garamond" w:cs="Calibri"/>
                <w:color w:val="000000"/>
                <w:kern w:val="0"/>
                <w14:ligatures w14:val="none"/>
              </w:rPr>
            </w:pPr>
            <w:r w:rsidRPr="00537118">
              <w:rPr>
                <w:rFonts w:ascii="Garamond" w:eastAsia="Times New Roman" w:hAnsi="Garamond" w:cs="Calibri"/>
                <w:color w:val="000000"/>
                <w:kern w:val="0"/>
                <w14:ligatures w14:val="none"/>
              </w:rPr>
              <w:t>53</w:t>
            </w:r>
          </w:p>
        </w:tc>
        <w:tc>
          <w:tcPr>
            <w:tcW w:w="2075" w:type="dxa"/>
            <w:tcBorders>
              <w:top w:val="single" w:sz="4" w:space="0" w:color="C9C9C9"/>
              <w:left w:val="nil"/>
              <w:bottom w:val="single" w:sz="4" w:space="0" w:color="C9C9C9"/>
              <w:right w:val="nil"/>
            </w:tcBorders>
            <w:shd w:val="clear" w:color="auto" w:fill="auto"/>
            <w:noWrap/>
            <w:vAlign w:val="center"/>
            <w:hideMark/>
          </w:tcPr>
          <w:p w14:paraId="33A25DC6" w14:textId="766EFE65" w:rsidR="00072F67" w:rsidRPr="00537118" w:rsidRDefault="00A941C4" w:rsidP="005040EC">
            <w:pPr>
              <w:spacing w:after="0" w:line="240" w:lineRule="auto"/>
              <w:jc w:val="center"/>
              <w:rPr>
                <w:rFonts w:ascii="Garamond" w:eastAsia="Times New Roman" w:hAnsi="Garamond" w:cs="Calibri"/>
                <w:color w:val="000000"/>
                <w:kern w:val="0"/>
                <w14:ligatures w14:val="none"/>
              </w:rPr>
            </w:pPr>
            <w:r w:rsidRPr="00537118">
              <w:rPr>
                <w:rFonts w:ascii="Garamond" w:eastAsia="Times New Roman" w:hAnsi="Garamond" w:cs="Calibri"/>
                <w:color w:val="000000"/>
                <w:kern w:val="0"/>
                <w14:ligatures w14:val="none"/>
              </w:rPr>
              <w:t>M</w:t>
            </w:r>
            <w:r>
              <w:rPr>
                <w:rFonts w:ascii="Garamond" w:eastAsia="Times New Roman" w:hAnsi="Garamond" w:cs="Calibri"/>
                <w:color w:val="000000"/>
                <w:kern w:val="0"/>
                <w14:ligatures w14:val="none"/>
              </w:rPr>
              <w:t>a</w:t>
            </w:r>
            <w:r w:rsidRPr="00537118">
              <w:rPr>
                <w:rFonts w:ascii="Garamond" w:eastAsia="Times New Roman" w:hAnsi="Garamond" w:cs="Calibri"/>
                <w:color w:val="000000"/>
                <w:kern w:val="0"/>
                <w14:ligatures w14:val="none"/>
              </w:rPr>
              <w:t>r</w:t>
            </w:r>
            <w:r>
              <w:rPr>
                <w:rFonts w:ascii="Garamond" w:eastAsia="Times New Roman" w:hAnsi="Garamond" w:cs="Calibri"/>
                <w:color w:val="000000"/>
                <w:kern w:val="0"/>
                <w14:ligatures w14:val="none"/>
              </w:rPr>
              <w:t>rocos</w:t>
            </w:r>
          </w:p>
        </w:tc>
        <w:tc>
          <w:tcPr>
            <w:tcW w:w="677" w:type="dxa"/>
            <w:tcBorders>
              <w:top w:val="single" w:sz="4" w:space="0" w:color="C9C9C9"/>
              <w:left w:val="nil"/>
              <w:bottom w:val="single" w:sz="4" w:space="0" w:color="C9C9C9"/>
              <w:right w:val="nil"/>
            </w:tcBorders>
            <w:shd w:val="clear" w:color="auto" w:fill="auto"/>
            <w:noWrap/>
            <w:vAlign w:val="center"/>
            <w:hideMark/>
          </w:tcPr>
          <w:p w14:paraId="76F43571" w14:textId="77777777" w:rsidR="00072F67" w:rsidRPr="00537118" w:rsidRDefault="00072F67" w:rsidP="005040EC">
            <w:pPr>
              <w:spacing w:after="0" w:line="240" w:lineRule="auto"/>
              <w:jc w:val="center"/>
              <w:rPr>
                <w:rFonts w:ascii="Garamond" w:eastAsia="Times New Roman" w:hAnsi="Garamond" w:cs="Calibri"/>
                <w:color w:val="000000"/>
                <w:kern w:val="0"/>
                <w14:ligatures w14:val="none"/>
              </w:rPr>
            </w:pPr>
            <w:r w:rsidRPr="00537118">
              <w:rPr>
                <w:rFonts w:ascii="Garamond" w:eastAsia="Times New Roman" w:hAnsi="Garamond" w:cs="Calibri"/>
                <w:color w:val="000000"/>
                <w:kern w:val="0"/>
                <w14:ligatures w14:val="none"/>
              </w:rPr>
              <w:t>39,5</w:t>
            </w:r>
          </w:p>
        </w:tc>
        <w:tc>
          <w:tcPr>
            <w:tcW w:w="1640" w:type="dxa"/>
            <w:tcBorders>
              <w:top w:val="single" w:sz="4" w:space="0" w:color="C9C9C9"/>
              <w:left w:val="nil"/>
              <w:bottom w:val="single" w:sz="4" w:space="0" w:color="C9C9C9"/>
              <w:right w:val="nil"/>
            </w:tcBorders>
            <w:shd w:val="clear" w:color="auto" w:fill="auto"/>
            <w:noWrap/>
            <w:vAlign w:val="center"/>
            <w:hideMark/>
          </w:tcPr>
          <w:p w14:paraId="11B318F4" w14:textId="206FCB81" w:rsidR="00072F67" w:rsidRPr="00537118" w:rsidRDefault="00A941C4" w:rsidP="005040EC">
            <w:pPr>
              <w:spacing w:after="0" w:line="240" w:lineRule="auto"/>
              <w:jc w:val="center"/>
              <w:rPr>
                <w:rFonts w:ascii="Garamond" w:eastAsia="Times New Roman" w:hAnsi="Garamond" w:cs="Calibri"/>
                <w:color w:val="000000"/>
                <w:kern w:val="0"/>
                <w14:ligatures w14:val="none"/>
              </w:rPr>
            </w:pPr>
            <w:r w:rsidRPr="00537118">
              <w:rPr>
                <w:rFonts w:ascii="Garamond" w:eastAsia="Times New Roman" w:hAnsi="Garamond" w:cs="Calibri"/>
                <w:color w:val="000000"/>
                <w:kern w:val="0"/>
                <w14:ligatures w14:val="none"/>
              </w:rPr>
              <w:t>Paquistão</w:t>
            </w:r>
          </w:p>
        </w:tc>
        <w:tc>
          <w:tcPr>
            <w:tcW w:w="574" w:type="dxa"/>
            <w:tcBorders>
              <w:top w:val="single" w:sz="4" w:space="0" w:color="C9C9C9"/>
              <w:left w:val="nil"/>
              <w:bottom w:val="single" w:sz="4" w:space="0" w:color="C9C9C9"/>
              <w:right w:val="single" w:sz="4" w:space="0" w:color="C9C9C9"/>
            </w:tcBorders>
            <w:shd w:val="clear" w:color="auto" w:fill="auto"/>
            <w:noWrap/>
            <w:vAlign w:val="center"/>
            <w:hideMark/>
          </w:tcPr>
          <w:p w14:paraId="1ED10782" w14:textId="77777777" w:rsidR="00072F67" w:rsidRPr="00537118" w:rsidRDefault="00072F67" w:rsidP="005040EC">
            <w:pPr>
              <w:spacing w:after="0" w:line="240" w:lineRule="auto"/>
              <w:jc w:val="center"/>
              <w:rPr>
                <w:rFonts w:ascii="Garamond" w:eastAsia="Times New Roman" w:hAnsi="Garamond" w:cs="Calibri"/>
                <w:color w:val="000000"/>
                <w:kern w:val="0"/>
                <w14:ligatures w14:val="none"/>
              </w:rPr>
            </w:pPr>
            <w:r w:rsidRPr="00537118">
              <w:rPr>
                <w:rFonts w:ascii="Garamond" w:eastAsia="Times New Roman" w:hAnsi="Garamond" w:cs="Calibri"/>
                <w:color w:val="000000"/>
                <w:kern w:val="0"/>
                <w14:ligatures w14:val="none"/>
              </w:rPr>
              <w:t>25,5</w:t>
            </w:r>
          </w:p>
        </w:tc>
      </w:tr>
      <w:tr w:rsidR="00072F67" w:rsidRPr="00537118" w14:paraId="63C9148F" w14:textId="77777777" w:rsidTr="005040EC">
        <w:trPr>
          <w:trHeight w:val="300"/>
        </w:trPr>
        <w:tc>
          <w:tcPr>
            <w:tcW w:w="1557" w:type="dxa"/>
            <w:tcBorders>
              <w:top w:val="single" w:sz="4" w:space="0" w:color="C9C9C9"/>
              <w:left w:val="single" w:sz="4" w:space="0" w:color="C9C9C9"/>
              <w:bottom w:val="single" w:sz="4" w:space="0" w:color="C9C9C9"/>
              <w:right w:val="nil"/>
            </w:tcBorders>
            <w:shd w:val="clear" w:color="EDEDED" w:fill="EDEDED"/>
            <w:noWrap/>
            <w:vAlign w:val="center"/>
            <w:hideMark/>
          </w:tcPr>
          <w:p w14:paraId="7C3D85CE" w14:textId="0B8BAB8F" w:rsidR="00072F67" w:rsidRPr="00537118" w:rsidRDefault="007651EE" w:rsidP="005040EC">
            <w:pPr>
              <w:spacing w:after="0" w:line="240" w:lineRule="auto"/>
              <w:jc w:val="center"/>
              <w:rPr>
                <w:rFonts w:ascii="Garamond" w:eastAsia="Times New Roman" w:hAnsi="Garamond" w:cs="Calibri"/>
                <w:color w:val="000000"/>
                <w:kern w:val="0"/>
                <w14:ligatures w14:val="none"/>
              </w:rPr>
            </w:pPr>
            <w:r w:rsidRPr="00537118">
              <w:rPr>
                <w:rFonts w:ascii="Garamond" w:eastAsia="Times New Roman" w:hAnsi="Garamond" w:cs="Calibri"/>
                <w:color w:val="000000"/>
                <w:kern w:val="0"/>
                <w14:ligatures w14:val="none"/>
              </w:rPr>
              <w:t>Austrália</w:t>
            </w:r>
          </w:p>
        </w:tc>
        <w:tc>
          <w:tcPr>
            <w:tcW w:w="574" w:type="dxa"/>
            <w:tcBorders>
              <w:top w:val="single" w:sz="4" w:space="0" w:color="C9C9C9"/>
              <w:left w:val="nil"/>
              <w:bottom w:val="single" w:sz="4" w:space="0" w:color="C9C9C9"/>
              <w:right w:val="nil"/>
            </w:tcBorders>
            <w:shd w:val="clear" w:color="EDEDED" w:fill="EDEDED"/>
            <w:noWrap/>
            <w:vAlign w:val="center"/>
            <w:hideMark/>
          </w:tcPr>
          <w:p w14:paraId="5F433701" w14:textId="77777777" w:rsidR="00072F67" w:rsidRPr="00537118" w:rsidRDefault="00072F67" w:rsidP="005040EC">
            <w:pPr>
              <w:spacing w:after="0" w:line="240" w:lineRule="auto"/>
              <w:jc w:val="center"/>
              <w:rPr>
                <w:rFonts w:ascii="Garamond" w:eastAsia="Times New Roman" w:hAnsi="Garamond" w:cs="Calibri"/>
                <w:color w:val="000000"/>
                <w:kern w:val="0"/>
                <w14:ligatures w14:val="none"/>
              </w:rPr>
            </w:pPr>
            <w:r w:rsidRPr="00537118">
              <w:rPr>
                <w:rFonts w:ascii="Garamond" w:eastAsia="Times New Roman" w:hAnsi="Garamond" w:cs="Calibri"/>
                <w:color w:val="000000"/>
                <w:kern w:val="0"/>
                <w14:ligatures w14:val="none"/>
              </w:rPr>
              <w:t>63,1</w:t>
            </w:r>
          </w:p>
        </w:tc>
        <w:tc>
          <w:tcPr>
            <w:tcW w:w="2075" w:type="dxa"/>
            <w:tcBorders>
              <w:top w:val="single" w:sz="4" w:space="0" w:color="C9C9C9"/>
              <w:left w:val="nil"/>
              <w:bottom w:val="single" w:sz="4" w:space="0" w:color="C9C9C9"/>
              <w:right w:val="nil"/>
            </w:tcBorders>
            <w:shd w:val="clear" w:color="EDEDED" w:fill="EDEDED"/>
            <w:noWrap/>
            <w:vAlign w:val="center"/>
            <w:hideMark/>
          </w:tcPr>
          <w:p w14:paraId="30A21547" w14:textId="48B211C7" w:rsidR="00072F67" w:rsidRPr="00537118" w:rsidRDefault="00A941C4" w:rsidP="005040EC">
            <w:pPr>
              <w:spacing w:after="0" w:line="240" w:lineRule="auto"/>
              <w:jc w:val="center"/>
              <w:rPr>
                <w:rFonts w:ascii="Garamond" w:eastAsia="Times New Roman" w:hAnsi="Garamond" w:cs="Calibri"/>
                <w:color w:val="000000"/>
                <w:kern w:val="0"/>
                <w14:ligatures w14:val="none"/>
              </w:rPr>
            </w:pPr>
            <w:r w:rsidRPr="00537118">
              <w:rPr>
                <w:rFonts w:ascii="Garamond" w:eastAsia="Times New Roman" w:hAnsi="Garamond" w:cs="Calibri"/>
                <w:color w:val="000000"/>
                <w:kern w:val="0"/>
                <w14:ligatures w14:val="none"/>
              </w:rPr>
              <w:t>Alg</w:t>
            </w:r>
            <w:r>
              <w:rPr>
                <w:rFonts w:ascii="Garamond" w:eastAsia="Times New Roman" w:hAnsi="Garamond" w:cs="Calibri"/>
                <w:color w:val="000000"/>
                <w:kern w:val="0"/>
                <w14:ligatures w14:val="none"/>
              </w:rPr>
              <w:t>é</w:t>
            </w:r>
            <w:r w:rsidRPr="00537118">
              <w:rPr>
                <w:rFonts w:ascii="Garamond" w:eastAsia="Times New Roman" w:hAnsi="Garamond" w:cs="Calibri"/>
                <w:color w:val="000000"/>
                <w:kern w:val="0"/>
                <w14:ligatures w14:val="none"/>
              </w:rPr>
              <w:t>ria</w:t>
            </w:r>
            <w:r w:rsidR="00072F67" w:rsidRPr="00537118">
              <w:rPr>
                <w:rFonts w:ascii="Garamond" w:eastAsia="Times New Roman" w:hAnsi="Garamond" w:cs="Calibri"/>
                <w:color w:val="000000"/>
                <w:kern w:val="0"/>
                <w14:ligatures w14:val="none"/>
              </w:rPr>
              <w:t xml:space="preserve"> </w:t>
            </w:r>
          </w:p>
        </w:tc>
        <w:tc>
          <w:tcPr>
            <w:tcW w:w="677" w:type="dxa"/>
            <w:tcBorders>
              <w:top w:val="single" w:sz="4" w:space="0" w:color="C9C9C9"/>
              <w:left w:val="nil"/>
              <w:bottom w:val="single" w:sz="4" w:space="0" w:color="C9C9C9"/>
              <w:right w:val="nil"/>
            </w:tcBorders>
            <w:shd w:val="clear" w:color="EDEDED" w:fill="EDEDED"/>
            <w:noWrap/>
            <w:vAlign w:val="center"/>
            <w:hideMark/>
          </w:tcPr>
          <w:p w14:paraId="55171E8E" w14:textId="77777777" w:rsidR="00072F67" w:rsidRPr="00537118" w:rsidRDefault="00072F67" w:rsidP="005040EC">
            <w:pPr>
              <w:spacing w:after="0" w:line="240" w:lineRule="auto"/>
              <w:jc w:val="center"/>
              <w:rPr>
                <w:rFonts w:ascii="Garamond" w:eastAsia="Times New Roman" w:hAnsi="Garamond" w:cs="Calibri"/>
                <w:color w:val="000000"/>
                <w:kern w:val="0"/>
                <w14:ligatures w14:val="none"/>
              </w:rPr>
            </w:pPr>
            <w:r w:rsidRPr="00537118">
              <w:rPr>
                <w:rFonts w:ascii="Garamond" w:eastAsia="Times New Roman" w:hAnsi="Garamond" w:cs="Calibri"/>
                <w:color w:val="000000"/>
                <w:kern w:val="0"/>
                <w14:ligatures w14:val="none"/>
              </w:rPr>
              <w:t>41,7</w:t>
            </w:r>
          </w:p>
        </w:tc>
        <w:tc>
          <w:tcPr>
            <w:tcW w:w="1640" w:type="dxa"/>
            <w:tcBorders>
              <w:top w:val="single" w:sz="4" w:space="0" w:color="C9C9C9"/>
              <w:left w:val="nil"/>
              <w:bottom w:val="single" w:sz="4" w:space="0" w:color="C9C9C9"/>
              <w:right w:val="nil"/>
            </w:tcBorders>
            <w:shd w:val="clear" w:color="EDEDED" w:fill="EDEDED"/>
            <w:noWrap/>
            <w:vAlign w:val="center"/>
            <w:hideMark/>
          </w:tcPr>
          <w:p w14:paraId="72FC1EA6" w14:textId="2F274889" w:rsidR="00072F67" w:rsidRPr="00537118" w:rsidRDefault="00A941C4" w:rsidP="005040EC">
            <w:pPr>
              <w:spacing w:after="0" w:line="240" w:lineRule="auto"/>
              <w:jc w:val="center"/>
              <w:rPr>
                <w:rFonts w:ascii="Garamond" w:eastAsia="Times New Roman" w:hAnsi="Garamond" w:cs="Calibri"/>
                <w:color w:val="000000"/>
                <w:kern w:val="0"/>
                <w14:ligatures w14:val="none"/>
              </w:rPr>
            </w:pPr>
            <w:r w:rsidRPr="00537118">
              <w:rPr>
                <w:rFonts w:ascii="Garamond" w:eastAsia="Times New Roman" w:hAnsi="Garamond" w:cs="Calibri"/>
                <w:color w:val="000000"/>
                <w:kern w:val="0"/>
                <w14:ligatures w14:val="none"/>
              </w:rPr>
              <w:t>México</w:t>
            </w:r>
          </w:p>
        </w:tc>
        <w:tc>
          <w:tcPr>
            <w:tcW w:w="574" w:type="dxa"/>
            <w:tcBorders>
              <w:top w:val="single" w:sz="4" w:space="0" w:color="C9C9C9"/>
              <w:left w:val="nil"/>
              <w:bottom w:val="single" w:sz="4" w:space="0" w:color="C9C9C9"/>
              <w:right w:val="single" w:sz="4" w:space="0" w:color="C9C9C9"/>
            </w:tcBorders>
            <w:shd w:val="clear" w:color="EDEDED" w:fill="EDEDED"/>
            <w:noWrap/>
            <w:vAlign w:val="center"/>
            <w:hideMark/>
          </w:tcPr>
          <w:p w14:paraId="4D30CA2E" w14:textId="77777777" w:rsidR="00072F67" w:rsidRPr="00537118" w:rsidRDefault="00072F67" w:rsidP="005040EC">
            <w:pPr>
              <w:spacing w:after="0" w:line="240" w:lineRule="auto"/>
              <w:jc w:val="center"/>
              <w:rPr>
                <w:rFonts w:ascii="Garamond" w:eastAsia="Times New Roman" w:hAnsi="Garamond" w:cs="Calibri"/>
                <w:color w:val="000000"/>
                <w:kern w:val="0"/>
                <w14:ligatures w14:val="none"/>
              </w:rPr>
            </w:pPr>
            <w:r w:rsidRPr="00537118">
              <w:rPr>
                <w:rFonts w:ascii="Garamond" w:eastAsia="Times New Roman" w:hAnsi="Garamond" w:cs="Calibri"/>
                <w:color w:val="000000"/>
                <w:kern w:val="0"/>
                <w14:ligatures w14:val="none"/>
              </w:rPr>
              <w:t>44,2</w:t>
            </w:r>
          </w:p>
        </w:tc>
      </w:tr>
      <w:tr w:rsidR="00072F67" w:rsidRPr="00537118" w14:paraId="0C350805" w14:textId="77777777" w:rsidTr="005040EC">
        <w:trPr>
          <w:trHeight w:val="300"/>
        </w:trPr>
        <w:tc>
          <w:tcPr>
            <w:tcW w:w="1557" w:type="dxa"/>
            <w:tcBorders>
              <w:top w:val="single" w:sz="4" w:space="0" w:color="C9C9C9"/>
              <w:left w:val="single" w:sz="4" w:space="0" w:color="C9C9C9"/>
              <w:bottom w:val="single" w:sz="4" w:space="0" w:color="C9C9C9"/>
              <w:right w:val="nil"/>
            </w:tcBorders>
            <w:shd w:val="clear" w:color="auto" w:fill="auto"/>
            <w:noWrap/>
            <w:vAlign w:val="center"/>
            <w:hideMark/>
          </w:tcPr>
          <w:p w14:paraId="3426A796" w14:textId="760A401D" w:rsidR="00072F67" w:rsidRPr="00537118" w:rsidRDefault="007651EE" w:rsidP="005040EC">
            <w:pPr>
              <w:spacing w:after="0" w:line="240" w:lineRule="auto"/>
              <w:jc w:val="center"/>
              <w:rPr>
                <w:rFonts w:ascii="Garamond" w:eastAsia="Times New Roman" w:hAnsi="Garamond" w:cs="Calibri"/>
                <w:color w:val="000000"/>
                <w:kern w:val="0"/>
                <w14:ligatures w14:val="none"/>
              </w:rPr>
            </w:pPr>
            <w:r>
              <w:rPr>
                <w:rFonts w:ascii="Garamond" w:eastAsia="Times New Roman" w:hAnsi="Garamond" w:cs="Calibri"/>
                <w:color w:val="000000"/>
                <w:kern w:val="0"/>
                <w14:ligatures w14:val="none"/>
              </w:rPr>
              <w:t>Espanha</w:t>
            </w:r>
          </w:p>
        </w:tc>
        <w:tc>
          <w:tcPr>
            <w:tcW w:w="574" w:type="dxa"/>
            <w:tcBorders>
              <w:top w:val="single" w:sz="4" w:space="0" w:color="C9C9C9"/>
              <w:left w:val="nil"/>
              <w:bottom w:val="single" w:sz="4" w:space="0" w:color="C9C9C9"/>
              <w:right w:val="nil"/>
            </w:tcBorders>
            <w:shd w:val="clear" w:color="auto" w:fill="auto"/>
            <w:noWrap/>
            <w:vAlign w:val="center"/>
            <w:hideMark/>
          </w:tcPr>
          <w:p w14:paraId="49F80613" w14:textId="77777777" w:rsidR="00072F67" w:rsidRPr="00537118" w:rsidRDefault="00072F67" w:rsidP="005040EC">
            <w:pPr>
              <w:spacing w:after="0" w:line="240" w:lineRule="auto"/>
              <w:jc w:val="center"/>
              <w:rPr>
                <w:rFonts w:ascii="Garamond" w:eastAsia="Times New Roman" w:hAnsi="Garamond" w:cs="Calibri"/>
                <w:color w:val="000000"/>
                <w:kern w:val="0"/>
                <w14:ligatures w14:val="none"/>
              </w:rPr>
            </w:pPr>
            <w:r w:rsidRPr="00537118">
              <w:rPr>
                <w:rFonts w:ascii="Garamond" w:eastAsia="Times New Roman" w:hAnsi="Garamond" w:cs="Calibri"/>
                <w:color w:val="000000"/>
                <w:kern w:val="0"/>
                <w14:ligatures w14:val="none"/>
              </w:rPr>
              <w:t>64</w:t>
            </w:r>
          </w:p>
        </w:tc>
        <w:tc>
          <w:tcPr>
            <w:tcW w:w="2075" w:type="dxa"/>
            <w:tcBorders>
              <w:top w:val="single" w:sz="4" w:space="0" w:color="C9C9C9"/>
              <w:left w:val="nil"/>
              <w:bottom w:val="single" w:sz="4" w:space="0" w:color="C9C9C9"/>
              <w:right w:val="nil"/>
            </w:tcBorders>
            <w:shd w:val="clear" w:color="auto" w:fill="auto"/>
            <w:noWrap/>
            <w:vAlign w:val="center"/>
            <w:hideMark/>
          </w:tcPr>
          <w:p w14:paraId="4B0DE5E9" w14:textId="0A53E98F" w:rsidR="00072F67" w:rsidRPr="00537118" w:rsidRDefault="00A941C4" w:rsidP="005040EC">
            <w:pPr>
              <w:spacing w:after="0" w:line="240" w:lineRule="auto"/>
              <w:jc w:val="center"/>
              <w:rPr>
                <w:rFonts w:ascii="Garamond" w:eastAsia="Times New Roman" w:hAnsi="Garamond" w:cs="Calibri"/>
                <w:color w:val="000000"/>
                <w:kern w:val="0"/>
                <w14:ligatures w14:val="none"/>
              </w:rPr>
            </w:pPr>
            <w:r w:rsidRPr="00537118">
              <w:rPr>
                <w:rFonts w:ascii="Garamond" w:eastAsia="Times New Roman" w:hAnsi="Garamond" w:cs="Calibri"/>
                <w:color w:val="000000"/>
                <w:kern w:val="0"/>
                <w14:ligatures w14:val="none"/>
              </w:rPr>
              <w:t>Líbia</w:t>
            </w:r>
          </w:p>
        </w:tc>
        <w:tc>
          <w:tcPr>
            <w:tcW w:w="677" w:type="dxa"/>
            <w:tcBorders>
              <w:top w:val="single" w:sz="4" w:space="0" w:color="C9C9C9"/>
              <w:left w:val="nil"/>
              <w:bottom w:val="single" w:sz="4" w:space="0" w:color="C9C9C9"/>
              <w:right w:val="nil"/>
            </w:tcBorders>
            <w:shd w:val="clear" w:color="auto" w:fill="auto"/>
            <w:noWrap/>
            <w:vAlign w:val="center"/>
            <w:hideMark/>
          </w:tcPr>
          <w:p w14:paraId="6F3A01C5" w14:textId="77777777" w:rsidR="00072F67" w:rsidRPr="00537118" w:rsidRDefault="00072F67" w:rsidP="005040EC">
            <w:pPr>
              <w:spacing w:after="0" w:line="240" w:lineRule="auto"/>
              <w:jc w:val="center"/>
              <w:rPr>
                <w:rFonts w:ascii="Garamond" w:eastAsia="Times New Roman" w:hAnsi="Garamond" w:cs="Calibri"/>
                <w:color w:val="000000"/>
                <w:kern w:val="0"/>
                <w14:ligatures w14:val="none"/>
              </w:rPr>
            </w:pPr>
            <w:r w:rsidRPr="00537118">
              <w:rPr>
                <w:rFonts w:ascii="Garamond" w:eastAsia="Times New Roman" w:hAnsi="Garamond" w:cs="Calibri"/>
                <w:color w:val="000000"/>
                <w:kern w:val="0"/>
                <w14:ligatures w14:val="none"/>
              </w:rPr>
              <w:t>49,79</w:t>
            </w:r>
          </w:p>
        </w:tc>
        <w:tc>
          <w:tcPr>
            <w:tcW w:w="1640" w:type="dxa"/>
            <w:tcBorders>
              <w:top w:val="single" w:sz="4" w:space="0" w:color="C9C9C9"/>
              <w:left w:val="nil"/>
              <w:bottom w:val="single" w:sz="4" w:space="0" w:color="C9C9C9"/>
              <w:right w:val="nil"/>
            </w:tcBorders>
            <w:shd w:val="clear" w:color="auto" w:fill="auto"/>
            <w:noWrap/>
            <w:vAlign w:val="center"/>
            <w:hideMark/>
          </w:tcPr>
          <w:p w14:paraId="1F62D283" w14:textId="248826F0" w:rsidR="00072F67" w:rsidRPr="00537118" w:rsidRDefault="00A941C4" w:rsidP="005040EC">
            <w:pPr>
              <w:spacing w:after="0" w:line="240" w:lineRule="auto"/>
              <w:jc w:val="center"/>
              <w:rPr>
                <w:rFonts w:ascii="Garamond" w:eastAsia="Times New Roman" w:hAnsi="Garamond" w:cs="Calibri"/>
                <w:color w:val="000000"/>
                <w:kern w:val="0"/>
                <w14:ligatures w14:val="none"/>
              </w:rPr>
            </w:pPr>
            <w:r w:rsidRPr="00537118">
              <w:rPr>
                <w:rFonts w:ascii="Garamond" w:eastAsia="Times New Roman" w:hAnsi="Garamond" w:cs="Calibri"/>
                <w:color w:val="000000"/>
                <w:kern w:val="0"/>
                <w14:ligatures w14:val="none"/>
              </w:rPr>
              <w:t>Mongólia</w:t>
            </w:r>
          </w:p>
        </w:tc>
        <w:tc>
          <w:tcPr>
            <w:tcW w:w="574" w:type="dxa"/>
            <w:tcBorders>
              <w:top w:val="single" w:sz="4" w:space="0" w:color="C9C9C9"/>
              <w:left w:val="nil"/>
              <w:bottom w:val="single" w:sz="4" w:space="0" w:color="C9C9C9"/>
              <w:right w:val="single" w:sz="4" w:space="0" w:color="C9C9C9"/>
            </w:tcBorders>
            <w:shd w:val="clear" w:color="auto" w:fill="auto"/>
            <w:noWrap/>
            <w:vAlign w:val="center"/>
            <w:hideMark/>
          </w:tcPr>
          <w:p w14:paraId="2D32AD74" w14:textId="77777777" w:rsidR="00072F67" w:rsidRPr="00537118" w:rsidRDefault="00072F67" w:rsidP="005040EC">
            <w:pPr>
              <w:spacing w:after="0" w:line="240" w:lineRule="auto"/>
              <w:jc w:val="center"/>
              <w:rPr>
                <w:rFonts w:ascii="Garamond" w:eastAsia="Times New Roman" w:hAnsi="Garamond" w:cs="Calibri"/>
                <w:color w:val="000000"/>
                <w:kern w:val="0"/>
                <w14:ligatures w14:val="none"/>
              </w:rPr>
            </w:pPr>
            <w:r w:rsidRPr="00537118">
              <w:rPr>
                <w:rFonts w:ascii="Garamond" w:eastAsia="Times New Roman" w:hAnsi="Garamond" w:cs="Calibri"/>
                <w:color w:val="000000"/>
                <w:kern w:val="0"/>
                <w14:ligatures w14:val="none"/>
              </w:rPr>
              <w:t>37,2</w:t>
            </w:r>
          </w:p>
        </w:tc>
      </w:tr>
      <w:tr w:rsidR="00072F67" w:rsidRPr="00537118" w14:paraId="32AC7F4D" w14:textId="77777777" w:rsidTr="005040EC">
        <w:trPr>
          <w:trHeight w:val="300"/>
        </w:trPr>
        <w:tc>
          <w:tcPr>
            <w:tcW w:w="1557" w:type="dxa"/>
            <w:tcBorders>
              <w:top w:val="single" w:sz="4" w:space="0" w:color="C9C9C9"/>
              <w:left w:val="single" w:sz="4" w:space="0" w:color="C9C9C9"/>
              <w:bottom w:val="single" w:sz="4" w:space="0" w:color="C9C9C9"/>
              <w:right w:val="nil"/>
            </w:tcBorders>
            <w:shd w:val="clear" w:color="EDEDED" w:fill="EDEDED"/>
            <w:noWrap/>
            <w:vAlign w:val="center"/>
            <w:hideMark/>
          </w:tcPr>
          <w:p w14:paraId="6981693A" w14:textId="77875F47" w:rsidR="00072F67" w:rsidRPr="00537118" w:rsidRDefault="00072F67" w:rsidP="005040EC">
            <w:pPr>
              <w:spacing w:after="0" w:line="240" w:lineRule="auto"/>
              <w:jc w:val="center"/>
              <w:rPr>
                <w:rFonts w:ascii="Garamond" w:eastAsia="Times New Roman" w:hAnsi="Garamond" w:cs="Calibri"/>
                <w:color w:val="000000"/>
                <w:kern w:val="0"/>
                <w14:ligatures w14:val="none"/>
              </w:rPr>
            </w:pPr>
            <w:r w:rsidRPr="00537118">
              <w:rPr>
                <w:rFonts w:ascii="Garamond" w:eastAsia="Times New Roman" w:hAnsi="Garamond" w:cs="Calibri"/>
                <w:color w:val="000000"/>
                <w:kern w:val="0"/>
                <w14:ligatures w14:val="none"/>
              </w:rPr>
              <w:t>It</w:t>
            </w:r>
            <w:r w:rsidR="007651EE">
              <w:rPr>
                <w:rFonts w:ascii="Garamond" w:eastAsia="Times New Roman" w:hAnsi="Garamond" w:cs="Calibri"/>
                <w:color w:val="000000"/>
                <w:kern w:val="0"/>
                <w14:ligatures w14:val="none"/>
              </w:rPr>
              <w:t>ália</w:t>
            </w:r>
          </w:p>
        </w:tc>
        <w:tc>
          <w:tcPr>
            <w:tcW w:w="574" w:type="dxa"/>
            <w:tcBorders>
              <w:top w:val="single" w:sz="4" w:space="0" w:color="C9C9C9"/>
              <w:left w:val="nil"/>
              <w:bottom w:val="single" w:sz="4" w:space="0" w:color="C9C9C9"/>
              <w:right w:val="nil"/>
            </w:tcBorders>
            <w:shd w:val="clear" w:color="EDEDED" w:fill="EDEDED"/>
            <w:noWrap/>
            <w:vAlign w:val="center"/>
            <w:hideMark/>
          </w:tcPr>
          <w:p w14:paraId="24AEC5DE" w14:textId="77777777" w:rsidR="00072F67" w:rsidRPr="00537118" w:rsidRDefault="00072F67" w:rsidP="005040EC">
            <w:pPr>
              <w:spacing w:after="0" w:line="240" w:lineRule="auto"/>
              <w:jc w:val="center"/>
              <w:rPr>
                <w:rFonts w:ascii="Garamond" w:eastAsia="Times New Roman" w:hAnsi="Garamond" w:cs="Calibri"/>
                <w:color w:val="000000"/>
                <w:kern w:val="0"/>
                <w14:ligatures w14:val="none"/>
              </w:rPr>
            </w:pPr>
            <w:r w:rsidRPr="00537118">
              <w:rPr>
                <w:rFonts w:ascii="Garamond" w:eastAsia="Times New Roman" w:hAnsi="Garamond" w:cs="Calibri"/>
                <w:color w:val="000000"/>
                <w:kern w:val="0"/>
                <w14:ligatures w14:val="none"/>
              </w:rPr>
              <w:t>60,3</w:t>
            </w:r>
          </w:p>
        </w:tc>
        <w:tc>
          <w:tcPr>
            <w:tcW w:w="2075" w:type="dxa"/>
            <w:tcBorders>
              <w:top w:val="single" w:sz="4" w:space="0" w:color="C9C9C9"/>
              <w:left w:val="nil"/>
              <w:bottom w:val="single" w:sz="4" w:space="0" w:color="C9C9C9"/>
              <w:right w:val="nil"/>
            </w:tcBorders>
            <w:shd w:val="clear" w:color="EDEDED" w:fill="EDEDED"/>
            <w:noWrap/>
            <w:vAlign w:val="center"/>
            <w:hideMark/>
          </w:tcPr>
          <w:p w14:paraId="5FE9896C" w14:textId="70393175" w:rsidR="00072F67" w:rsidRPr="00537118" w:rsidRDefault="00A941C4" w:rsidP="005040EC">
            <w:pPr>
              <w:spacing w:after="0" w:line="240" w:lineRule="auto"/>
              <w:jc w:val="center"/>
              <w:rPr>
                <w:rFonts w:ascii="Garamond" w:eastAsia="Times New Roman" w:hAnsi="Garamond" w:cs="Calibri"/>
                <w:color w:val="000000"/>
                <w:kern w:val="0"/>
                <w14:ligatures w14:val="none"/>
              </w:rPr>
            </w:pPr>
            <w:r w:rsidRPr="00537118">
              <w:rPr>
                <w:rFonts w:ascii="Garamond" w:eastAsia="Times New Roman" w:hAnsi="Garamond" w:cs="Calibri"/>
                <w:color w:val="000000"/>
                <w:kern w:val="0"/>
                <w14:ligatures w14:val="none"/>
              </w:rPr>
              <w:t>Ar</w:t>
            </w:r>
            <w:r>
              <w:rPr>
                <w:rFonts w:ascii="Garamond" w:eastAsia="Times New Roman" w:hAnsi="Garamond" w:cs="Calibri"/>
                <w:color w:val="000000"/>
                <w:kern w:val="0"/>
                <w14:ligatures w14:val="none"/>
              </w:rPr>
              <w:t>á</w:t>
            </w:r>
            <w:r w:rsidRPr="00537118">
              <w:rPr>
                <w:rFonts w:ascii="Garamond" w:eastAsia="Times New Roman" w:hAnsi="Garamond" w:cs="Calibri"/>
                <w:color w:val="000000"/>
                <w:kern w:val="0"/>
                <w14:ligatures w14:val="none"/>
              </w:rPr>
              <w:t>bia</w:t>
            </w:r>
            <w:r>
              <w:rPr>
                <w:rFonts w:ascii="Garamond" w:eastAsia="Times New Roman" w:hAnsi="Garamond" w:cs="Calibri"/>
                <w:color w:val="000000"/>
                <w:kern w:val="0"/>
                <w14:ligatures w14:val="none"/>
              </w:rPr>
              <w:t xml:space="preserve"> Saudita</w:t>
            </w:r>
          </w:p>
        </w:tc>
        <w:tc>
          <w:tcPr>
            <w:tcW w:w="677" w:type="dxa"/>
            <w:tcBorders>
              <w:top w:val="single" w:sz="4" w:space="0" w:color="C9C9C9"/>
              <w:left w:val="nil"/>
              <w:bottom w:val="single" w:sz="4" w:space="0" w:color="C9C9C9"/>
              <w:right w:val="nil"/>
            </w:tcBorders>
            <w:shd w:val="clear" w:color="EDEDED" w:fill="EDEDED"/>
            <w:noWrap/>
            <w:vAlign w:val="center"/>
            <w:hideMark/>
          </w:tcPr>
          <w:p w14:paraId="1D49E1C8" w14:textId="77777777" w:rsidR="00072F67" w:rsidRPr="00537118" w:rsidRDefault="00072F67" w:rsidP="005040EC">
            <w:pPr>
              <w:spacing w:after="0" w:line="240" w:lineRule="auto"/>
              <w:jc w:val="center"/>
              <w:rPr>
                <w:rFonts w:ascii="Garamond" w:eastAsia="Times New Roman" w:hAnsi="Garamond" w:cs="Calibri"/>
                <w:color w:val="000000"/>
                <w:kern w:val="0"/>
                <w14:ligatures w14:val="none"/>
              </w:rPr>
            </w:pPr>
            <w:r w:rsidRPr="00537118">
              <w:rPr>
                <w:rFonts w:ascii="Garamond" w:eastAsia="Times New Roman" w:hAnsi="Garamond" w:cs="Calibri"/>
                <w:color w:val="000000"/>
                <w:kern w:val="0"/>
                <w14:ligatures w14:val="none"/>
              </w:rPr>
              <w:t>42,5</w:t>
            </w:r>
          </w:p>
        </w:tc>
        <w:tc>
          <w:tcPr>
            <w:tcW w:w="1640" w:type="dxa"/>
            <w:tcBorders>
              <w:top w:val="single" w:sz="4" w:space="0" w:color="C9C9C9"/>
              <w:left w:val="nil"/>
              <w:bottom w:val="single" w:sz="4" w:space="0" w:color="C9C9C9"/>
              <w:right w:val="nil"/>
            </w:tcBorders>
            <w:shd w:val="clear" w:color="EDEDED" w:fill="EDEDED"/>
            <w:noWrap/>
            <w:vAlign w:val="center"/>
            <w:hideMark/>
          </w:tcPr>
          <w:p w14:paraId="36677E90" w14:textId="77777777" w:rsidR="00072F67" w:rsidRPr="00537118" w:rsidRDefault="00072F67" w:rsidP="005040EC">
            <w:pPr>
              <w:spacing w:after="0" w:line="240" w:lineRule="auto"/>
              <w:jc w:val="center"/>
              <w:rPr>
                <w:rFonts w:ascii="Garamond" w:eastAsia="Times New Roman" w:hAnsi="Garamond" w:cs="Calibri"/>
                <w:color w:val="000000"/>
                <w:kern w:val="0"/>
                <w14:ligatures w14:val="none"/>
              </w:rPr>
            </w:pPr>
            <w:r w:rsidRPr="00537118">
              <w:rPr>
                <w:rFonts w:ascii="Garamond" w:eastAsia="Times New Roman" w:hAnsi="Garamond" w:cs="Calibri"/>
                <w:color w:val="000000"/>
                <w:kern w:val="0"/>
                <w14:ligatures w14:val="none"/>
              </w:rPr>
              <w:t>Peru</w:t>
            </w:r>
          </w:p>
        </w:tc>
        <w:tc>
          <w:tcPr>
            <w:tcW w:w="574" w:type="dxa"/>
            <w:tcBorders>
              <w:top w:val="single" w:sz="4" w:space="0" w:color="C9C9C9"/>
              <w:left w:val="nil"/>
              <w:bottom w:val="single" w:sz="4" w:space="0" w:color="C9C9C9"/>
              <w:right w:val="single" w:sz="4" w:space="0" w:color="C9C9C9"/>
            </w:tcBorders>
            <w:shd w:val="clear" w:color="EDEDED" w:fill="EDEDED"/>
            <w:noWrap/>
            <w:vAlign w:val="center"/>
            <w:hideMark/>
          </w:tcPr>
          <w:p w14:paraId="3B6F2A09" w14:textId="77777777" w:rsidR="00072F67" w:rsidRPr="00537118" w:rsidRDefault="00072F67" w:rsidP="005040EC">
            <w:pPr>
              <w:spacing w:after="0" w:line="240" w:lineRule="auto"/>
              <w:jc w:val="center"/>
              <w:rPr>
                <w:rFonts w:ascii="Garamond" w:eastAsia="Times New Roman" w:hAnsi="Garamond" w:cs="Calibri"/>
                <w:color w:val="000000"/>
                <w:kern w:val="0"/>
                <w14:ligatures w14:val="none"/>
              </w:rPr>
            </w:pPr>
            <w:r w:rsidRPr="00537118">
              <w:rPr>
                <w:rFonts w:ascii="Garamond" w:eastAsia="Times New Roman" w:hAnsi="Garamond" w:cs="Calibri"/>
                <w:color w:val="000000"/>
                <w:kern w:val="0"/>
                <w14:ligatures w14:val="none"/>
              </w:rPr>
              <w:t>46,5</w:t>
            </w:r>
          </w:p>
        </w:tc>
      </w:tr>
      <w:tr w:rsidR="00072F67" w:rsidRPr="00537118" w14:paraId="248D4A3F" w14:textId="77777777" w:rsidTr="005040EC">
        <w:trPr>
          <w:trHeight w:val="300"/>
        </w:trPr>
        <w:tc>
          <w:tcPr>
            <w:tcW w:w="1557" w:type="dxa"/>
            <w:tcBorders>
              <w:top w:val="single" w:sz="4" w:space="0" w:color="C9C9C9"/>
              <w:left w:val="single" w:sz="4" w:space="0" w:color="C9C9C9"/>
              <w:bottom w:val="single" w:sz="4" w:space="0" w:color="C9C9C9"/>
              <w:right w:val="nil"/>
            </w:tcBorders>
            <w:shd w:val="clear" w:color="auto" w:fill="auto"/>
            <w:noWrap/>
            <w:vAlign w:val="center"/>
            <w:hideMark/>
          </w:tcPr>
          <w:p w14:paraId="1E9C7342" w14:textId="2479FD07" w:rsidR="00072F67" w:rsidRPr="00537118" w:rsidRDefault="00A32CC5" w:rsidP="005040EC">
            <w:pPr>
              <w:spacing w:after="0" w:line="240" w:lineRule="auto"/>
              <w:jc w:val="center"/>
              <w:rPr>
                <w:rFonts w:ascii="Garamond" w:eastAsia="Times New Roman" w:hAnsi="Garamond" w:cs="Calibri"/>
                <w:color w:val="000000"/>
                <w:kern w:val="0"/>
                <w14:ligatures w14:val="none"/>
              </w:rPr>
            </w:pPr>
            <w:r>
              <w:rPr>
                <w:rFonts w:ascii="Garamond" w:eastAsia="Times New Roman" w:hAnsi="Garamond" w:cs="Calibri"/>
                <w:color w:val="000000"/>
                <w:kern w:val="0"/>
                <w14:ligatures w14:val="none"/>
              </w:rPr>
              <w:t>Coreia do Sul</w:t>
            </w:r>
          </w:p>
        </w:tc>
        <w:tc>
          <w:tcPr>
            <w:tcW w:w="574" w:type="dxa"/>
            <w:tcBorders>
              <w:top w:val="single" w:sz="4" w:space="0" w:color="C9C9C9"/>
              <w:left w:val="nil"/>
              <w:bottom w:val="single" w:sz="4" w:space="0" w:color="C9C9C9"/>
              <w:right w:val="nil"/>
            </w:tcBorders>
            <w:shd w:val="clear" w:color="auto" w:fill="auto"/>
            <w:noWrap/>
            <w:vAlign w:val="center"/>
            <w:hideMark/>
          </w:tcPr>
          <w:p w14:paraId="72FE6CFC" w14:textId="77777777" w:rsidR="00072F67" w:rsidRPr="00537118" w:rsidRDefault="00072F67" w:rsidP="005040EC">
            <w:pPr>
              <w:spacing w:after="0" w:line="240" w:lineRule="auto"/>
              <w:jc w:val="center"/>
              <w:rPr>
                <w:rFonts w:ascii="Garamond" w:eastAsia="Times New Roman" w:hAnsi="Garamond" w:cs="Calibri"/>
                <w:color w:val="000000"/>
                <w:kern w:val="0"/>
                <w14:ligatures w14:val="none"/>
              </w:rPr>
            </w:pPr>
            <w:r w:rsidRPr="00537118">
              <w:rPr>
                <w:rFonts w:ascii="Garamond" w:eastAsia="Times New Roman" w:hAnsi="Garamond" w:cs="Calibri"/>
                <w:color w:val="000000"/>
                <w:kern w:val="0"/>
                <w14:ligatures w14:val="none"/>
              </w:rPr>
              <w:t>50,6</w:t>
            </w:r>
          </w:p>
        </w:tc>
        <w:tc>
          <w:tcPr>
            <w:tcW w:w="2075" w:type="dxa"/>
            <w:tcBorders>
              <w:top w:val="single" w:sz="4" w:space="0" w:color="C9C9C9"/>
              <w:left w:val="nil"/>
              <w:bottom w:val="single" w:sz="4" w:space="0" w:color="C9C9C9"/>
              <w:right w:val="nil"/>
            </w:tcBorders>
            <w:shd w:val="clear" w:color="auto" w:fill="auto"/>
            <w:noWrap/>
            <w:vAlign w:val="center"/>
            <w:hideMark/>
          </w:tcPr>
          <w:p w14:paraId="25A800BA" w14:textId="5E5C4DE4" w:rsidR="00072F67" w:rsidRPr="00537118" w:rsidRDefault="00A941C4" w:rsidP="005040EC">
            <w:pPr>
              <w:spacing w:after="0" w:line="240" w:lineRule="auto"/>
              <w:jc w:val="center"/>
              <w:rPr>
                <w:rFonts w:ascii="Garamond" w:eastAsia="Times New Roman" w:hAnsi="Garamond" w:cs="Calibri"/>
                <w:color w:val="000000"/>
                <w:kern w:val="0"/>
                <w14:ligatures w14:val="none"/>
              </w:rPr>
            </w:pPr>
            <w:r w:rsidRPr="00537118">
              <w:rPr>
                <w:rFonts w:ascii="Garamond" w:eastAsia="Times New Roman" w:hAnsi="Garamond" w:cs="Calibri"/>
                <w:color w:val="000000"/>
                <w:kern w:val="0"/>
                <w14:ligatures w14:val="none"/>
              </w:rPr>
              <w:t>Namíbia</w:t>
            </w:r>
          </w:p>
        </w:tc>
        <w:tc>
          <w:tcPr>
            <w:tcW w:w="677" w:type="dxa"/>
            <w:tcBorders>
              <w:top w:val="single" w:sz="4" w:space="0" w:color="C9C9C9"/>
              <w:left w:val="nil"/>
              <w:bottom w:val="single" w:sz="4" w:space="0" w:color="C9C9C9"/>
              <w:right w:val="nil"/>
            </w:tcBorders>
            <w:shd w:val="clear" w:color="auto" w:fill="auto"/>
            <w:noWrap/>
            <w:vAlign w:val="center"/>
            <w:hideMark/>
          </w:tcPr>
          <w:p w14:paraId="393098BE" w14:textId="77777777" w:rsidR="00072F67" w:rsidRPr="00537118" w:rsidRDefault="00072F67" w:rsidP="005040EC">
            <w:pPr>
              <w:spacing w:after="0" w:line="240" w:lineRule="auto"/>
              <w:jc w:val="center"/>
              <w:rPr>
                <w:rFonts w:ascii="Garamond" w:eastAsia="Times New Roman" w:hAnsi="Garamond" w:cs="Calibri"/>
                <w:color w:val="000000"/>
                <w:kern w:val="0"/>
                <w14:ligatures w14:val="none"/>
              </w:rPr>
            </w:pPr>
            <w:r w:rsidRPr="00537118">
              <w:rPr>
                <w:rFonts w:ascii="Garamond" w:eastAsia="Times New Roman" w:hAnsi="Garamond" w:cs="Calibri"/>
                <w:color w:val="000000"/>
                <w:kern w:val="0"/>
                <w14:ligatures w14:val="none"/>
              </w:rPr>
              <w:t>44</w:t>
            </w:r>
          </w:p>
        </w:tc>
        <w:tc>
          <w:tcPr>
            <w:tcW w:w="1640" w:type="dxa"/>
            <w:tcBorders>
              <w:top w:val="single" w:sz="4" w:space="0" w:color="C9C9C9"/>
              <w:left w:val="nil"/>
              <w:bottom w:val="single" w:sz="4" w:space="0" w:color="C9C9C9"/>
              <w:right w:val="nil"/>
            </w:tcBorders>
            <w:shd w:val="clear" w:color="auto" w:fill="auto"/>
            <w:noWrap/>
            <w:vAlign w:val="center"/>
            <w:hideMark/>
          </w:tcPr>
          <w:p w14:paraId="18607B35" w14:textId="4D4FBCDB" w:rsidR="00072F67" w:rsidRPr="00537118" w:rsidRDefault="00A941C4" w:rsidP="005040EC">
            <w:pPr>
              <w:spacing w:after="0" w:line="240" w:lineRule="auto"/>
              <w:jc w:val="center"/>
              <w:rPr>
                <w:rFonts w:ascii="Garamond" w:eastAsia="Times New Roman" w:hAnsi="Garamond" w:cs="Calibri"/>
                <w:color w:val="000000"/>
                <w:kern w:val="0"/>
                <w14:ligatures w14:val="none"/>
              </w:rPr>
            </w:pPr>
            <w:r>
              <w:rPr>
                <w:rFonts w:ascii="Garamond" w:eastAsia="Times New Roman" w:hAnsi="Garamond" w:cs="Calibri"/>
                <w:color w:val="000000"/>
                <w:kern w:val="0"/>
                <w14:ligatures w14:val="none"/>
              </w:rPr>
              <w:t>Nova Zelândia</w:t>
            </w:r>
          </w:p>
        </w:tc>
        <w:tc>
          <w:tcPr>
            <w:tcW w:w="574" w:type="dxa"/>
            <w:tcBorders>
              <w:top w:val="single" w:sz="4" w:space="0" w:color="C9C9C9"/>
              <w:left w:val="nil"/>
              <w:bottom w:val="single" w:sz="4" w:space="0" w:color="C9C9C9"/>
              <w:right w:val="single" w:sz="4" w:space="0" w:color="C9C9C9"/>
            </w:tcBorders>
            <w:shd w:val="clear" w:color="auto" w:fill="auto"/>
            <w:noWrap/>
            <w:vAlign w:val="center"/>
            <w:hideMark/>
          </w:tcPr>
          <w:p w14:paraId="48634CFC" w14:textId="77777777" w:rsidR="00072F67" w:rsidRPr="00537118" w:rsidRDefault="00072F67" w:rsidP="005040EC">
            <w:pPr>
              <w:spacing w:after="0" w:line="240" w:lineRule="auto"/>
              <w:jc w:val="center"/>
              <w:rPr>
                <w:rFonts w:ascii="Garamond" w:eastAsia="Times New Roman" w:hAnsi="Garamond" w:cs="Calibri"/>
                <w:color w:val="000000"/>
                <w:kern w:val="0"/>
                <w14:ligatures w14:val="none"/>
              </w:rPr>
            </w:pPr>
            <w:r w:rsidRPr="00537118">
              <w:rPr>
                <w:rFonts w:ascii="Garamond" w:eastAsia="Times New Roman" w:hAnsi="Garamond" w:cs="Calibri"/>
                <w:color w:val="000000"/>
                <w:kern w:val="0"/>
                <w14:ligatures w14:val="none"/>
              </w:rPr>
              <w:t>57,3</w:t>
            </w:r>
          </w:p>
        </w:tc>
      </w:tr>
    </w:tbl>
    <w:p w14:paraId="5B661F89" w14:textId="29E83AFE" w:rsidR="00072F67" w:rsidRPr="00537118" w:rsidRDefault="00072F67" w:rsidP="00072F67">
      <w:pPr>
        <w:rPr>
          <w:rFonts w:ascii="Garamond" w:hAnsi="Garamond"/>
        </w:rPr>
      </w:pPr>
      <w:r w:rsidRPr="00537118">
        <w:rPr>
          <w:rFonts w:ascii="Garamond" w:hAnsi="Garamond"/>
        </w:rPr>
        <w:t xml:space="preserve">Fonte: Elaboração </w:t>
      </w:r>
      <w:r w:rsidR="007651EE" w:rsidRPr="00537118">
        <w:rPr>
          <w:rFonts w:ascii="Garamond" w:hAnsi="Garamond"/>
        </w:rPr>
        <w:t>própria</w:t>
      </w:r>
      <w:r w:rsidRPr="00537118">
        <w:rPr>
          <w:rFonts w:ascii="Garamond" w:hAnsi="Garamond"/>
        </w:rPr>
        <w:t>; Fonte dos dados: Environmental Performance Index (https://epi.yale.edu/measure/2024/EPI)</w:t>
      </w:r>
    </w:p>
    <w:p w14:paraId="77D4C400" w14:textId="77777777" w:rsidR="00072F67" w:rsidRPr="00537118" w:rsidRDefault="00072F67" w:rsidP="00072F67">
      <w:pPr>
        <w:rPr>
          <w:rFonts w:ascii="Garamond" w:hAnsi="Garamond"/>
        </w:rPr>
      </w:pPr>
    </w:p>
    <w:p w14:paraId="38703028" w14:textId="68281BDE" w:rsidR="00072F67" w:rsidRPr="00537118" w:rsidRDefault="00072F67" w:rsidP="00072F67">
      <w:pPr>
        <w:rPr>
          <w:rFonts w:ascii="Garamond" w:hAnsi="Garamond"/>
        </w:rPr>
      </w:pPr>
      <w:r w:rsidRPr="00537118">
        <w:rPr>
          <w:rFonts w:ascii="Garamond" w:hAnsi="Garamond"/>
        </w:rPr>
        <w:br w:type="page"/>
      </w:r>
    </w:p>
    <w:p w14:paraId="42F4479F" w14:textId="77777777" w:rsidR="00072F67" w:rsidRPr="00537118" w:rsidRDefault="00072F67" w:rsidP="00072F67">
      <w:pPr>
        <w:rPr>
          <w:rFonts w:ascii="Garamond" w:hAnsi="Garamond"/>
        </w:rPr>
        <w:sectPr w:rsidR="00072F67" w:rsidRPr="00537118" w:rsidSect="006E23F8">
          <w:pgSz w:w="12240" w:h="15840"/>
          <w:pgMar w:top="1985" w:right="1701" w:bottom="1418" w:left="1701" w:header="720" w:footer="720" w:gutter="0"/>
          <w:cols w:space="720"/>
          <w:docGrid w:linePitch="360"/>
        </w:sectPr>
      </w:pPr>
    </w:p>
    <w:p w14:paraId="3C3D1561" w14:textId="7108035D" w:rsidR="004365EC" w:rsidRDefault="004365EC" w:rsidP="00072F67">
      <w:pPr>
        <w:jc w:val="both"/>
        <w:rPr>
          <w:rFonts w:ascii="Garamond" w:hAnsi="Garamond"/>
        </w:rPr>
      </w:pPr>
      <w:r w:rsidRPr="00D55EB8">
        <w:rPr>
          <w:b/>
          <w:bCs/>
          <w:noProof/>
        </w:rPr>
        <w:lastRenderedPageBreak/>
        <w:drawing>
          <wp:anchor distT="0" distB="0" distL="114300" distR="114300" simplePos="0" relativeHeight="251736064" behindDoc="0" locked="0" layoutInCell="1" allowOverlap="1" wp14:anchorId="4CD4DD60" wp14:editId="162975F2">
            <wp:simplePos x="0" y="0"/>
            <wp:positionH relativeFrom="margin">
              <wp:align>center</wp:align>
            </wp:positionH>
            <wp:positionV relativeFrom="margin">
              <wp:posOffset>300355</wp:posOffset>
            </wp:positionV>
            <wp:extent cx="9915525" cy="2225040"/>
            <wp:effectExtent l="0" t="0" r="9525" b="3810"/>
            <wp:wrapSquare wrapText="bothSides"/>
            <wp:docPr id="43765422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9915525" cy="2225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55EB8">
        <w:rPr>
          <w:rFonts w:ascii="Garamond" w:hAnsi="Garamond"/>
          <w:b/>
          <w:bCs/>
        </w:rPr>
        <w:t>Tabela A.4: Triagem 1</w:t>
      </w:r>
      <w:r w:rsidRPr="00537118">
        <w:rPr>
          <w:rFonts w:ascii="Garamond" w:hAnsi="Garamond"/>
        </w:rPr>
        <w:t>.</w:t>
      </w:r>
    </w:p>
    <w:p w14:paraId="13D508D2" w14:textId="7BA12B53" w:rsidR="004365EC" w:rsidRDefault="004365EC" w:rsidP="00072F67">
      <w:pPr>
        <w:jc w:val="both"/>
        <w:rPr>
          <w:rFonts w:ascii="Garamond" w:hAnsi="Garamond"/>
        </w:rPr>
      </w:pPr>
    </w:p>
    <w:p w14:paraId="306C777A" w14:textId="15A1BE8A" w:rsidR="00072F67" w:rsidRPr="00537118" w:rsidRDefault="00072F67" w:rsidP="00072F67">
      <w:pPr>
        <w:jc w:val="both"/>
        <w:rPr>
          <w:rFonts w:ascii="Garamond" w:hAnsi="Garamond"/>
        </w:rPr>
      </w:pPr>
      <w:r w:rsidRPr="00537118">
        <w:rPr>
          <w:rFonts w:ascii="Garamond" w:hAnsi="Garamond"/>
        </w:rPr>
        <w:t>Fonte: Elaboração própria; Fonte</w:t>
      </w:r>
      <w:r w:rsidR="00CE2A90" w:rsidRPr="00537118">
        <w:rPr>
          <w:rFonts w:ascii="Garamond" w:hAnsi="Garamond"/>
        </w:rPr>
        <w:t>s</w:t>
      </w:r>
      <w:r w:rsidRPr="00537118">
        <w:rPr>
          <w:rFonts w:ascii="Garamond" w:hAnsi="Garamond"/>
        </w:rPr>
        <w:t xml:space="preserve"> dos dados: Solar MW installed – Visual capitalist (</w:t>
      </w:r>
      <w:hyperlink r:id="rId53" w:history="1">
        <w:r w:rsidR="00490961" w:rsidRPr="00537118">
          <w:rPr>
            <w:rStyle w:val="Hyperlink"/>
            <w:rFonts w:ascii="Garamond" w:hAnsi="Garamond"/>
          </w:rPr>
          <w:t>https://www.visualcapitalist.com/countries-by-solar-power-ranking</w:t>
        </w:r>
      </w:hyperlink>
      <w:r w:rsidRPr="00537118">
        <w:rPr>
          <w:rFonts w:ascii="Garamond" w:hAnsi="Garamond"/>
        </w:rPr>
        <w:t>); PVOUT</w:t>
      </w:r>
      <w:r w:rsidR="00490961">
        <w:rPr>
          <w:rFonts w:ascii="Garamond" w:hAnsi="Garamond"/>
        </w:rPr>
        <w:t xml:space="preserve"> –</w:t>
      </w:r>
      <w:r w:rsidRPr="00537118">
        <w:rPr>
          <w:rFonts w:ascii="Garamond" w:hAnsi="Garamond"/>
        </w:rPr>
        <w:t xml:space="preserve"> </w:t>
      </w:r>
      <w:r w:rsidRPr="00537118">
        <w:rPr>
          <w:rFonts w:ascii="Garamond" w:hAnsi="Garamond"/>
          <w:sz w:val="20"/>
          <w:szCs w:val="20"/>
        </w:rPr>
        <w:t>Global Solar Atlas (</w:t>
      </w:r>
      <w:hyperlink r:id="rId54" w:history="1">
        <w:r w:rsidRPr="00537118">
          <w:rPr>
            <w:rStyle w:val="Hyperlink"/>
            <w:rFonts w:ascii="Garamond" w:hAnsi="Garamond"/>
            <w:sz w:val="20"/>
            <w:szCs w:val="20"/>
          </w:rPr>
          <w:t>https://globalsolaratlas.info/map</w:t>
        </w:r>
      </w:hyperlink>
      <w:r w:rsidRPr="00537118">
        <w:rPr>
          <w:rFonts w:ascii="Garamond" w:hAnsi="Garamond"/>
          <w:sz w:val="20"/>
          <w:szCs w:val="20"/>
        </w:rPr>
        <w:t>);</w:t>
      </w:r>
      <w:r w:rsidR="00CE2A90" w:rsidRPr="00537118">
        <w:rPr>
          <w:rFonts w:ascii="Garamond" w:hAnsi="Garamond"/>
          <w:sz w:val="20"/>
          <w:szCs w:val="20"/>
        </w:rPr>
        <w:t xml:space="preserve"> </w:t>
      </w:r>
      <w:r w:rsidRPr="00537118">
        <w:rPr>
          <w:rFonts w:ascii="Garamond" w:hAnsi="Garamond"/>
          <w:sz w:val="20"/>
          <w:szCs w:val="20"/>
        </w:rPr>
        <w:t xml:space="preserve"> EPI –</w:t>
      </w:r>
      <w:r w:rsidRPr="00537118">
        <w:rPr>
          <w:rFonts w:ascii="Garamond" w:hAnsi="Garamond"/>
        </w:rPr>
        <w:t xml:space="preserve"> Environmental Performance Index (</w:t>
      </w:r>
      <w:hyperlink r:id="rId55" w:history="1">
        <w:r w:rsidRPr="00537118">
          <w:rPr>
            <w:rStyle w:val="Hyperlink"/>
            <w:rFonts w:ascii="Garamond" w:hAnsi="Garamond"/>
          </w:rPr>
          <w:t>https://epi.yale.edu/measure/2024/EPI</w:t>
        </w:r>
      </w:hyperlink>
      <w:r w:rsidRPr="00537118">
        <w:rPr>
          <w:rFonts w:ascii="Garamond" w:hAnsi="Garamond"/>
        </w:rPr>
        <w:t xml:space="preserve">) </w:t>
      </w:r>
    </w:p>
    <w:p w14:paraId="0702E18E" w14:textId="34A57334" w:rsidR="00CB2366" w:rsidRPr="00537118" w:rsidRDefault="00CB2366" w:rsidP="00630DD8">
      <w:pPr>
        <w:pStyle w:val="Heading2"/>
        <w:spacing w:line="360" w:lineRule="auto"/>
        <w:jc w:val="both"/>
        <w:sectPr w:rsidR="00CB2366" w:rsidRPr="00537118" w:rsidSect="007938EA">
          <w:pgSz w:w="15840" w:h="12240" w:orient="landscape"/>
          <w:pgMar w:top="1985" w:right="1701" w:bottom="1418" w:left="1701" w:header="720" w:footer="720" w:gutter="0"/>
          <w:cols w:space="720"/>
          <w:docGrid w:linePitch="360"/>
        </w:sectPr>
      </w:pPr>
    </w:p>
    <w:p w14:paraId="7A6E850C" w14:textId="655CB079" w:rsidR="00AC4464" w:rsidRPr="00F457AE" w:rsidRDefault="00DB189D" w:rsidP="00DB189D">
      <w:pPr>
        <w:rPr>
          <w:rFonts w:ascii="Garamond" w:hAnsi="Garamond"/>
          <w:b/>
          <w:bCs/>
        </w:rPr>
      </w:pPr>
      <w:r w:rsidRPr="00F457AE">
        <w:rPr>
          <w:rFonts w:ascii="Garamond" w:hAnsi="Garamond"/>
          <w:b/>
          <w:bCs/>
        </w:rPr>
        <w:lastRenderedPageBreak/>
        <w:t xml:space="preserve">Tabela </w:t>
      </w:r>
      <w:r w:rsidR="00AC4464" w:rsidRPr="00F457AE">
        <w:rPr>
          <w:rFonts w:ascii="Garamond" w:hAnsi="Garamond"/>
          <w:b/>
          <w:bCs/>
        </w:rPr>
        <w:t>A.</w:t>
      </w:r>
      <w:r w:rsidRPr="00F457AE">
        <w:rPr>
          <w:rFonts w:ascii="Garamond" w:hAnsi="Garamond"/>
          <w:b/>
          <w:bCs/>
        </w:rPr>
        <w:t xml:space="preserve">5: World Risk Index. </w:t>
      </w:r>
    </w:p>
    <w:p w14:paraId="628D00F8" w14:textId="70E8CAB6" w:rsidR="00116607" w:rsidRDefault="00116607" w:rsidP="00DB189D">
      <w:pPr>
        <w:rPr>
          <w:rFonts w:ascii="Garamond" w:hAnsi="Garamond"/>
        </w:rPr>
      </w:pPr>
      <w:r w:rsidRPr="00116607">
        <w:rPr>
          <w:noProof/>
        </w:rPr>
        <w:drawing>
          <wp:inline distT="0" distB="0" distL="0" distR="0" wp14:anchorId="7C19649E" wp14:editId="6B5E18A2">
            <wp:extent cx="6675395" cy="2392325"/>
            <wp:effectExtent l="0" t="0" r="0" b="8255"/>
            <wp:docPr id="59541181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686934" cy="2396460"/>
                    </a:xfrm>
                    <a:prstGeom prst="rect">
                      <a:avLst/>
                    </a:prstGeom>
                    <a:noFill/>
                    <a:ln>
                      <a:noFill/>
                    </a:ln>
                  </pic:spPr>
                </pic:pic>
              </a:graphicData>
            </a:graphic>
          </wp:inline>
        </w:drawing>
      </w:r>
    </w:p>
    <w:p w14:paraId="130910E0" w14:textId="6B605A1A" w:rsidR="00DB189D" w:rsidRDefault="00DB189D" w:rsidP="00DB189D">
      <w:pPr>
        <w:rPr>
          <w:rFonts w:ascii="Garamond" w:hAnsi="Garamond"/>
        </w:rPr>
      </w:pPr>
      <w:r w:rsidRPr="00537118">
        <w:rPr>
          <w:rFonts w:ascii="Garamond" w:hAnsi="Garamond"/>
        </w:rPr>
        <w:t xml:space="preserve">Fonte: Elaboração </w:t>
      </w:r>
      <w:r w:rsidR="00ED5333" w:rsidRPr="00537118">
        <w:rPr>
          <w:rFonts w:ascii="Garamond" w:hAnsi="Garamond"/>
        </w:rPr>
        <w:t>própria</w:t>
      </w:r>
      <w:r w:rsidRPr="00537118">
        <w:rPr>
          <w:rFonts w:ascii="Garamond" w:hAnsi="Garamond"/>
        </w:rPr>
        <w:t>; Fonte dos dados: Institute for International Law of peace and armed Conflict (</w:t>
      </w:r>
      <w:hyperlink r:id="rId57" w:history="1">
        <w:r w:rsidRPr="00537118">
          <w:rPr>
            <w:rStyle w:val="Hyperlink"/>
            <w:rFonts w:ascii="Garamond" w:hAnsi="Garamond"/>
          </w:rPr>
          <w:t>https://www.ifhv.de/publications/world-risk-report</w:t>
        </w:r>
      </w:hyperlink>
      <w:r w:rsidRPr="00537118">
        <w:rPr>
          <w:rFonts w:ascii="Garamond" w:hAnsi="Garamond"/>
        </w:rPr>
        <w:t>)</w:t>
      </w:r>
    </w:p>
    <w:p w14:paraId="3DD25743" w14:textId="3E42469E" w:rsidR="00116607" w:rsidRPr="00537118" w:rsidRDefault="00116607" w:rsidP="00DB189D">
      <w:pPr>
        <w:rPr>
          <w:rFonts w:ascii="Garamond" w:hAnsi="Garamond"/>
        </w:rPr>
      </w:pPr>
    </w:p>
    <w:p w14:paraId="09D6F414" w14:textId="64E3C1B3" w:rsidR="00116607" w:rsidRDefault="00DB189D" w:rsidP="00DB189D">
      <w:pPr>
        <w:rPr>
          <w:rFonts w:ascii="Garamond" w:hAnsi="Garamond"/>
        </w:rPr>
      </w:pPr>
      <w:r w:rsidRPr="00F457AE">
        <w:rPr>
          <w:rFonts w:ascii="Garamond" w:hAnsi="Garamond"/>
          <w:b/>
          <w:bCs/>
        </w:rPr>
        <w:t xml:space="preserve">Tabela </w:t>
      </w:r>
      <w:r w:rsidR="00116607" w:rsidRPr="00F457AE">
        <w:rPr>
          <w:rFonts w:ascii="Garamond" w:hAnsi="Garamond"/>
          <w:b/>
          <w:bCs/>
        </w:rPr>
        <w:t>A.</w:t>
      </w:r>
      <w:r w:rsidR="007F114F" w:rsidRPr="00F457AE">
        <w:rPr>
          <w:rFonts w:ascii="Garamond" w:hAnsi="Garamond"/>
          <w:b/>
          <w:bCs/>
        </w:rPr>
        <w:t>6: Custo</w:t>
      </w:r>
      <w:r w:rsidRPr="00F457AE">
        <w:rPr>
          <w:rFonts w:ascii="Garamond" w:hAnsi="Garamond"/>
          <w:b/>
          <w:bCs/>
        </w:rPr>
        <w:t xml:space="preserve"> da eletricidade médio por 1kWh</w:t>
      </w:r>
      <w:r w:rsidRPr="00537118">
        <w:rPr>
          <w:rFonts w:ascii="Garamond" w:hAnsi="Garamond"/>
        </w:rPr>
        <w:t xml:space="preserve">. </w:t>
      </w:r>
    </w:p>
    <w:p w14:paraId="3BED8BCD" w14:textId="367B3629" w:rsidR="00116607" w:rsidRDefault="00801527" w:rsidP="00DB189D">
      <w:pPr>
        <w:rPr>
          <w:rFonts w:ascii="Garamond" w:hAnsi="Garamond"/>
        </w:rPr>
      </w:pPr>
      <w:r w:rsidRPr="00801527">
        <w:rPr>
          <w:noProof/>
        </w:rPr>
        <w:drawing>
          <wp:inline distT="0" distB="0" distL="0" distR="0" wp14:anchorId="41B7FF1D" wp14:editId="48454EA7">
            <wp:extent cx="2987749" cy="2915508"/>
            <wp:effectExtent l="0" t="0" r="3175" b="0"/>
            <wp:docPr id="174536788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990356" cy="2918052"/>
                    </a:xfrm>
                    <a:prstGeom prst="rect">
                      <a:avLst/>
                    </a:prstGeom>
                    <a:noFill/>
                    <a:ln>
                      <a:noFill/>
                    </a:ln>
                  </pic:spPr>
                </pic:pic>
              </a:graphicData>
            </a:graphic>
          </wp:inline>
        </w:drawing>
      </w:r>
    </w:p>
    <w:p w14:paraId="5DD923E9" w14:textId="1CA5B1B5" w:rsidR="00DB189D" w:rsidRPr="00537118" w:rsidRDefault="00DB189D" w:rsidP="00DB189D">
      <w:pPr>
        <w:rPr>
          <w:rFonts w:ascii="Garamond" w:hAnsi="Garamond"/>
        </w:rPr>
      </w:pPr>
      <w:r w:rsidRPr="00537118">
        <w:rPr>
          <w:rFonts w:ascii="Garamond" w:hAnsi="Garamond"/>
        </w:rPr>
        <w:t xml:space="preserve">Fonte: Elaboração </w:t>
      </w:r>
      <w:r w:rsidR="007F114F" w:rsidRPr="00537118">
        <w:rPr>
          <w:rFonts w:ascii="Garamond" w:hAnsi="Garamond"/>
        </w:rPr>
        <w:t>própria</w:t>
      </w:r>
      <w:r w:rsidRPr="00537118">
        <w:rPr>
          <w:rFonts w:ascii="Garamond" w:hAnsi="Garamond"/>
        </w:rPr>
        <w:t>; Fonte dos dados: Global Petrol Prices (</w:t>
      </w:r>
      <w:hyperlink r:id="rId59" w:anchor="hl37" w:history="1">
        <w:r w:rsidRPr="00537118">
          <w:rPr>
            <w:rStyle w:val="Hyperlink"/>
            <w:rFonts w:ascii="Garamond" w:hAnsi="Garamond"/>
          </w:rPr>
          <w:t>https://www.globalpetrolprices.com/electricity_prices/#hl37</w:t>
        </w:r>
      </w:hyperlink>
      <w:r w:rsidRPr="00537118">
        <w:rPr>
          <w:rFonts w:ascii="Garamond" w:hAnsi="Garamond"/>
        </w:rPr>
        <w:t>)</w:t>
      </w:r>
    </w:p>
    <w:p w14:paraId="0A74E1DF" w14:textId="7FF85BD1" w:rsidR="00440744" w:rsidRPr="00537118" w:rsidRDefault="00440744"/>
    <w:p w14:paraId="3266F9E2" w14:textId="4FA7CAE8" w:rsidR="00440744" w:rsidRPr="00537118" w:rsidRDefault="00440744"/>
    <w:p w14:paraId="61D06E22" w14:textId="77777777" w:rsidR="00440744" w:rsidRPr="00537118" w:rsidRDefault="00440744" w:rsidP="00440744">
      <w:pPr>
        <w:rPr>
          <w:rFonts w:ascii="Garamond" w:hAnsi="Garamond"/>
          <w:b/>
          <w:bCs/>
        </w:rPr>
        <w:sectPr w:rsidR="00440744" w:rsidRPr="00537118" w:rsidSect="007938EA">
          <w:pgSz w:w="12240" w:h="15840"/>
          <w:pgMar w:top="1701" w:right="1985" w:bottom="1701" w:left="1418" w:header="720" w:footer="720" w:gutter="0"/>
          <w:cols w:space="720"/>
          <w:docGrid w:linePitch="360"/>
        </w:sectPr>
      </w:pPr>
    </w:p>
    <w:p w14:paraId="43A9E876" w14:textId="31FD1748" w:rsidR="00801527" w:rsidRPr="001E7D30" w:rsidRDefault="00440744" w:rsidP="00440744">
      <w:pPr>
        <w:rPr>
          <w:rFonts w:ascii="Garamond" w:hAnsi="Garamond"/>
          <w:b/>
          <w:bCs/>
        </w:rPr>
      </w:pPr>
      <w:r w:rsidRPr="001E7D30">
        <w:rPr>
          <w:rFonts w:ascii="Garamond" w:hAnsi="Garamond"/>
          <w:b/>
          <w:bCs/>
        </w:rPr>
        <w:lastRenderedPageBreak/>
        <w:t xml:space="preserve">Tabela </w:t>
      </w:r>
      <w:r w:rsidR="001E7D30">
        <w:rPr>
          <w:rFonts w:ascii="Garamond" w:hAnsi="Garamond"/>
          <w:b/>
          <w:bCs/>
        </w:rPr>
        <w:t>A.</w:t>
      </w:r>
      <w:r w:rsidRPr="001E7D30">
        <w:rPr>
          <w:rFonts w:ascii="Garamond" w:hAnsi="Garamond"/>
          <w:b/>
          <w:bCs/>
        </w:rPr>
        <w:t xml:space="preserve">7: Consumo final de eletricidade por Região. </w:t>
      </w:r>
    </w:p>
    <w:p w14:paraId="7217C6D2" w14:textId="16F31415" w:rsidR="00C7682C" w:rsidRDefault="00C7682C" w:rsidP="00440744">
      <w:pPr>
        <w:rPr>
          <w:rFonts w:ascii="Garamond" w:hAnsi="Garamond"/>
        </w:rPr>
      </w:pPr>
      <w:r w:rsidRPr="00C7682C">
        <w:rPr>
          <w:noProof/>
        </w:rPr>
        <w:drawing>
          <wp:inline distT="0" distB="0" distL="0" distR="0" wp14:anchorId="1C7A10B5" wp14:editId="79C2245A">
            <wp:extent cx="7898130" cy="2014220"/>
            <wp:effectExtent l="0" t="0" r="7620" b="5080"/>
            <wp:docPr id="107590919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7898130" cy="2014220"/>
                    </a:xfrm>
                    <a:prstGeom prst="rect">
                      <a:avLst/>
                    </a:prstGeom>
                    <a:noFill/>
                    <a:ln>
                      <a:noFill/>
                    </a:ln>
                  </pic:spPr>
                </pic:pic>
              </a:graphicData>
            </a:graphic>
          </wp:inline>
        </w:drawing>
      </w:r>
    </w:p>
    <w:p w14:paraId="2FAC29F5" w14:textId="06F406EA" w:rsidR="00440744" w:rsidRDefault="00440744" w:rsidP="00440744">
      <w:pPr>
        <w:rPr>
          <w:rFonts w:ascii="Garamond" w:hAnsi="Garamond"/>
          <w:b/>
          <w:bCs/>
        </w:rPr>
      </w:pPr>
      <w:r w:rsidRPr="00537118">
        <w:rPr>
          <w:rFonts w:ascii="Garamond" w:hAnsi="Garamond"/>
        </w:rPr>
        <w:t xml:space="preserve">Fonte: Elaboração </w:t>
      </w:r>
      <w:r w:rsidR="007F114F" w:rsidRPr="00537118">
        <w:rPr>
          <w:rFonts w:ascii="Garamond" w:hAnsi="Garamond"/>
        </w:rPr>
        <w:t>própria</w:t>
      </w:r>
      <w:r w:rsidRPr="00537118">
        <w:rPr>
          <w:rFonts w:ascii="Garamond" w:hAnsi="Garamond"/>
        </w:rPr>
        <w:t>; Fonte dos dados: EnerData (</w:t>
      </w:r>
      <w:hyperlink r:id="rId61" w:history="1">
        <w:r w:rsidR="00C7682C" w:rsidRPr="00B63DF3">
          <w:rPr>
            <w:rStyle w:val="Hyperlink"/>
            <w:rFonts w:ascii="Garamond" w:hAnsi="Garamond"/>
          </w:rPr>
          <w:t>https://eneroutlook.enerdata.net/forecast-world-electricity-consumption.html</w:t>
        </w:r>
      </w:hyperlink>
      <w:r w:rsidRPr="00537118">
        <w:rPr>
          <w:rFonts w:ascii="Garamond" w:hAnsi="Garamond"/>
          <w:b/>
          <w:bCs/>
        </w:rPr>
        <w:t>)</w:t>
      </w:r>
    </w:p>
    <w:p w14:paraId="2958BA69" w14:textId="77777777" w:rsidR="00C7682C" w:rsidRPr="00537118" w:rsidRDefault="00C7682C" w:rsidP="00440744">
      <w:pPr>
        <w:rPr>
          <w:rFonts w:ascii="Garamond" w:hAnsi="Garamond"/>
        </w:rPr>
      </w:pPr>
    </w:p>
    <w:p w14:paraId="581ACE4D" w14:textId="151160ED" w:rsidR="001E7D30" w:rsidRPr="001E7D30" w:rsidRDefault="00440744" w:rsidP="00440744">
      <w:pPr>
        <w:rPr>
          <w:rFonts w:ascii="Garamond" w:hAnsi="Garamond"/>
          <w:b/>
          <w:bCs/>
        </w:rPr>
      </w:pPr>
      <w:r w:rsidRPr="001E7D30">
        <w:rPr>
          <w:rFonts w:ascii="Garamond" w:hAnsi="Garamond"/>
          <w:b/>
          <w:bCs/>
        </w:rPr>
        <w:t xml:space="preserve">Tabela </w:t>
      </w:r>
      <w:r w:rsidR="001E7D30">
        <w:rPr>
          <w:rFonts w:ascii="Garamond" w:hAnsi="Garamond"/>
          <w:b/>
          <w:bCs/>
        </w:rPr>
        <w:t>A.</w:t>
      </w:r>
      <w:r w:rsidRPr="001E7D30">
        <w:rPr>
          <w:rFonts w:ascii="Garamond" w:hAnsi="Garamond"/>
          <w:b/>
          <w:bCs/>
        </w:rPr>
        <w:t xml:space="preserve">8: Crescimento médio por </w:t>
      </w:r>
      <w:r w:rsidR="007F114F" w:rsidRPr="001E7D30">
        <w:rPr>
          <w:rFonts w:ascii="Garamond" w:hAnsi="Garamond"/>
          <w:b/>
          <w:bCs/>
        </w:rPr>
        <w:t>período</w:t>
      </w:r>
      <w:r w:rsidRPr="001E7D30">
        <w:rPr>
          <w:rFonts w:ascii="Garamond" w:hAnsi="Garamond"/>
          <w:b/>
          <w:bCs/>
        </w:rPr>
        <w:t xml:space="preserve">. </w:t>
      </w:r>
    </w:p>
    <w:p w14:paraId="3EE0C3F0" w14:textId="268FE65A" w:rsidR="001E7D30" w:rsidRDefault="001E7D30" w:rsidP="00440744">
      <w:pPr>
        <w:rPr>
          <w:rFonts w:ascii="Garamond" w:hAnsi="Garamond"/>
        </w:rPr>
      </w:pPr>
      <w:r w:rsidRPr="001E7D30">
        <w:rPr>
          <w:noProof/>
        </w:rPr>
        <w:drawing>
          <wp:inline distT="0" distB="0" distL="0" distR="0" wp14:anchorId="6FC68BC7" wp14:editId="750E2D55">
            <wp:extent cx="7898130" cy="1675130"/>
            <wp:effectExtent l="0" t="0" r="7620" b="1270"/>
            <wp:docPr id="33071680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7898130" cy="1675130"/>
                    </a:xfrm>
                    <a:prstGeom prst="rect">
                      <a:avLst/>
                    </a:prstGeom>
                    <a:noFill/>
                    <a:ln>
                      <a:noFill/>
                    </a:ln>
                  </pic:spPr>
                </pic:pic>
              </a:graphicData>
            </a:graphic>
          </wp:inline>
        </w:drawing>
      </w:r>
    </w:p>
    <w:p w14:paraId="7AD268F4" w14:textId="176954A4" w:rsidR="00440744" w:rsidRPr="00537118" w:rsidRDefault="007F114F" w:rsidP="00440744">
      <w:pPr>
        <w:rPr>
          <w:rFonts w:ascii="Garamond" w:hAnsi="Garamond"/>
        </w:rPr>
      </w:pPr>
      <w:r w:rsidRPr="00537118">
        <w:rPr>
          <w:rFonts w:ascii="Garamond" w:hAnsi="Garamond"/>
        </w:rPr>
        <w:t>Fonte: Elaboração</w:t>
      </w:r>
      <w:r w:rsidR="00440744" w:rsidRPr="00537118">
        <w:rPr>
          <w:rFonts w:ascii="Garamond" w:hAnsi="Garamond"/>
        </w:rPr>
        <w:t xml:space="preserve"> </w:t>
      </w:r>
      <w:r w:rsidRPr="00537118">
        <w:rPr>
          <w:rFonts w:ascii="Garamond" w:hAnsi="Garamond"/>
        </w:rPr>
        <w:t>própria</w:t>
      </w:r>
      <w:r w:rsidR="00440744" w:rsidRPr="00537118">
        <w:rPr>
          <w:rFonts w:ascii="Garamond" w:hAnsi="Garamond"/>
        </w:rPr>
        <w:t xml:space="preserve">; Fonte dos dados: Elaboração própria com base na tabela anterior. </w:t>
      </w:r>
    </w:p>
    <w:p w14:paraId="75114762" w14:textId="77777777" w:rsidR="00440744" w:rsidRPr="00537118" w:rsidRDefault="00440744" w:rsidP="00440744">
      <w:pPr>
        <w:rPr>
          <w:rFonts w:ascii="Garamond" w:hAnsi="Garamond"/>
        </w:rPr>
      </w:pPr>
    </w:p>
    <w:p w14:paraId="141DEFD6" w14:textId="77777777" w:rsidR="00440744" w:rsidRPr="00537118" w:rsidRDefault="00440744" w:rsidP="00440744">
      <w:pPr>
        <w:rPr>
          <w:rFonts w:ascii="Garamond" w:hAnsi="Garamond"/>
        </w:rPr>
        <w:sectPr w:rsidR="00440744" w:rsidRPr="00537118" w:rsidSect="007938EA">
          <w:pgSz w:w="15840" w:h="12240" w:orient="landscape"/>
          <w:pgMar w:top="1985" w:right="1701" w:bottom="1418" w:left="1701" w:header="720" w:footer="720" w:gutter="0"/>
          <w:cols w:space="720"/>
          <w:docGrid w:linePitch="360"/>
        </w:sectPr>
      </w:pPr>
    </w:p>
    <w:p w14:paraId="3E7C19ED" w14:textId="50A37787" w:rsidR="00837581" w:rsidRPr="00B965CA" w:rsidRDefault="00440744" w:rsidP="00440744">
      <w:pPr>
        <w:rPr>
          <w:rFonts w:ascii="Garamond" w:hAnsi="Garamond"/>
          <w:b/>
          <w:bCs/>
        </w:rPr>
      </w:pPr>
      <w:r w:rsidRPr="00B965CA">
        <w:rPr>
          <w:rFonts w:ascii="Garamond" w:hAnsi="Garamond"/>
          <w:b/>
          <w:bCs/>
        </w:rPr>
        <w:lastRenderedPageBreak/>
        <w:t xml:space="preserve">Tabela </w:t>
      </w:r>
      <w:r w:rsidR="00B965CA">
        <w:rPr>
          <w:rFonts w:ascii="Garamond" w:hAnsi="Garamond"/>
          <w:b/>
          <w:bCs/>
        </w:rPr>
        <w:t>A.</w:t>
      </w:r>
      <w:r w:rsidRPr="00B965CA">
        <w:rPr>
          <w:rFonts w:ascii="Garamond" w:hAnsi="Garamond"/>
          <w:b/>
          <w:bCs/>
        </w:rPr>
        <w:t xml:space="preserve">9: Crescimento do consumo de eletricidade médio por </w:t>
      </w:r>
      <w:r w:rsidR="007F114F" w:rsidRPr="00B965CA">
        <w:rPr>
          <w:rFonts w:ascii="Garamond" w:hAnsi="Garamond"/>
          <w:b/>
          <w:bCs/>
        </w:rPr>
        <w:t>período</w:t>
      </w:r>
      <w:r w:rsidR="00116CBC" w:rsidRPr="00B965CA">
        <w:rPr>
          <w:rFonts w:ascii="Garamond" w:hAnsi="Garamond"/>
          <w:b/>
          <w:bCs/>
        </w:rPr>
        <w:t xml:space="preserve"> (</w:t>
      </w:r>
      <w:r w:rsidRPr="00B965CA">
        <w:rPr>
          <w:rFonts w:ascii="Garamond" w:hAnsi="Garamond"/>
          <w:b/>
          <w:bCs/>
        </w:rPr>
        <w:t>por país</w:t>
      </w:r>
      <w:r w:rsidR="00116CBC" w:rsidRPr="00B965CA">
        <w:rPr>
          <w:rFonts w:ascii="Garamond" w:hAnsi="Garamond"/>
          <w:b/>
          <w:bCs/>
        </w:rPr>
        <w:t>)</w:t>
      </w:r>
      <w:r w:rsidRPr="00B965CA">
        <w:rPr>
          <w:rFonts w:ascii="Garamond" w:hAnsi="Garamond"/>
          <w:b/>
          <w:bCs/>
        </w:rPr>
        <w:t xml:space="preserve">. </w:t>
      </w:r>
    </w:p>
    <w:p w14:paraId="7EC5AF3C" w14:textId="11771D8E" w:rsidR="00837581" w:rsidRDefault="00837581" w:rsidP="00440744">
      <w:pPr>
        <w:rPr>
          <w:rFonts w:ascii="Garamond" w:hAnsi="Garamond"/>
        </w:rPr>
      </w:pPr>
      <w:r w:rsidRPr="00837581">
        <w:rPr>
          <w:noProof/>
        </w:rPr>
        <w:drawing>
          <wp:inline distT="0" distB="0" distL="0" distR="0" wp14:anchorId="0E5408E7" wp14:editId="7BCD63B5">
            <wp:extent cx="3274695" cy="3625850"/>
            <wp:effectExtent l="0" t="0" r="1905" b="0"/>
            <wp:docPr id="113872272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274695" cy="3625850"/>
                    </a:xfrm>
                    <a:prstGeom prst="rect">
                      <a:avLst/>
                    </a:prstGeom>
                    <a:noFill/>
                    <a:ln>
                      <a:noFill/>
                    </a:ln>
                  </pic:spPr>
                </pic:pic>
              </a:graphicData>
            </a:graphic>
          </wp:inline>
        </w:drawing>
      </w:r>
    </w:p>
    <w:p w14:paraId="322225C3" w14:textId="39FB7509" w:rsidR="00440744" w:rsidRPr="00537118" w:rsidRDefault="00440744" w:rsidP="00440744">
      <w:pPr>
        <w:rPr>
          <w:rFonts w:ascii="Garamond" w:hAnsi="Garamond"/>
        </w:rPr>
      </w:pPr>
      <w:r w:rsidRPr="00537118">
        <w:rPr>
          <w:rFonts w:ascii="Garamond" w:hAnsi="Garamond"/>
        </w:rPr>
        <w:t xml:space="preserve">Fonte: </w:t>
      </w:r>
      <w:r w:rsidR="007F114F" w:rsidRPr="00537118">
        <w:rPr>
          <w:rFonts w:ascii="Garamond" w:hAnsi="Garamond"/>
        </w:rPr>
        <w:t>Elaboração</w:t>
      </w:r>
      <w:r w:rsidRPr="00537118">
        <w:rPr>
          <w:rFonts w:ascii="Garamond" w:hAnsi="Garamond"/>
        </w:rPr>
        <w:t xml:space="preserve"> </w:t>
      </w:r>
      <w:r w:rsidR="007F114F" w:rsidRPr="00537118">
        <w:rPr>
          <w:rFonts w:ascii="Garamond" w:hAnsi="Garamond"/>
        </w:rPr>
        <w:t>própria</w:t>
      </w:r>
      <w:r w:rsidRPr="00537118">
        <w:rPr>
          <w:rFonts w:ascii="Garamond" w:hAnsi="Garamond"/>
        </w:rPr>
        <w:t xml:space="preserve"> com base na tabela anterior.</w:t>
      </w:r>
    </w:p>
    <w:p w14:paraId="3A81CDF8" w14:textId="5BFB4BB4" w:rsidR="00CB2366" w:rsidRPr="00537118" w:rsidRDefault="00CB2366">
      <w:pPr>
        <w:rPr>
          <w:rFonts w:ascii="Garamond" w:eastAsiaTheme="majorEastAsia" w:hAnsi="Garamond" w:cstheme="majorBidi"/>
          <w:b/>
          <w:color w:val="000000" w:themeColor="text1"/>
          <w:sz w:val="28"/>
          <w:szCs w:val="32"/>
        </w:rPr>
      </w:pPr>
    </w:p>
    <w:p w14:paraId="17D97899" w14:textId="77777777" w:rsidR="005E06DE" w:rsidRPr="00537118" w:rsidRDefault="005E06DE">
      <w:pPr>
        <w:rPr>
          <w:rFonts w:ascii="Garamond" w:eastAsiaTheme="majorEastAsia" w:hAnsi="Garamond" w:cstheme="majorBidi"/>
          <w:b/>
          <w:color w:val="000000" w:themeColor="text1"/>
          <w:sz w:val="28"/>
          <w:szCs w:val="32"/>
        </w:rPr>
      </w:pPr>
    </w:p>
    <w:p w14:paraId="100CE853" w14:textId="77777777" w:rsidR="005E06DE" w:rsidRPr="00537118" w:rsidRDefault="005E06DE">
      <w:pPr>
        <w:rPr>
          <w:rFonts w:ascii="Garamond" w:eastAsiaTheme="majorEastAsia" w:hAnsi="Garamond" w:cstheme="majorBidi"/>
          <w:b/>
          <w:color w:val="000000" w:themeColor="text1"/>
          <w:sz w:val="28"/>
          <w:szCs w:val="32"/>
        </w:rPr>
      </w:pPr>
    </w:p>
    <w:p w14:paraId="66D1BD72" w14:textId="77777777" w:rsidR="005E06DE" w:rsidRPr="00537118" w:rsidRDefault="005E06DE">
      <w:pPr>
        <w:rPr>
          <w:rFonts w:ascii="Garamond" w:eastAsiaTheme="majorEastAsia" w:hAnsi="Garamond" w:cstheme="majorBidi"/>
          <w:b/>
          <w:color w:val="000000" w:themeColor="text1"/>
          <w:sz w:val="28"/>
          <w:szCs w:val="32"/>
        </w:rPr>
      </w:pPr>
    </w:p>
    <w:p w14:paraId="7DC35A7A" w14:textId="77777777" w:rsidR="005E06DE" w:rsidRPr="00537118" w:rsidRDefault="005E06DE">
      <w:pPr>
        <w:rPr>
          <w:rFonts w:ascii="Garamond" w:eastAsiaTheme="majorEastAsia" w:hAnsi="Garamond" w:cstheme="majorBidi"/>
          <w:b/>
          <w:color w:val="000000" w:themeColor="text1"/>
          <w:sz w:val="28"/>
          <w:szCs w:val="32"/>
        </w:rPr>
      </w:pPr>
    </w:p>
    <w:p w14:paraId="3A0A00F2" w14:textId="77777777" w:rsidR="005E06DE" w:rsidRPr="00537118" w:rsidRDefault="005E06DE">
      <w:pPr>
        <w:rPr>
          <w:rFonts w:ascii="Garamond" w:eastAsiaTheme="majorEastAsia" w:hAnsi="Garamond" w:cstheme="majorBidi"/>
          <w:b/>
          <w:color w:val="000000" w:themeColor="text1"/>
          <w:sz w:val="28"/>
          <w:szCs w:val="32"/>
        </w:rPr>
      </w:pPr>
    </w:p>
    <w:p w14:paraId="378B84EB" w14:textId="77777777" w:rsidR="005E06DE" w:rsidRPr="00537118" w:rsidRDefault="005E06DE">
      <w:pPr>
        <w:rPr>
          <w:rFonts w:ascii="Garamond" w:eastAsiaTheme="majorEastAsia" w:hAnsi="Garamond" w:cstheme="majorBidi"/>
          <w:b/>
          <w:color w:val="000000" w:themeColor="text1"/>
          <w:sz w:val="28"/>
          <w:szCs w:val="32"/>
        </w:rPr>
      </w:pPr>
    </w:p>
    <w:p w14:paraId="37299920" w14:textId="77777777" w:rsidR="005E06DE" w:rsidRPr="00537118" w:rsidRDefault="005E06DE">
      <w:pPr>
        <w:rPr>
          <w:rFonts w:ascii="Garamond" w:eastAsiaTheme="majorEastAsia" w:hAnsi="Garamond" w:cstheme="majorBidi"/>
          <w:b/>
          <w:color w:val="000000" w:themeColor="text1"/>
          <w:sz w:val="28"/>
          <w:szCs w:val="32"/>
        </w:rPr>
      </w:pPr>
    </w:p>
    <w:p w14:paraId="3BC6375A" w14:textId="77777777" w:rsidR="005E06DE" w:rsidRPr="00537118" w:rsidRDefault="005E06DE">
      <w:pPr>
        <w:rPr>
          <w:rFonts w:ascii="Garamond" w:eastAsiaTheme="majorEastAsia" w:hAnsi="Garamond" w:cstheme="majorBidi"/>
          <w:b/>
          <w:color w:val="000000" w:themeColor="text1"/>
          <w:sz w:val="28"/>
          <w:szCs w:val="32"/>
        </w:rPr>
      </w:pPr>
    </w:p>
    <w:p w14:paraId="28F81A5C" w14:textId="77777777" w:rsidR="005E06DE" w:rsidRPr="00537118" w:rsidRDefault="005E06DE">
      <w:pPr>
        <w:rPr>
          <w:rFonts w:ascii="Garamond" w:eastAsiaTheme="majorEastAsia" w:hAnsi="Garamond" w:cstheme="majorBidi"/>
          <w:b/>
          <w:color w:val="000000" w:themeColor="text1"/>
          <w:sz w:val="28"/>
          <w:szCs w:val="32"/>
        </w:rPr>
      </w:pPr>
    </w:p>
    <w:p w14:paraId="21429C0D" w14:textId="77777777" w:rsidR="005E06DE" w:rsidRPr="00537118" w:rsidRDefault="005E06DE">
      <w:pPr>
        <w:rPr>
          <w:rFonts w:ascii="Garamond" w:eastAsiaTheme="majorEastAsia" w:hAnsi="Garamond" w:cstheme="majorBidi"/>
          <w:b/>
          <w:color w:val="000000" w:themeColor="text1"/>
          <w:sz w:val="28"/>
          <w:szCs w:val="32"/>
        </w:rPr>
      </w:pPr>
    </w:p>
    <w:p w14:paraId="4F08943F" w14:textId="77777777" w:rsidR="005E06DE" w:rsidRPr="00537118" w:rsidRDefault="005E06DE" w:rsidP="005E06DE">
      <w:pPr>
        <w:jc w:val="both"/>
        <w:rPr>
          <w:rFonts w:ascii="Garamond" w:hAnsi="Garamond"/>
        </w:rPr>
        <w:sectPr w:rsidR="005E06DE" w:rsidRPr="00537118" w:rsidSect="007938EA">
          <w:pgSz w:w="12240" w:h="15840"/>
          <w:pgMar w:top="1701" w:right="1985" w:bottom="1701" w:left="1418" w:header="720" w:footer="720" w:gutter="0"/>
          <w:cols w:space="720"/>
          <w:docGrid w:linePitch="360"/>
        </w:sectPr>
      </w:pPr>
    </w:p>
    <w:p w14:paraId="6124E9C6" w14:textId="3E5509F4" w:rsidR="00B965CA" w:rsidRDefault="00DA7DC7" w:rsidP="005E06DE">
      <w:pPr>
        <w:jc w:val="both"/>
        <w:rPr>
          <w:rFonts w:ascii="Garamond" w:hAnsi="Garamond"/>
          <w:b/>
          <w:bCs/>
        </w:rPr>
      </w:pPr>
      <w:r w:rsidRPr="00DA7DC7">
        <w:rPr>
          <w:noProof/>
        </w:rPr>
        <w:lastRenderedPageBreak/>
        <w:drawing>
          <wp:anchor distT="0" distB="0" distL="114300" distR="114300" simplePos="0" relativeHeight="251737088" behindDoc="0" locked="0" layoutInCell="1" allowOverlap="1" wp14:anchorId="73EDBD9E" wp14:editId="04CDB5CA">
            <wp:simplePos x="0" y="0"/>
            <wp:positionH relativeFrom="margin">
              <wp:align>center</wp:align>
            </wp:positionH>
            <wp:positionV relativeFrom="margin">
              <wp:posOffset>334010</wp:posOffset>
            </wp:positionV>
            <wp:extent cx="9919970" cy="2647315"/>
            <wp:effectExtent l="0" t="0" r="5080" b="635"/>
            <wp:wrapSquare wrapText="bothSides"/>
            <wp:docPr id="93495697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9919970" cy="26473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E06DE" w:rsidRPr="00B965CA">
        <w:rPr>
          <w:rFonts w:ascii="Garamond" w:hAnsi="Garamond"/>
          <w:b/>
          <w:bCs/>
        </w:rPr>
        <w:t xml:space="preserve">Tabela </w:t>
      </w:r>
      <w:r w:rsidR="00F457AE">
        <w:rPr>
          <w:rFonts w:ascii="Garamond" w:hAnsi="Garamond"/>
          <w:b/>
          <w:bCs/>
        </w:rPr>
        <w:t>A.</w:t>
      </w:r>
      <w:r w:rsidR="005E06DE" w:rsidRPr="00B965CA">
        <w:rPr>
          <w:rFonts w:ascii="Garamond" w:hAnsi="Garamond"/>
          <w:b/>
          <w:bCs/>
        </w:rPr>
        <w:t xml:space="preserve">10: Triagem 2. </w:t>
      </w:r>
    </w:p>
    <w:p w14:paraId="0918C7B7" w14:textId="3EA247E9" w:rsidR="00DA7DC7" w:rsidRPr="00B965CA" w:rsidRDefault="00DA7DC7" w:rsidP="005E06DE">
      <w:pPr>
        <w:jc w:val="both"/>
        <w:rPr>
          <w:rFonts w:ascii="Garamond" w:hAnsi="Garamond"/>
          <w:b/>
          <w:bCs/>
        </w:rPr>
      </w:pPr>
    </w:p>
    <w:p w14:paraId="172C2462" w14:textId="27DC352D" w:rsidR="005E06DE" w:rsidRPr="004F1A3D" w:rsidRDefault="005E06DE" w:rsidP="004F1A3D">
      <w:pPr>
        <w:jc w:val="both"/>
        <w:rPr>
          <w:rFonts w:ascii="Garamond" w:hAnsi="Garamond"/>
        </w:rPr>
        <w:sectPr w:rsidR="005E06DE" w:rsidRPr="004F1A3D" w:rsidSect="007938EA">
          <w:pgSz w:w="15840" w:h="12240" w:orient="landscape"/>
          <w:pgMar w:top="1985" w:right="1701" w:bottom="1418" w:left="1701" w:header="720" w:footer="720" w:gutter="0"/>
          <w:cols w:space="720"/>
          <w:docGrid w:linePitch="360"/>
        </w:sectPr>
      </w:pPr>
      <w:r w:rsidRPr="00537118">
        <w:rPr>
          <w:rFonts w:ascii="Garamond" w:hAnsi="Garamond"/>
        </w:rPr>
        <w:t>Fonte: Elaboração própria. Fonte</w:t>
      </w:r>
      <w:r w:rsidR="00CE2A90" w:rsidRPr="00537118">
        <w:rPr>
          <w:rFonts w:ascii="Garamond" w:hAnsi="Garamond"/>
        </w:rPr>
        <w:t>s</w:t>
      </w:r>
      <w:r w:rsidRPr="00537118">
        <w:rPr>
          <w:rFonts w:ascii="Garamond" w:hAnsi="Garamond"/>
        </w:rPr>
        <w:t xml:space="preserve"> dos dados: Solar MW installed- Visual capitalist (</w:t>
      </w:r>
      <w:hyperlink r:id="rId65" w:history="1">
        <w:r w:rsidRPr="00537118">
          <w:rPr>
            <w:rStyle w:val="Hyperlink"/>
            <w:rFonts w:ascii="Garamond" w:hAnsi="Garamond"/>
          </w:rPr>
          <w:t>https://www.visualcapitalist.com/countries-by-solar-power-ranking</w:t>
        </w:r>
      </w:hyperlink>
      <w:r w:rsidRPr="00537118">
        <w:rPr>
          <w:rFonts w:ascii="Garamond" w:hAnsi="Garamond"/>
        </w:rPr>
        <w:t>);</w:t>
      </w:r>
      <w:r w:rsidR="00CE2A90" w:rsidRPr="00537118">
        <w:rPr>
          <w:rFonts w:ascii="Garamond" w:hAnsi="Garamond"/>
        </w:rPr>
        <w:t xml:space="preserve"> </w:t>
      </w:r>
      <w:r w:rsidRPr="00537118">
        <w:rPr>
          <w:rFonts w:ascii="Garamond" w:hAnsi="Garamond"/>
        </w:rPr>
        <w:t>PVOUT – Global Solar Atlas (</w:t>
      </w:r>
      <w:hyperlink r:id="rId66" w:history="1">
        <w:r w:rsidRPr="00537118">
          <w:rPr>
            <w:rStyle w:val="Hyperlink"/>
            <w:rFonts w:ascii="Garamond" w:hAnsi="Garamond"/>
          </w:rPr>
          <w:t>https://globalsolaratlas.info/map</w:t>
        </w:r>
      </w:hyperlink>
      <w:r w:rsidRPr="00537118">
        <w:rPr>
          <w:rFonts w:ascii="Garamond" w:hAnsi="Garamond"/>
        </w:rPr>
        <w:t>); EPI – Environmental Performance Index (</w:t>
      </w:r>
      <w:hyperlink r:id="rId67" w:history="1">
        <w:r w:rsidRPr="00537118">
          <w:rPr>
            <w:rStyle w:val="Hyperlink"/>
            <w:rFonts w:ascii="Garamond" w:hAnsi="Garamond"/>
          </w:rPr>
          <w:t>https://epi.yale.edu/measure/2024/EPI</w:t>
        </w:r>
      </w:hyperlink>
      <w:r w:rsidRPr="00537118">
        <w:rPr>
          <w:rFonts w:ascii="Garamond" w:hAnsi="Garamond"/>
        </w:rPr>
        <w:t>).  WorldRiskIndex – Institute for International Law of peace and armed Conflict (</w:t>
      </w:r>
      <w:hyperlink r:id="rId68" w:history="1">
        <w:r w:rsidRPr="00537118">
          <w:rPr>
            <w:rStyle w:val="Hyperlink"/>
            <w:rFonts w:ascii="Garamond" w:hAnsi="Garamond"/>
          </w:rPr>
          <w:t>https://www.ifhv.de/publications/world-risk-report</w:t>
        </w:r>
      </w:hyperlink>
      <w:r w:rsidRPr="00537118">
        <w:rPr>
          <w:rFonts w:ascii="Garamond" w:hAnsi="Garamond"/>
        </w:rPr>
        <w:t xml:space="preserve">);  Eletricidade preço – elaboração </w:t>
      </w:r>
      <w:r w:rsidR="007F114F" w:rsidRPr="00537118">
        <w:rPr>
          <w:rFonts w:ascii="Garamond" w:hAnsi="Garamond"/>
        </w:rPr>
        <w:t>própria</w:t>
      </w:r>
      <w:r w:rsidRPr="00537118">
        <w:rPr>
          <w:rFonts w:ascii="Garamond" w:hAnsi="Garamond"/>
        </w:rPr>
        <w:t xml:space="preserve"> com base em Global Petrol Prices (</w:t>
      </w:r>
      <w:hyperlink r:id="rId69" w:anchor="hl37" w:history="1">
        <w:r w:rsidRPr="00537118">
          <w:rPr>
            <w:rStyle w:val="Hyperlink"/>
            <w:rFonts w:ascii="Garamond" w:hAnsi="Garamond"/>
          </w:rPr>
          <w:t>https://www.globalpetrolprices.com/electricity_prices/#hl37</w:t>
        </w:r>
      </w:hyperlink>
      <w:r w:rsidR="00CE2A90" w:rsidRPr="00537118">
        <w:rPr>
          <w:rFonts w:ascii="Garamond" w:hAnsi="Garamond"/>
        </w:rPr>
        <w:t>;</w:t>
      </w:r>
      <w:r w:rsidRPr="00537118">
        <w:rPr>
          <w:rFonts w:ascii="Garamond" w:hAnsi="Garamond"/>
        </w:rPr>
        <w:t>. Energy Consumption – Elaboração própria com base em Enerdata (</w:t>
      </w:r>
      <w:hyperlink r:id="rId70" w:history="1">
        <w:r w:rsidRPr="00537118">
          <w:rPr>
            <w:rStyle w:val="Hyperlink"/>
            <w:rFonts w:ascii="Garamond" w:hAnsi="Garamond"/>
          </w:rPr>
          <w:t>https://eneroutlook.enerdata.net/forecast-world-electricity-consumption.html</w:t>
        </w:r>
      </w:hyperlink>
      <w:r w:rsidRPr="00537118">
        <w:rPr>
          <w:rFonts w:ascii="Garamond" w:hAnsi="Garamond"/>
        </w:rPr>
        <w:t>).</w:t>
      </w:r>
    </w:p>
    <w:p w14:paraId="5FED5804" w14:textId="50CEC95D" w:rsidR="00E7551C" w:rsidRPr="009B6E22" w:rsidRDefault="004F1A3D" w:rsidP="004F1A3D">
      <w:pPr>
        <w:rPr>
          <w:rFonts w:ascii="Garamond" w:hAnsi="Garamond"/>
        </w:rPr>
      </w:pPr>
      <w:r w:rsidRPr="00537118">
        <w:rPr>
          <w:rFonts w:ascii="Gill Sans MT" w:hAnsi="Gill Sans MT" w:cs="Gill Sans"/>
          <w:b/>
          <w:bCs/>
          <w:caps/>
          <w:noProof/>
          <w:spacing w:val="67"/>
          <w:sz w:val="96"/>
          <w:szCs w:val="96"/>
          <w:lang w:eastAsia="pt-PT"/>
        </w:rPr>
        <w:lastRenderedPageBreak/>
        <mc:AlternateContent>
          <mc:Choice Requires="wps">
            <w:drawing>
              <wp:anchor distT="0" distB="0" distL="114300" distR="114300" simplePos="0" relativeHeight="251743232" behindDoc="1" locked="0" layoutInCell="1" allowOverlap="1" wp14:anchorId="47EAEC95" wp14:editId="1A82F92E">
                <wp:simplePos x="882502" y="265814"/>
                <wp:positionH relativeFrom="margin">
                  <wp:align>center</wp:align>
                </wp:positionH>
                <wp:positionV relativeFrom="margin">
                  <wp:align>top</wp:align>
                </wp:positionV>
                <wp:extent cx="4572000" cy="228600"/>
                <wp:effectExtent l="0" t="0" r="0" b="0"/>
                <wp:wrapSquare wrapText="bothSides"/>
                <wp:docPr id="861971730" name="Text Box 861971730"/>
                <wp:cNvGraphicFramePr/>
                <a:graphic xmlns:a="http://schemas.openxmlformats.org/drawingml/2006/main">
                  <a:graphicData uri="http://schemas.microsoft.com/office/word/2010/wordprocessingShape">
                    <wps:wsp>
                      <wps:cNvSpPr txBox="1"/>
                      <wps:spPr>
                        <a:xfrm rot="5400000">
                          <a:off x="0" y="0"/>
                          <a:ext cx="4572000" cy="2286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8DB9015" w14:textId="77777777" w:rsidR="004F1A3D" w:rsidRPr="00537118" w:rsidRDefault="004F1A3D" w:rsidP="004F1A3D">
                            <w:pPr>
                              <w:pStyle w:val="BasicParagraph"/>
                              <w:suppressAutoHyphens/>
                              <w:rPr>
                                <w:rFonts w:ascii="Gill Sans MT" w:hAnsi="Gill Sans MT" w:cs="GillSans"/>
                                <w:caps/>
                                <w:sz w:val="20"/>
                                <w:szCs w:val="20"/>
                                <w:lang w:val="pt-PT"/>
                              </w:rPr>
                            </w:pPr>
                            <w:r w:rsidRPr="00537118">
                              <w:rPr>
                                <w:rFonts w:ascii="Gill Sans MT" w:hAnsi="Gill Sans MT" w:cs="GillSans"/>
                                <w:caps/>
                                <w:sz w:val="20"/>
                                <w:szCs w:val="20"/>
                                <w:lang w:val="pt-PT"/>
                              </w:rPr>
                              <w:t xml:space="preserve">faculdade de </w:t>
                            </w:r>
                            <w:r w:rsidRPr="00537118">
                              <w:rPr>
                                <w:rFonts w:ascii="Gill Sans MT" w:hAnsi="Gill Sans MT" w:cs="GillSans"/>
                                <w:b/>
                                <w:caps/>
                                <w:sz w:val="20"/>
                                <w:szCs w:val="20"/>
                                <w:lang w:val="pt-PT"/>
                              </w:rPr>
                              <w:t>ECONOMIA</w:t>
                            </w:r>
                          </w:p>
                          <w:p w14:paraId="6A333DC8" w14:textId="77777777" w:rsidR="004F1A3D" w:rsidRPr="00537118" w:rsidRDefault="004F1A3D" w:rsidP="004F1A3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7EAEC95" id="_x0000_t202" coordsize="21600,21600" o:spt="202" path="m,l,21600r21600,l21600,xe">
                <v:stroke joinstyle="miter"/>
                <v:path gradientshapeok="t" o:connecttype="rect"/>
              </v:shapetype>
              <v:shape id="Text Box 861971730" o:spid="_x0000_s1026" type="#_x0000_t202" style="position:absolute;margin-left:0;margin-top:0;width:5in;height:18pt;rotation:90;z-index:-251573248;visibility:visible;mso-wrap-style:square;mso-height-percent:0;mso-wrap-distance-left:9pt;mso-wrap-distance-top:0;mso-wrap-distance-right:9pt;mso-wrap-distance-bottom:0;mso-position-horizontal:center;mso-position-horizontal-relative:margin;mso-position-vertical:top;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" filled="f" stroked="f">
                <v:textbox>
                  <w:txbxContent>
                    <w:p w14:paraId="08DB9015" w14:textId="77777777" w:rsidR="004F1A3D" w:rsidRPr="00537118" w:rsidRDefault="004F1A3D" w:rsidP="004F1A3D">
                      <w:pPr>
                        <w:pStyle w:val="BasicParagraph"/>
                        <w:suppressAutoHyphens/>
                        <w:rPr>
                          <w:rFonts w:ascii="Gill Sans MT" w:hAnsi="Gill Sans MT" w:cs="GillSans"/>
                          <w:caps/>
                          <w:sz w:val="20"/>
                          <w:szCs w:val="20"/>
                          <w:lang w:val="pt-PT"/>
                        </w:rPr>
                      </w:pPr>
                      <w:r w:rsidRPr="00537118">
                        <w:rPr>
                          <w:rFonts w:ascii="Gill Sans MT" w:hAnsi="Gill Sans MT" w:cs="GillSans"/>
                          <w:caps/>
                          <w:sz w:val="20"/>
                          <w:szCs w:val="20"/>
                          <w:lang w:val="pt-PT"/>
                        </w:rPr>
                        <w:t xml:space="preserve">faculdade de </w:t>
                      </w:r>
                      <w:r w:rsidRPr="00537118">
                        <w:rPr>
                          <w:rFonts w:ascii="Gill Sans MT" w:hAnsi="Gill Sans MT" w:cs="GillSans"/>
                          <w:b/>
                          <w:caps/>
                          <w:sz w:val="20"/>
                          <w:szCs w:val="20"/>
                          <w:lang w:val="pt-PT"/>
                        </w:rPr>
                        <w:t>ECONOMIA</w:t>
                      </w:r>
                    </w:p>
                    <w:p w14:paraId="6A333DC8" w14:textId="77777777" w:rsidR="004F1A3D" w:rsidRPr="00537118" w:rsidRDefault="004F1A3D" w:rsidP="004F1A3D"/>
                  </w:txbxContent>
                </v:textbox>
                <w10:wrap type="square" anchorx="margin" anchory="margin"/>
              </v:shape>
            </w:pict>
          </mc:Fallback>
        </mc:AlternateContent>
      </w:r>
      <w:r w:rsidRPr="00537118">
        <w:rPr>
          <w:noProof/>
          <w:lang w:eastAsia="pt-PT"/>
        </w:rPr>
        <mc:AlternateContent>
          <mc:Choice Requires="wpg">
            <w:drawing>
              <wp:anchor distT="0" distB="0" distL="114300" distR="114300" simplePos="0" relativeHeight="251742208" behindDoc="0" locked="0" layoutInCell="1" allowOverlap="1" wp14:anchorId="2D9E2684" wp14:editId="27385066">
                <wp:simplePos x="0" y="0"/>
                <wp:positionH relativeFrom="margin">
                  <wp:posOffset>2567940</wp:posOffset>
                </wp:positionH>
                <wp:positionV relativeFrom="paragraph">
                  <wp:posOffset>7143588</wp:posOffset>
                </wp:positionV>
                <wp:extent cx="447675" cy="1828800"/>
                <wp:effectExtent l="0" t="0" r="28575" b="19050"/>
                <wp:wrapNone/>
                <wp:docPr id="1494619264" name="Group 5"/>
                <wp:cNvGraphicFramePr/>
                <a:graphic xmlns:a="http://schemas.openxmlformats.org/drawingml/2006/main">
                  <a:graphicData uri="http://schemas.microsoft.com/office/word/2010/wordprocessingGroup">
                    <wpg:wgp>
                      <wpg:cNvGrpSpPr/>
                      <wpg:grpSpPr>
                        <a:xfrm>
                          <a:off x="0" y="0"/>
                          <a:ext cx="447675" cy="1828800"/>
                          <a:chOff x="9525" y="0"/>
                          <a:chExt cx="447675" cy="1828800"/>
                        </a:xfrm>
                      </wpg:grpSpPr>
                      <wps:wsp>
                        <wps:cNvPr id="879692215" name="Rectangle 879692215"/>
                        <wps:cNvSpPr/>
                        <wps:spPr>
                          <a:xfrm>
                            <a:off x="9525" y="0"/>
                            <a:ext cx="228600" cy="1828800"/>
                          </a:xfrm>
                          <a:prstGeom prst="rect">
                            <a:avLst/>
                          </a:prstGeom>
                          <a:solidFill>
                            <a:srgbClr val="F6333E"/>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0983350" name="Rectangle 640983350"/>
                        <wps:cNvSpPr/>
                        <wps:spPr>
                          <a:xfrm>
                            <a:off x="228600" y="0"/>
                            <a:ext cx="228600" cy="1828800"/>
                          </a:xfrm>
                          <a:prstGeom prst="rect">
                            <a:avLst/>
                          </a:prstGeom>
                          <a:solidFill>
                            <a:schemeClr val="bg1"/>
                          </a:solidFill>
                          <a:ln>
                            <a:solidFill>
                              <a:srgbClr val="F6333E"/>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391B95BA" id="Group 5" o:spid="_x0000_s1026" style="position:absolute;margin-left:202.2pt;margin-top:562.5pt;width:35.25pt;height:2in;z-index:251742208;mso-position-horizontal-relative:margin;mso-width-relative:margin" coordorigin="95" coordsize="4476,1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">
                <v:rect id="Rectangle 879692215" o:spid="_x0000_s1027" style="position:absolute;left:95;width:2286;height:18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" fillcolor="#f6333e" stroked="f" strokeweight=".5pt"/>
                <v:rect id="Rectangle 640983350" o:spid="_x0000_s1028" style="position:absolute;left:2286;width:2286;height:18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" fillcolor="white [3212]" strokecolor="#f6333e" strokeweight=".5pt"/>
                <w10:wrap anchorx="margin"/>
              </v:group>
            </w:pict>
          </mc:Fallback>
        </mc:AlternateContent>
      </w:r>
    </w:p>
    <w:sectPr w:rsidR="00E7551C" w:rsidRPr="009B6E22" w:rsidSect="001C417B">
      <w:footerReference w:type="default" r:id="rId71"/>
      <w:pgSz w:w="12240" w:h="15840"/>
      <w:pgMar w:top="1701" w:right="1985"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B82FA" w14:textId="77777777" w:rsidR="001B09A7" w:rsidRPr="00537118" w:rsidRDefault="001B09A7" w:rsidP="007A1676">
      <w:pPr>
        <w:spacing w:after="0" w:line="240" w:lineRule="auto"/>
      </w:pPr>
      <w:r w:rsidRPr="00537118">
        <w:separator/>
      </w:r>
    </w:p>
  </w:endnote>
  <w:endnote w:type="continuationSeparator" w:id="0">
    <w:p w14:paraId="1F327ACD" w14:textId="77777777" w:rsidR="001B09A7" w:rsidRPr="00537118" w:rsidRDefault="001B09A7" w:rsidP="007A1676">
      <w:pPr>
        <w:spacing w:after="0" w:line="240" w:lineRule="auto"/>
      </w:pPr>
      <w:r w:rsidRPr="005371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Gill Sans">
    <w:charset w:val="B1"/>
    <w:family w:val="swiss"/>
    <w:pitch w:val="variable"/>
    <w:sig w:usb0="80000A67" w:usb1="00000000" w:usb2="00000000" w:usb3="00000000" w:csb0="000001F7" w:csb1="00000000"/>
  </w:font>
  <w:font w:name="GillSans">
    <w:altName w:val="Gill Sans"/>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5527673"/>
      <w:docPartObj>
        <w:docPartGallery w:val="Page Numbers (Bottom of Page)"/>
        <w:docPartUnique/>
      </w:docPartObj>
    </w:sdtPr>
    <w:sdtContent>
      <w:p w14:paraId="47763ECD" w14:textId="19CE36E7" w:rsidR="00EE0C33" w:rsidRPr="00537118" w:rsidRDefault="00EE0C33">
        <w:pPr>
          <w:pStyle w:val="Footer"/>
          <w:jc w:val="right"/>
        </w:pPr>
        <w:r w:rsidRPr="00537118">
          <w:fldChar w:fldCharType="begin"/>
        </w:r>
        <w:r w:rsidRPr="00537118">
          <w:instrText xml:space="preserve"> PAGE   \* MERGEFORMAT </w:instrText>
        </w:r>
        <w:r w:rsidRPr="00537118">
          <w:fldChar w:fldCharType="separate"/>
        </w:r>
        <w:r w:rsidRPr="00537118">
          <w:t>2</w:t>
        </w:r>
        <w:r w:rsidRPr="00537118">
          <w:fldChar w:fldCharType="end"/>
        </w:r>
      </w:p>
    </w:sdtContent>
  </w:sdt>
  <w:p w14:paraId="7FDD8FC0" w14:textId="77777777" w:rsidR="00EE0C33" w:rsidRPr="00537118" w:rsidRDefault="00EE0C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6275440"/>
      <w:docPartObj>
        <w:docPartGallery w:val="Page Numbers (Bottom of Page)"/>
        <w:docPartUnique/>
      </w:docPartObj>
    </w:sdtPr>
    <w:sdtContent>
      <w:p w14:paraId="23BAAD38" w14:textId="77777777" w:rsidR="001C417B" w:rsidRDefault="001C417B">
        <w:pPr>
          <w:pStyle w:val="Footer"/>
          <w:jc w:val="right"/>
        </w:pPr>
        <w:r>
          <w:fldChar w:fldCharType="begin"/>
        </w:r>
        <w:r>
          <w:instrText xml:space="preserve"> PAGE   \* MERGEFORMAT </w:instrText>
        </w:r>
        <w:r>
          <w:fldChar w:fldCharType="separate"/>
        </w:r>
        <w:r>
          <w:t>2</w:t>
        </w:r>
        <w:r>
          <w:fldChar w:fldCharType="end"/>
        </w:r>
      </w:p>
    </w:sdtContent>
  </w:sdt>
  <w:p w14:paraId="4B93F610" w14:textId="77777777" w:rsidR="001C417B" w:rsidRDefault="001C417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FDB41" w14:textId="3E02A0A3" w:rsidR="002F205C" w:rsidRDefault="002F205C">
    <w:pPr>
      <w:pStyle w:val="Footer"/>
      <w:jc w:val="right"/>
    </w:pPr>
  </w:p>
  <w:p w14:paraId="73BAFEF6" w14:textId="77777777" w:rsidR="002F205C" w:rsidRDefault="002F20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61599" w14:textId="77777777" w:rsidR="001B09A7" w:rsidRPr="00537118" w:rsidRDefault="001B09A7" w:rsidP="007A1676">
      <w:pPr>
        <w:spacing w:after="0" w:line="240" w:lineRule="auto"/>
      </w:pPr>
      <w:r w:rsidRPr="00537118">
        <w:separator/>
      </w:r>
    </w:p>
  </w:footnote>
  <w:footnote w:type="continuationSeparator" w:id="0">
    <w:p w14:paraId="4797E822" w14:textId="77777777" w:rsidR="001B09A7" w:rsidRPr="00537118" w:rsidRDefault="001B09A7" w:rsidP="007A1676">
      <w:pPr>
        <w:spacing w:after="0" w:line="240" w:lineRule="auto"/>
      </w:pPr>
      <w:r w:rsidRPr="00537118">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E22"/>
    <w:rsid w:val="000039AE"/>
    <w:rsid w:val="00010BA8"/>
    <w:rsid w:val="00012508"/>
    <w:rsid w:val="00016401"/>
    <w:rsid w:val="000214D1"/>
    <w:rsid w:val="000356C4"/>
    <w:rsid w:val="00056155"/>
    <w:rsid w:val="0005675B"/>
    <w:rsid w:val="0005744B"/>
    <w:rsid w:val="000620FD"/>
    <w:rsid w:val="000717CA"/>
    <w:rsid w:val="00072F67"/>
    <w:rsid w:val="00073B9B"/>
    <w:rsid w:val="0007641F"/>
    <w:rsid w:val="00077196"/>
    <w:rsid w:val="0008084B"/>
    <w:rsid w:val="00083E4B"/>
    <w:rsid w:val="000842D1"/>
    <w:rsid w:val="000855D3"/>
    <w:rsid w:val="0009623C"/>
    <w:rsid w:val="000A23E3"/>
    <w:rsid w:val="000B0A37"/>
    <w:rsid w:val="000B1F3D"/>
    <w:rsid w:val="000C45BA"/>
    <w:rsid w:val="000C74F0"/>
    <w:rsid w:val="000E71B9"/>
    <w:rsid w:val="000F3595"/>
    <w:rsid w:val="0010283B"/>
    <w:rsid w:val="00102A63"/>
    <w:rsid w:val="00103601"/>
    <w:rsid w:val="00110D37"/>
    <w:rsid w:val="00113A01"/>
    <w:rsid w:val="00113F8A"/>
    <w:rsid w:val="00116607"/>
    <w:rsid w:val="00116CBC"/>
    <w:rsid w:val="00117F59"/>
    <w:rsid w:val="00131F48"/>
    <w:rsid w:val="001553C0"/>
    <w:rsid w:val="00161BEF"/>
    <w:rsid w:val="00164B7A"/>
    <w:rsid w:val="00171BCA"/>
    <w:rsid w:val="00176A64"/>
    <w:rsid w:val="00191D67"/>
    <w:rsid w:val="0019432A"/>
    <w:rsid w:val="001A6665"/>
    <w:rsid w:val="001B09A7"/>
    <w:rsid w:val="001B2B75"/>
    <w:rsid w:val="001B4072"/>
    <w:rsid w:val="001C28BB"/>
    <w:rsid w:val="001C3B33"/>
    <w:rsid w:val="001C417B"/>
    <w:rsid w:val="001D352C"/>
    <w:rsid w:val="001D37EB"/>
    <w:rsid w:val="001D4A18"/>
    <w:rsid w:val="001E3004"/>
    <w:rsid w:val="001E7D30"/>
    <w:rsid w:val="001F0396"/>
    <w:rsid w:val="001F0EEF"/>
    <w:rsid w:val="001F2131"/>
    <w:rsid w:val="001F7260"/>
    <w:rsid w:val="00203909"/>
    <w:rsid w:val="00206A06"/>
    <w:rsid w:val="00207AF4"/>
    <w:rsid w:val="0021107C"/>
    <w:rsid w:val="002120B1"/>
    <w:rsid w:val="0021382A"/>
    <w:rsid w:val="00216739"/>
    <w:rsid w:val="00223646"/>
    <w:rsid w:val="00225968"/>
    <w:rsid w:val="00225D59"/>
    <w:rsid w:val="0022791B"/>
    <w:rsid w:val="002314D4"/>
    <w:rsid w:val="0023344C"/>
    <w:rsid w:val="00234506"/>
    <w:rsid w:val="0024483C"/>
    <w:rsid w:val="0024552A"/>
    <w:rsid w:val="00247242"/>
    <w:rsid w:val="0026082C"/>
    <w:rsid w:val="0026282D"/>
    <w:rsid w:val="00263FB0"/>
    <w:rsid w:val="00281185"/>
    <w:rsid w:val="00286413"/>
    <w:rsid w:val="002A2A5B"/>
    <w:rsid w:val="002A55CB"/>
    <w:rsid w:val="002C190B"/>
    <w:rsid w:val="002C56C7"/>
    <w:rsid w:val="002C671D"/>
    <w:rsid w:val="002C7D13"/>
    <w:rsid w:val="002D38AF"/>
    <w:rsid w:val="002E26CB"/>
    <w:rsid w:val="002F200E"/>
    <w:rsid w:val="002F205C"/>
    <w:rsid w:val="002F2600"/>
    <w:rsid w:val="002F786D"/>
    <w:rsid w:val="00300972"/>
    <w:rsid w:val="00305AFD"/>
    <w:rsid w:val="00307672"/>
    <w:rsid w:val="0031394D"/>
    <w:rsid w:val="00323B08"/>
    <w:rsid w:val="00324D98"/>
    <w:rsid w:val="00325C81"/>
    <w:rsid w:val="00327C72"/>
    <w:rsid w:val="00335696"/>
    <w:rsid w:val="00341F07"/>
    <w:rsid w:val="00343167"/>
    <w:rsid w:val="003431E5"/>
    <w:rsid w:val="003440E3"/>
    <w:rsid w:val="00344240"/>
    <w:rsid w:val="00345E8D"/>
    <w:rsid w:val="0035351D"/>
    <w:rsid w:val="003603A8"/>
    <w:rsid w:val="0036087D"/>
    <w:rsid w:val="003617DA"/>
    <w:rsid w:val="003633A3"/>
    <w:rsid w:val="00363936"/>
    <w:rsid w:val="0036547A"/>
    <w:rsid w:val="00367640"/>
    <w:rsid w:val="0037367A"/>
    <w:rsid w:val="00384001"/>
    <w:rsid w:val="003A4ECF"/>
    <w:rsid w:val="003B2586"/>
    <w:rsid w:val="003B76C0"/>
    <w:rsid w:val="003C2204"/>
    <w:rsid w:val="003C3091"/>
    <w:rsid w:val="003D0F8C"/>
    <w:rsid w:val="003D4831"/>
    <w:rsid w:val="003D4BC1"/>
    <w:rsid w:val="003F593E"/>
    <w:rsid w:val="0043189B"/>
    <w:rsid w:val="004365EC"/>
    <w:rsid w:val="00440744"/>
    <w:rsid w:val="00446AD5"/>
    <w:rsid w:val="00451A31"/>
    <w:rsid w:val="004528A8"/>
    <w:rsid w:val="00462F87"/>
    <w:rsid w:val="004646DB"/>
    <w:rsid w:val="004679C6"/>
    <w:rsid w:val="00483493"/>
    <w:rsid w:val="00483A58"/>
    <w:rsid w:val="00490961"/>
    <w:rsid w:val="00491879"/>
    <w:rsid w:val="00496AEE"/>
    <w:rsid w:val="00496E6A"/>
    <w:rsid w:val="00497CF1"/>
    <w:rsid w:val="004A1772"/>
    <w:rsid w:val="004A2534"/>
    <w:rsid w:val="004A3192"/>
    <w:rsid w:val="004A51E3"/>
    <w:rsid w:val="004A5BB6"/>
    <w:rsid w:val="004B1F19"/>
    <w:rsid w:val="004B5EF6"/>
    <w:rsid w:val="004C35C2"/>
    <w:rsid w:val="004D12C2"/>
    <w:rsid w:val="004D2CCF"/>
    <w:rsid w:val="004D445E"/>
    <w:rsid w:val="004D5473"/>
    <w:rsid w:val="004F1A3D"/>
    <w:rsid w:val="004F3CB8"/>
    <w:rsid w:val="004F73A7"/>
    <w:rsid w:val="005052D1"/>
    <w:rsid w:val="00506F5B"/>
    <w:rsid w:val="005074C0"/>
    <w:rsid w:val="00510DF8"/>
    <w:rsid w:val="00511EFB"/>
    <w:rsid w:val="00517792"/>
    <w:rsid w:val="00537118"/>
    <w:rsid w:val="00541648"/>
    <w:rsid w:val="00552B6D"/>
    <w:rsid w:val="00554339"/>
    <w:rsid w:val="0055503F"/>
    <w:rsid w:val="00556300"/>
    <w:rsid w:val="00557D6C"/>
    <w:rsid w:val="005749F9"/>
    <w:rsid w:val="005962A8"/>
    <w:rsid w:val="005A40B4"/>
    <w:rsid w:val="005A4556"/>
    <w:rsid w:val="005A5BF6"/>
    <w:rsid w:val="005B5BBA"/>
    <w:rsid w:val="005B6AC9"/>
    <w:rsid w:val="005D199E"/>
    <w:rsid w:val="005E06DE"/>
    <w:rsid w:val="005E3ED7"/>
    <w:rsid w:val="005E408D"/>
    <w:rsid w:val="005E669B"/>
    <w:rsid w:val="005E6753"/>
    <w:rsid w:val="005E6A3A"/>
    <w:rsid w:val="005F31EB"/>
    <w:rsid w:val="0060054D"/>
    <w:rsid w:val="00605021"/>
    <w:rsid w:val="00605527"/>
    <w:rsid w:val="0061130C"/>
    <w:rsid w:val="006155B4"/>
    <w:rsid w:val="0062174B"/>
    <w:rsid w:val="00623787"/>
    <w:rsid w:val="0062431B"/>
    <w:rsid w:val="006256FF"/>
    <w:rsid w:val="00630049"/>
    <w:rsid w:val="00630DD8"/>
    <w:rsid w:val="00633969"/>
    <w:rsid w:val="0063703A"/>
    <w:rsid w:val="00640204"/>
    <w:rsid w:val="00642DEB"/>
    <w:rsid w:val="00643129"/>
    <w:rsid w:val="00644D71"/>
    <w:rsid w:val="006465F9"/>
    <w:rsid w:val="00651CAA"/>
    <w:rsid w:val="00654E8F"/>
    <w:rsid w:val="006603D8"/>
    <w:rsid w:val="00663A0E"/>
    <w:rsid w:val="00665491"/>
    <w:rsid w:val="006703E7"/>
    <w:rsid w:val="006742CD"/>
    <w:rsid w:val="00674C5C"/>
    <w:rsid w:val="00674F42"/>
    <w:rsid w:val="00676B4D"/>
    <w:rsid w:val="00681031"/>
    <w:rsid w:val="00685093"/>
    <w:rsid w:val="00692D52"/>
    <w:rsid w:val="006A3BAE"/>
    <w:rsid w:val="006B1D1E"/>
    <w:rsid w:val="006B7931"/>
    <w:rsid w:val="006D049B"/>
    <w:rsid w:val="006D0917"/>
    <w:rsid w:val="006D3690"/>
    <w:rsid w:val="006E0CCC"/>
    <w:rsid w:val="006E17B2"/>
    <w:rsid w:val="006E23F8"/>
    <w:rsid w:val="006E49E1"/>
    <w:rsid w:val="006F3884"/>
    <w:rsid w:val="006F5E23"/>
    <w:rsid w:val="006F7819"/>
    <w:rsid w:val="007005E9"/>
    <w:rsid w:val="00707743"/>
    <w:rsid w:val="0071033A"/>
    <w:rsid w:val="00710C6D"/>
    <w:rsid w:val="007162FF"/>
    <w:rsid w:val="00717342"/>
    <w:rsid w:val="007207F1"/>
    <w:rsid w:val="00725FC7"/>
    <w:rsid w:val="00732E95"/>
    <w:rsid w:val="007413A1"/>
    <w:rsid w:val="00746A6F"/>
    <w:rsid w:val="00756E47"/>
    <w:rsid w:val="00763697"/>
    <w:rsid w:val="007651EE"/>
    <w:rsid w:val="00766C32"/>
    <w:rsid w:val="0076794C"/>
    <w:rsid w:val="007717AE"/>
    <w:rsid w:val="00771E2C"/>
    <w:rsid w:val="00772010"/>
    <w:rsid w:val="00781662"/>
    <w:rsid w:val="0078246A"/>
    <w:rsid w:val="007938EA"/>
    <w:rsid w:val="00794D55"/>
    <w:rsid w:val="00796035"/>
    <w:rsid w:val="007A1676"/>
    <w:rsid w:val="007A7D6A"/>
    <w:rsid w:val="007B22A4"/>
    <w:rsid w:val="007B466A"/>
    <w:rsid w:val="007B4F77"/>
    <w:rsid w:val="007B50D7"/>
    <w:rsid w:val="007B6D4E"/>
    <w:rsid w:val="007C281C"/>
    <w:rsid w:val="007C3D62"/>
    <w:rsid w:val="007D3B58"/>
    <w:rsid w:val="007E14BB"/>
    <w:rsid w:val="007E468B"/>
    <w:rsid w:val="007F114F"/>
    <w:rsid w:val="00801527"/>
    <w:rsid w:val="00805B2E"/>
    <w:rsid w:val="00807554"/>
    <w:rsid w:val="00814115"/>
    <w:rsid w:val="008278C3"/>
    <w:rsid w:val="0083397F"/>
    <w:rsid w:val="00837202"/>
    <w:rsid w:val="00837581"/>
    <w:rsid w:val="00844124"/>
    <w:rsid w:val="008624A8"/>
    <w:rsid w:val="00871209"/>
    <w:rsid w:val="008728A4"/>
    <w:rsid w:val="00873796"/>
    <w:rsid w:val="0088293C"/>
    <w:rsid w:val="00884047"/>
    <w:rsid w:val="008A2D2E"/>
    <w:rsid w:val="008A6A59"/>
    <w:rsid w:val="008A77B1"/>
    <w:rsid w:val="008B0039"/>
    <w:rsid w:val="008B5FE0"/>
    <w:rsid w:val="008C0089"/>
    <w:rsid w:val="008C6DBE"/>
    <w:rsid w:val="008D71F2"/>
    <w:rsid w:val="008E1C62"/>
    <w:rsid w:val="008E4269"/>
    <w:rsid w:val="008E64DC"/>
    <w:rsid w:val="008F1C74"/>
    <w:rsid w:val="008F70EF"/>
    <w:rsid w:val="009036A8"/>
    <w:rsid w:val="009125CA"/>
    <w:rsid w:val="0091386C"/>
    <w:rsid w:val="0092090E"/>
    <w:rsid w:val="00921AF1"/>
    <w:rsid w:val="00922FE9"/>
    <w:rsid w:val="00923599"/>
    <w:rsid w:val="0092443B"/>
    <w:rsid w:val="00965068"/>
    <w:rsid w:val="009719A5"/>
    <w:rsid w:val="00983A86"/>
    <w:rsid w:val="009A1B1A"/>
    <w:rsid w:val="009A3BF9"/>
    <w:rsid w:val="009B0925"/>
    <w:rsid w:val="009B2731"/>
    <w:rsid w:val="009B6E22"/>
    <w:rsid w:val="009B7286"/>
    <w:rsid w:val="009B7A36"/>
    <w:rsid w:val="009C1D31"/>
    <w:rsid w:val="009C1FF3"/>
    <w:rsid w:val="009C2A81"/>
    <w:rsid w:val="009C653A"/>
    <w:rsid w:val="009D31B0"/>
    <w:rsid w:val="009D620D"/>
    <w:rsid w:val="009D7B19"/>
    <w:rsid w:val="009E55FB"/>
    <w:rsid w:val="009E6A0C"/>
    <w:rsid w:val="00A02755"/>
    <w:rsid w:val="00A11B8C"/>
    <w:rsid w:val="00A17581"/>
    <w:rsid w:val="00A243D0"/>
    <w:rsid w:val="00A31D5F"/>
    <w:rsid w:val="00A32CC5"/>
    <w:rsid w:val="00A34E24"/>
    <w:rsid w:val="00A37DE8"/>
    <w:rsid w:val="00A42728"/>
    <w:rsid w:val="00A44779"/>
    <w:rsid w:val="00A45E4E"/>
    <w:rsid w:val="00A52EA0"/>
    <w:rsid w:val="00A608BB"/>
    <w:rsid w:val="00A70A7F"/>
    <w:rsid w:val="00A73DC5"/>
    <w:rsid w:val="00A774D3"/>
    <w:rsid w:val="00A8073B"/>
    <w:rsid w:val="00A941C4"/>
    <w:rsid w:val="00AB1194"/>
    <w:rsid w:val="00AB1E2C"/>
    <w:rsid w:val="00AB371F"/>
    <w:rsid w:val="00AC1932"/>
    <w:rsid w:val="00AC310C"/>
    <w:rsid w:val="00AC4464"/>
    <w:rsid w:val="00AC6483"/>
    <w:rsid w:val="00AD2A2E"/>
    <w:rsid w:val="00AD3013"/>
    <w:rsid w:val="00AD4AEC"/>
    <w:rsid w:val="00AE0B73"/>
    <w:rsid w:val="00AE12DF"/>
    <w:rsid w:val="00AF10C1"/>
    <w:rsid w:val="00AF469B"/>
    <w:rsid w:val="00AF68DC"/>
    <w:rsid w:val="00AF6A41"/>
    <w:rsid w:val="00B00061"/>
    <w:rsid w:val="00B12D1E"/>
    <w:rsid w:val="00B139E2"/>
    <w:rsid w:val="00B15D3B"/>
    <w:rsid w:val="00B213A0"/>
    <w:rsid w:val="00B33A35"/>
    <w:rsid w:val="00B463A6"/>
    <w:rsid w:val="00B57951"/>
    <w:rsid w:val="00B63154"/>
    <w:rsid w:val="00B7535B"/>
    <w:rsid w:val="00B83C9B"/>
    <w:rsid w:val="00B84A55"/>
    <w:rsid w:val="00B87B54"/>
    <w:rsid w:val="00B965CA"/>
    <w:rsid w:val="00BA1FFF"/>
    <w:rsid w:val="00BA4471"/>
    <w:rsid w:val="00BA53F3"/>
    <w:rsid w:val="00BC54A9"/>
    <w:rsid w:val="00BC55AD"/>
    <w:rsid w:val="00BC7B12"/>
    <w:rsid w:val="00BD5ACC"/>
    <w:rsid w:val="00BD653F"/>
    <w:rsid w:val="00BD6919"/>
    <w:rsid w:val="00BF1DEC"/>
    <w:rsid w:val="00BF55AB"/>
    <w:rsid w:val="00C01788"/>
    <w:rsid w:val="00C02421"/>
    <w:rsid w:val="00C14E18"/>
    <w:rsid w:val="00C159AA"/>
    <w:rsid w:val="00C231C8"/>
    <w:rsid w:val="00C331A4"/>
    <w:rsid w:val="00C36754"/>
    <w:rsid w:val="00C451E3"/>
    <w:rsid w:val="00C45BDB"/>
    <w:rsid w:val="00C5577A"/>
    <w:rsid w:val="00C57528"/>
    <w:rsid w:val="00C5798A"/>
    <w:rsid w:val="00C614FE"/>
    <w:rsid w:val="00C63B12"/>
    <w:rsid w:val="00C65929"/>
    <w:rsid w:val="00C732E4"/>
    <w:rsid w:val="00C7682C"/>
    <w:rsid w:val="00C85942"/>
    <w:rsid w:val="00C9332B"/>
    <w:rsid w:val="00C951EC"/>
    <w:rsid w:val="00C97BE8"/>
    <w:rsid w:val="00CA4F0A"/>
    <w:rsid w:val="00CB0B01"/>
    <w:rsid w:val="00CB2366"/>
    <w:rsid w:val="00CB34E0"/>
    <w:rsid w:val="00CC12D6"/>
    <w:rsid w:val="00CC6937"/>
    <w:rsid w:val="00CC7255"/>
    <w:rsid w:val="00CD4D49"/>
    <w:rsid w:val="00CD6DF3"/>
    <w:rsid w:val="00CE2A90"/>
    <w:rsid w:val="00CF347C"/>
    <w:rsid w:val="00D02107"/>
    <w:rsid w:val="00D11E80"/>
    <w:rsid w:val="00D15552"/>
    <w:rsid w:val="00D2125A"/>
    <w:rsid w:val="00D26C5A"/>
    <w:rsid w:val="00D33D31"/>
    <w:rsid w:val="00D35352"/>
    <w:rsid w:val="00D35B39"/>
    <w:rsid w:val="00D55EB8"/>
    <w:rsid w:val="00D600A5"/>
    <w:rsid w:val="00D67866"/>
    <w:rsid w:val="00D72E3C"/>
    <w:rsid w:val="00D74679"/>
    <w:rsid w:val="00D76441"/>
    <w:rsid w:val="00D81FFA"/>
    <w:rsid w:val="00D831D9"/>
    <w:rsid w:val="00D87DD0"/>
    <w:rsid w:val="00D96A4F"/>
    <w:rsid w:val="00D97AEE"/>
    <w:rsid w:val="00DA3970"/>
    <w:rsid w:val="00DA4602"/>
    <w:rsid w:val="00DA7DC7"/>
    <w:rsid w:val="00DB189D"/>
    <w:rsid w:val="00DC10FE"/>
    <w:rsid w:val="00DC43BC"/>
    <w:rsid w:val="00DD049C"/>
    <w:rsid w:val="00DD04F7"/>
    <w:rsid w:val="00DD16D7"/>
    <w:rsid w:val="00DE3AA7"/>
    <w:rsid w:val="00DE7E12"/>
    <w:rsid w:val="00DF081A"/>
    <w:rsid w:val="00DF0B75"/>
    <w:rsid w:val="00DF21D6"/>
    <w:rsid w:val="00DF4113"/>
    <w:rsid w:val="00DF459C"/>
    <w:rsid w:val="00DF4BDD"/>
    <w:rsid w:val="00DF5D6C"/>
    <w:rsid w:val="00E0096C"/>
    <w:rsid w:val="00E016FE"/>
    <w:rsid w:val="00E13CA5"/>
    <w:rsid w:val="00E1780F"/>
    <w:rsid w:val="00E208F2"/>
    <w:rsid w:val="00E278C6"/>
    <w:rsid w:val="00E53177"/>
    <w:rsid w:val="00E61E6A"/>
    <w:rsid w:val="00E62E50"/>
    <w:rsid w:val="00E7041C"/>
    <w:rsid w:val="00E7551C"/>
    <w:rsid w:val="00E80FEE"/>
    <w:rsid w:val="00E947B1"/>
    <w:rsid w:val="00EA5883"/>
    <w:rsid w:val="00EA75D4"/>
    <w:rsid w:val="00EB320B"/>
    <w:rsid w:val="00EB65BE"/>
    <w:rsid w:val="00ED5333"/>
    <w:rsid w:val="00ED5F3F"/>
    <w:rsid w:val="00ED6D24"/>
    <w:rsid w:val="00EE09F8"/>
    <w:rsid w:val="00EE0C33"/>
    <w:rsid w:val="00EE2B9F"/>
    <w:rsid w:val="00EE64F3"/>
    <w:rsid w:val="00EF04B0"/>
    <w:rsid w:val="00EF7553"/>
    <w:rsid w:val="00EF7CB9"/>
    <w:rsid w:val="00F07176"/>
    <w:rsid w:val="00F1081D"/>
    <w:rsid w:val="00F15A6A"/>
    <w:rsid w:val="00F24D63"/>
    <w:rsid w:val="00F375F6"/>
    <w:rsid w:val="00F43FC5"/>
    <w:rsid w:val="00F457AE"/>
    <w:rsid w:val="00F4693D"/>
    <w:rsid w:val="00F612ED"/>
    <w:rsid w:val="00F62A35"/>
    <w:rsid w:val="00F70BB1"/>
    <w:rsid w:val="00F73D3C"/>
    <w:rsid w:val="00F9631B"/>
    <w:rsid w:val="00F96BB6"/>
    <w:rsid w:val="00FA6287"/>
    <w:rsid w:val="00FA77E8"/>
    <w:rsid w:val="00FB1114"/>
    <w:rsid w:val="00FB1BA1"/>
    <w:rsid w:val="00FB7222"/>
    <w:rsid w:val="00FC42CC"/>
    <w:rsid w:val="00FD0865"/>
    <w:rsid w:val="00FD1B42"/>
    <w:rsid w:val="00FD7F8F"/>
    <w:rsid w:val="00FF529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71F07A"/>
  <w15:chartTrackingRefBased/>
  <w15:docId w15:val="{8C526EB1-5C05-4A32-8A0D-3516FB732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6E22"/>
    <w:rPr>
      <w:lang w:val="pt-PT"/>
    </w:rPr>
  </w:style>
  <w:style w:type="paragraph" w:styleId="Heading1">
    <w:name w:val="heading 1"/>
    <w:basedOn w:val="Normal"/>
    <w:next w:val="Normal"/>
    <w:link w:val="Heading1Char"/>
    <w:uiPriority w:val="9"/>
    <w:qFormat/>
    <w:rsid w:val="00B83C9B"/>
    <w:pPr>
      <w:keepNext/>
      <w:keepLines/>
      <w:spacing w:before="360" w:after="80"/>
      <w:outlineLvl w:val="0"/>
    </w:pPr>
    <w:rPr>
      <w:rFonts w:ascii="Garamond" w:eastAsiaTheme="majorEastAsia" w:hAnsi="Garamond" w:cstheme="majorBidi"/>
      <w:b/>
      <w:color w:val="000000" w:themeColor="text1"/>
      <w:sz w:val="28"/>
      <w:szCs w:val="40"/>
    </w:rPr>
  </w:style>
  <w:style w:type="paragraph" w:styleId="Heading2">
    <w:name w:val="heading 2"/>
    <w:basedOn w:val="Normal"/>
    <w:next w:val="Normal"/>
    <w:link w:val="Heading2Char"/>
    <w:uiPriority w:val="9"/>
    <w:unhideWhenUsed/>
    <w:qFormat/>
    <w:rsid w:val="00B83C9B"/>
    <w:pPr>
      <w:keepNext/>
      <w:keepLines/>
      <w:spacing w:before="160" w:after="80"/>
      <w:outlineLvl w:val="1"/>
    </w:pPr>
    <w:rPr>
      <w:rFonts w:ascii="Garamond" w:eastAsiaTheme="majorEastAsia" w:hAnsi="Garamond" w:cstheme="majorBidi"/>
      <w:b/>
      <w:color w:val="000000" w:themeColor="text1"/>
      <w:sz w:val="28"/>
      <w:szCs w:val="32"/>
    </w:rPr>
  </w:style>
  <w:style w:type="paragraph" w:styleId="Heading3">
    <w:name w:val="heading 3"/>
    <w:basedOn w:val="Normal"/>
    <w:next w:val="Normal"/>
    <w:link w:val="Heading3Char"/>
    <w:uiPriority w:val="9"/>
    <w:unhideWhenUsed/>
    <w:qFormat/>
    <w:rsid w:val="00B83C9B"/>
    <w:pPr>
      <w:keepNext/>
      <w:keepLines/>
      <w:spacing w:before="160" w:after="80"/>
      <w:outlineLvl w:val="2"/>
    </w:pPr>
    <w:rPr>
      <w:rFonts w:ascii="Garamond" w:eastAsiaTheme="majorEastAsia" w:hAnsi="Garamond" w:cstheme="majorBidi"/>
      <w:b/>
      <w:color w:val="000000" w:themeColor="text1"/>
      <w:sz w:val="28"/>
      <w:szCs w:val="28"/>
    </w:rPr>
  </w:style>
  <w:style w:type="paragraph" w:styleId="Heading4">
    <w:name w:val="heading 4"/>
    <w:basedOn w:val="Normal"/>
    <w:next w:val="Normal"/>
    <w:link w:val="Heading4Char"/>
    <w:uiPriority w:val="9"/>
    <w:semiHidden/>
    <w:unhideWhenUsed/>
    <w:qFormat/>
    <w:rsid w:val="009B6E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6E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6E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6E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6E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6E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3C9B"/>
    <w:rPr>
      <w:rFonts w:ascii="Garamond" w:eastAsiaTheme="majorEastAsia" w:hAnsi="Garamond" w:cstheme="majorBidi"/>
      <w:b/>
      <w:color w:val="000000" w:themeColor="text1"/>
      <w:sz w:val="28"/>
      <w:szCs w:val="40"/>
      <w:lang w:val="pt-PT"/>
    </w:rPr>
  </w:style>
  <w:style w:type="character" w:customStyle="1" w:styleId="Heading2Char">
    <w:name w:val="Heading 2 Char"/>
    <w:basedOn w:val="DefaultParagraphFont"/>
    <w:link w:val="Heading2"/>
    <w:uiPriority w:val="9"/>
    <w:rsid w:val="00B83C9B"/>
    <w:rPr>
      <w:rFonts w:ascii="Garamond" w:eastAsiaTheme="majorEastAsia" w:hAnsi="Garamond" w:cstheme="majorBidi"/>
      <w:b/>
      <w:color w:val="000000" w:themeColor="text1"/>
      <w:sz w:val="28"/>
      <w:szCs w:val="32"/>
      <w:lang w:val="pt-PT"/>
    </w:rPr>
  </w:style>
  <w:style w:type="character" w:customStyle="1" w:styleId="Heading3Char">
    <w:name w:val="Heading 3 Char"/>
    <w:basedOn w:val="DefaultParagraphFont"/>
    <w:link w:val="Heading3"/>
    <w:uiPriority w:val="9"/>
    <w:rsid w:val="00B83C9B"/>
    <w:rPr>
      <w:rFonts w:ascii="Garamond" w:eastAsiaTheme="majorEastAsia" w:hAnsi="Garamond" w:cstheme="majorBidi"/>
      <w:b/>
      <w:color w:val="000000" w:themeColor="text1"/>
      <w:sz w:val="28"/>
      <w:szCs w:val="28"/>
      <w:lang w:val="pt-PT"/>
    </w:rPr>
  </w:style>
  <w:style w:type="character" w:customStyle="1" w:styleId="Heading4Char">
    <w:name w:val="Heading 4 Char"/>
    <w:basedOn w:val="DefaultParagraphFont"/>
    <w:link w:val="Heading4"/>
    <w:uiPriority w:val="9"/>
    <w:semiHidden/>
    <w:rsid w:val="009B6E22"/>
    <w:rPr>
      <w:rFonts w:eastAsiaTheme="majorEastAsia" w:cstheme="majorBidi"/>
      <w:i/>
      <w:iCs/>
      <w:color w:val="0F4761" w:themeColor="accent1" w:themeShade="BF"/>
      <w:lang w:val="pt-PT"/>
    </w:rPr>
  </w:style>
  <w:style w:type="character" w:customStyle="1" w:styleId="Heading5Char">
    <w:name w:val="Heading 5 Char"/>
    <w:basedOn w:val="DefaultParagraphFont"/>
    <w:link w:val="Heading5"/>
    <w:uiPriority w:val="9"/>
    <w:semiHidden/>
    <w:rsid w:val="009B6E22"/>
    <w:rPr>
      <w:rFonts w:eastAsiaTheme="majorEastAsia" w:cstheme="majorBidi"/>
      <w:color w:val="0F4761" w:themeColor="accent1" w:themeShade="BF"/>
      <w:lang w:val="pt-PT"/>
    </w:rPr>
  </w:style>
  <w:style w:type="character" w:customStyle="1" w:styleId="Heading6Char">
    <w:name w:val="Heading 6 Char"/>
    <w:basedOn w:val="DefaultParagraphFont"/>
    <w:link w:val="Heading6"/>
    <w:uiPriority w:val="9"/>
    <w:semiHidden/>
    <w:rsid w:val="009B6E22"/>
    <w:rPr>
      <w:rFonts w:eastAsiaTheme="majorEastAsia" w:cstheme="majorBidi"/>
      <w:i/>
      <w:iCs/>
      <w:color w:val="595959" w:themeColor="text1" w:themeTint="A6"/>
      <w:lang w:val="pt-PT"/>
    </w:rPr>
  </w:style>
  <w:style w:type="character" w:customStyle="1" w:styleId="Heading7Char">
    <w:name w:val="Heading 7 Char"/>
    <w:basedOn w:val="DefaultParagraphFont"/>
    <w:link w:val="Heading7"/>
    <w:uiPriority w:val="9"/>
    <w:semiHidden/>
    <w:rsid w:val="009B6E22"/>
    <w:rPr>
      <w:rFonts w:eastAsiaTheme="majorEastAsia" w:cstheme="majorBidi"/>
      <w:color w:val="595959" w:themeColor="text1" w:themeTint="A6"/>
      <w:lang w:val="pt-PT"/>
    </w:rPr>
  </w:style>
  <w:style w:type="character" w:customStyle="1" w:styleId="Heading8Char">
    <w:name w:val="Heading 8 Char"/>
    <w:basedOn w:val="DefaultParagraphFont"/>
    <w:link w:val="Heading8"/>
    <w:uiPriority w:val="9"/>
    <w:semiHidden/>
    <w:rsid w:val="009B6E22"/>
    <w:rPr>
      <w:rFonts w:eastAsiaTheme="majorEastAsia" w:cstheme="majorBidi"/>
      <w:i/>
      <w:iCs/>
      <w:color w:val="272727" w:themeColor="text1" w:themeTint="D8"/>
      <w:lang w:val="pt-PT"/>
    </w:rPr>
  </w:style>
  <w:style w:type="character" w:customStyle="1" w:styleId="Heading9Char">
    <w:name w:val="Heading 9 Char"/>
    <w:basedOn w:val="DefaultParagraphFont"/>
    <w:link w:val="Heading9"/>
    <w:uiPriority w:val="9"/>
    <w:semiHidden/>
    <w:rsid w:val="009B6E22"/>
    <w:rPr>
      <w:rFonts w:eastAsiaTheme="majorEastAsia" w:cstheme="majorBidi"/>
      <w:color w:val="272727" w:themeColor="text1" w:themeTint="D8"/>
      <w:lang w:val="pt-PT"/>
    </w:rPr>
  </w:style>
  <w:style w:type="paragraph" w:styleId="Title">
    <w:name w:val="Title"/>
    <w:basedOn w:val="Normal"/>
    <w:next w:val="Normal"/>
    <w:link w:val="TitleChar"/>
    <w:uiPriority w:val="10"/>
    <w:qFormat/>
    <w:rsid w:val="009B6E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6E22"/>
    <w:rPr>
      <w:rFonts w:asciiTheme="majorHAnsi" w:eastAsiaTheme="majorEastAsia" w:hAnsiTheme="majorHAnsi" w:cstheme="majorBidi"/>
      <w:spacing w:val="-10"/>
      <w:kern w:val="28"/>
      <w:sz w:val="56"/>
      <w:szCs w:val="56"/>
      <w:lang w:val="pt-PT"/>
    </w:rPr>
  </w:style>
  <w:style w:type="paragraph" w:styleId="Subtitle">
    <w:name w:val="Subtitle"/>
    <w:basedOn w:val="Normal"/>
    <w:next w:val="Normal"/>
    <w:link w:val="SubtitleChar"/>
    <w:uiPriority w:val="11"/>
    <w:qFormat/>
    <w:rsid w:val="009B6E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6E22"/>
    <w:rPr>
      <w:rFonts w:eastAsiaTheme="majorEastAsia" w:cstheme="majorBidi"/>
      <w:color w:val="595959" w:themeColor="text1" w:themeTint="A6"/>
      <w:spacing w:val="15"/>
      <w:sz w:val="28"/>
      <w:szCs w:val="28"/>
      <w:lang w:val="pt-PT"/>
    </w:rPr>
  </w:style>
  <w:style w:type="paragraph" w:styleId="Quote">
    <w:name w:val="Quote"/>
    <w:basedOn w:val="Normal"/>
    <w:next w:val="Normal"/>
    <w:link w:val="QuoteChar"/>
    <w:uiPriority w:val="29"/>
    <w:qFormat/>
    <w:rsid w:val="009B6E22"/>
    <w:pPr>
      <w:spacing w:before="160"/>
      <w:jc w:val="center"/>
    </w:pPr>
    <w:rPr>
      <w:i/>
      <w:iCs/>
      <w:color w:val="404040" w:themeColor="text1" w:themeTint="BF"/>
    </w:rPr>
  </w:style>
  <w:style w:type="character" w:customStyle="1" w:styleId="QuoteChar">
    <w:name w:val="Quote Char"/>
    <w:basedOn w:val="DefaultParagraphFont"/>
    <w:link w:val="Quote"/>
    <w:uiPriority w:val="29"/>
    <w:rsid w:val="009B6E22"/>
    <w:rPr>
      <w:i/>
      <w:iCs/>
      <w:color w:val="404040" w:themeColor="text1" w:themeTint="BF"/>
      <w:lang w:val="pt-PT"/>
    </w:rPr>
  </w:style>
  <w:style w:type="paragraph" w:styleId="ListParagraph">
    <w:name w:val="List Paragraph"/>
    <w:basedOn w:val="Normal"/>
    <w:uiPriority w:val="34"/>
    <w:qFormat/>
    <w:rsid w:val="009B6E22"/>
    <w:pPr>
      <w:ind w:left="720"/>
      <w:contextualSpacing/>
    </w:pPr>
  </w:style>
  <w:style w:type="character" w:styleId="IntenseEmphasis">
    <w:name w:val="Intense Emphasis"/>
    <w:basedOn w:val="DefaultParagraphFont"/>
    <w:uiPriority w:val="21"/>
    <w:qFormat/>
    <w:rsid w:val="009B6E22"/>
    <w:rPr>
      <w:i/>
      <w:iCs/>
      <w:color w:val="0F4761" w:themeColor="accent1" w:themeShade="BF"/>
    </w:rPr>
  </w:style>
  <w:style w:type="paragraph" w:styleId="IntenseQuote">
    <w:name w:val="Intense Quote"/>
    <w:basedOn w:val="Normal"/>
    <w:next w:val="Normal"/>
    <w:link w:val="IntenseQuoteChar"/>
    <w:uiPriority w:val="30"/>
    <w:qFormat/>
    <w:rsid w:val="009B6E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6E22"/>
    <w:rPr>
      <w:i/>
      <w:iCs/>
      <w:color w:val="0F4761" w:themeColor="accent1" w:themeShade="BF"/>
      <w:lang w:val="pt-PT"/>
    </w:rPr>
  </w:style>
  <w:style w:type="character" w:styleId="IntenseReference">
    <w:name w:val="Intense Reference"/>
    <w:basedOn w:val="DefaultParagraphFont"/>
    <w:uiPriority w:val="32"/>
    <w:qFormat/>
    <w:rsid w:val="009B6E22"/>
    <w:rPr>
      <w:b/>
      <w:bCs/>
      <w:smallCaps/>
      <w:color w:val="0F4761" w:themeColor="accent1" w:themeShade="BF"/>
      <w:spacing w:val="5"/>
    </w:rPr>
  </w:style>
  <w:style w:type="character" w:styleId="CommentReference">
    <w:name w:val="annotation reference"/>
    <w:basedOn w:val="DefaultParagraphFont"/>
    <w:uiPriority w:val="99"/>
    <w:semiHidden/>
    <w:unhideWhenUsed/>
    <w:rsid w:val="009B6E22"/>
    <w:rPr>
      <w:sz w:val="16"/>
      <w:szCs w:val="16"/>
    </w:rPr>
  </w:style>
  <w:style w:type="paragraph" w:styleId="CommentText">
    <w:name w:val="annotation text"/>
    <w:basedOn w:val="Normal"/>
    <w:link w:val="CommentTextChar"/>
    <w:uiPriority w:val="99"/>
    <w:unhideWhenUsed/>
    <w:rsid w:val="009B6E22"/>
    <w:pPr>
      <w:spacing w:line="240" w:lineRule="auto"/>
    </w:pPr>
    <w:rPr>
      <w:sz w:val="20"/>
      <w:szCs w:val="20"/>
    </w:rPr>
  </w:style>
  <w:style w:type="character" w:customStyle="1" w:styleId="CommentTextChar">
    <w:name w:val="Comment Text Char"/>
    <w:basedOn w:val="DefaultParagraphFont"/>
    <w:link w:val="CommentText"/>
    <w:uiPriority w:val="99"/>
    <w:rsid w:val="009B6E22"/>
    <w:rPr>
      <w:sz w:val="20"/>
      <w:szCs w:val="20"/>
      <w:lang w:val="pt-PT"/>
    </w:rPr>
  </w:style>
  <w:style w:type="character" w:styleId="Hyperlink">
    <w:name w:val="Hyperlink"/>
    <w:basedOn w:val="DefaultParagraphFont"/>
    <w:uiPriority w:val="99"/>
    <w:unhideWhenUsed/>
    <w:rsid w:val="0043189B"/>
    <w:rPr>
      <w:color w:val="467886" w:themeColor="hyperlink"/>
      <w:u w:val="single"/>
    </w:rPr>
  </w:style>
  <w:style w:type="paragraph" w:styleId="CommentSubject">
    <w:name w:val="annotation subject"/>
    <w:basedOn w:val="CommentText"/>
    <w:next w:val="CommentText"/>
    <w:link w:val="CommentSubjectChar"/>
    <w:uiPriority w:val="99"/>
    <w:semiHidden/>
    <w:unhideWhenUsed/>
    <w:rsid w:val="00DF0B75"/>
    <w:rPr>
      <w:b/>
      <w:bCs/>
    </w:rPr>
  </w:style>
  <w:style w:type="character" w:customStyle="1" w:styleId="CommentSubjectChar">
    <w:name w:val="Comment Subject Char"/>
    <w:basedOn w:val="CommentTextChar"/>
    <w:link w:val="CommentSubject"/>
    <w:uiPriority w:val="99"/>
    <w:semiHidden/>
    <w:rsid w:val="00DF0B75"/>
    <w:rPr>
      <w:b/>
      <w:bCs/>
      <w:sz w:val="20"/>
      <w:szCs w:val="20"/>
      <w:lang w:val="pt-PT"/>
    </w:rPr>
  </w:style>
  <w:style w:type="table" w:styleId="TableGrid">
    <w:name w:val="Table Grid"/>
    <w:basedOn w:val="TableNormal"/>
    <w:uiPriority w:val="39"/>
    <w:rsid w:val="00D87D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43FC5"/>
    <w:pPr>
      <w:spacing w:after="0" w:line="240" w:lineRule="auto"/>
    </w:pPr>
    <w:rPr>
      <w:lang w:val="pt-PT"/>
    </w:rPr>
  </w:style>
  <w:style w:type="paragraph" w:styleId="TOCHeading">
    <w:name w:val="TOC Heading"/>
    <w:basedOn w:val="Heading1"/>
    <w:next w:val="Normal"/>
    <w:uiPriority w:val="39"/>
    <w:unhideWhenUsed/>
    <w:qFormat/>
    <w:rsid w:val="00DF081A"/>
    <w:pPr>
      <w:spacing w:before="240" w:after="0"/>
      <w:outlineLvl w:val="9"/>
    </w:pPr>
    <w:rPr>
      <w:kern w:val="0"/>
      <w:sz w:val="32"/>
      <w:szCs w:val="32"/>
      <w:lang w:val="en-US"/>
    </w:rPr>
  </w:style>
  <w:style w:type="paragraph" w:styleId="TOC1">
    <w:name w:val="toc 1"/>
    <w:basedOn w:val="Normal"/>
    <w:next w:val="Normal"/>
    <w:autoRedefine/>
    <w:uiPriority w:val="39"/>
    <w:unhideWhenUsed/>
    <w:rsid w:val="006F7819"/>
    <w:pPr>
      <w:tabs>
        <w:tab w:val="right" w:leader="dot" w:pos="8827"/>
      </w:tabs>
      <w:spacing w:after="0"/>
    </w:pPr>
    <w:rPr>
      <w:rFonts w:ascii="Garamond" w:hAnsi="Garamond"/>
      <w:b/>
      <w:bCs/>
    </w:rPr>
  </w:style>
  <w:style w:type="paragraph" w:styleId="TOC2">
    <w:name w:val="toc 2"/>
    <w:basedOn w:val="Normal"/>
    <w:next w:val="Normal"/>
    <w:autoRedefine/>
    <w:uiPriority w:val="39"/>
    <w:unhideWhenUsed/>
    <w:rsid w:val="00BD653F"/>
    <w:pPr>
      <w:spacing w:after="100"/>
      <w:ind w:left="220"/>
    </w:pPr>
  </w:style>
  <w:style w:type="paragraph" w:styleId="TOC3">
    <w:name w:val="toc 3"/>
    <w:basedOn w:val="Normal"/>
    <w:next w:val="Normal"/>
    <w:autoRedefine/>
    <w:uiPriority w:val="39"/>
    <w:unhideWhenUsed/>
    <w:rsid w:val="00BD653F"/>
    <w:pPr>
      <w:spacing w:after="100"/>
      <w:ind w:left="440"/>
    </w:pPr>
  </w:style>
  <w:style w:type="paragraph" w:customStyle="1" w:styleId="BasicParagraph">
    <w:name w:val="[Basic Paragraph]"/>
    <w:basedOn w:val="Normal"/>
    <w:uiPriority w:val="99"/>
    <w:rsid w:val="003440E3"/>
    <w:pPr>
      <w:widowControl w:val="0"/>
      <w:autoSpaceDE w:val="0"/>
      <w:autoSpaceDN w:val="0"/>
      <w:adjustRightInd w:val="0"/>
      <w:spacing w:after="0" w:line="288" w:lineRule="auto"/>
      <w:textAlignment w:val="center"/>
    </w:pPr>
    <w:rPr>
      <w:rFonts w:ascii="MinionPro-Regular" w:eastAsiaTheme="minorEastAsia" w:hAnsi="MinionPro-Regular" w:cs="MinionPro-Regular"/>
      <w:color w:val="000000"/>
      <w:kern w:val="0"/>
      <w:sz w:val="24"/>
      <w:szCs w:val="24"/>
      <w:lang w:val="en-GB"/>
      <w14:ligatures w14:val="none"/>
    </w:rPr>
  </w:style>
  <w:style w:type="paragraph" w:styleId="Header">
    <w:name w:val="header"/>
    <w:basedOn w:val="Normal"/>
    <w:link w:val="HeaderChar"/>
    <w:uiPriority w:val="99"/>
    <w:unhideWhenUsed/>
    <w:rsid w:val="007A16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1676"/>
    <w:rPr>
      <w:noProof/>
      <w:lang w:val="pt-PT"/>
    </w:rPr>
  </w:style>
  <w:style w:type="paragraph" w:styleId="Footer">
    <w:name w:val="footer"/>
    <w:basedOn w:val="Normal"/>
    <w:link w:val="FooterChar"/>
    <w:uiPriority w:val="99"/>
    <w:unhideWhenUsed/>
    <w:rsid w:val="007A16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1676"/>
    <w:rPr>
      <w:noProof/>
      <w:lang w:val="pt-PT"/>
    </w:rPr>
  </w:style>
  <w:style w:type="paragraph" w:customStyle="1" w:styleId="Titulo">
    <w:name w:val="Titulo"/>
    <w:basedOn w:val="Normal"/>
    <w:rsid w:val="00FB1BA1"/>
    <w:pPr>
      <w:widowControl w:val="0"/>
      <w:spacing w:before="160" w:after="0" w:line="240" w:lineRule="auto"/>
    </w:pPr>
    <w:rPr>
      <w:rFonts w:ascii="Garamond" w:eastAsia="Garamond" w:hAnsi="Garamond" w:cs="Garamond"/>
      <w:kern w:val="1"/>
      <w:sz w:val="28"/>
      <w:szCs w:val="28"/>
      <w:lang w:val="en-GB" w:eastAsia="pt-PT"/>
      <w14:ligatures w14:val="none"/>
    </w:rPr>
  </w:style>
  <w:style w:type="paragraph" w:customStyle="1" w:styleId="NomeAluno">
    <w:name w:val="Nome Aluno"/>
    <w:basedOn w:val="Titulo"/>
    <w:rsid w:val="00FB1BA1"/>
    <w:rPr>
      <w:b/>
      <w:sz w:val="24"/>
      <w:szCs w:val="24"/>
    </w:rPr>
  </w:style>
  <w:style w:type="paragraph" w:customStyle="1" w:styleId="Sub-Titulo1">
    <w:name w:val="Sub-Titulo 1"/>
    <w:basedOn w:val="Normal"/>
    <w:rsid w:val="00FB1BA1"/>
    <w:pPr>
      <w:spacing w:before="160" w:after="0" w:line="240" w:lineRule="auto"/>
    </w:pPr>
    <w:rPr>
      <w:rFonts w:ascii="Garamond" w:eastAsia="Garamond" w:hAnsi="Garamond" w:cs="Garamond"/>
      <w:kern w:val="0"/>
      <w:sz w:val="24"/>
      <w:szCs w:val="24"/>
      <w:lang w:eastAsia="pt-PT"/>
      <w14:ligatures w14:val="none"/>
    </w:rPr>
  </w:style>
  <w:style w:type="paragraph" w:customStyle="1" w:styleId="Sub-Titulo2">
    <w:name w:val="Sub-Titulo 2"/>
    <w:basedOn w:val="Sub-Titulo1"/>
    <w:rsid w:val="00FB1BA1"/>
    <w:pPr>
      <w:spacing w:before="80"/>
    </w:pPr>
  </w:style>
  <w:style w:type="paragraph" w:customStyle="1" w:styleId="Orientadores">
    <w:name w:val="Orientadores"/>
    <w:basedOn w:val="Sub-Titulo2"/>
    <w:rsid w:val="00FB1BA1"/>
    <w:pPr>
      <w:spacing w:before="0" w:line="288" w:lineRule="auto"/>
    </w:pPr>
    <w:rPr>
      <w:b/>
    </w:rPr>
  </w:style>
  <w:style w:type="paragraph" w:customStyle="1" w:styleId="Notas">
    <w:name w:val="Notas"/>
    <w:basedOn w:val="Normal"/>
    <w:rsid w:val="00FB1BA1"/>
    <w:pPr>
      <w:spacing w:after="0" w:line="240" w:lineRule="auto"/>
    </w:pPr>
    <w:rPr>
      <w:rFonts w:ascii="Garamond" w:eastAsia="Calibri" w:hAnsi="Garamond" w:cs="Garamond"/>
      <w:kern w:val="0"/>
      <w:sz w:val="16"/>
      <w:szCs w:val="16"/>
      <w:lang w:eastAsia="pt-PT"/>
      <w14:ligatures w14:val="none"/>
    </w:rPr>
  </w:style>
  <w:style w:type="character" w:styleId="FollowedHyperlink">
    <w:name w:val="FollowedHyperlink"/>
    <w:basedOn w:val="DefaultParagraphFont"/>
    <w:uiPriority w:val="99"/>
    <w:semiHidden/>
    <w:unhideWhenUsed/>
    <w:rsid w:val="00763697"/>
    <w:rPr>
      <w:color w:val="96607D" w:themeColor="followedHyperlink"/>
      <w:u w:val="single"/>
    </w:rPr>
  </w:style>
  <w:style w:type="character" w:styleId="UnresolvedMention">
    <w:name w:val="Unresolved Mention"/>
    <w:basedOn w:val="DefaultParagraphFont"/>
    <w:uiPriority w:val="99"/>
    <w:semiHidden/>
    <w:unhideWhenUsed/>
    <w:rsid w:val="007636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057123">
      <w:bodyDiv w:val="1"/>
      <w:marLeft w:val="0"/>
      <w:marRight w:val="0"/>
      <w:marTop w:val="0"/>
      <w:marBottom w:val="0"/>
      <w:divBdr>
        <w:top w:val="none" w:sz="0" w:space="0" w:color="auto"/>
        <w:left w:val="none" w:sz="0" w:space="0" w:color="auto"/>
        <w:bottom w:val="none" w:sz="0" w:space="0" w:color="auto"/>
        <w:right w:val="none" w:sz="0" w:space="0" w:color="auto"/>
      </w:divBdr>
    </w:div>
    <w:div w:id="1146437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ur-lex.europa.eu/legal-content/EN/TXT/?uri=CELEX%3A32023R1542" TargetMode="External"/><Relationship Id="rId21" Type="http://schemas.openxmlformats.org/officeDocument/2006/relationships/hyperlink" Target="https://doi.org/10.1057/palgrave.jibs.8400221" TargetMode="External"/><Relationship Id="rId42" Type="http://schemas.openxmlformats.org/officeDocument/2006/relationships/hyperlink" Target="https://doi.org/10.1108/02651330710741820" TargetMode="External"/><Relationship Id="rId47" Type="http://schemas.openxmlformats.org/officeDocument/2006/relationships/hyperlink" Target="https://documents1.worldbank.org/curated/pt/167541468766197080/pdf/multi-page.pdf" TargetMode="External"/><Relationship Id="rId63" Type="http://schemas.openxmlformats.org/officeDocument/2006/relationships/image" Target="media/image8.emf"/><Relationship Id="rId68" Type="http://schemas.openxmlformats.org/officeDocument/2006/relationships/hyperlink" Target="https://www.ifhv.de/publications/world-risk-report" TargetMode="External"/><Relationship Id="rId2" Type="http://schemas.openxmlformats.org/officeDocument/2006/relationships/styles" Target="styles.xml"/><Relationship Id="rId16" Type="http://schemas.openxmlformats.org/officeDocument/2006/relationships/hyperlink" Target="https://www.ifhv.de/publications/world-risk-report" TargetMode="External"/><Relationship Id="rId29" Type="http://schemas.openxmlformats.org/officeDocument/2006/relationships/hyperlink" Target="https://www.iberdrola.com/quem-somos/nossa-atividade/armazenamento-energia/bess" TargetMode="External"/><Relationship Id="rId11" Type="http://schemas.openxmlformats.org/officeDocument/2006/relationships/hyperlink" Target="https://doi.org/10.3390/en13040955" TargetMode="External"/><Relationship Id="rId24" Type="http://schemas.openxmlformats.org/officeDocument/2006/relationships/hyperlink" Target="https://www.eba.europa.eu/documents/10180/2761380/627ff30d-c7fe-41e5-8ee6-5d1c210ad987/EBA%20revised%20Guidelines%20on%20outsourcing_PT.pdf" TargetMode="External"/><Relationship Id="rId32" Type="http://schemas.openxmlformats.org/officeDocument/2006/relationships/hyperlink" Target="https://psycnet.apa.org/doi/10.1016/S1090-9516(97)90025-0" TargetMode="External"/><Relationship Id="rId37" Type="http://schemas.openxmlformats.org/officeDocument/2006/relationships/hyperlink" Target="https://www.mckinsey.com/industries/automotive-and-assembly/our-insights/enabling-renewable-energy-with-battery-energy-storage-systems" TargetMode="External"/><Relationship Id="rId40" Type="http://schemas.openxmlformats.org/officeDocument/2006/relationships/hyperlink" Target="https://doi.org/10.5465/amp.2009.43479264" TargetMode="External"/><Relationship Id="rId45" Type="http://schemas.openxmlformats.org/officeDocument/2006/relationships/hyperlink" Target="http://www.jstor.org/stable/2778934" TargetMode="External"/><Relationship Id="rId53" Type="http://schemas.openxmlformats.org/officeDocument/2006/relationships/hyperlink" Target="https://www.visualcapitalist.com/countries-by-solar-power-ranking" TargetMode="External"/><Relationship Id="rId58" Type="http://schemas.openxmlformats.org/officeDocument/2006/relationships/image" Target="media/image5.emf"/><Relationship Id="rId66" Type="http://schemas.openxmlformats.org/officeDocument/2006/relationships/hyperlink" Target="https://globalsolaratlas.info/map" TargetMode="External"/><Relationship Id="rId74"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s://eneroutlook.enerdata.net/forecast-world-electricity-consumption.html" TargetMode="External"/><Relationship Id="rId19" Type="http://schemas.openxmlformats.org/officeDocument/2006/relationships/hyperlink" Target="https://doi.org/10.1111/etap.12027" TargetMode="External"/><Relationship Id="rId14" Type="http://schemas.openxmlformats.org/officeDocument/2006/relationships/hyperlink" Target="https://doi.org/10.1111/j.1467-6486.2007.00753.x" TargetMode="External"/><Relationship Id="rId22" Type="http://schemas.openxmlformats.org/officeDocument/2006/relationships/hyperlink" Target="https://doi.org/10.1057/palgrave.jibs.8490593" TargetMode="External"/><Relationship Id="rId27" Type="http://schemas.openxmlformats.org/officeDocument/2006/relationships/hyperlink" Target="https://doi.org/10.1509/jimk.14.3.33" TargetMode="External"/><Relationship Id="rId30" Type="http://schemas.openxmlformats.org/officeDocument/2006/relationships/hyperlink" Target="https://doi.org/10.1057/palgrave.jibs.8400071" TargetMode="External"/><Relationship Id="rId35" Type="http://schemas.openxmlformats.org/officeDocument/2006/relationships/hyperlink" Target="https://doi.org/10.1016/0883-9026(94)90017-5" TargetMode="External"/><Relationship Id="rId43" Type="http://schemas.openxmlformats.org/officeDocument/2006/relationships/hyperlink" Target="https://doi.org/10.5295/cdg.170733pc" TargetMode="External"/><Relationship Id="rId48" Type="http://schemas.openxmlformats.org/officeDocument/2006/relationships/footer" Target="footer2.xml"/><Relationship Id="rId56" Type="http://schemas.openxmlformats.org/officeDocument/2006/relationships/image" Target="media/image4.emf"/><Relationship Id="rId64" Type="http://schemas.openxmlformats.org/officeDocument/2006/relationships/image" Target="media/image9.emf"/><Relationship Id="rId69" Type="http://schemas.openxmlformats.org/officeDocument/2006/relationships/hyperlink" Target="https://www.globalpetrolprices.com/electricity_prices/" TargetMode="External"/><Relationship Id="rId8" Type="http://schemas.openxmlformats.org/officeDocument/2006/relationships/image" Target="media/image2.png"/><Relationship Id="rId51" Type="http://schemas.openxmlformats.org/officeDocument/2006/relationships/hyperlink" Target="https://globalsolaratlas.info/map" TargetMode="External"/><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doi.org/10.1057/jibs.2009.54" TargetMode="External"/><Relationship Id="rId17" Type="http://schemas.openxmlformats.org/officeDocument/2006/relationships/hyperlink" Target="https://doi.org/10.1016/j.ibusrev.2008.01.003" TargetMode="External"/><Relationship Id="rId25" Type="http://schemas.openxmlformats.org/officeDocument/2006/relationships/hyperlink" Target="https://eneroutlook.enerdata.net/forecast-world-electricity-consumption.html" TargetMode="External"/><Relationship Id="rId33" Type="http://schemas.openxmlformats.org/officeDocument/2006/relationships/hyperlink" Target="https://doi.org/10.1108/02651330510630294" TargetMode="External"/><Relationship Id="rId38" Type="http://schemas.openxmlformats.org/officeDocument/2006/relationships/hyperlink" Target="https://doi.org/10.5465/ame.1995.9506273269" TargetMode="External"/><Relationship Id="rId46" Type="http://schemas.openxmlformats.org/officeDocument/2006/relationships/hyperlink" Target="https://globalsolaratlas.info/map" TargetMode="External"/><Relationship Id="rId59" Type="http://schemas.openxmlformats.org/officeDocument/2006/relationships/hyperlink" Target="https://www.globalpetrolprices.com/electricity_prices/" TargetMode="External"/><Relationship Id="rId67" Type="http://schemas.openxmlformats.org/officeDocument/2006/relationships/hyperlink" Target="https://epi.yale.edu/measure/2024/EPI" TargetMode="External"/><Relationship Id="rId20" Type="http://schemas.openxmlformats.org/officeDocument/2006/relationships/hyperlink" Target="https://deye.com/pt/what-is-energy-storage-system/" TargetMode="External"/><Relationship Id="rId41" Type="http://schemas.openxmlformats.org/officeDocument/2006/relationships/hyperlink" Target="https://wattlogic.com/blog/types-of-battery-energy-storage-systems/" TargetMode="External"/><Relationship Id="rId54" Type="http://schemas.openxmlformats.org/officeDocument/2006/relationships/hyperlink" Target="https://globalsolaratlas.info/map" TargetMode="External"/><Relationship Id="rId62" Type="http://schemas.openxmlformats.org/officeDocument/2006/relationships/image" Target="media/image7.emf"/><Relationship Id="rId70" Type="http://schemas.openxmlformats.org/officeDocument/2006/relationships/hyperlink" Target="https://eneroutlook.enerdata.net/forecast-world-electricity-consumption.html" TargetMode="Externa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s://doi.org/10.1509/jimk.8.2.33.19624" TargetMode="External"/><Relationship Id="rId23" Type="http://schemas.openxmlformats.org/officeDocument/2006/relationships/hyperlink" Target="https://doi.org/10.1007/s10490-007-9074-z" TargetMode="External"/><Relationship Id="rId28" Type="http://schemas.openxmlformats.org/officeDocument/2006/relationships/hyperlink" Target="https://www.globalpetrolprices.com/electricity_prices/" TargetMode="External"/><Relationship Id="rId36" Type="http://schemas.openxmlformats.org/officeDocument/2006/relationships/hyperlink" Target="https://growthorientedsustainableentrepreneurship.wordpress.com/wp-content/uploads/2016/07/gl-fundamental-issues-in-international-entrepreneurship.pdf" TargetMode="External"/><Relationship Id="rId49" Type="http://schemas.openxmlformats.org/officeDocument/2006/relationships/hyperlink" Target="https://www.visualcapitalist.com/countries-by-solar-power-ranking/" TargetMode="External"/><Relationship Id="rId57" Type="http://schemas.openxmlformats.org/officeDocument/2006/relationships/hyperlink" Target="https://www.ifhv.de/publications/world-risk-report" TargetMode="External"/><Relationship Id="rId10" Type="http://schemas.openxmlformats.org/officeDocument/2006/relationships/hyperlink" Target="https://doi.org/10.1016/j.enpol.2024.114167" TargetMode="External"/><Relationship Id="rId31" Type="http://schemas.openxmlformats.org/officeDocument/2006/relationships/hyperlink" Target="https://doi.org/10.1057/palgrave.jibs.8490394" TargetMode="External"/><Relationship Id="rId44" Type="http://schemas.openxmlformats.org/officeDocument/2006/relationships/hyperlink" Target="https://doi.org/10.30574/ijsra.2024.13.1.1694" TargetMode="External"/><Relationship Id="rId52" Type="http://schemas.openxmlformats.org/officeDocument/2006/relationships/image" Target="media/image3.emf"/><Relationship Id="rId60" Type="http://schemas.openxmlformats.org/officeDocument/2006/relationships/image" Target="media/image6.emf"/><Relationship Id="rId65" Type="http://schemas.openxmlformats.org/officeDocument/2006/relationships/hyperlink" Target="https://www.visualcapitalist.com/countries-by-solar-power-ranking" TargetMode="External"/><Relationship Id="rId73"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hyperlink" Target="https://epi.yale.edu" TargetMode="External"/><Relationship Id="rId18" Type="http://schemas.openxmlformats.org/officeDocument/2006/relationships/hyperlink" Target="https://doi.org/10.1016/S0969-5931(01)00017-8" TargetMode="External"/><Relationship Id="rId39" Type="http://schemas.openxmlformats.org/officeDocument/2006/relationships/hyperlink" Target="https://doi.org/10.1111/j.1540-6520.2005.00097.x" TargetMode="External"/><Relationship Id="rId34" Type="http://schemas.openxmlformats.org/officeDocument/2006/relationships/hyperlink" Target="https://doi.org/10.1016/S0969-5931(97)00032-2" TargetMode="External"/><Relationship Id="rId50" Type="http://schemas.openxmlformats.org/officeDocument/2006/relationships/hyperlink" Target="https://www.visualcapitalist.com/countries-by-solar-power-ranking/" TargetMode="External"/><Relationship Id="rId55" Type="http://schemas.openxmlformats.org/officeDocument/2006/relationships/hyperlink" Target="https://epi.yale.edu/measure/2024/EPI" TargetMode="External"/><Relationship Id="rId7" Type="http://schemas.openxmlformats.org/officeDocument/2006/relationships/image" Target="media/image1.emf"/><Relationship Id="rId71"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89960F318164D0E84FE0A87B9968CF6"/>
        <w:category>
          <w:name w:val="General"/>
          <w:gallery w:val="placeholder"/>
        </w:category>
        <w:types>
          <w:type w:val="bbPlcHdr"/>
        </w:types>
        <w:behaviors>
          <w:behavior w:val="content"/>
        </w:behaviors>
        <w:guid w:val="{8AB53E61-794E-4AAD-98DA-32AE4F8CD1F0}"/>
      </w:docPartPr>
      <w:docPartBody>
        <w:p w:rsidR="003D2EE2" w:rsidRDefault="00C7040B" w:rsidP="00C7040B">
          <w:pPr>
            <w:pStyle w:val="089960F318164D0E84FE0A87B9968CF6"/>
          </w:pPr>
          <w:r w:rsidRPr="006C41F6">
            <w:rPr>
              <w:rStyle w:val="PlaceholderText"/>
            </w:rPr>
            <w:t>Click or tap here to enter text.</w:t>
          </w:r>
        </w:p>
      </w:docPartBody>
    </w:docPart>
    <w:docPart>
      <w:docPartPr>
        <w:name w:val="5758340E399E48E78198B5689C102884"/>
        <w:category>
          <w:name w:val="General"/>
          <w:gallery w:val="placeholder"/>
        </w:category>
        <w:types>
          <w:type w:val="bbPlcHdr"/>
        </w:types>
        <w:behaviors>
          <w:behavior w:val="content"/>
        </w:behaviors>
        <w:guid w:val="{75D3E88F-6FE5-4B90-BD2E-D67E5D6BED0B}"/>
      </w:docPartPr>
      <w:docPartBody>
        <w:p w:rsidR="003D2EE2" w:rsidRDefault="00C7040B" w:rsidP="00C7040B">
          <w:pPr>
            <w:pStyle w:val="5758340E399E48E78198B5689C102884"/>
          </w:pPr>
          <w:r w:rsidRPr="006C41F6">
            <w:rPr>
              <w:rStyle w:val="PlaceholderText"/>
            </w:rPr>
            <w:t>Click or tap here to enter text.</w:t>
          </w:r>
        </w:p>
      </w:docPartBody>
    </w:docPart>
    <w:docPart>
      <w:docPartPr>
        <w:name w:val="83846677A621427695D1E4DB94D046C2"/>
        <w:category>
          <w:name w:val="General"/>
          <w:gallery w:val="placeholder"/>
        </w:category>
        <w:types>
          <w:type w:val="bbPlcHdr"/>
        </w:types>
        <w:behaviors>
          <w:behavior w:val="content"/>
        </w:behaviors>
        <w:guid w:val="{012C6051-355B-45A2-9162-31B4A52F46AA}"/>
      </w:docPartPr>
      <w:docPartBody>
        <w:p w:rsidR="00233296" w:rsidRDefault="003D2EE2" w:rsidP="003D2EE2">
          <w:pPr>
            <w:pStyle w:val="83846677A621427695D1E4DB94D046C2"/>
          </w:pPr>
          <w:r w:rsidRPr="006C41F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Gill Sans">
    <w:charset w:val="B1"/>
    <w:family w:val="swiss"/>
    <w:pitch w:val="variable"/>
    <w:sig w:usb0="80000A67" w:usb1="00000000" w:usb2="00000000" w:usb3="00000000" w:csb0="000001F7" w:csb1="00000000"/>
  </w:font>
  <w:font w:name="GillSans">
    <w:altName w:val="Gill Sans"/>
    <w:panose1 w:val="00000000000000000000"/>
    <w:charset w:val="4D"/>
    <w:family w:val="auto"/>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40B"/>
    <w:rsid w:val="000210FA"/>
    <w:rsid w:val="000356C4"/>
    <w:rsid w:val="000B1F3D"/>
    <w:rsid w:val="00184394"/>
    <w:rsid w:val="001B4072"/>
    <w:rsid w:val="001D2AE7"/>
    <w:rsid w:val="001F02B7"/>
    <w:rsid w:val="00203918"/>
    <w:rsid w:val="002061C9"/>
    <w:rsid w:val="002120B1"/>
    <w:rsid w:val="00225D59"/>
    <w:rsid w:val="00233296"/>
    <w:rsid w:val="00234506"/>
    <w:rsid w:val="002E4F82"/>
    <w:rsid w:val="00331E8B"/>
    <w:rsid w:val="003D2EE2"/>
    <w:rsid w:val="005360EB"/>
    <w:rsid w:val="00541648"/>
    <w:rsid w:val="00554339"/>
    <w:rsid w:val="0055503F"/>
    <w:rsid w:val="005F05E9"/>
    <w:rsid w:val="006A3BAE"/>
    <w:rsid w:val="006D0917"/>
    <w:rsid w:val="00766C32"/>
    <w:rsid w:val="007D1B50"/>
    <w:rsid w:val="00837202"/>
    <w:rsid w:val="00953243"/>
    <w:rsid w:val="00955B99"/>
    <w:rsid w:val="009D620D"/>
    <w:rsid w:val="00A45E4E"/>
    <w:rsid w:val="00AF6A41"/>
    <w:rsid w:val="00B21499"/>
    <w:rsid w:val="00BC7B12"/>
    <w:rsid w:val="00C159AA"/>
    <w:rsid w:val="00C331A4"/>
    <w:rsid w:val="00C36754"/>
    <w:rsid w:val="00C57619"/>
    <w:rsid w:val="00C7040B"/>
    <w:rsid w:val="00F0542C"/>
    <w:rsid w:val="00F541D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21499"/>
    <w:rPr>
      <w:color w:val="666666"/>
    </w:rPr>
  </w:style>
  <w:style w:type="paragraph" w:customStyle="1" w:styleId="089960F318164D0E84FE0A87B9968CF6">
    <w:name w:val="089960F318164D0E84FE0A87B9968CF6"/>
    <w:rsid w:val="00C7040B"/>
  </w:style>
  <w:style w:type="paragraph" w:customStyle="1" w:styleId="5758340E399E48E78198B5689C102884">
    <w:name w:val="5758340E399E48E78198B5689C102884"/>
    <w:rsid w:val="00C7040B"/>
  </w:style>
  <w:style w:type="paragraph" w:customStyle="1" w:styleId="83846677A621427695D1E4DB94D046C2">
    <w:name w:val="83846677A621427695D1E4DB94D046C2"/>
    <w:rsid w:val="003D2E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122025-8F9F-43A9-9E4C-3EC8AF017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74</Pages>
  <Words>22051</Words>
  <Characters>125694</Characters>
  <Application>Microsoft Office Word</Application>
  <DocSecurity>0</DocSecurity>
  <Lines>1047</Lines>
  <Paragraphs>294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Bruno Silva</dc:creator>
  <cp:keywords/>
  <dc:description/>
  <cp:lastModifiedBy>Bruno Silva</cp:lastModifiedBy>
  <cp:revision>9</cp:revision>
  <dcterms:created xsi:type="dcterms:W3CDTF">2025-07-06T22:07:00Z</dcterms:created>
  <dcterms:modified xsi:type="dcterms:W3CDTF">2025-07-07T23:18:00Z</dcterms:modified>
</cp:coreProperties>
</file>