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1107" w14:textId="77777777" w:rsidR="00DF33F0" w:rsidRPr="00223E0E" w:rsidRDefault="00DF33F0" w:rsidP="00DF33F0">
      <w:pPr>
        <w:pStyle w:val="BasicParagraph"/>
        <w:suppressAutoHyphens/>
        <w:ind w:left="6946"/>
        <w:rPr>
          <w:rFonts w:ascii="Gill Sans MT" w:hAnsi="Gill Sans MT" w:cs="GillSans"/>
          <w:caps/>
          <w:sz w:val="18"/>
          <w:szCs w:val="18"/>
          <w:lang w:val="pt-PT"/>
        </w:rPr>
      </w:pPr>
      <w:bookmarkStart w:id="0" w:name="_Toc153203458"/>
      <w:r>
        <w:rPr>
          <w:noProof/>
          <w:lang w:val="pt-PT" w:eastAsia="pt-PT"/>
        </w:rPr>
        <w:drawing>
          <wp:inline distT="0" distB="0" distL="0" distR="0" wp14:anchorId="39F084E9" wp14:editId="5B27BC74">
            <wp:extent cx="1206500" cy="2618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0" cy="261876"/>
                    </a:xfrm>
                    <a:prstGeom prst="rect">
                      <a:avLst/>
                    </a:prstGeom>
                    <a:noFill/>
                    <a:ln>
                      <a:noFill/>
                    </a:ln>
                  </pic:spPr>
                </pic:pic>
              </a:graphicData>
            </a:graphic>
          </wp:inline>
        </w:drawing>
      </w:r>
    </w:p>
    <w:p w14:paraId="7A0E03CB" w14:textId="77777777" w:rsidR="00DF33F0" w:rsidRPr="00223E0E" w:rsidRDefault="00DF33F0" w:rsidP="00DF33F0">
      <w:pPr>
        <w:pStyle w:val="BasicParagraph"/>
        <w:suppressAutoHyphens/>
        <w:rPr>
          <w:rFonts w:ascii="Gill Sans MT" w:hAnsi="Gill Sans MT" w:cs="Gill Sans"/>
          <w:caps/>
          <w:sz w:val="18"/>
          <w:szCs w:val="18"/>
          <w:lang w:val="pt-PT"/>
        </w:rPr>
      </w:pPr>
    </w:p>
    <w:p w14:paraId="06B4832D" w14:textId="77777777" w:rsidR="00DF33F0" w:rsidRDefault="00DF33F0" w:rsidP="00DF33F0">
      <w:pPr>
        <w:pStyle w:val="BasicParagraph"/>
        <w:suppressAutoHyphens/>
        <w:rPr>
          <w:rFonts w:ascii="Gill Sans MT" w:hAnsi="Gill Sans MT" w:cs="Gill Sans"/>
          <w:caps/>
          <w:sz w:val="18"/>
          <w:szCs w:val="18"/>
          <w:lang w:val="pt-PT"/>
        </w:rPr>
      </w:pPr>
    </w:p>
    <w:p w14:paraId="561915B6" w14:textId="77777777" w:rsidR="00DF33F0" w:rsidRDefault="00DF33F0" w:rsidP="00DF33F0">
      <w:pPr>
        <w:pStyle w:val="BasicParagraph"/>
        <w:suppressAutoHyphens/>
        <w:rPr>
          <w:rFonts w:ascii="Gill Sans MT" w:hAnsi="Gill Sans MT" w:cs="Gill Sans"/>
          <w:caps/>
          <w:sz w:val="18"/>
          <w:szCs w:val="18"/>
          <w:lang w:val="pt-PT"/>
        </w:rPr>
      </w:pPr>
    </w:p>
    <w:p w14:paraId="1B62C215" w14:textId="77777777" w:rsidR="00DF33F0" w:rsidRDefault="00DF33F0" w:rsidP="00DF33F0">
      <w:pPr>
        <w:pStyle w:val="BasicParagraph"/>
        <w:suppressAutoHyphens/>
        <w:rPr>
          <w:rFonts w:ascii="Gill Sans MT" w:hAnsi="Gill Sans MT" w:cs="Gill Sans"/>
          <w:caps/>
          <w:sz w:val="18"/>
          <w:szCs w:val="18"/>
          <w:lang w:val="pt-PT"/>
        </w:rPr>
      </w:pPr>
    </w:p>
    <w:p w14:paraId="36BC66BD" w14:textId="77777777" w:rsidR="00DF33F0" w:rsidRDefault="00DF33F0" w:rsidP="00DF33F0">
      <w:pPr>
        <w:pStyle w:val="BasicParagraph"/>
        <w:suppressAutoHyphens/>
        <w:rPr>
          <w:rFonts w:ascii="Gill Sans MT" w:hAnsi="Gill Sans MT" w:cs="Gill Sans"/>
          <w:caps/>
          <w:sz w:val="18"/>
          <w:szCs w:val="18"/>
          <w:lang w:val="pt-PT"/>
        </w:rPr>
      </w:pPr>
    </w:p>
    <w:p w14:paraId="74BE2298" w14:textId="77777777" w:rsidR="00DF33F0" w:rsidRPr="00223E0E" w:rsidRDefault="00DF33F0" w:rsidP="00DF33F0">
      <w:pPr>
        <w:pStyle w:val="BasicParagraph"/>
        <w:suppressAutoHyphens/>
        <w:rPr>
          <w:rFonts w:ascii="Gill Sans MT" w:hAnsi="Gill Sans MT" w:cs="Gill Sans"/>
          <w:caps/>
          <w:sz w:val="18"/>
          <w:szCs w:val="18"/>
          <w:lang w:val="pt-PT"/>
        </w:rPr>
      </w:pPr>
    </w:p>
    <w:p w14:paraId="3D421B6D" w14:textId="77777777" w:rsidR="00DF33F0" w:rsidRPr="00223E0E" w:rsidRDefault="00DF33F0" w:rsidP="00DF33F0">
      <w:pPr>
        <w:pStyle w:val="BasicParagraph"/>
        <w:suppressAutoHyphens/>
        <w:ind w:left="-567"/>
        <w:rPr>
          <w:rFonts w:ascii="Gill Sans MT" w:hAnsi="Gill Sans MT" w:cs="Gill Sans"/>
          <w:caps/>
          <w:sz w:val="18"/>
          <w:szCs w:val="18"/>
          <w:lang w:val="pt-PT"/>
        </w:rPr>
      </w:pPr>
    </w:p>
    <w:p w14:paraId="2C230854" w14:textId="579CC947" w:rsidR="00DF33F0" w:rsidRPr="00223E0E" w:rsidRDefault="00DA62B6" w:rsidP="00DF33F0">
      <w:pPr>
        <w:pStyle w:val="BasicParagraph"/>
        <w:suppressAutoHyphens/>
        <w:ind w:left="-567"/>
        <w:rPr>
          <w:rFonts w:ascii="Gill Sans MT" w:hAnsi="Gill Sans MT" w:cs="Gill Sans"/>
          <w:b/>
          <w:caps/>
          <w:color w:val="00ADEF"/>
          <w:sz w:val="12"/>
          <w:szCs w:val="12"/>
          <w:lang w:val="pt-PT"/>
        </w:rPr>
      </w:pPr>
      <w:r>
        <w:rPr>
          <w:rFonts w:ascii="Gill Sans MT" w:hAnsi="Gill Sans MT" w:cs="Gill Sans"/>
          <w:b/>
          <w:caps/>
          <w:sz w:val="18"/>
          <w:szCs w:val="18"/>
          <w:lang w:val="pt-PT"/>
        </w:rPr>
        <w:t>MESTRADO</w:t>
      </w:r>
    </w:p>
    <w:p w14:paraId="57034F4A" w14:textId="46AF891B" w:rsidR="00DF33F0" w:rsidRPr="00DF33F0" w:rsidRDefault="00DA62B6" w:rsidP="00DF33F0">
      <w:pPr>
        <w:ind w:left="-567"/>
        <w:rPr>
          <w:rFonts w:ascii="Gill Sans MT" w:hAnsi="Gill Sans MT" w:cs="Gill Sans"/>
          <w:caps/>
          <w:sz w:val="18"/>
          <w:szCs w:val="18"/>
          <w:lang w:val="pt-PT"/>
        </w:rPr>
      </w:pPr>
      <w:r>
        <w:rPr>
          <w:rFonts w:ascii="Gill Sans MT" w:hAnsi="Gill Sans MT" w:cs="Gill Sans"/>
          <w:caps/>
          <w:sz w:val="18"/>
          <w:szCs w:val="18"/>
          <w:lang w:val="pt-PT"/>
        </w:rPr>
        <w:t>FINANÇAS E FISCALIDADE</w:t>
      </w:r>
    </w:p>
    <w:p w14:paraId="35059C61" w14:textId="77777777" w:rsidR="00DF33F0" w:rsidRPr="00223E0E" w:rsidRDefault="00DF33F0" w:rsidP="00DF33F0">
      <w:pPr>
        <w:pStyle w:val="BasicParagraph"/>
        <w:suppressAutoHyphens/>
        <w:ind w:left="-567"/>
        <w:rPr>
          <w:rFonts w:ascii="Gill Sans MT" w:hAnsi="Gill Sans MT" w:cs="Gill Sans"/>
          <w:caps/>
          <w:noProof/>
          <w:color w:val="auto"/>
          <w:sz w:val="18"/>
          <w:szCs w:val="18"/>
          <w:lang w:val="pt-PT"/>
        </w:rPr>
      </w:pPr>
    </w:p>
    <w:p w14:paraId="334D0E8E" w14:textId="77777777" w:rsidR="00DF33F0" w:rsidRDefault="00DF33F0" w:rsidP="00DF33F0">
      <w:pPr>
        <w:pStyle w:val="BasicParagraph"/>
        <w:suppressAutoHyphens/>
        <w:ind w:left="-567"/>
        <w:rPr>
          <w:rFonts w:ascii="Gill Sans MT" w:hAnsi="Gill Sans MT" w:cs="Gill Sans"/>
          <w:caps/>
          <w:noProof/>
          <w:color w:val="auto"/>
          <w:sz w:val="18"/>
          <w:szCs w:val="18"/>
          <w:lang w:val="pt-PT"/>
        </w:rPr>
      </w:pPr>
    </w:p>
    <w:p w14:paraId="2E3424D8" w14:textId="77777777" w:rsidR="00DF33F0" w:rsidRPr="00223E0E" w:rsidRDefault="00DF33F0" w:rsidP="00DF33F0">
      <w:pPr>
        <w:pStyle w:val="BasicParagraph"/>
        <w:suppressAutoHyphens/>
        <w:rPr>
          <w:rFonts w:ascii="Gill Sans MT" w:hAnsi="Gill Sans MT" w:cs="Gill Sans"/>
          <w:caps/>
          <w:noProof/>
          <w:color w:val="auto"/>
          <w:sz w:val="18"/>
          <w:szCs w:val="18"/>
          <w:lang w:val="pt-PT"/>
        </w:rPr>
      </w:pPr>
    </w:p>
    <w:p w14:paraId="21764258" w14:textId="2A7CAB37" w:rsidR="00DF33F0" w:rsidRPr="00223E0E" w:rsidRDefault="00DA62B6" w:rsidP="00DF33F0">
      <w:pPr>
        <w:pStyle w:val="BasicParagraph"/>
        <w:suppressAutoHyphens/>
        <w:ind w:left="-567"/>
        <w:rPr>
          <w:rFonts w:ascii="Gill Sans MT" w:hAnsi="Gill Sans MT" w:cs="Gill Sans"/>
          <w:b/>
          <w:caps/>
          <w:color w:val="00ADEF"/>
          <w:sz w:val="12"/>
          <w:szCs w:val="12"/>
          <w:lang w:val="pt-PT"/>
        </w:rPr>
      </w:pPr>
      <w:r>
        <w:rPr>
          <w:rFonts w:ascii="Gill Sans MT" w:hAnsi="Gill Sans MT" w:cs="Gill Sans"/>
          <w:b/>
          <w:sz w:val="48"/>
          <w:szCs w:val="48"/>
          <w:lang w:val="pt-PT"/>
        </w:rPr>
        <w:t>O Impacto do CFEI II no Investimento em Ativos</w:t>
      </w:r>
    </w:p>
    <w:p w14:paraId="50DBF592" w14:textId="0B001993" w:rsidR="00DF33F0" w:rsidRPr="00223E0E" w:rsidRDefault="00DA62B6" w:rsidP="00DF33F0">
      <w:pPr>
        <w:pStyle w:val="BasicParagraph"/>
        <w:suppressAutoHyphens/>
        <w:ind w:left="-567"/>
        <w:rPr>
          <w:rFonts w:ascii="Gill Sans MT" w:hAnsi="Gill Sans MT" w:cs="Gill Sans"/>
          <w:caps/>
          <w:color w:val="00ADEF"/>
          <w:sz w:val="12"/>
          <w:szCs w:val="12"/>
          <w:lang w:val="pt-PT"/>
        </w:rPr>
      </w:pPr>
      <w:r>
        <w:rPr>
          <w:rFonts w:ascii="Gill Sans MT" w:hAnsi="Gill Sans MT" w:cs="Gill Sans"/>
          <w:sz w:val="48"/>
          <w:szCs w:val="48"/>
          <w:lang w:val="pt-PT"/>
        </w:rPr>
        <w:t>Marta da Costa Jácome de Vasconcelos</w:t>
      </w:r>
    </w:p>
    <w:p w14:paraId="2168C672" w14:textId="77777777" w:rsidR="00DF33F0" w:rsidRDefault="00DF33F0" w:rsidP="00DF33F0">
      <w:pPr>
        <w:pStyle w:val="BasicParagraph"/>
        <w:suppressAutoHyphens/>
        <w:spacing w:line="240" w:lineRule="auto"/>
        <w:ind w:left="-567"/>
        <w:rPr>
          <w:rFonts w:ascii="Gill Sans MT" w:hAnsi="Gill Sans MT" w:cs="Gill Sans"/>
          <w:b/>
          <w:bCs/>
          <w:caps/>
          <w:spacing w:val="67"/>
          <w:sz w:val="96"/>
          <w:szCs w:val="96"/>
          <w:lang w:val="pt-PT"/>
        </w:rPr>
      </w:pPr>
      <w:r>
        <w:rPr>
          <w:rFonts w:ascii="Gill Sans MT" w:hAnsi="Gill Sans MT" w:cs="Gill Sans"/>
          <w:b/>
          <w:bCs/>
          <w:caps/>
          <w:spacing w:val="67"/>
          <w:sz w:val="96"/>
          <w:szCs w:val="96"/>
          <w:lang w:val="pt-PT"/>
        </w:rPr>
        <w:t>m</w:t>
      </w:r>
    </w:p>
    <w:p w14:paraId="4B91C62D" w14:textId="0517B84F"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r w:rsidRPr="00223E0E">
        <w:rPr>
          <w:rFonts w:ascii="Gill Sans MT" w:hAnsi="Gill Sans MT" w:cs="Gill Sans"/>
          <w:b/>
          <w:bCs/>
          <w:caps/>
          <w:spacing w:val="9"/>
          <w:sz w:val="22"/>
          <w:szCs w:val="22"/>
          <w:lang w:val="pt-PT"/>
        </w:rPr>
        <w:t>2</w:t>
      </w:r>
      <w:r w:rsidRPr="00223E0E">
        <w:rPr>
          <w:rFonts w:ascii="Gill Sans MT" w:hAnsi="Gill Sans MT" w:cs="Gill Sans"/>
          <w:b/>
          <w:bCs/>
          <w:caps/>
          <w:spacing w:val="-9"/>
          <w:sz w:val="22"/>
          <w:szCs w:val="22"/>
          <w:lang w:val="pt-PT"/>
        </w:rPr>
        <w:t>0</w:t>
      </w:r>
      <w:r w:rsidR="00DA62B6">
        <w:rPr>
          <w:rFonts w:ascii="Gill Sans MT" w:hAnsi="Gill Sans MT" w:cs="Gill Sans"/>
          <w:b/>
          <w:bCs/>
          <w:caps/>
          <w:sz w:val="22"/>
          <w:szCs w:val="22"/>
          <w:lang w:val="pt-PT"/>
        </w:rPr>
        <w:t>24</w:t>
      </w:r>
    </w:p>
    <w:p w14:paraId="326C801E" w14:textId="709542BA"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077BDB97" w14:textId="11D1D712"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35A3D76B"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698BFA1D"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3A0706FF" w14:textId="527E869C"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3AA44405"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4AD2566C"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024A4893"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76CEF2FC"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7C4CA79B" w14:textId="399D2CB1"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23C6D208" w14:textId="10545E59"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1D7445F7" w14:textId="155B1F72"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10ACCC08" w14:textId="707A840E"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501C0454" w14:textId="763C10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5DDEF7E9"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4DD986FA"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2D1BFCCA"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25BD8E4D" w14:textId="5E21061D"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7408ED4C" w14:textId="0AEA5A31"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158467D6" w14:textId="422C37BF"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13902D86" w14:textId="2EFC402A" w:rsidR="00DF33F0" w:rsidRPr="00DA62B6" w:rsidRDefault="00385031" w:rsidP="00DF33F0">
      <w:pPr>
        <w:pStyle w:val="BasicParagraph"/>
        <w:suppressAutoHyphens/>
        <w:spacing w:line="240" w:lineRule="auto"/>
        <w:ind w:left="-567"/>
        <w:rPr>
          <w:rFonts w:ascii="Gill Sans MT" w:hAnsi="Gill Sans MT" w:cs="Gill Sans"/>
          <w:b/>
          <w:bCs/>
          <w:caps/>
          <w:sz w:val="22"/>
          <w:szCs w:val="22"/>
          <w:lang w:val="pt-PT"/>
        </w:rPr>
      </w:pPr>
      <w:r w:rsidRPr="0002679C">
        <w:rPr>
          <w:noProof/>
          <w:lang w:eastAsia="pt-PT"/>
        </w:rPr>
        <mc:AlternateContent>
          <mc:Choice Requires="wps">
            <w:drawing>
              <wp:anchor distT="0" distB="0" distL="114300" distR="114300" simplePos="0" relativeHeight="251661312" behindDoc="0" locked="0" layoutInCell="1" allowOverlap="1" wp14:anchorId="4B7B2646" wp14:editId="3256B4B8">
                <wp:simplePos x="0" y="0"/>
                <wp:positionH relativeFrom="column">
                  <wp:posOffset>2270760</wp:posOffset>
                </wp:positionH>
                <wp:positionV relativeFrom="paragraph">
                  <wp:posOffset>90805</wp:posOffset>
                </wp:positionV>
                <wp:extent cx="228600" cy="1828800"/>
                <wp:effectExtent l="0" t="0" r="0" b="0"/>
                <wp:wrapNone/>
                <wp:docPr id="1" name="Rectangle 1"/>
                <wp:cNvGraphicFramePr/>
                <a:graphic xmlns:a="http://schemas.openxmlformats.org/drawingml/2006/main">
                  <a:graphicData uri="http://schemas.microsoft.com/office/word/2010/wordprocessingShape">
                    <wps:wsp>
                      <wps:cNvSpPr/>
                      <wps:spPr>
                        <a:xfrm>
                          <a:off x="0" y="0"/>
                          <a:ext cx="228600" cy="1828800"/>
                        </a:xfrm>
                        <a:prstGeom prst="rect">
                          <a:avLst/>
                        </a:prstGeom>
                        <a:solidFill>
                          <a:srgbClr val="F6333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DE3C0CB" id="Rectangle 1" o:spid="_x0000_s1026" style="position:absolute;margin-left:178.8pt;margin-top:7.15pt;width:18pt;height:2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" fillcolor="#f6333e" stroked="f" strokeweight=".5pt"/>
            </w:pict>
          </mc:Fallback>
        </mc:AlternateContent>
      </w:r>
      <w:r w:rsidRPr="0002679C">
        <w:rPr>
          <w:noProof/>
          <w:lang w:eastAsia="pt-PT"/>
        </w:rPr>
        <mc:AlternateContent>
          <mc:Choice Requires="wps">
            <w:drawing>
              <wp:anchor distT="0" distB="0" distL="114300" distR="114300" simplePos="0" relativeHeight="251662336" behindDoc="0" locked="0" layoutInCell="1" allowOverlap="1" wp14:anchorId="71D03E85" wp14:editId="4193E25C">
                <wp:simplePos x="0" y="0"/>
                <wp:positionH relativeFrom="column">
                  <wp:posOffset>2512060</wp:posOffset>
                </wp:positionH>
                <wp:positionV relativeFrom="paragraph">
                  <wp:posOffset>90896</wp:posOffset>
                </wp:positionV>
                <wp:extent cx="228600" cy="18288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1828800"/>
                        </a:xfrm>
                        <a:prstGeom prst="rect">
                          <a:avLst/>
                        </a:prstGeom>
                        <a:solidFill>
                          <a:schemeClr val="bg1"/>
                        </a:solidFill>
                        <a:ln>
                          <a:solidFill>
                            <a:srgbClr val="F6333E"/>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3798BD7" id="Rectangle 3" o:spid="_x0000_s1026" style="position:absolute;margin-left:197.8pt;margin-top:7.15pt;width:18pt;height:2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" fillcolor="white [3212]" strokecolor="#f6333e" strokeweight=".5pt"/>
            </w:pict>
          </mc:Fallback>
        </mc:AlternateContent>
      </w:r>
    </w:p>
    <w:p w14:paraId="1D2F2AAC" w14:textId="624A0329"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3584DCC8" w14:textId="767F3B73"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4516A565" w14:textId="28D1C9C8"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10D3EB23" w14:textId="266863A2"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2CF05038"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1A423828"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797118C4" w14:textId="77777777" w:rsidR="00DF33F0" w:rsidRPr="00DA62B6" w:rsidRDefault="00DF33F0" w:rsidP="00DF33F0">
      <w:pPr>
        <w:pStyle w:val="BasicParagraph"/>
        <w:suppressAutoHyphens/>
        <w:spacing w:line="240" w:lineRule="auto"/>
        <w:ind w:left="-567"/>
        <w:rPr>
          <w:rFonts w:ascii="Gill Sans MT" w:hAnsi="Gill Sans MT" w:cs="Gill Sans"/>
          <w:b/>
          <w:bCs/>
          <w:caps/>
          <w:sz w:val="22"/>
          <w:szCs w:val="22"/>
          <w:lang w:val="pt-PT"/>
        </w:rPr>
      </w:pPr>
    </w:p>
    <w:p w14:paraId="01A65EFC" w14:textId="77777777" w:rsidR="00DF33F0" w:rsidRPr="00DA62B6" w:rsidRDefault="00DF33F0" w:rsidP="00DA62B6">
      <w:pPr>
        <w:pStyle w:val="BasicParagraph"/>
        <w:suppressAutoHyphens/>
        <w:spacing w:line="240" w:lineRule="auto"/>
        <w:rPr>
          <w:rFonts w:ascii="Gill Sans MT" w:hAnsi="Gill Sans MT" w:cs="Gill Sans"/>
          <w:b/>
          <w:bCs/>
          <w:caps/>
          <w:sz w:val="22"/>
          <w:szCs w:val="22"/>
          <w:lang w:val="pt-PT"/>
        </w:rPr>
      </w:pPr>
    </w:p>
    <w:p w14:paraId="66969575" w14:textId="77777777" w:rsidR="00DF33F0" w:rsidRPr="00223E0E" w:rsidRDefault="00DF33F0" w:rsidP="00DF33F0">
      <w:pPr>
        <w:pStyle w:val="BasicParagraph"/>
        <w:suppressAutoHyphens/>
        <w:spacing w:line="240" w:lineRule="auto"/>
        <w:ind w:left="-567"/>
        <w:rPr>
          <w:rFonts w:ascii="Gill Sans MT" w:hAnsi="Gill Sans MT" w:cs="Gill Sans"/>
          <w:b/>
          <w:bCs/>
          <w:caps/>
          <w:spacing w:val="67"/>
          <w:sz w:val="96"/>
          <w:szCs w:val="96"/>
          <w:lang w:val="pt-PT"/>
        </w:rPr>
      </w:pPr>
      <w:r>
        <w:rPr>
          <w:rFonts w:ascii="Gill Sans MT" w:hAnsi="Gill Sans MT" w:cs="Gill Sans"/>
          <w:b/>
          <w:bCs/>
          <w:caps/>
          <w:noProof/>
          <w:spacing w:val="67"/>
          <w:sz w:val="96"/>
          <w:szCs w:val="96"/>
          <w:lang w:val="pt-PT" w:eastAsia="pt-PT"/>
        </w:rPr>
        <mc:AlternateContent>
          <mc:Choice Requires="wps">
            <w:drawing>
              <wp:anchor distT="0" distB="0" distL="114300" distR="114300" simplePos="0" relativeHeight="251659264" behindDoc="0" locked="0" layoutInCell="1" allowOverlap="1" wp14:anchorId="1E7597DE" wp14:editId="71DC550D">
                <wp:simplePos x="0" y="0"/>
                <wp:positionH relativeFrom="column">
                  <wp:posOffset>342900</wp:posOffset>
                </wp:positionH>
                <wp:positionV relativeFrom="paragraph">
                  <wp:posOffset>2371725</wp:posOffset>
                </wp:positionV>
                <wp:extent cx="4572000" cy="228600"/>
                <wp:effectExtent l="0" t="0" r="12700" b="0"/>
                <wp:wrapSquare wrapText="bothSides"/>
                <wp:docPr id="15" name="Text Box 15"/>
                <wp:cNvGraphicFramePr/>
                <a:graphic xmlns:a="http://schemas.openxmlformats.org/drawingml/2006/main">
                  <a:graphicData uri="http://schemas.microsoft.com/office/word/2010/wordprocessingShape">
                    <wps:wsp>
                      <wps:cNvSpPr txBox="1"/>
                      <wps:spPr>
                        <a:xfrm rot="5400000">
                          <a:off x="0" y="0"/>
                          <a:ext cx="45720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A320F5" w14:textId="77777777" w:rsidR="00DF33F0" w:rsidRPr="00223E0E" w:rsidRDefault="00DF33F0" w:rsidP="00DF33F0">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Pr>
                                <w:rFonts w:ascii="Gill Sans MT" w:hAnsi="Gill Sans MT" w:cs="GillSans"/>
                                <w:b/>
                                <w:caps/>
                                <w:sz w:val="20"/>
                                <w:szCs w:val="20"/>
                                <w:lang w:val="pt-PT"/>
                              </w:rPr>
                              <w:t>ECONOMIA</w:t>
                            </w:r>
                          </w:p>
                          <w:p w14:paraId="2E341485" w14:textId="77777777" w:rsidR="00DF33F0" w:rsidRDefault="00DF33F0" w:rsidP="00DF33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7597DE" id="_x0000_t202" coordsize="21600,21600" o:spt="202" path="m,l,21600r21600,l21600,xe">
                <v:stroke joinstyle="miter"/>
                <v:path gradientshapeok="t" o:connecttype="rect"/>
              </v:shapetype>
              <v:shape id="Text Box 15" o:spid="_x0000_s1026" type="#_x0000_t202" style="position:absolute;left:0;text-align:left;margin-left:27pt;margin-top:186.75pt;width:5in;height:18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" filled="f" stroked="f">
                <v:textbox>
                  <w:txbxContent>
                    <w:p w14:paraId="15A320F5" w14:textId="77777777" w:rsidR="00DF33F0" w:rsidRPr="00223E0E" w:rsidRDefault="00DF33F0" w:rsidP="00DF33F0">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Pr>
                          <w:rFonts w:ascii="Gill Sans MT" w:hAnsi="Gill Sans MT" w:cs="GillSans"/>
                          <w:b/>
                          <w:caps/>
                          <w:sz w:val="20"/>
                          <w:szCs w:val="20"/>
                          <w:lang w:val="pt-PT"/>
                        </w:rPr>
                        <w:t>ECONOMIA</w:t>
                      </w:r>
                    </w:p>
                    <w:p w14:paraId="2E341485" w14:textId="77777777" w:rsidR="00DF33F0" w:rsidRDefault="00DF33F0" w:rsidP="00DF33F0"/>
                  </w:txbxContent>
                </v:textbox>
                <w10:wrap type="square"/>
              </v:shape>
            </w:pict>
          </mc:Fallback>
        </mc:AlternateContent>
      </w:r>
      <w:r>
        <w:rPr>
          <w:rFonts w:ascii="Gill Sans MT" w:hAnsi="Gill Sans MT" w:cs="Gill Sans"/>
          <w:b/>
          <w:bCs/>
          <w:caps/>
          <w:spacing w:val="67"/>
          <w:sz w:val="96"/>
          <w:szCs w:val="96"/>
          <w:lang w:val="pt-PT"/>
        </w:rPr>
        <w:softHyphen/>
      </w:r>
    </w:p>
    <w:p w14:paraId="6560B2EF" w14:textId="30697D37" w:rsidR="00DF33F0" w:rsidRDefault="00385031">
      <w:pPr>
        <w:spacing w:line="259" w:lineRule="auto"/>
        <w:rPr>
          <w:rFonts w:ascii="Garamond" w:hAnsi="Garamond"/>
          <w:b/>
          <w:bCs/>
          <w:sz w:val="32"/>
          <w:szCs w:val="32"/>
          <w:lang w:val="pt-PT"/>
        </w:rPr>
      </w:pPr>
      <w:r w:rsidRPr="0002679C">
        <w:rPr>
          <w:noProof/>
          <w:lang w:eastAsia="pt-PT"/>
        </w:rPr>
        <mc:AlternateContent>
          <mc:Choice Requires="wps">
            <w:drawing>
              <wp:anchor distT="0" distB="0" distL="114300" distR="114300" simplePos="0" relativeHeight="251664384" behindDoc="0" locked="0" layoutInCell="1" allowOverlap="1" wp14:anchorId="08A8268D" wp14:editId="1D1D18D0">
                <wp:simplePos x="0" y="0"/>
                <wp:positionH relativeFrom="column">
                  <wp:posOffset>2453640</wp:posOffset>
                </wp:positionH>
                <wp:positionV relativeFrom="paragraph">
                  <wp:posOffset>6417945</wp:posOffset>
                </wp:positionV>
                <wp:extent cx="228600" cy="1828800"/>
                <wp:effectExtent l="0" t="0" r="0" b="0"/>
                <wp:wrapNone/>
                <wp:docPr id="8" name="Rectangle 8"/>
                <wp:cNvGraphicFramePr/>
                <a:graphic xmlns:a="http://schemas.openxmlformats.org/drawingml/2006/main">
                  <a:graphicData uri="http://schemas.microsoft.com/office/word/2010/wordprocessingShape">
                    <wps:wsp>
                      <wps:cNvSpPr/>
                      <wps:spPr>
                        <a:xfrm>
                          <a:off x="0" y="0"/>
                          <a:ext cx="228600" cy="1828800"/>
                        </a:xfrm>
                        <a:prstGeom prst="rect">
                          <a:avLst/>
                        </a:prstGeom>
                        <a:solidFill>
                          <a:srgbClr val="F6333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B380C34" id="Rectangle 8" o:spid="_x0000_s1026" style="position:absolute;margin-left:193.2pt;margin-top:505.35pt;width:18pt;height:2in;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" fillcolor="#f6333e" stroked="f" strokeweight=".5pt"/>
            </w:pict>
          </mc:Fallback>
        </mc:AlternateContent>
      </w:r>
      <w:r w:rsidR="00DA62B6" w:rsidRPr="0002679C">
        <w:rPr>
          <w:noProof/>
          <w:lang w:eastAsia="pt-PT"/>
        </w:rPr>
        <mc:AlternateContent>
          <mc:Choice Requires="wps">
            <w:drawing>
              <wp:anchor distT="0" distB="0" distL="114300" distR="114300" simplePos="0" relativeHeight="251665408" behindDoc="0" locked="0" layoutInCell="1" allowOverlap="1" wp14:anchorId="47E628B7" wp14:editId="312C7D03">
                <wp:simplePos x="0" y="0"/>
                <wp:positionH relativeFrom="column">
                  <wp:posOffset>2694940</wp:posOffset>
                </wp:positionH>
                <wp:positionV relativeFrom="paragraph">
                  <wp:posOffset>6418036</wp:posOffset>
                </wp:positionV>
                <wp:extent cx="228600" cy="1828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28600" cy="1828800"/>
                        </a:xfrm>
                        <a:prstGeom prst="rect">
                          <a:avLst/>
                        </a:prstGeom>
                        <a:solidFill>
                          <a:schemeClr val="bg1"/>
                        </a:solidFill>
                        <a:ln>
                          <a:solidFill>
                            <a:srgbClr val="F6333E"/>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769CE7B" id="Rectangle 9" o:spid="_x0000_s1026" style="position:absolute;margin-left:212.2pt;margin-top:505.35pt;width:18pt;height:2in;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" fillcolor="white [3212]" strokecolor="#f6333e" strokeweight=".5pt"/>
            </w:pict>
          </mc:Fallback>
        </mc:AlternateContent>
      </w:r>
      <w:r w:rsidR="00DA62B6">
        <w:rPr>
          <w:rFonts w:ascii="Garamond" w:hAnsi="Garamond"/>
          <w:b/>
          <w:bCs/>
          <w:sz w:val="32"/>
          <w:szCs w:val="32"/>
          <w:lang w:val="pt-PT"/>
        </w:rPr>
        <w:br w:type="page"/>
      </w:r>
    </w:p>
    <w:p w14:paraId="4ED0911C" w14:textId="64DED0C7" w:rsidR="00744197" w:rsidRDefault="00744197" w:rsidP="00744197">
      <w:pPr>
        <w:tabs>
          <w:tab w:val="left" w:pos="6593"/>
        </w:tabs>
      </w:pPr>
      <w:r>
        <w:rPr>
          <w:noProof/>
        </w:rPr>
        <w:lastRenderedPageBreak/>
        <w:drawing>
          <wp:anchor distT="0" distB="0" distL="114300" distR="114300" simplePos="0" relativeHeight="251667456" behindDoc="0" locked="0" layoutInCell="1" allowOverlap="1" wp14:anchorId="2EFEAFEE" wp14:editId="0648E2D4">
            <wp:simplePos x="0" y="0"/>
            <wp:positionH relativeFrom="margin">
              <wp:align>left</wp:align>
            </wp:positionH>
            <wp:positionV relativeFrom="paragraph">
              <wp:posOffset>-610870</wp:posOffset>
            </wp:positionV>
            <wp:extent cx="2192867" cy="1002628"/>
            <wp:effectExtent l="0" t="0" r="0" b="7620"/>
            <wp:wrapNone/>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2867" cy="1002628"/>
                    </a:xfrm>
                    <a:prstGeom prst="rect">
                      <a:avLst/>
                    </a:prstGeom>
                  </pic:spPr>
                </pic:pic>
              </a:graphicData>
            </a:graphic>
            <wp14:sizeRelH relativeFrom="page">
              <wp14:pctWidth>0</wp14:pctWidth>
            </wp14:sizeRelH>
            <wp14:sizeRelV relativeFrom="page">
              <wp14:pctHeight>0</wp14:pctHeight>
            </wp14:sizeRelV>
          </wp:anchor>
        </w:drawing>
      </w:r>
    </w:p>
    <w:p w14:paraId="6E66463B" w14:textId="77777777" w:rsidR="00744197" w:rsidRDefault="00744197" w:rsidP="00744197">
      <w:pPr>
        <w:tabs>
          <w:tab w:val="left" w:pos="6593"/>
        </w:tabs>
      </w:pPr>
    </w:p>
    <w:p w14:paraId="1AC566DB" w14:textId="77777777" w:rsidR="00744197" w:rsidRDefault="00744197" w:rsidP="00744197">
      <w:pPr>
        <w:tabs>
          <w:tab w:val="left" w:pos="6593"/>
        </w:tabs>
      </w:pPr>
    </w:p>
    <w:p w14:paraId="38269E9E" w14:textId="77777777" w:rsidR="00744197" w:rsidRDefault="00744197" w:rsidP="00744197">
      <w:pPr>
        <w:tabs>
          <w:tab w:val="left" w:pos="6593"/>
        </w:tabs>
      </w:pPr>
    </w:p>
    <w:p w14:paraId="6FEEA3D5" w14:textId="64A14AF4" w:rsidR="00744197" w:rsidRDefault="00744197" w:rsidP="00744197">
      <w:pPr>
        <w:tabs>
          <w:tab w:val="left" w:pos="6593"/>
        </w:tabs>
      </w:pPr>
      <w:r>
        <w:rPr>
          <w:noProof/>
          <w:vertAlign w:val="subscript"/>
        </w:rPr>
        <mc:AlternateContent>
          <mc:Choice Requires="wps">
            <w:drawing>
              <wp:inline distT="0" distB="0" distL="0" distR="0" wp14:anchorId="0D19431C" wp14:editId="1D302EF0">
                <wp:extent cx="374400" cy="50400"/>
                <wp:effectExtent l="0" t="0" r="6985" b="6985"/>
                <wp:docPr id="14" name="Retângulo 1"/>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3B3C3FAB" id="Retângulo 1"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31100596" w14:textId="0FABAEA0" w:rsidR="00744197" w:rsidRPr="00534B55" w:rsidRDefault="00744197" w:rsidP="00744197">
      <w:pPr>
        <w:pStyle w:val="Titulo"/>
        <w:rPr>
          <w:lang w:val="pt-PT"/>
        </w:rPr>
      </w:pPr>
      <w:r>
        <w:rPr>
          <w:lang w:val="pt-PT"/>
        </w:rPr>
        <w:t>O IMPACTO DO CFEI II NO INVESTIMENTO EM ATIVOS</w:t>
      </w:r>
    </w:p>
    <w:p w14:paraId="4EB311D9" w14:textId="713D8174" w:rsidR="00744197" w:rsidRPr="00534B55" w:rsidRDefault="00744197" w:rsidP="00744197">
      <w:pPr>
        <w:pStyle w:val="NomeAluno"/>
        <w:rPr>
          <w:lang w:val="pt-PT"/>
        </w:rPr>
      </w:pPr>
      <w:r>
        <w:rPr>
          <w:lang w:val="pt-PT"/>
        </w:rPr>
        <w:t>Marta da Costa Jácome de Vasconcelos</w:t>
      </w:r>
    </w:p>
    <w:p w14:paraId="46C0A12D" w14:textId="77777777" w:rsidR="00744197" w:rsidRPr="00534B55" w:rsidRDefault="00744197" w:rsidP="00744197">
      <w:pPr>
        <w:pStyle w:val="NomeAluno"/>
        <w:rPr>
          <w:lang w:val="pt-PT"/>
        </w:rPr>
      </w:pPr>
    </w:p>
    <w:p w14:paraId="66F4120A" w14:textId="77777777" w:rsidR="00744197" w:rsidRPr="00534B55" w:rsidRDefault="00744197" w:rsidP="00744197">
      <w:pPr>
        <w:pStyle w:val="NomeAluno"/>
        <w:rPr>
          <w:lang w:val="pt-PT"/>
        </w:rPr>
      </w:pPr>
    </w:p>
    <w:p w14:paraId="3C64E98B" w14:textId="77777777" w:rsidR="00744197" w:rsidRPr="00534B55" w:rsidRDefault="00744197" w:rsidP="00744197">
      <w:pPr>
        <w:pStyle w:val="NomeAluno"/>
        <w:rPr>
          <w:lang w:val="pt-PT"/>
        </w:rPr>
      </w:pPr>
    </w:p>
    <w:p w14:paraId="06604028" w14:textId="77777777" w:rsidR="00744197" w:rsidRDefault="00744197" w:rsidP="00744197">
      <w:pPr>
        <w:pStyle w:val="NomeAluno"/>
      </w:pPr>
      <w:r>
        <w:rPr>
          <w:noProof/>
          <w:vertAlign w:val="subscript"/>
        </w:rPr>
        <mc:AlternateContent>
          <mc:Choice Requires="wps">
            <w:drawing>
              <wp:inline distT="0" distB="0" distL="0" distR="0" wp14:anchorId="5C8575A4" wp14:editId="06FF0739">
                <wp:extent cx="374400" cy="50400"/>
                <wp:effectExtent l="0" t="0" r="6985" b="6985"/>
                <wp:docPr id="16" name="Retângulo 3"/>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5FC87ECC" id="Retângulo 3"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3589FD06" w14:textId="374369C4" w:rsidR="00744197" w:rsidRDefault="00744197" w:rsidP="00744197">
      <w:pPr>
        <w:pStyle w:val="Sub-Titulo1"/>
      </w:pPr>
      <w:r>
        <w:t>Dissertação</w:t>
      </w:r>
    </w:p>
    <w:p w14:paraId="09BC9564" w14:textId="61760B79" w:rsidR="00744197" w:rsidRDefault="00744197" w:rsidP="00744197">
      <w:pPr>
        <w:pStyle w:val="Sub-Titulo2"/>
      </w:pPr>
      <w:r>
        <w:t>Mestrado em Finanças e Fiscalidade</w:t>
      </w:r>
    </w:p>
    <w:p w14:paraId="22BBD860" w14:textId="77777777" w:rsidR="00744197" w:rsidRDefault="00744197" w:rsidP="00744197">
      <w:pPr>
        <w:pStyle w:val="Sub-Titulo2"/>
      </w:pPr>
    </w:p>
    <w:p w14:paraId="1B689373" w14:textId="77777777" w:rsidR="00744197" w:rsidRDefault="00744197" w:rsidP="00744197">
      <w:pPr>
        <w:pStyle w:val="Sub-Titulo2"/>
      </w:pPr>
    </w:p>
    <w:p w14:paraId="15ED5B93" w14:textId="77777777" w:rsidR="00744197" w:rsidRDefault="00744197" w:rsidP="00744197">
      <w:pPr>
        <w:pStyle w:val="Sub-Titulo2"/>
      </w:pPr>
    </w:p>
    <w:p w14:paraId="4DDEE41A" w14:textId="77777777" w:rsidR="00744197" w:rsidRDefault="00744197" w:rsidP="00744197">
      <w:pPr>
        <w:pStyle w:val="Sub-Titulo2"/>
      </w:pPr>
    </w:p>
    <w:p w14:paraId="7AE1A125" w14:textId="77777777" w:rsidR="00744197" w:rsidRDefault="00744197" w:rsidP="00744197">
      <w:pPr>
        <w:pStyle w:val="Sub-Titulo2"/>
      </w:pPr>
    </w:p>
    <w:p w14:paraId="3CEFF144" w14:textId="77777777" w:rsidR="00744197" w:rsidRDefault="00744197" w:rsidP="00744197">
      <w:pPr>
        <w:pStyle w:val="Sub-Titulo2"/>
      </w:pPr>
    </w:p>
    <w:p w14:paraId="5C079C09" w14:textId="77777777" w:rsidR="00744197" w:rsidRDefault="00744197" w:rsidP="00744197">
      <w:pPr>
        <w:pStyle w:val="Sub-Titulo2"/>
      </w:pPr>
    </w:p>
    <w:p w14:paraId="2AF9F969" w14:textId="77777777" w:rsidR="00744197" w:rsidRDefault="00744197" w:rsidP="00744197">
      <w:pPr>
        <w:pStyle w:val="Sub-Titulo2"/>
      </w:pPr>
    </w:p>
    <w:p w14:paraId="52E1F973" w14:textId="77777777" w:rsidR="00744197" w:rsidRDefault="00744197" w:rsidP="00744197">
      <w:pPr>
        <w:pStyle w:val="NomeAluno"/>
      </w:pPr>
      <w:r>
        <w:rPr>
          <w:noProof/>
          <w:vertAlign w:val="subscript"/>
        </w:rPr>
        <mc:AlternateContent>
          <mc:Choice Requires="wps">
            <w:drawing>
              <wp:inline distT="0" distB="0" distL="0" distR="0" wp14:anchorId="00C4C5BE" wp14:editId="17E2A7B3">
                <wp:extent cx="374400" cy="50400"/>
                <wp:effectExtent l="0" t="0" r="6985" b="6985"/>
                <wp:docPr id="5" name="Retângulo 5"/>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0EACEE3A" id="Retângulo 5"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422B957B" w14:textId="77777777" w:rsidR="00744197" w:rsidRDefault="00744197" w:rsidP="00744197">
      <w:pPr>
        <w:pStyle w:val="Sub-Titulo1"/>
      </w:pPr>
      <w:r>
        <w:t>Orientado por</w:t>
      </w:r>
    </w:p>
    <w:p w14:paraId="2BC5CE17" w14:textId="5A26CAA1" w:rsidR="00744197" w:rsidRPr="00744197" w:rsidRDefault="00744197" w:rsidP="00744197">
      <w:pPr>
        <w:pStyle w:val="Orientadores"/>
      </w:pPr>
      <w:r>
        <w:t>Professor Doutor Mário José Macedo Marques</w:t>
      </w:r>
    </w:p>
    <w:p w14:paraId="5E800831" w14:textId="77777777" w:rsidR="00744197" w:rsidRDefault="00744197" w:rsidP="00744197">
      <w:pPr>
        <w:pStyle w:val="Sub-Titulo2"/>
        <w:spacing w:before="0" w:line="288" w:lineRule="auto"/>
        <w:rPr>
          <w:b/>
        </w:rPr>
      </w:pPr>
    </w:p>
    <w:p w14:paraId="70C736B6" w14:textId="77777777" w:rsidR="00744197" w:rsidRDefault="00744197" w:rsidP="00744197">
      <w:pPr>
        <w:pStyle w:val="Sub-Titulo2"/>
        <w:spacing w:before="0" w:line="288" w:lineRule="auto"/>
        <w:rPr>
          <w:b/>
        </w:rPr>
      </w:pPr>
    </w:p>
    <w:p w14:paraId="258AC813" w14:textId="77777777" w:rsidR="00744197" w:rsidRDefault="00744197" w:rsidP="00744197">
      <w:pPr>
        <w:pStyle w:val="Sub-Titulo2"/>
        <w:spacing w:before="0" w:line="288" w:lineRule="auto"/>
        <w:rPr>
          <w:b/>
        </w:rPr>
      </w:pPr>
    </w:p>
    <w:p w14:paraId="582A405E" w14:textId="77777777" w:rsidR="00744197" w:rsidRDefault="00744197" w:rsidP="00744197">
      <w:pPr>
        <w:pStyle w:val="Sub-Titulo2"/>
        <w:spacing w:before="0" w:line="288" w:lineRule="auto"/>
        <w:rPr>
          <w:b/>
        </w:rPr>
      </w:pPr>
    </w:p>
    <w:p w14:paraId="67F42A37" w14:textId="77777777" w:rsidR="00744197" w:rsidRDefault="00744197" w:rsidP="00744197">
      <w:pPr>
        <w:pStyle w:val="Sub-Titulo2"/>
        <w:spacing w:before="0" w:line="288" w:lineRule="auto"/>
        <w:rPr>
          <w:b/>
        </w:rPr>
      </w:pPr>
    </w:p>
    <w:p w14:paraId="1758D75C" w14:textId="77777777" w:rsidR="00744197" w:rsidRDefault="00744197" w:rsidP="00744197">
      <w:pPr>
        <w:pStyle w:val="Sub-Titulo2"/>
        <w:spacing w:before="0" w:line="288" w:lineRule="auto"/>
        <w:rPr>
          <w:b/>
        </w:rPr>
      </w:pPr>
    </w:p>
    <w:p w14:paraId="0A7E8BA6" w14:textId="77777777" w:rsidR="00744197" w:rsidRDefault="00744197" w:rsidP="00744197">
      <w:pPr>
        <w:pStyle w:val="Sub-Titulo2"/>
        <w:spacing w:before="0" w:line="288" w:lineRule="auto"/>
        <w:rPr>
          <w:b/>
        </w:rPr>
      </w:pPr>
    </w:p>
    <w:p w14:paraId="661E18D2" w14:textId="77777777" w:rsidR="00744197" w:rsidRDefault="00744197" w:rsidP="00744197">
      <w:pPr>
        <w:pStyle w:val="Sub-Titulo2"/>
        <w:spacing w:before="0" w:line="288" w:lineRule="auto"/>
        <w:rPr>
          <w:b/>
        </w:rPr>
      </w:pPr>
    </w:p>
    <w:p w14:paraId="1D04788B" w14:textId="77777777" w:rsidR="00744197" w:rsidRDefault="00744197" w:rsidP="00744197">
      <w:pPr>
        <w:pStyle w:val="Sub-Titulo2"/>
        <w:spacing w:before="0" w:line="288" w:lineRule="auto"/>
        <w:rPr>
          <w:b/>
        </w:rPr>
      </w:pPr>
    </w:p>
    <w:p w14:paraId="4F9129F0" w14:textId="77777777" w:rsidR="00744197" w:rsidRDefault="00744197" w:rsidP="00744197">
      <w:pPr>
        <w:pStyle w:val="NomeAluno"/>
      </w:pPr>
      <w:r>
        <w:rPr>
          <w:noProof/>
          <w:vertAlign w:val="subscript"/>
        </w:rPr>
        <mc:AlternateContent>
          <mc:Choice Requires="wps">
            <w:drawing>
              <wp:inline distT="0" distB="0" distL="0" distR="0" wp14:anchorId="6D482ECE" wp14:editId="053883B2">
                <wp:extent cx="374400" cy="50400"/>
                <wp:effectExtent l="0" t="0" r="6985" b="6985"/>
                <wp:docPr id="17" name="Retângulo 9"/>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6D0DB8F8" id="Retângulo 9"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" fillcolor="#ef3340" stroked="f" strokeweight="1pt">
                <w10:anchorlock/>
              </v:rect>
            </w:pict>
          </mc:Fallback>
        </mc:AlternateContent>
      </w:r>
    </w:p>
    <w:p w14:paraId="0F02B3EF" w14:textId="7F3ADC98" w:rsidR="00744197" w:rsidRDefault="00744197" w:rsidP="00744197">
      <w:pPr>
        <w:pStyle w:val="Sub-Titulo1"/>
      </w:pPr>
      <w:r>
        <w:t>2024</w:t>
      </w:r>
    </w:p>
    <w:p w14:paraId="0851518D" w14:textId="77777777" w:rsidR="00EE31AB" w:rsidRDefault="00744197" w:rsidP="00253377">
      <w:pPr>
        <w:spacing w:line="259" w:lineRule="auto"/>
        <w:rPr>
          <w:lang w:val="pt-PT"/>
        </w:rPr>
        <w:sectPr w:rsidR="00EE31AB" w:rsidSect="00253377">
          <w:footerReference w:type="default" r:id="rId10"/>
          <w:pgSz w:w="11906" w:h="16838"/>
          <w:pgMar w:top="1701" w:right="1418" w:bottom="1701" w:left="1985" w:header="709" w:footer="709" w:gutter="0"/>
          <w:pgNumType w:fmt="lowerRoman" w:start="1"/>
          <w:cols w:space="708"/>
          <w:docGrid w:linePitch="360"/>
        </w:sectPr>
      </w:pPr>
      <w:r w:rsidRPr="009D2E6E">
        <w:rPr>
          <w:lang w:val="pt-PT"/>
        </w:rPr>
        <w:lastRenderedPageBreak/>
        <w:br w:type="page"/>
      </w:r>
    </w:p>
    <w:p w14:paraId="09A5853E" w14:textId="7498C5DB" w:rsidR="00345C3B" w:rsidRPr="002D7F08" w:rsidRDefault="00345C3B" w:rsidP="002A1115">
      <w:pPr>
        <w:pStyle w:val="TtuloPrincipalTese"/>
        <w:numPr>
          <w:ilvl w:val="0"/>
          <w:numId w:val="0"/>
        </w:numPr>
        <w:ind w:left="360" w:hanging="360"/>
      </w:pPr>
      <w:bookmarkStart w:id="1" w:name="_Toc168651787"/>
      <w:bookmarkStart w:id="2" w:name="_Toc168670247"/>
      <w:bookmarkStart w:id="3" w:name="_Toc176458031"/>
      <w:r w:rsidRPr="002D7F08">
        <w:lastRenderedPageBreak/>
        <w:t>Nota Bibliográfica</w:t>
      </w:r>
      <w:bookmarkEnd w:id="1"/>
      <w:bookmarkEnd w:id="2"/>
      <w:bookmarkEnd w:id="3"/>
    </w:p>
    <w:p w14:paraId="49E067AB" w14:textId="77777777" w:rsidR="00AA2FD5" w:rsidRPr="002D7F08" w:rsidRDefault="00AA2FD5" w:rsidP="00642608">
      <w:pPr>
        <w:pStyle w:val="TtuloPI"/>
        <w:spacing w:line="360" w:lineRule="auto"/>
        <w:jc w:val="both"/>
        <w:rPr>
          <w:b w:val="0"/>
          <w:bCs w:val="0"/>
          <w:sz w:val="24"/>
          <w:szCs w:val="24"/>
        </w:rPr>
      </w:pPr>
      <w:r w:rsidRPr="002D7F08">
        <w:rPr>
          <w:b w:val="0"/>
          <w:bCs w:val="0"/>
          <w:sz w:val="24"/>
          <w:szCs w:val="24"/>
        </w:rPr>
        <w:t xml:space="preserve">Marta da Costa Jácome de Vasconcelos nasceu em Braga a 9 de dezembro de 1994. </w:t>
      </w:r>
    </w:p>
    <w:p w14:paraId="06B5BCB9" w14:textId="40F5E5B6" w:rsidR="00AA2FD5" w:rsidRPr="002D7F08" w:rsidRDefault="00AA2FD5" w:rsidP="00642608">
      <w:pPr>
        <w:pStyle w:val="TtuloPI"/>
        <w:spacing w:line="360" w:lineRule="auto"/>
        <w:jc w:val="both"/>
        <w:rPr>
          <w:b w:val="0"/>
          <w:bCs w:val="0"/>
          <w:sz w:val="24"/>
          <w:szCs w:val="24"/>
        </w:rPr>
      </w:pPr>
      <w:r w:rsidRPr="002D7F08">
        <w:rPr>
          <w:b w:val="0"/>
          <w:bCs w:val="0"/>
          <w:sz w:val="24"/>
          <w:szCs w:val="24"/>
        </w:rPr>
        <w:t xml:space="preserve">Concluiu a licenciatura em Gestão pela Católica Porto Business </w:t>
      </w:r>
      <w:proofErr w:type="spellStart"/>
      <w:r w:rsidRPr="002D7F08">
        <w:rPr>
          <w:b w:val="0"/>
          <w:bCs w:val="0"/>
          <w:sz w:val="24"/>
          <w:szCs w:val="24"/>
        </w:rPr>
        <w:t>School</w:t>
      </w:r>
      <w:proofErr w:type="spellEnd"/>
      <w:r w:rsidRPr="002D7F08">
        <w:rPr>
          <w:b w:val="0"/>
          <w:bCs w:val="0"/>
          <w:sz w:val="24"/>
          <w:szCs w:val="24"/>
        </w:rPr>
        <w:t xml:space="preserve"> em 2015 e prosseguiu os seus estudos na mesma instituição, obtendo o mestrado em Marketing em 2017. No ano seguinte, aprofundou os seus conhecimentos em Finanças e Fiscalidade através de uma pós-graduação na Porto Business </w:t>
      </w:r>
      <w:proofErr w:type="spellStart"/>
      <w:r w:rsidRPr="002D7F08">
        <w:rPr>
          <w:b w:val="0"/>
          <w:bCs w:val="0"/>
          <w:sz w:val="24"/>
          <w:szCs w:val="24"/>
        </w:rPr>
        <w:t>School</w:t>
      </w:r>
      <w:proofErr w:type="spellEnd"/>
      <w:r w:rsidRPr="002D7F08">
        <w:rPr>
          <w:b w:val="0"/>
          <w:bCs w:val="0"/>
          <w:sz w:val="24"/>
          <w:szCs w:val="24"/>
        </w:rPr>
        <w:t>.</w:t>
      </w:r>
    </w:p>
    <w:p w14:paraId="513912EE" w14:textId="77777777" w:rsidR="00AA2FD5" w:rsidRPr="002D7F08" w:rsidRDefault="00AA2FD5" w:rsidP="00642608">
      <w:pPr>
        <w:pStyle w:val="TtuloPI"/>
        <w:spacing w:line="360" w:lineRule="auto"/>
        <w:jc w:val="both"/>
        <w:rPr>
          <w:b w:val="0"/>
          <w:bCs w:val="0"/>
          <w:sz w:val="24"/>
          <w:szCs w:val="24"/>
        </w:rPr>
      </w:pPr>
      <w:r w:rsidRPr="002D7F08">
        <w:rPr>
          <w:b w:val="0"/>
          <w:bCs w:val="0"/>
          <w:sz w:val="24"/>
          <w:szCs w:val="24"/>
        </w:rPr>
        <w:t xml:space="preserve">Iniciou a sua carreira profissional em janeiro de 2018 como auditora na Ernst &amp; </w:t>
      </w:r>
      <w:proofErr w:type="spellStart"/>
      <w:r w:rsidRPr="002D7F08">
        <w:rPr>
          <w:b w:val="0"/>
          <w:bCs w:val="0"/>
          <w:sz w:val="24"/>
          <w:szCs w:val="24"/>
        </w:rPr>
        <w:t>Young</w:t>
      </w:r>
      <w:proofErr w:type="spellEnd"/>
      <w:r w:rsidRPr="002D7F08">
        <w:rPr>
          <w:b w:val="0"/>
          <w:bCs w:val="0"/>
          <w:sz w:val="24"/>
          <w:szCs w:val="24"/>
        </w:rPr>
        <w:t xml:space="preserve">, S.A. (EY), onde trabalhou até setembro de 2019. </w:t>
      </w:r>
    </w:p>
    <w:p w14:paraId="043B9F3A" w14:textId="1F36F383" w:rsidR="00AA2FD5" w:rsidRPr="002D7F08" w:rsidRDefault="00AA2FD5" w:rsidP="00642608">
      <w:pPr>
        <w:pStyle w:val="TtuloPI"/>
        <w:spacing w:line="360" w:lineRule="auto"/>
        <w:jc w:val="both"/>
        <w:rPr>
          <w:b w:val="0"/>
          <w:bCs w:val="0"/>
          <w:sz w:val="24"/>
          <w:szCs w:val="24"/>
        </w:rPr>
      </w:pPr>
      <w:r w:rsidRPr="002D7F08">
        <w:rPr>
          <w:b w:val="0"/>
          <w:bCs w:val="0"/>
          <w:sz w:val="24"/>
          <w:szCs w:val="24"/>
        </w:rPr>
        <w:t xml:space="preserve">Seguidamente, em setembro de 2019, ingressou na </w:t>
      </w:r>
      <w:proofErr w:type="spellStart"/>
      <w:r w:rsidRPr="002D7F08">
        <w:rPr>
          <w:b w:val="0"/>
          <w:bCs w:val="0"/>
          <w:sz w:val="24"/>
          <w:szCs w:val="24"/>
        </w:rPr>
        <w:t>PricewaterhouseCoopers</w:t>
      </w:r>
      <w:proofErr w:type="spellEnd"/>
      <w:r w:rsidRPr="002D7F08">
        <w:rPr>
          <w:b w:val="0"/>
          <w:bCs w:val="0"/>
          <w:sz w:val="24"/>
          <w:szCs w:val="24"/>
        </w:rPr>
        <w:t xml:space="preserve"> &amp; Associados - SROC, Lda. (PwC) no departamento de auditoria, posição que ocupou até novembro de 2020. </w:t>
      </w:r>
    </w:p>
    <w:p w14:paraId="187BC5D1" w14:textId="14238392" w:rsidR="00AA2FD5" w:rsidRPr="002D7F08" w:rsidRDefault="00AA2FD5" w:rsidP="00642608">
      <w:pPr>
        <w:pStyle w:val="TtuloPI"/>
        <w:spacing w:line="360" w:lineRule="auto"/>
        <w:jc w:val="both"/>
        <w:rPr>
          <w:b w:val="0"/>
          <w:bCs w:val="0"/>
          <w:sz w:val="24"/>
          <w:szCs w:val="24"/>
        </w:rPr>
      </w:pPr>
      <w:r w:rsidRPr="002D7F08">
        <w:rPr>
          <w:b w:val="0"/>
          <w:bCs w:val="0"/>
          <w:sz w:val="24"/>
          <w:szCs w:val="24"/>
        </w:rPr>
        <w:t xml:space="preserve">Após essa experiência, juntou-se à KPMG &amp; Associados - Sociedade de Revisores Oficiais de Contas S.A, onde exerceu funções de </w:t>
      </w:r>
      <w:proofErr w:type="spellStart"/>
      <w:r w:rsidR="005C257C" w:rsidRPr="002D7F08">
        <w:rPr>
          <w:b w:val="0"/>
          <w:bCs w:val="0"/>
          <w:sz w:val="24"/>
          <w:szCs w:val="24"/>
        </w:rPr>
        <w:t>S</w:t>
      </w:r>
      <w:r w:rsidRPr="002D7F08">
        <w:rPr>
          <w:b w:val="0"/>
          <w:bCs w:val="0"/>
          <w:sz w:val="24"/>
          <w:szCs w:val="24"/>
        </w:rPr>
        <w:t>enior</w:t>
      </w:r>
      <w:proofErr w:type="spellEnd"/>
      <w:r w:rsidRPr="002D7F08">
        <w:rPr>
          <w:b w:val="0"/>
          <w:bCs w:val="0"/>
          <w:sz w:val="24"/>
          <w:szCs w:val="24"/>
        </w:rPr>
        <w:t xml:space="preserve"> até setembro de 2022. </w:t>
      </w:r>
    </w:p>
    <w:p w14:paraId="5F64B175" w14:textId="77777777" w:rsidR="00253377" w:rsidRDefault="00AA2FD5" w:rsidP="00642608">
      <w:pPr>
        <w:pStyle w:val="TtuloPI"/>
        <w:spacing w:line="360" w:lineRule="auto"/>
        <w:jc w:val="both"/>
        <w:rPr>
          <w:b w:val="0"/>
          <w:bCs w:val="0"/>
          <w:sz w:val="24"/>
          <w:szCs w:val="24"/>
        </w:rPr>
      </w:pPr>
      <w:r w:rsidRPr="002D7F08">
        <w:rPr>
          <w:b w:val="0"/>
          <w:bCs w:val="0"/>
          <w:sz w:val="24"/>
          <w:szCs w:val="24"/>
        </w:rPr>
        <w:t xml:space="preserve">Atualmente, Marta desempenha funções como auditora interna </w:t>
      </w:r>
      <w:proofErr w:type="spellStart"/>
      <w:r w:rsidR="005C257C" w:rsidRPr="002D7F08">
        <w:rPr>
          <w:b w:val="0"/>
          <w:bCs w:val="0"/>
          <w:sz w:val="24"/>
          <w:szCs w:val="24"/>
        </w:rPr>
        <w:t>Senior</w:t>
      </w:r>
      <w:proofErr w:type="spellEnd"/>
      <w:r w:rsidR="005C257C" w:rsidRPr="002D7F08">
        <w:rPr>
          <w:b w:val="0"/>
          <w:bCs w:val="0"/>
          <w:sz w:val="24"/>
          <w:szCs w:val="24"/>
        </w:rPr>
        <w:t xml:space="preserve"> </w:t>
      </w:r>
      <w:r w:rsidRPr="002D7F08">
        <w:rPr>
          <w:b w:val="0"/>
          <w:bCs w:val="0"/>
          <w:sz w:val="24"/>
          <w:szCs w:val="24"/>
        </w:rPr>
        <w:t>no grupo Mota-Engil, continuando a desenvolver a sua carreira profissional na área de auditoria.</w:t>
      </w:r>
    </w:p>
    <w:p w14:paraId="33CB1E9B" w14:textId="77777777" w:rsidR="00C82395" w:rsidRDefault="00C82395" w:rsidP="00642608">
      <w:pPr>
        <w:spacing w:line="360" w:lineRule="auto"/>
        <w:jc w:val="both"/>
        <w:rPr>
          <w:rFonts w:ascii="Garamond" w:hAnsi="Garamond"/>
          <w:b/>
          <w:bCs/>
          <w:sz w:val="28"/>
          <w:szCs w:val="24"/>
          <w:lang w:val="pt-PT"/>
        </w:rPr>
      </w:pPr>
      <w:r w:rsidRPr="007D169E">
        <w:rPr>
          <w:lang w:val="pt-PT"/>
        </w:rPr>
        <w:br w:type="page"/>
      </w:r>
    </w:p>
    <w:p w14:paraId="3C04097B" w14:textId="6BB90393" w:rsidR="00345C3B" w:rsidRPr="002D7F08" w:rsidRDefault="00345C3B" w:rsidP="00EE31AB">
      <w:pPr>
        <w:pStyle w:val="TtuloPrincipalTese"/>
        <w:numPr>
          <w:ilvl w:val="0"/>
          <w:numId w:val="0"/>
        </w:numPr>
      </w:pPr>
      <w:bookmarkStart w:id="4" w:name="_Toc168651788"/>
      <w:bookmarkStart w:id="5" w:name="_Toc168670248"/>
      <w:bookmarkStart w:id="6" w:name="_Toc176458032"/>
      <w:r w:rsidRPr="002D7F08">
        <w:lastRenderedPageBreak/>
        <w:t>Agradecimentos</w:t>
      </w:r>
      <w:bookmarkEnd w:id="4"/>
      <w:bookmarkEnd w:id="5"/>
      <w:bookmarkEnd w:id="6"/>
    </w:p>
    <w:p w14:paraId="3EB9FF67" w14:textId="2A173C52" w:rsidR="00CE04B3" w:rsidRPr="002D7F08" w:rsidRDefault="00CE04B3" w:rsidP="00642608">
      <w:pPr>
        <w:spacing w:line="360" w:lineRule="auto"/>
        <w:jc w:val="both"/>
        <w:rPr>
          <w:rFonts w:ascii="Garamond" w:hAnsi="Garamond"/>
          <w:sz w:val="24"/>
          <w:szCs w:val="24"/>
          <w:lang w:val="pt-PT"/>
        </w:rPr>
      </w:pPr>
      <w:r w:rsidRPr="002D7F08">
        <w:rPr>
          <w:rFonts w:ascii="Garamond" w:hAnsi="Garamond"/>
          <w:sz w:val="24"/>
          <w:szCs w:val="24"/>
          <w:lang w:val="pt-PT"/>
        </w:rPr>
        <w:t>Em primeiro lugar, um sincero agradecimento ao meu orientador, o Professor Doutor Mário José Macedo Marques, cuja orientação, sabedoria e paciência foram essenciais durante todo o processo de investigação e escrita, fornecendo-me as ferramentas necessárias para superar todos os desafios.</w:t>
      </w:r>
    </w:p>
    <w:p w14:paraId="0087DB8D" w14:textId="60E61FB2" w:rsidR="00CE04B3" w:rsidRPr="002D7F08" w:rsidRDefault="00CE04B3"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Por fim, um agradecimento especial à minha família, amigos e namorado pelo apoio incondicional que me proporcionaram ao longo deste percurso. </w:t>
      </w:r>
    </w:p>
    <w:p w14:paraId="76FE6E7C" w14:textId="77777777" w:rsidR="00CE04B3" w:rsidRPr="002D7F08" w:rsidRDefault="00CE04B3" w:rsidP="00CE04B3">
      <w:pPr>
        <w:spacing w:line="360" w:lineRule="auto"/>
        <w:rPr>
          <w:rFonts w:ascii="Garamond" w:hAnsi="Garamond"/>
          <w:sz w:val="24"/>
          <w:szCs w:val="24"/>
          <w:lang w:val="pt-PT"/>
        </w:rPr>
      </w:pPr>
    </w:p>
    <w:p w14:paraId="4746F968" w14:textId="77777777" w:rsidR="00EE31AB" w:rsidRDefault="00EE31AB">
      <w:pPr>
        <w:spacing w:line="259" w:lineRule="auto"/>
        <w:rPr>
          <w:rFonts w:ascii="Garamond" w:hAnsi="Garamond"/>
          <w:b/>
          <w:bCs/>
          <w:sz w:val="28"/>
          <w:szCs w:val="24"/>
          <w:lang w:val="pt-PT"/>
        </w:rPr>
      </w:pPr>
      <w:r w:rsidRPr="007D169E">
        <w:rPr>
          <w:lang w:val="pt-PT"/>
        </w:rPr>
        <w:br w:type="page"/>
      </w:r>
    </w:p>
    <w:p w14:paraId="007247EE" w14:textId="33F1333A" w:rsidR="00345C3B" w:rsidRPr="002D7F08" w:rsidRDefault="00345C3B" w:rsidP="002A1115">
      <w:pPr>
        <w:pStyle w:val="TtuloPrincipalTese"/>
        <w:numPr>
          <w:ilvl w:val="0"/>
          <w:numId w:val="0"/>
        </w:numPr>
        <w:ind w:left="360" w:hanging="360"/>
      </w:pPr>
      <w:bookmarkStart w:id="7" w:name="_Toc168651789"/>
      <w:bookmarkStart w:id="8" w:name="_Toc168670249"/>
      <w:bookmarkStart w:id="9" w:name="_Toc176458033"/>
      <w:r w:rsidRPr="002D7F08">
        <w:lastRenderedPageBreak/>
        <w:t>Resumo</w:t>
      </w:r>
      <w:bookmarkEnd w:id="7"/>
      <w:bookmarkEnd w:id="8"/>
      <w:bookmarkEnd w:id="9"/>
    </w:p>
    <w:p w14:paraId="5C691A5F" w14:textId="2A1A2EEA" w:rsidR="00E3772A" w:rsidRPr="00994A2B" w:rsidRDefault="00E3772A" w:rsidP="00642608">
      <w:pPr>
        <w:spacing w:line="360" w:lineRule="auto"/>
        <w:jc w:val="both"/>
        <w:rPr>
          <w:rFonts w:ascii="Garamond" w:hAnsi="Garamond"/>
          <w:sz w:val="24"/>
          <w:szCs w:val="24"/>
          <w:lang w:val="pt-PT"/>
        </w:rPr>
      </w:pPr>
      <w:r w:rsidRPr="00994A2B">
        <w:rPr>
          <w:rFonts w:ascii="Garamond" w:hAnsi="Garamond"/>
          <w:sz w:val="24"/>
          <w:szCs w:val="24"/>
          <w:lang w:val="pt-PT"/>
        </w:rPr>
        <w:t xml:space="preserve">Esta dissertação tem como objetivo avaliar se a implementação do Crédito Fiscal Extraordinário de Investimento II (CFEI II) </w:t>
      </w:r>
      <w:r w:rsidR="00B548A3" w:rsidRPr="00994A2B">
        <w:rPr>
          <w:rFonts w:ascii="Garamond" w:hAnsi="Garamond"/>
          <w:sz w:val="24"/>
          <w:szCs w:val="24"/>
          <w:lang w:val="pt-PT"/>
        </w:rPr>
        <w:t>levou</w:t>
      </w:r>
      <w:r w:rsidRPr="00994A2B">
        <w:rPr>
          <w:rFonts w:ascii="Garamond" w:hAnsi="Garamond"/>
          <w:sz w:val="24"/>
          <w:szCs w:val="24"/>
          <w:lang w:val="pt-PT"/>
        </w:rPr>
        <w:t xml:space="preserve"> as empresas portuguesas a antecipar os investimentos previamente planeados para beneficiarem das vantagens fiscais oferecidas por este incentivo. </w:t>
      </w:r>
      <w:r w:rsidR="00765AA9" w:rsidRPr="00994A2B">
        <w:rPr>
          <w:rFonts w:ascii="Garamond" w:hAnsi="Garamond"/>
          <w:sz w:val="24"/>
          <w:szCs w:val="24"/>
          <w:lang w:val="pt-PT"/>
        </w:rPr>
        <w:t>Com base</w:t>
      </w:r>
      <w:r w:rsidRPr="00994A2B">
        <w:rPr>
          <w:rFonts w:ascii="Garamond" w:hAnsi="Garamond"/>
          <w:sz w:val="24"/>
          <w:szCs w:val="24"/>
          <w:lang w:val="pt-PT"/>
        </w:rPr>
        <w:t xml:space="preserve"> em dados recolhidos</w:t>
      </w:r>
      <w:r w:rsidR="00765AA9" w:rsidRPr="00994A2B">
        <w:rPr>
          <w:rFonts w:ascii="Garamond" w:hAnsi="Garamond"/>
          <w:sz w:val="24"/>
          <w:szCs w:val="24"/>
          <w:lang w:val="pt-PT"/>
        </w:rPr>
        <w:t xml:space="preserve"> </w:t>
      </w:r>
      <w:r w:rsidRPr="00994A2B">
        <w:rPr>
          <w:rFonts w:ascii="Garamond" w:hAnsi="Garamond"/>
          <w:sz w:val="24"/>
          <w:szCs w:val="24"/>
          <w:lang w:val="pt-PT"/>
        </w:rPr>
        <w:t xml:space="preserve">do Portal da Autoridade Tributária e Aduaneira e da base de dados SABI, analisaram-se informações de empresas que beneficiaram e não beneficiaram do CFEI II </w:t>
      </w:r>
      <w:r w:rsidR="00447DB5" w:rsidRPr="00994A2B">
        <w:rPr>
          <w:rFonts w:ascii="Garamond" w:hAnsi="Garamond"/>
          <w:sz w:val="24"/>
          <w:szCs w:val="24"/>
          <w:lang w:val="pt-PT"/>
        </w:rPr>
        <w:t>entre</w:t>
      </w:r>
      <w:r w:rsidRPr="00994A2B">
        <w:rPr>
          <w:rFonts w:ascii="Garamond" w:hAnsi="Garamond"/>
          <w:sz w:val="24"/>
          <w:szCs w:val="24"/>
          <w:lang w:val="pt-PT"/>
        </w:rPr>
        <w:t xml:space="preserve"> 2020 </w:t>
      </w:r>
      <w:r w:rsidR="00447DB5" w:rsidRPr="00994A2B">
        <w:rPr>
          <w:rFonts w:ascii="Garamond" w:hAnsi="Garamond"/>
          <w:sz w:val="24"/>
          <w:szCs w:val="24"/>
          <w:lang w:val="pt-PT"/>
        </w:rPr>
        <w:t>e</w:t>
      </w:r>
      <w:r w:rsidRPr="00994A2B">
        <w:rPr>
          <w:rFonts w:ascii="Garamond" w:hAnsi="Garamond"/>
          <w:sz w:val="24"/>
          <w:szCs w:val="24"/>
          <w:lang w:val="pt-PT"/>
        </w:rPr>
        <w:t xml:space="preserve"> 2022.</w:t>
      </w:r>
    </w:p>
    <w:p w14:paraId="3C47BE4C" w14:textId="7EF90610" w:rsidR="00E3772A" w:rsidRPr="00994A2B" w:rsidRDefault="007D55F9" w:rsidP="00642608">
      <w:pPr>
        <w:spacing w:line="360" w:lineRule="auto"/>
        <w:jc w:val="both"/>
        <w:rPr>
          <w:rFonts w:ascii="Garamond" w:hAnsi="Garamond"/>
          <w:sz w:val="24"/>
          <w:szCs w:val="24"/>
          <w:lang w:val="pt-PT"/>
        </w:rPr>
      </w:pPr>
      <w:r w:rsidRPr="00994A2B">
        <w:rPr>
          <w:rFonts w:ascii="Garamond" w:hAnsi="Garamond"/>
          <w:sz w:val="24"/>
          <w:szCs w:val="24"/>
          <w:lang w:val="pt-PT"/>
        </w:rPr>
        <w:t>Os resultados empíricos confirmam a hipótese de que o CFEI II induziu as empresas a antecipar os seus investimentos. Verificou-se uma diferença na variação dos investimentos entre as empresas que usufruíram do benefício fiscal e as empresas que não beneficiaram</w:t>
      </w:r>
      <w:r w:rsidR="00755E5D" w:rsidRPr="00994A2B">
        <w:rPr>
          <w:rFonts w:ascii="Garamond" w:hAnsi="Garamond"/>
          <w:sz w:val="24"/>
          <w:szCs w:val="24"/>
          <w:lang w:val="pt-PT"/>
        </w:rPr>
        <w:t xml:space="preserve"> do mesmo</w:t>
      </w:r>
      <w:r w:rsidRPr="00994A2B">
        <w:rPr>
          <w:rFonts w:ascii="Garamond" w:hAnsi="Garamond"/>
          <w:sz w:val="24"/>
          <w:szCs w:val="24"/>
          <w:lang w:val="pt-PT"/>
        </w:rPr>
        <w:t xml:space="preserve">. As empresas que aderiram ao CFEI II apresentaram uma tendência de redução significativa dos investimentos em 2022, contrastando com o aumento observado nas empresas que não beneficiaram do incentivo, sugerindo que o CFEI II </w:t>
      </w:r>
      <w:r w:rsidR="00EB0126" w:rsidRPr="00994A2B">
        <w:rPr>
          <w:rFonts w:ascii="Garamond" w:hAnsi="Garamond"/>
          <w:sz w:val="24"/>
          <w:szCs w:val="24"/>
          <w:lang w:val="pt-PT"/>
        </w:rPr>
        <w:t>conduziu</w:t>
      </w:r>
      <w:r w:rsidRPr="00994A2B">
        <w:rPr>
          <w:rFonts w:ascii="Garamond" w:hAnsi="Garamond"/>
          <w:sz w:val="24"/>
          <w:szCs w:val="24"/>
          <w:lang w:val="pt-PT"/>
        </w:rPr>
        <w:t xml:space="preserve"> </w:t>
      </w:r>
      <w:r w:rsidR="00EB0126" w:rsidRPr="00994A2B">
        <w:rPr>
          <w:rFonts w:ascii="Garamond" w:hAnsi="Garamond"/>
          <w:sz w:val="24"/>
          <w:szCs w:val="24"/>
          <w:lang w:val="pt-PT"/>
        </w:rPr>
        <w:t>à</w:t>
      </w:r>
      <w:r w:rsidRPr="00994A2B">
        <w:rPr>
          <w:rFonts w:ascii="Garamond" w:hAnsi="Garamond"/>
          <w:sz w:val="24"/>
          <w:szCs w:val="24"/>
          <w:lang w:val="pt-PT"/>
        </w:rPr>
        <w:t xml:space="preserve"> antecipação dos investimentos</w:t>
      </w:r>
      <w:r w:rsidR="00EB0126" w:rsidRPr="00994A2B">
        <w:rPr>
          <w:rFonts w:ascii="Garamond" w:hAnsi="Garamond"/>
          <w:sz w:val="24"/>
          <w:szCs w:val="24"/>
          <w:lang w:val="pt-PT"/>
        </w:rPr>
        <w:t xml:space="preserve"> previamente planeados</w:t>
      </w:r>
      <w:r w:rsidRPr="00994A2B">
        <w:rPr>
          <w:rFonts w:ascii="Garamond" w:hAnsi="Garamond"/>
          <w:sz w:val="24"/>
          <w:szCs w:val="24"/>
          <w:lang w:val="pt-PT"/>
        </w:rPr>
        <w:t>. Assim, o</w:t>
      </w:r>
      <w:r w:rsidR="00E3772A" w:rsidRPr="00994A2B">
        <w:rPr>
          <w:rFonts w:ascii="Garamond" w:hAnsi="Garamond"/>
          <w:sz w:val="24"/>
          <w:szCs w:val="24"/>
          <w:lang w:val="pt-PT"/>
        </w:rPr>
        <w:t>s resultados do estudo</w:t>
      </w:r>
      <w:r w:rsidR="00FE5CBA" w:rsidRPr="00994A2B">
        <w:rPr>
          <w:rFonts w:ascii="Garamond" w:hAnsi="Garamond"/>
          <w:sz w:val="24"/>
          <w:szCs w:val="24"/>
          <w:lang w:val="pt-PT"/>
        </w:rPr>
        <w:t xml:space="preserve"> sugerem que </w:t>
      </w:r>
      <w:r w:rsidR="00C27027" w:rsidRPr="00994A2B">
        <w:rPr>
          <w:rFonts w:ascii="Garamond" w:hAnsi="Garamond"/>
          <w:sz w:val="24"/>
          <w:szCs w:val="24"/>
          <w:lang w:val="pt-PT"/>
        </w:rPr>
        <w:t>o CFEI II conduziu as empresas a antecipar</w:t>
      </w:r>
      <w:r w:rsidR="00FE5CBA" w:rsidRPr="00994A2B">
        <w:rPr>
          <w:rFonts w:ascii="Garamond" w:hAnsi="Garamond"/>
          <w:sz w:val="24"/>
          <w:szCs w:val="24"/>
          <w:lang w:val="pt-PT"/>
        </w:rPr>
        <w:t>em</w:t>
      </w:r>
      <w:r w:rsidR="00C27027" w:rsidRPr="00994A2B">
        <w:rPr>
          <w:rFonts w:ascii="Garamond" w:hAnsi="Garamond"/>
          <w:sz w:val="24"/>
          <w:szCs w:val="24"/>
          <w:lang w:val="pt-PT"/>
        </w:rPr>
        <w:t xml:space="preserve"> investimentos com o objetivo de beneficiarem do incentivo fiscal.</w:t>
      </w:r>
    </w:p>
    <w:p w14:paraId="49A4610D" w14:textId="6084407F" w:rsidR="00FF2E72" w:rsidRPr="00994A2B" w:rsidRDefault="00FF2E72" w:rsidP="00642608">
      <w:pPr>
        <w:spacing w:line="360" w:lineRule="auto"/>
        <w:jc w:val="both"/>
        <w:rPr>
          <w:rFonts w:ascii="Garamond" w:hAnsi="Garamond"/>
          <w:sz w:val="24"/>
          <w:szCs w:val="24"/>
          <w:lang w:val="pt-PT"/>
        </w:rPr>
      </w:pPr>
      <w:r w:rsidRPr="00994A2B">
        <w:rPr>
          <w:rFonts w:ascii="Garamond" w:hAnsi="Garamond"/>
          <w:sz w:val="24"/>
          <w:szCs w:val="24"/>
          <w:lang w:val="pt-PT"/>
        </w:rPr>
        <w:t>Além disso, o estudo oferece uma validação empírica de algumas das teorias clássicas de investimento, como a teoria neoclássica, ao demonstrar como diferentes fatores financeiros influenciam as decisões de investimento das empresas. O impacto do CFEI II, tal como esperado, confirma que os incentivos fiscais podem desempenhar um papel crucial na modulação das decisões de investimento empresarial, especialmente em contextos económicos desafiadores, como o período da pandemia de COVID-19.</w:t>
      </w:r>
    </w:p>
    <w:p w14:paraId="5CB4F9D7" w14:textId="5F9E1C2E" w:rsidR="00345C3B" w:rsidRPr="002D7F08" w:rsidRDefault="00E3772A" w:rsidP="00642608">
      <w:pPr>
        <w:spacing w:line="360" w:lineRule="auto"/>
        <w:jc w:val="both"/>
        <w:rPr>
          <w:b/>
          <w:bCs/>
          <w:lang w:val="pt-PT"/>
        </w:rPr>
      </w:pPr>
      <w:r w:rsidRPr="00994A2B">
        <w:rPr>
          <w:rFonts w:ascii="Garamond" w:hAnsi="Garamond"/>
          <w:sz w:val="24"/>
          <w:szCs w:val="24"/>
          <w:lang w:val="pt-PT"/>
        </w:rPr>
        <w:t xml:space="preserve">Em </w:t>
      </w:r>
      <w:r w:rsidR="008171DC" w:rsidRPr="00994A2B">
        <w:rPr>
          <w:rFonts w:ascii="Garamond" w:hAnsi="Garamond"/>
          <w:sz w:val="24"/>
          <w:szCs w:val="24"/>
          <w:lang w:val="pt-PT"/>
        </w:rPr>
        <w:t>resumo</w:t>
      </w:r>
      <w:r w:rsidRPr="00994A2B">
        <w:rPr>
          <w:rFonts w:ascii="Garamond" w:hAnsi="Garamond"/>
          <w:sz w:val="24"/>
          <w:szCs w:val="24"/>
          <w:lang w:val="pt-PT"/>
        </w:rPr>
        <w:t>, est</w:t>
      </w:r>
      <w:r w:rsidR="008171DC" w:rsidRPr="00994A2B">
        <w:rPr>
          <w:rFonts w:ascii="Garamond" w:hAnsi="Garamond"/>
          <w:sz w:val="24"/>
          <w:szCs w:val="24"/>
          <w:lang w:val="pt-PT"/>
        </w:rPr>
        <w:t>a dissertação</w:t>
      </w:r>
      <w:r w:rsidRPr="00994A2B">
        <w:rPr>
          <w:rFonts w:ascii="Garamond" w:hAnsi="Garamond"/>
          <w:sz w:val="24"/>
          <w:szCs w:val="24"/>
          <w:lang w:val="pt-PT"/>
        </w:rPr>
        <w:t xml:space="preserve"> contribui para o entendimento das dinâmicas do investimento empresarial em resposta a políticas fiscais, fornecendo uma base sólida para futuras investigações e para o desenvolvimento de políticas que possam promover o investimento empresarial de forma mais eficaz.</w:t>
      </w:r>
      <w:r w:rsidR="00345C3B" w:rsidRPr="002D7F08">
        <w:rPr>
          <w:lang w:val="pt-PT"/>
        </w:rPr>
        <w:br w:type="page"/>
      </w:r>
    </w:p>
    <w:p w14:paraId="6140AD1E" w14:textId="77777777" w:rsidR="00345C3B" w:rsidRPr="0083246C" w:rsidRDefault="00345C3B" w:rsidP="002A1115">
      <w:pPr>
        <w:pStyle w:val="TtuloPrincipalTese"/>
        <w:numPr>
          <w:ilvl w:val="0"/>
          <w:numId w:val="0"/>
        </w:numPr>
        <w:ind w:left="360" w:hanging="360"/>
        <w:rPr>
          <w:lang w:val="en-GB"/>
        </w:rPr>
      </w:pPr>
      <w:bookmarkStart w:id="10" w:name="_Toc168651790"/>
      <w:bookmarkStart w:id="11" w:name="_Toc168670250"/>
      <w:bookmarkStart w:id="12" w:name="_Toc176458034"/>
      <w:r w:rsidRPr="0083246C">
        <w:rPr>
          <w:lang w:val="en-GB"/>
        </w:rPr>
        <w:lastRenderedPageBreak/>
        <w:t>Abstract</w:t>
      </w:r>
      <w:bookmarkEnd w:id="10"/>
      <w:bookmarkEnd w:id="11"/>
      <w:bookmarkEnd w:id="12"/>
    </w:p>
    <w:p w14:paraId="3BF75161" w14:textId="4EC3AB5B" w:rsidR="008D6866" w:rsidRPr="00994A2B" w:rsidRDefault="008D6866" w:rsidP="008D6866">
      <w:pPr>
        <w:spacing w:line="360" w:lineRule="auto"/>
        <w:jc w:val="both"/>
        <w:rPr>
          <w:rFonts w:ascii="Garamond" w:hAnsi="Garamond"/>
          <w:sz w:val="24"/>
          <w:szCs w:val="24"/>
        </w:rPr>
      </w:pPr>
      <w:r w:rsidRPr="00994A2B">
        <w:rPr>
          <w:rFonts w:ascii="Garamond" w:hAnsi="Garamond"/>
          <w:sz w:val="24"/>
          <w:szCs w:val="24"/>
        </w:rPr>
        <w:t xml:space="preserve">This dissertation seeks to ascertain whether the introduction of the Extraordinary Investment Tax Credit II (CFEI II) has prompted Portuguese companies to </w:t>
      </w:r>
      <w:r w:rsidR="006F2562" w:rsidRPr="00994A2B">
        <w:rPr>
          <w:rFonts w:ascii="Garamond" w:hAnsi="Garamond"/>
          <w:sz w:val="24"/>
          <w:szCs w:val="24"/>
        </w:rPr>
        <w:t>anticipate</w:t>
      </w:r>
      <w:r w:rsidRPr="00994A2B">
        <w:rPr>
          <w:rFonts w:ascii="Garamond" w:hAnsi="Garamond"/>
          <w:sz w:val="24"/>
          <w:szCs w:val="24"/>
        </w:rPr>
        <w:t xml:space="preserve"> </w:t>
      </w:r>
      <w:r w:rsidR="002B239F" w:rsidRPr="00994A2B">
        <w:rPr>
          <w:rFonts w:ascii="Garamond" w:hAnsi="Garamond"/>
          <w:sz w:val="24"/>
          <w:szCs w:val="24"/>
        </w:rPr>
        <w:t xml:space="preserve">previously </w:t>
      </w:r>
      <w:r w:rsidRPr="00994A2B">
        <w:rPr>
          <w:rFonts w:ascii="Garamond" w:hAnsi="Garamond"/>
          <w:sz w:val="24"/>
          <w:szCs w:val="24"/>
        </w:rPr>
        <w:t xml:space="preserve">planned investments </w:t>
      </w:r>
      <w:proofErr w:type="gramStart"/>
      <w:r w:rsidRPr="00994A2B">
        <w:rPr>
          <w:rFonts w:ascii="Garamond" w:hAnsi="Garamond"/>
          <w:sz w:val="24"/>
          <w:szCs w:val="24"/>
        </w:rPr>
        <w:t>in order to</w:t>
      </w:r>
      <w:proofErr w:type="gramEnd"/>
      <w:r w:rsidRPr="00994A2B">
        <w:rPr>
          <w:rFonts w:ascii="Garamond" w:hAnsi="Garamond"/>
          <w:sz w:val="24"/>
          <w:szCs w:val="24"/>
        </w:rPr>
        <w:t xml:space="preserve"> </w:t>
      </w:r>
      <w:r w:rsidR="003E4181" w:rsidRPr="00994A2B">
        <w:rPr>
          <w:rFonts w:ascii="Garamond" w:hAnsi="Garamond"/>
          <w:sz w:val="24"/>
          <w:szCs w:val="24"/>
        </w:rPr>
        <w:t>benefit</w:t>
      </w:r>
      <w:r w:rsidRPr="00994A2B">
        <w:rPr>
          <w:rFonts w:ascii="Garamond" w:hAnsi="Garamond"/>
          <w:sz w:val="24"/>
          <w:szCs w:val="24"/>
        </w:rPr>
        <w:t xml:space="preserve"> on the tax benefits afforded by this incentive. The data collected from the Tax and Customs Authority Portal and the SABI database were analysed </w:t>
      </w:r>
      <w:proofErr w:type="gramStart"/>
      <w:r w:rsidRPr="00994A2B">
        <w:rPr>
          <w:rFonts w:ascii="Garamond" w:hAnsi="Garamond"/>
          <w:sz w:val="24"/>
          <w:szCs w:val="24"/>
        </w:rPr>
        <w:t>in order to</w:t>
      </w:r>
      <w:proofErr w:type="gramEnd"/>
      <w:r w:rsidRPr="00994A2B">
        <w:rPr>
          <w:rFonts w:ascii="Garamond" w:hAnsi="Garamond"/>
          <w:sz w:val="24"/>
          <w:szCs w:val="24"/>
        </w:rPr>
        <w:t xml:space="preserve"> ascertain whether companies that benefited from CFEI II between 2020 and 2022 had brought forward their investments, in comparison to those that did not benefit from the incentive.</w:t>
      </w:r>
    </w:p>
    <w:p w14:paraId="5EB6CAA9" w14:textId="25E9F24D" w:rsidR="002B239F" w:rsidRPr="008D6866" w:rsidRDefault="002B239F" w:rsidP="008D6866">
      <w:pPr>
        <w:spacing w:line="360" w:lineRule="auto"/>
        <w:jc w:val="both"/>
        <w:rPr>
          <w:rFonts w:ascii="Garamond" w:hAnsi="Garamond"/>
          <w:sz w:val="24"/>
          <w:szCs w:val="24"/>
        </w:rPr>
      </w:pPr>
      <w:r w:rsidRPr="002B239F">
        <w:rPr>
          <w:rFonts w:ascii="Garamond" w:hAnsi="Garamond"/>
          <w:sz w:val="24"/>
          <w:szCs w:val="24"/>
        </w:rPr>
        <w:t xml:space="preserve">The empirical results confirm the hypothesis that the CFEI II induced firms to bring forward their investments. There was a difference in the variation of investments between companies that took advantage of the tax benefit and those that did not. Companies that benefited from CFEI II showed a trend towards a significant reduction in investments in 2022, in contrast to the increase observed for companies that did not benefit from the incentive, suggesting that CFEI II led to the bringing forward of previously planned investments. The results of the study therefore suggest that the CFEI II has induced firms to bring forward investments </w:t>
      </w:r>
      <w:proofErr w:type="gramStart"/>
      <w:r w:rsidRPr="002B239F">
        <w:rPr>
          <w:rFonts w:ascii="Garamond" w:hAnsi="Garamond"/>
          <w:sz w:val="24"/>
          <w:szCs w:val="24"/>
        </w:rPr>
        <w:t>in order to</w:t>
      </w:r>
      <w:proofErr w:type="gramEnd"/>
      <w:r w:rsidRPr="002B239F">
        <w:rPr>
          <w:rFonts w:ascii="Garamond" w:hAnsi="Garamond"/>
          <w:sz w:val="24"/>
          <w:szCs w:val="24"/>
        </w:rPr>
        <w:t xml:space="preserve"> benefit from the tax incentive.</w:t>
      </w:r>
    </w:p>
    <w:p w14:paraId="1E298988" w14:textId="77777777" w:rsidR="008D6866" w:rsidRPr="008D6866" w:rsidRDefault="008D6866" w:rsidP="008D6866">
      <w:pPr>
        <w:spacing w:line="360" w:lineRule="auto"/>
        <w:jc w:val="both"/>
        <w:rPr>
          <w:rFonts w:ascii="Garamond" w:hAnsi="Garamond"/>
          <w:sz w:val="24"/>
          <w:szCs w:val="24"/>
        </w:rPr>
      </w:pPr>
      <w:r w:rsidRPr="008D6866">
        <w:rPr>
          <w:rFonts w:ascii="Garamond" w:hAnsi="Garamond"/>
          <w:sz w:val="24"/>
          <w:szCs w:val="24"/>
        </w:rPr>
        <w:t>Moreover, the study offers empirical validation of some of the classic investment theories, such as the neoclassical theory, by demonstrating how different financial factors influence companies' investment decisions. As anticipated, the impact of CFEI II substantiates the assertion that tax incentives can exert a pivotal influence on business investment decisions, particularly in challenging economic contexts such as the period of the global pandemic caused by the SARS-CoV-2 virus.</w:t>
      </w:r>
    </w:p>
    <w:p w14:paraId="36C9BA80" w14:textId="3A8DE7BF" w:rsidR="00345C3B" w:rsidRPr="00EB18E4" w:rsidRDefault="008D6866" w:rsidP="008D6866">
      <w:pPr>
        <w:spacing w:line="360" w:lineRule="auto"/>
        <w:jc w:val="both"/>
        <w:rPr>
          <w:rFonts w:ascii="Garamond" w:hAnsi="Garamond"/>
          <w:sz w:val="24"/>
          <w:szCs w:val="24"/>
        </w:rPr>
      </w:pPr>
      <w:r w:rsidRPr="008D6866">
        <w:rPr>
          <w:rFonts w:ascii="Garamond" w:hAnsi="Garamond"/>
          <w:sz w:val="24"/>
          <w:szCs w:val="24"/>
        </w:rPr>
        <w:t>In conclusion, this dissertation contributes to the comprehension of the dynamics of business investment in response to tax policies, providing a robust foundation for future research and for the formulation of policies that can promote business investment more effectively.</w:t>
      </w:r>
      <w:r w:rsidR="00345C3B" w:rsidRPr="0083246C">
        <w:rPr>
          <w:sz w:val="24"/>
          <w:szCs w:val="24"/>
        </w:rPr>
        <w:br w:type="page"/>
      </w:r>
    </w:p>
    <w:p w14:paraId="6EC834BE" w14:textId="77777777" w:rsidR="00AC4E8A" w:rsidRPr="00AC4E8A" w:rsidRDefault="00345C3B" w:rsidP="00974A9D">
      <w:pPr>
        <w:pStyle w:val="TtuloPI"/>
        <w:jc w:val="both"/>
        <w:rPr>
          <w:noProof/>
          <w:sz w:val="24"/>
          <w:szCs w:val="24"/>
        </w:rPr>
      </w:pPr>
      <w:proofErr w:type="spellStart"/>
      <w:r w:rsidRPr="00ED77E1">
        <w:rPr>
          <w:sz w:val="28"/>
          <w:szCs w:val="28"/>
          <w:lang w:val="en-GB"/>
        </w:rPr>
        <w:lastRenderedPageBreak/>
        <w:t>Índice</w:t>
      </w:r>
      <w:proofErr w:type="spellEnd"/>
      <w:r w:rsidR="00404B6F" w:rsidRPr="0081458D">
        <w:rPr>
          <w:sz w:val="24"/>
          <w:szCs w:val="24"/>
        </w:rPr>
        <w:fldChar w:fldCharType="begin"/>
      </w:r>
      <w:r w:rsidR="00404B6F" w:rsidRPr="0081458D">
        <w:rPr>
          <w:sz w:val="24"/>
          <w:szCs w:val="24"/>
        </w:rPr>
        <w:instrText xml:space="preserve"> TOC \h \z \t "Título Principal Tese;1;Título Secundário Tese;2;Título 2 Secundário Tese;3" </w:instrText>
      </w:r>
      <w:r w:rsidR="00404B6F" w:rsidRPr="0081458D">
        <w:rPr>
          <w:sz w:val="24"/>
          <w:szCs w:val="24"/>
        </w:rPr>
        <w:fldChar w:fldCharType="separate"/>
      </w:r>
    </w:p>
    <w:p w14:paraId="26F69A0B" w14:textId="76D7553E"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35" w:history="1">
        <w:r w:rsidR="00AC4E8A" w:rsidRPr="00AC4E8A">
          <w:rPr>
            <w:rStyle w:val="Hyperlink"/>
          </w:rPr>
          <w:t>1.</w:t>
        </w:r>
        <w:r w:rsidR="00AC4E8A" w:rsidRPr="00AC4E8A">
          <w:rPr>
            <w:b w:val="0"/>
            <w:bCs w:val="0"/>
            <w:kern w:val="2"/>
            <w:lang w:eastAsia="en-GB"/>
            <w14:ligatures w14:val="standardContextual"/>
          </w:rPr>
          <w:tab/>
        </w:r>
        <w:r w:rsidR="00AC4E8A" w:rsidRPr="00AC4E8A">
          <w:rPr>
            <w:rStyle w:val="Hyperlink"/>
          </w:rPr>
          <w:t>Introdução</w:t>
        </w:r>
        <w:r w:rsidR="00AC4E8A" w:rsidRPr="00AC4E8A">
          <w:rPr>
            <w:webHidden/>
          </w:rPr>
          <w:tab/>
        </w:r>
        <w:r w:rsidR="00AC4E8A" w:rsidRPr="00AC4E8A">
          <w:rPr>
            <w:webHidden/>
          </w:rPr>
          <w:fldChar w:fldCharType="begin"/>
        </w:r>
        <w:r w:rsidR="00AC4E8A" w:rsidRPr="00AC4E8A">
          <w:rPr>
            <w:webHidden/>
          </w:rPr>
          <w:instrText xml:space="preserve"> PAGEREF _Toc176458035 \h </w:instrText>
        </w:r>
        <w:r w:rsidR="00AC4E8A" w:rsidRPr="00AC4E8A">
          <w:rPr>
            <w:webHidden/>
          </w:rPr>
        </w:r>
        <w:r w:rsidR="00AC4E8A" w:rsidRPr="00AC4E8A">
          <w:rPr>
            <w:webHidden/>
          </w:rPr>
          <w:fldChar w:fldCharType="separate"/>
        </w:r>
        <w:r w:rsidR="00E813AE">
          <w:rPr>
            <w:webHidden/>
          </w:rPr>
          <w:t>1</w:t>
        </w:r>
        <w:r w:rsidR="00AC4E8A" w:rsidRPr="00AC4E8A">
          <w:rPr>
            <w:webHidden/>
          </w:rPr>
          <w:fldChar w:fldCharType="end"/>
        </w:r>
      </w:hyperlink>
    </w:p>
    <w:p w14:paraId="5D806AA4" w14:textId="721C5241"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36" w:history="1">
        <w:r w:rsidR="00AC4E8A" w:rsidRPr="00AC4E8A">
          <w:rPr>
            <w:rStyle w:val="Hyperlink"/>
          </w:rPr>
          <w:t>2.</w:t>
        </w:r>
        <w:r w:rsidR="00AC4E8A" w:rsidRPr="00AC4E8A">
          <w:rPr>
            <w:b w:val="0"/>
            <w:bCs w:val="0"/>
            <w:kern w:val="2"/>
            <w:lang w:eastAsia="en-GB"/>
            <w14:ligatures w14:val="standardContextual"/>
          </w:rPr>
          <w:tab/>
        </w:r>
        <w:r w:rsidR="00AC4E8A" w:rsidRPr="00AC4E8A">
          <w:rPr>
            <w:rStyle w:val="Hyperlink"/>
          </w:rPr>
          <w:t>Revisão de Literatura</w:t>
        </w:r>
        <w:r w:rsidR="00AC4E8A" w:rsidRPr="00AC4E8A">
          <w:rPr>
            <w:webHidden/>
          </w:rPr>
          <w:tab/>
        </w:r>
        <w:r w:rsidR="00AC4E8A" w:rsidRPr="00AC4E8A">
          <w:rPr>
            <w:webHidden/>
          </w:rPr>
          <w:fldChar w:fldCharType="begin"/>
        </w:r>
        <w:r w:rsidR="00AC4E8A" w:rsidRPr="00AC4E8A">
          <w:rPr>
            <w:webHidden/>
          </w:rPr>
          <w:instrText xml:space="preserve"> PAGEREF _Toc176458036 \h </w:instrText>
        </w:r>
        <w:r w:rsidR="00AC4E8A" w:rsidRPr="00AC4E8A">
          <w:rPr>
            <w:webHidden/>
          </w:rPr>
        </w:r>
        <w:r w:rsidR="00AC4E8A" w:rsidRPr="00AC4E8A">
          <w:rPr>
            <w:webHidden/>
          </w:rPr>
          <w:fldChar w:fldCharType="separate"/>
        </w:r>
        <w:r w:rsidR="00E813AE">
          <w:rPr>
            <w:webHidden/>
          </w:rPr>
          <w:t>3</w:t>
        </w:r>
        <w:r w:rsidR="00AC4E8A" w:rsidRPr="00AC4E8A">
          <w:rPr>
            <w:webHidden/>
          </w:rPr>
          <w:fldChar w:fldCharType="end"/>
        </w:r>
      </w:hyperlink>
    </w:p>
    <w:p w14:paraId="2287FCD5" w14:textId="7CE5010D"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37" w:history="1">
        <w:r w:rsidR="00AC4E8A" w:rsidRPr="00AC4E8A">
          <w:rPr>
            <w:rStyle w:val="Hyperlink"/>
            <w:rFonts w:ascii="Garamond" w:hAnsi="Garamond"/>
            <w:noProof/>
            <w:sz w:val="24"/>
            <w:szCs w:val="24"/>
          </w:rPr>
          <w:t>2.1.</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Benefícios Fiscais</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_Toc176458037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3</w:t>
        </w:r>
        <w:r w:rsidR="00AC4E8A" w:rsidRPr="00AC4E8A">
          <w:rPr>
            <w:rFonts w:ascii="Garamond" w:hAnsi="Garamond"/>
            <w:noProof/>
            <w:webHidden/>
            <w:sz w:val="24"/>
            <w:szCs w:val="24"/>
          </w:rPr>
          <w:fldChar w:fldCharType="end"/>
        </w:r>
      </w:hyperlink>
    </w:p>
    <w:p w14:paraId="55FB3665" w14:textId="08E11FBE"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38" w:history="1">
        <w:r w:rsidR="00AC4E8A" w:rsidRPr="00AC4E8A">
          <w:rPr>
            <w:rStyle w:val="Hyperlink"/>
            <w:rFonts w:ascii="Garamond" w:hAnsi="Garamond"/>
            <w:noProof/>
            <w:sz w:val="24"/>
            <w:szCs w:val="24"/>
          </w:rPr>
          <w:t>2.2.</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CFEI II</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_Toc176458038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4</w:t>
        </w:r>
        <w:r w:rsidR="00AC4E8A" w:rsidRPr="00AC4E8A">
          <w:rPr>
            <w:rFonts w:ascii="Garamond" w:hAnsi="Garamond"/>
            <w:noProof/>
            <w:webHidden/>
            <w:sz w:val="24"/>
            <w:szCs w:val="24"/>
          </w:rPr>
          <w:fldChar w:fldCharType="end"/>
        </w:r>
      </w:hyperlink>
    </w:p>
    <w:p w14:paraId="21629151" w14:textId="61AEE547"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39" w:history="1">
        <w:r w:rsidR="00AC4E8A" w:rsidRPr="00AC4E8A">
          <w:rPr>
            <w:rStyle w:val="Hyperlink"/>
            <w:rFonts w:ascii="Garamond" w:hAnsi="Garamond"/>
            <w:noProof/>
            <w:sz w:val="24"/>
            <w:szCs w:val="24"/>
          </w:rPr>
          <w:t>2.3.</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Investimento Empresarial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_Toc176458039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4</w:t>
        </w:r>
        <w:r w:rsidR="00AC4E8A" w:rsidRPr="00AC4E8A">
          <w:rPr>
            <w:rFonts w:ascii="Garamond" w:hAnsi="Garamond"/>
            <w:noProof/>
            <w:webHidden/>
            <w:sz w:val="24"/>
            <w:szCs w:val="24"/>
          </w:rPr>
          <w:fldChar w:fldCharType="end"/>
        </w:r>
      </w:hyperlink>
    </w:p>
    <w:p w14:paraId="5D6D94FC" w14:textId="1BC68CB7"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40" w:history="1">
        <w:r w:rsidR="00AC4E8A" w:rsidRPr="00AC4E8A">
          <w:rPr>
            <w:rStyle w:val="Hyperlink"/>
            <w:rFonts w:ascii="Garamond" w:hAnsi="Garamond"/>
            <w:noProof/>
            <w:sz w:val="24"/>
            <w:szCs w:val="24"/>
          </w:rPr>
          <w:t>2.4.</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Determinantes do Investimento</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_Toc176458040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5</w:t>
        </w:r>
        <w:r w:rsidR="00AC4E8A" w:rsidRPr="00AC4E8A">
          <w:rPr>
            <w:rFonts w:ascii="Garamond" w:hAnsi="Garamond"/>
            <w:noProof/>
            <w:webHidden/>
            <w:sz w:val="24"/>
            <w:szCs w:val="24"/>
          </w:rPr>
          <w:fldChar w:fldCharType="end"/>
        </w:r>
      </w:hyperlink>
    </w:p>
    <w:p w14:paraId="4FF9691A" w14:textId="4867979A"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1" w:history="1">
        <w:r w:rsidR="00AC4E8A" w:rsidRPr="00AC4E8A">
          <w:rPr>
            <w:rStyle w:val="Hyperlink"/>
            <w:rFonts w:ascii="Garamond" w:hAnsi="Garamond"/>
            <w:noProof/>
            <w:sz w:val="24"/>
            <w:szCs w:val="24"/>
          </w:rPr>
          <w:t>2.4.1.</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Teoria Neoclássica do Investimento (Neoclassical Theory of Investment)</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_Toc176458041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6</w:t>
        </w:r>
        <w:r w:rsidR="00AC4E8A" w:rsidRPr="00AC4E8A">
          <w:rPr>
            <w:rFonts w:ascii="Garamond" w:hAnsi="Garamond"/>
            <w:noProof/>
            <w:webHidden/>
            <w:sz w:val="24"/>
            <w:szCs w:val="24"/>
          </w:rPr>
          <w:fldChar w:fldCharType="end"/>
        </w:r>
      </w:hyperlink>
    </w:p>
    <w:p w14:paraId="2E41F751" w14:textId="4B3641AC"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2" w:history="1">
        <w:r w:rsidR="00AC4E8A" w:rsidRPr="00AC4E8A">
          <w:rPr>
            <w:rStyle w:val="Hyperlink"/>
            <w:rFonts w:ascii="Garamond" w:hAnsi="Garamond"/>
            <w:noProof/>
            <w:sz w:val="24"/>
            <w:szCs w:val="24"/>
          </w:rPr>
          <w:t>2.4.2.</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Teoria Aceleradora do Investimento (Accelerator Theory of Investment)</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_Toc176458042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8</w:t>
        </w:r>
        <w:r w:rsidR="00AC4E8A" w:rsidRPr="00AC4E8A">
          <w:rPr>
            <w:rFonts w:ascii="Garamond" w:hAnsi="Garamond"/>
            <w:noProof/>
            <w:webHidden/>
            <w:sz w:val="24"/>
            <w:szCs w:val="24"/>
          </w:rPr>
          <w:fldChar w:fldCharType="end"/>
        </w:r>
      </w:hyperlink>
    </w:p>
    <w:p w14:paraId="33B9B558" w14:textId="4DB3F39E"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3" w:history="1">
        <w:r w:rsidR="00AC4E8A" w:rsidRPr="00AC4E8A">
          <w:rPr>
            <w:rStyle w:val="Hyperlink"/>
            <w:rFonts w:ascii="Garamond" w:hAnsi="Garamond"/>
            <w:noProof/>
            <w:sz w:val="24"/>
            <w:szCs w:val="24"/>
          </w:rPr>
          <w:t>2.4.3.</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Teoria Q do Investimento (Q Theory of Investment)</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_Toc176458043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12</w:t>
        </w:r>
        <w:r w:rsidR="00AC4E8A" w:rsidRPr="00AC4E8A">
          <w:rPr>
            <w:rFonts w:ascii="Garamond" w:hAnsi="Garamond"/>
            <w:noProof/>
            <w:webHidden/>
            <w:sz w:val="24"/>
            <w:szCs w:val="24"/>
          </w:rPr>
          <w:fldChar w:fldCharType="end"/>
        </w:r>
      </w:hyperlink>
    </w:p>
    <w:p w14:paraId="766EBF6A" w14:textId="0ECAB82E"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4" w:history="1">
        <w:r w:rsidR="00AC4E8A" w:rsidRPr="00AC4E8A">
          <w:rPr>
            <w:rStyle w:val="Hyperlink"/>
            <w:rFonts w:ascii="Garamond" w:hAnsi="Garamond"/>
            <w:noProof/>
            <w:sz w:val="24"/>
            <w:szCs w:val="24"/>
          </w:rPr>
          <w:t>2.4.4.</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Teoria dos Fundos Internos do Investimento (The Internal Funds Theory of Investment)</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_Toc176458044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13</w:t>
        </w:r>
        <w:r w:rsidR="00AC4E8A" w:rsidRPr="00AC4E8A">
          <w:rPr>
            <w:rFonts w:ascii="Garamond" w:hAnsi="Garamond"/>
            <w:noProof/>
            <w:webHidden/>
            <w:sz w:val="24"/>
            <w:szCs w:val="24"/>
          </w:rPr>
          <w:fldChar w:fldCharType="end"/>
        </w:r>
      </w:hyperlink>
    </w:p>
    <w:p w14:paraId="11B24C88" w14:textId="66D0899C"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5" w:history="1">
        <w:r w:rsidR="00AC4E8A" w:rsidRPr="00AC4E8A">
          <w:rPr>
            <w:rStyle w:val="Hyperlink"/>
            <w:rFonts w:ascii="Garamond" w:hAnsi="Garamond"/>
            <w:noProof/>
            <w:sz w:val="24"/>
            <w:szCs w:val="24"/>
            <w:lang w:val="en-US"/>
          </w:rPr>
          <w:t>2.4.5.</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lang w:val="en-US"/>
          </w:rPr>
          <w:t>Teoria dos Free Cash Flows</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_Toc176458045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14</w:t>
        </w:r>
        <w:r w:rsidR="00AC4E8A" w:rsidRPr="00AC4E8A">
          <w:rPr>
            <w:rFonts w:ascii="Garamond" w:hAnsi="Garamond"/>
            <w:noProof/>
            <w:webHidden/>
            <w:sz w:val="24"/>
            <w:szCs w:val="24"/>
          </w:rPr>
          <w:fldChar w:fldCharType="end"/>
        </w:r>
      </w:hyperlink>
    </w:p>
    <w:p w14:paraId="002EBD2D" w14:textId="41AE6942"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46" w:history="1">
        <w:r w:rsidR="00AC4E8A" w:rsidRPr="00AC4E8A">
          <w:rPr>
            <w:rStyle w:val="Hyperlink"/>
            <w:rFonts w:ascii="Garamond" w:hAnsi="Garamond"/>
            <w:noProof/>
            <w:sz w:val="24"/>
            <w:szCs w:val="24"/>
          </w:rPr>
          <w:t>2.5.</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Modelos base de Investimento em Bens de Capital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_Toc176458046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15</w:t>
        </w:r>
        <w:r w:rsidR="00AC4E8A" w:rsidRPr="00AC4E8A">
          <w:rPr>
            <w:rFonts w:ascii="Garamond" w:hAnsi="Garamond"/>
            <w:noProof/>
            <w:webHidden/>
            <w:sz w:val="24"/>
            <w:szCs w:val="24"/>
          </w:rPr>
          <w:fldChar w:fldCharType="end"/>
        </w:r>
      </w:hyperlink>
    </w:p>
    <w:p w14:paraId="1C1C0A91" w14:textId="7CAD97B8"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7" w:history="1">
        <w:r w:rsidR="00AC4E8A" w:rsidRPr="00AC4E8A">
          <w:rPr>
            <w:rStyle w:val="Hyperlink"/>
            <w:rFonts w:ascii="Garamond" w:hAnsi="Garamond"/>
            <w:noProof/>
            <w:sz w:val="24"/>
            <w:szCs w:val="24"/>
          </w:rPr>
          <w:t>2.5.1.</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 do Acelerador (The Accelerator Model)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_Toc176458047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16</w:t>
        </w:r>
        <w:r w:rsidR="00AC4E8A" w:rsidRPr="00AC4E8A">
          <w:rPr>
            <w:rFonts w:ascii="Garamond" w:hAnsi="Garamond"/>
            <w:noProof/>
            <w:webHidden/>
            <w:sz w:val="24"/>
            <w:szCs w:val="24"/>
          </w:rPr>
          <w:fldChar w:fldCharType="end"/>
        </w:r>
      </w:hyperlink>
    </w:p>
    <w:p w14:paraId="7ACE1E63" w14:textId="3298A8CD"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8" w:history="1">
        <w:r w:rsidR="00AC4E8A" w:rsidRPr="00AC4E8A">
          <w:rPr>
            <w:rStyle w:val="Hyperlink"/>
            <w:rFonts w:ascii="Garamond" w:hAnsi="Garamond"/>
            <w:noProof/>
            <w:sz w:val="24"/>
            <w:szCs w:val="24"/>
          </w:rPr>
          <w:t>2.5.2.</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 Q (The Q Model)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_Toc176458048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17</w:t>
        </w:r>
        <w:r w:rsidR="00AC4E8A" w:rsidRPr="00AC4E8A">
          <w:rPr>
            <w:rFonts w:ascii="Garamond" w:hAnsi="Garamond"/>
            <w:noProof/>
            <w:webHidden/>
            <w:sz w:val="24"/>
            <w:szCs w:val="24"/>
          </w:rPr>
          <w:fldChar w:fldCharType="end"/>
        </w:r>
      </w:hyperlink>
    </w:p>
    <w:p w14:paraId="5070AFA7" w14:textId="33CB0B49"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49" w:history="1">
        <w:r w:rsidR="00AC4E8A" w:rsidRPr="00AC4E8A">
          <w:rPr>
            <w:rStyle w:val="Hyperlink"/>
            <w:rFonts w:ascii="Garamond" w:hAnsi="Garamond"/>
            <w:noProof/>
            <w:sz w:val="24"/>
            <w:szCs w:val="24"/>
          </w:rPr>
          <w:t>2.5.3.</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 Neoclássico (The Neoclassic Model)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_Toc176458049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17</w:t>
        </w:r>
        <w:r w:rsidR="00AC4E8A" w:rsidRPr="00AC4E8A">
          <w:rPr>
            <w:rFonts w:ascii="Garamond" w:hAnsi="Garamond"/>
            <w:noProof/>
            <w:webHidden/>
            <w:sz w:val="24"/>
            <w:szCs w:val="24"/>
          </w:rPr>
          <w:fldChar w:fldCharType="end"/>
        </w:r>
      </w:hyperlink>
    </w:p>
    <w:p w14:paraId="0E0F84E5" w14:textId="3D6BAC74"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50" w:history="1">
        <w:r w:rsidR="00AC4E8A" w:rsidRPr="00AC4E8A">
          <w:rPr>
            <w:rStyle w:val="Hyperlink"/>
            <w:rFonts w:ascii="Garamond" w:hAnsi="Garamond"/>
            <w:noProof/>
            <w:sz w:val="24"/>
            <w:szCs w:val="24"/>
          </w:rPr>
          <w:t>2.5.4.</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 do Cash-Flow (The Cash-Flow Model)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_Toc176458050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18</w:t>
        </w:r>
        <w:r w:rsidR="00AC4E8A" w:rsidRPr="00AC4E8A">
          <w:rPr>
            <w:rFonts w:ascii="Garamond" w:hAnsi="Garamond"/>
            <w:noProof/>
            <w:webHidden/>
            <w:sz w:val="24"/>
            <w:szCs w:val="24"/>
          </w:rPr>
          <w:fldChar w:fldCharType="end"/>
        </w:r>
      </w:hyperlink>
    </w:p>
    <w:p w14:paraId="0469F5E6" w14:textId="7C8194D8" w:rsidR="00AC4E8A" w:rsidRPr="00AC4E8A" w:rsidRDefault="00000000" w:rsidP="00974A9D">
      <w:pPr>
        <w:pStyle w:val="TOC3"/>
        <w:tabs>
          <w:tab w:val="left" w:pos="1320"/>
          <w:tab w:val="right" w:leader="dot" w:pos="8493"/>
        </w:tabs>
        <w:spacing w:line="360" w:lineRule="auto"/>
        <w:jc w:val="both"/>
        <w:rPr>
          <w:rFonts w:ascii="Garamond" w:hAnsi="Garamond"/>
          <w:noProof/>
          <w:kern w:val="2"/>
          <w:sz w:val="24"/>
          <w:szCs w:val="24"/>
          <w:lang w:eastAsia="en-GB"/>
          <w14:ligatures w14:val="standardContextual"/>
        </w:rPr>
      </w:pPr>
      <w:hyperlink w:anchor="_Toc176458051" w:history="1">
        <w:r w:rsidR="00AC4E8A" w:rsidRPr="00AC4E8A">
          <w:rPr>
            <w:rStyle w:val="Hyperlink"/>
            <w:rFonts w:ascii="Garamond" w:hAnsi="Garamond"/>
            <w:noProof/>
            <w:sz w:val="24"/>
            <w:szCs w:val="24"/>
          </w:rPr>
          <w:t>2.5.5.</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 de Autoregressão (The Autoregression Model)</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_Toc176458051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19</w:t>
        </w:r>
        <w:r w:rsidR="00AC4E8A" w:rsidRPr="00AC4E8A">
          <w:rPr>
            <w:rFonts w:ascii="Garamond" w:hAnsi="Garamond"/>
            <w:noProof/>
            <w:webHidden/>
            <w:sz w:val="24"/>
            <w:szCs w:val="24"/>
          </w:rPr>
          <w:fldChar w:fldCharType="end"/>
        </w:r>
      </w:hyperlink>
    </w:p>
    <w:p w14:paraId="700B2E93" w14:textId="0F464A45"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52" w:history="1">
        <w:r w:rsidR="00AC4E8A" w:rsidRPr="00AC4E8A">
          <w:rPr>
            <w:rStyle w:val="Hyperlink"/>
          </w:rPr>
          <w:t>3.</w:t>
        </w:r>
        <w:r w:rsidR="00AC4E8A" w:rsidRPr="00AC4E8A">
          <w:rPr>
            <w:b w:val="0"/>
            <w:bCs w:val="0"/>
            <w:kern w:val="2"/>
            <w:lang w:eastAsia="en-GB"/>
            <w14:ligatures w14:val="standardContextual"/>
          </w:rPr>
          <w:tab/>
        </w:r>
        <w:r w:rsidR="00AC4E8A" w:rsidRPr="00AC4E8A">
          <w:rPr>
            <w:rStyle w:val="Hyperlink"/>
          </w:rPr>
          <w:t>Objetivo e Hipótese de Investigação</w:t>
        </w:r>
        <w:r w:rsidR="00AC4E8A" w:rsidRPr="00AC4E8A">
          <w:rPr>
            <w:webHidden/>
          </w:rPr>
          <w:tab/>
        </w:r>
        <w:r w:rsidR="00AC4E8A" w:rsidRPr="00AC4E8A">
          <w:rPr>
            <w:webHidden/>
          </w:rPr>
          <w:fldChar w:fldCharType="begin"/>
        </w:r>
        <w:r w:rsidR="00AC4E8A" w:rsidRPr="00AC4E8A">
          <w:rPr>
            <w:webHidden/>
          </w:rPr>
          <w:instrText xml:space="preserve"> PAGEREF _Toc176458052 \h </w:instrText>
        </w:r>
        <w:r w:rsidR="00AC4E8A" w:rsidRPr="00AC4E8A">
          <w:rPr>
            <w:webHidden/>
          </w:rPr>
        </w:r>
        <w:r w:rsidR="00AC4E8A" w:rsidRPr="00AC4E8A">
          <w:rPr>
            <w:webHidden/>
          </w:rPr>
          <w:fldChar w:fldCharType="separate"/>
        </w:r>
        <w:r w:rsidR="00E813AE">
          <w:rPr>
            <w:webHidden/>
          </w:rPr>
          <w:t>21</w:t>
        </w:r>
        <w:r w:rsidR="00AC4E8A" w:rsidRPr="00AC4E8A">
          <w:rPr>
            <w:webHidden/>
          </w:rPr>
          <w:fldChar w:fldCharType="end"/>
        </w:r>
      </w:hyperlink>
    </w:p>
    <w:p w14:paraId="7806BC2E" w14:textId="794F6553"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53" w:history="1">
        <w:r w:rsidR="00AC4E8A" w:rsidRPr="00AC4E8A">
          <w:rPr>
            <w:rStyle w:val="Hyperlink"/>
          </w:rPr>
          <w:t>4.</w:t>
        </w:r>
        <w:r w:rsidR="00AC4E8A" w:rsidRPr="00AC4E8A">
          <w:rPr>
            <w:b w:val="0"/>
            <w:bCs w:val="0"/>
            <w:kern w:val="2"/>
            <w:lang w:eastAsia="en-GB"/>
            <w14:ligatures w14:val="standardContextual"/>
          </w:rPr>
          <w:tab/>
        </w:r>
        <w:r w:rsidR="00AC4E8A" w:rsidRPr="00AC4E8A">
          <w:rPr>
            <w:rStyle w:val="Hyperlink"/>
          </w:rPr>
          <w:t>Modelo, Definição da Amostra e Estatísticas Descritivas</w:t>
        </w:r>
        <w:r w:rsidR="00AC4E8A" w:rsidRPr="00AC4E8A">
          <w:rPr>
            <w:webHidden/>
          </w:rPr>
          <w:tab/>
        </w:r>
        <w:r w:rsidR="00AC4E8A" w:rsidRPr="00AC4E8A">
          <w:rPr>
            <w:webHidden/>
          </w:rPr>
          <w:fldChar w:fldCharType="begin"/>
        </w:r>
        <w:r w:rsidR="00AC4E8A" w:rsidRPr="00AC4E8A">
          <w:rPr>
            <w:webHidden/>
          </w:rPr>
          <w:instrText xml:space="preserve"> PAGEREF _Toc176458053 \h </w:instrText>
        </w:r>
        <w:r w:rsidR="00AC4E8A" w:rsidRPr="00AC4E8A">
          <w:rPr>
            <w:webHidden/>
          </w:rPr>
        </w:r>
        <w:r w:rsidR="00AC4E8A" w:rsidRPr="00AC4E8A">
          <w:rPr>
            <w:webHidden/>
          </w:rPr>
          <w:fldChar w:fldCharType="separate"/>
        </w:r>
        <w:r w:rsidR="00E813AE">
          <w:rPr>
            <w:webHidden/>
          </w:rPr>
          <w:t>22</w:t>
        </w:r>
        <w:r w:rsidR="00AC4E8A" w:rsidRPr="00AC4E8A">
          <w:rPr>
            <w:webHidden/>
          </w:rPr>
          <w:fldChar w:fldCharType="end"/>
        </w:r>
      </w:hyperlink>
    </w:p>
    <w:p w14:paraId="356E1770" w14:textId="72104F87"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54" w:history="1">
        <w:r w:rsidR="00AC4E8A" w:rsidRPr="00AC4E8A">
          <w:rPr>
            <w:rStyle w:val="Hyperlink"/>
            <w:rFonts w:ascii="Garamond" w:hAnsi="Garamond"/>
            <w:noProof/>
            <w:sz w:val="24"/>
            <w:szCs w:val="24"/>
          </w:rPr>
          <w:t>4.1.</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Modelo de Análise</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_Toc176458054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22</w:t>
        </w:r>
        <w:r w:rsidR="00AC4E8A" w:rsidRPr="00AC4E8A">
          <w:rPr>
            <w:rFonts w:ascii="Garamond" w:hAnsi="Garamond"/>
            <w:noProof/>
            <w:webHidden/>
            <w:sz w:val="24"/>
            <w:szCs w:val="24"/>
          </w:rPr>
          <w:fldChar w:fldCharType="end"/>
        </w:r>
      </w:hyperlink>
    </w:p>
    <w:p w14:paraId="5B85FEB9" w14:textId="6FFD2DC4"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55" w:history="1">
        <w:r w:rsidR="00AC4E8A" w:rsidRPr="00AC4E8A">
          <w:rPr>
            <w:rStyle w:val="Hyperlink"/>
            <w:rFonts w:ascii="Garamond" w:hAnsi="Garamond"/>
            <w:noProof/>
            <w:sz w:val="24"/>
            <w:szCs w:val="24"/>
          </w:rPr>
          <w:t>4.2.</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Dados e Definição da Amostra</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_Toc176458055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24</w:t>
        </w:r>
        <w:r w:rsidR="00AC4E8A" w:rsidRPr="00AC4E8A">
          <w:rPr>
            <w:rFonts w:ascii="Garamond" w:hAnsi="Garamond"/>
            <w:noProof/>
            <w:webHidden/>
            <w:sz w:val="24"/>
            <w:szCs w:val="24"/>
          </w:rPr>
          <w:fldChar w:fldCharType="end"/>
        </w:r>
      </w:hyperlink>
    </w:p>
    <w:p w14:paraId="3E89F3A5" w14:textId="2F76B5B3"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56" w:history="1">
        <w:r w:rsidR="00AC4E8A" w:rsidRPr="00AC4E8A">
          <w:rPr>
            <w:rStyle w:val="Hyperlink"/>
            <w:rFonts w:ascii="Garamond" w:hAnsi="Garamond"/>
            <w:noProof/>
            <w:sz w:val="24"/>
            <w:szCs w:val="24"/>
          </w:rPr>
          <w:t>4.3.</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Estatísticas Descritivas</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_Toc176458056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27</w:t>
        </w:r>
        <w:r w:rsidR="00AC4E8A" w:rsidRPr="00AC4E8A">
          <w:rPr>
            <w:rFonts w:ascii="Garamond" w:hAnsi="Garamond"/>
            <w:noProof/>
            <w:webHidden/>
            <w:sz w:val="24"/>
            <w:szCs w:val="24"/>
          </w:rPr>
          <w:fldChar w:fldCharType="end"/>
        </w:r>
      </w:hyperlink>
    </w:p>
    <w:p w14:paraId="4D54E51F" w14:textId="4EFD4EEF"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57" w:history="1">
        <w:r w:rsidR="00AC4E8A" w:rsidRPr="00AC4E8A">
          <w:rPr>
            <w:rStyle w:val="Hyperlink"/>
          </w:rPr>
          <w:t>5.</w:t>
        </w:r>
        <w:r w:rsidR="00AC4E8A" w:rsidRPr="00AC4E8A">
          <w:rPr>
            <w:b w:val="0"/>
            <w:bCs w:val="0"/>
            <w:kern w:val="2"/>
            <w:lang w:eastAsia="en-GB"/>
            <w14:ligatures w14:val="standardContextual"/>
          </w:rPr>
          <w:tab/>
        </w:r>
        <w:r w:rsidR="00AC4E8A" w:rsidRPr="00AC4E8A">
          <w:rPr>
            <w:rStyle w:val="Hyperlink"/>
          </w:rPr>
          <w:t>Análise dos Resultados</w:t>
        </w:r>
        <w:r w:rsidR="00AC4E8A" w:rsidRPr="00AC4E8A">
          <w:rPr>
            <w:webHidden/>
          </w:rPr>
          <w:tab/>
        </w:r>
        <w:r w:rsidR="00AC4E8A" w:rsidRPr="00AC4E8A">
          <w:rPr>
            <w:webHidden/>
          </w:rPr>
          <w:fldChar w:fldCharType="begin"/>
        </w:r>
        <w:r w:rsidR="00AC4E8A" w:rsidRPr="00AC4E8A">
          <w:rPr>
            <w:webHidden/>
          </w:rPr>
          <w:instrText xml:space="preserve"> PAGEREF _Toc176458057 \h </w:instrText>
        </w:r>
        <w:r w:rsidR="00AC4E8A" w:rsidRPr="00AC4E8A">
          <w:rPr>
            <w:webHidden/>
          </w:rPr>
        </w:r>
        <w:r w:rsidR="00AC4E8A" w:rsidRPr="00AC4E8A">
          <w:rPr>
            <w:webHidden/>
          </w:rPr>
          <w:fldChar w:fldCharType="separate"/>
        </w:r>
        <w:r w:rsidR="00E813AE">
          <w:rPr>
            <w:webHidden/>
          </w:rPr>
          <w:t>33</w:t>
        </w:r>
        <w:r w:rsidR="00AC4E8A" w:rsidRPr="00AC4E8A">
          <w:rPr>
            <w:webHidden/>
          </w:rPr>
          <w:fldChar w:fldCharType="end"/>
        </w:r>
      </w:hyperlink>
    </w:p>
    <w:p w14:paraId="4CE6AA7B" w14:textId="6C9FA16A"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58" w:history="1">
        <w:r w:rsidR="00AC4E8A" w:rsidRPr="00AC4E8A">
          <w:rPr>
            <w:rStyle w:val="Hyperlink"/>
            <w:rFonts w:ascii="Garamond" w:hAnsi="Garamond"/>
            <w:noProof/>
            <w:sz w:val="24"/>
            <w:szCs w:val="24"/>
          </w:rPr>
          <w:t>5.1.</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Análise da Correlação</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_Toc176458058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33</w:t>
        </w:r>
        <w:r w:rsidR="00AC4E8A" w:rsidRPr="00AC4E8A">
          <w:rPr>
            <w:rFonts w:ascii="Garamond" w:hAnsi="Garamond"/>
            <w:noProof/>
            <w:webHidden/>
            <w:sz w:val="24"/>
            <w:szCs w:val="24"/>
          </w:rPr>
          <w:fldChar w:fldCharType="end"/>
        </w:r>
      </w:hyperlink>
    </w:p>
    <w:p w14:paraId="482710D1" w14:textId="7C14CC86"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59" w:history="1">
        <w:r w:rsidR="00AC4E8A" w:rsidRPr="00AC4E8A">
          <w:rPr>
            <w:rStyle w:val="Hyperlink"/>
            <w:rFonts w:ascii="Garamond" w:hAnsi="Garamond"/>
            <w:noProof/>
            <w:sz w:val="24"/>
            <w:szCs w:val="24"/>
          </w:rPr>
          <w:t>5.2.</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Teste Hausman</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_Toc176458059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33</w:t>
        </w:r>
        <w:r w:rsidR="00AC4E8A" w:rsidRPr="00AC4E8A">
          <w:rPr>
            <w:rFonts w:ascii="Garamond" w:hAnsi="Garamond"/>
            <w:noProof/>
            <w:webHidden/>
            <w:sz w:val="24"/>
            <w:szCs w:val="24"/>
          </w:rPr>
          <w:fldChar w:fldCharType="end"/>
        </w:r>
      </w:hyperlink>
    </w:p>
    <w:p w14:paraId="1DBCFD7E" w14:textId="56C56655"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60" w:history="1">
        <w:r w:rsidR="00AC4E8A" w:rsidRPr="00AC4E8A">
          <w:rPr>
            <w:rStyle w:val="Hyperlink"/>
            <w:rFonts w:ascii="Garamond" w:hAnsi="Garamond"/>
            <w:noProof/>
            <w:sz w:val="24"/>
            <w:szCs w:val="24"/>
          </w:rPr>
          <w:t>5.3.</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Análise do Modelo de Regressão com Efeitos Fixos</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_Toc176458060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34</w:t>
        </w:r>
        <w:r w:rsidR="00AC4E8A" w:rsidRPr="00AC4E8A">
          <w:rPr>
            <w:rFonts w:ascii="Garamond" w:hAnsi="Garamond"/>
            <w:noProof/>
            <w:webHidden/>
            <w:sz w:val="24"/>
            <w:szCs w:val="24"/>
          </w:rPr>
          <w:fldChar w:fldCharType="end"/>
        </w:r>
      </w:hyperlink>
    </w:p>
    <w:p w14:paraId="76557CE6" w14:textId="387B8793"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61" w:history="1">
        <w:r w:rsidR="00AC4E8A" w:rsidRPr="00AC4E8A">
          <w:rPr>
            <w:rStyle w:val="Hyperlink"/>
          </w:rPr>
          <w:t>6.</w:t>
        </w:r>
        <w:r w:rsidR="00AC4E8A" w:rsidRPr="00AC4E8A">
          <w:rPr>
            <w:b w:val="0"/>
            <w:bCs w:val="0"/>
            <w:kern w:val="2"/>
            <w:lang w:eastAsia="en-GB"/>
            <w14:ligatures w14:val="standardContextual"/>
          </w:rPr>
          <w:tab/>
        </w:r>
        <w:r w:rsidR="00AC4E8A" w:rsidRPr="00AC4E8A">
          <w:rPr>
            <w:rStyle w:val="Hyperlink"/>
          </w:rPr>
          <w:t>Conclusões</w:t>
        </w:r>
        <w:r w:rsidR="00AC4E8A" w:rsidRPr="00AC4E8A">
          <w:rPr>
            <w:webHidden/>
          </w:rPr>
          <w:tab/>
        </w:r>
        <w:r w:rsidR="00AC4E8A" w:rsidRPr="00AC4E8A">
          <w:rPr>
            <w:webHidden/>
          </w:rPr>
          <w:fldChar w:fldCharType="begin"/>
        </w:r>
        <w:r w:rsidR="00AC4E8A" w:rsidRPr="00AC4E8A">
          <w:rPr>
            <w:webHidden/>
          </w:rPr>
          <w:instrText xml:space="preserve"> PAGEREF _Toc176458061 \h </w:instrText>
        </w:r>
        <w:r w:rsidR="00AC4E8A" w:rsidRPr="00AC4E8A">
          <w:rPr>
            <w:webHidden/>
          </w:rPr>
        </w:r>
        <w:r w:rsidR="00AC4E8A" w:rsidRPr="00AC4E8A">
          <w:rPr>
            <w:webHidden/>
          </w:rPr>
          <w:fldChar w:fldCharType="separate"/>
        </w:r>
        <w:r w:rsidR="00E813AE">
          <w:rPr>
            <w:webHidden/>
          </w:rPr>
          <w:t>39</w:t>
        </w:r>
        <w:r w:rsidR="00AC4E8A" w:rsidRPr="00AC4E8A">
          <w:rPr>
            <w:webHidden/>
          </w:rPr>
          <w:fldChar w:fldCharType="end"/>
        </w:r>
      </w:hyperlink>
    </w:p>
    <w:p w14:paraId="48A57140" w14:textId="68571DA0" w:rsidR="00AC4E8A" w:rsidRPr="00AC4E8A" w:rsidRDefault="00000000" w:rsidP="00974A9D">
      <w:pPr>
        <w:pStyle w:val="TOC1"/>
        <w:tabs>
          <w:tab w:val="left" w:pos="420"/>
        </w:tabs>
        <w:spacing w:line="360" w:lineRule="auto"/>
        <w:jc w:val="both"/>
        <w:rPr>
          <w:b w:val="0"/>
          <w:bCs w:val="0"/>
          <w:kern w:val="2"/>
          <w:lang w:eastAsia="en-GB"/>
          <w14:ligatures w14:val="standardContextual"/>
        </w:rPr>
      </w:pPr>
      <w:hyperlink w:anchor="_Toc176458062" w:history="1">
        <w:r w:rsidR="00AC4E8A" w:rsidRPr="00AC4E8A">
          <w:rPr>
            <w:rStyle w:val="Hyperlink"/>
          </w:rPr>
          <w:t>7.</w:t>
        </w:r>
        <w:r w:rsidR="00AC4E8A" w:rsidRPr="00AC4E8A">
          <w:rPr>
            <w:b w:val="0"/>
            <w:bCs w:val="0"/>
            <w:kern w:val="2"/>
            <w:lang w:eastAsia="en-GB"/>
            <w14:ligatures w14:val="standardContextual"/>
          </w:rPr>
          <w:tab/>
        </w:r>
        <w:r w:rsidR="00AC4E8A" w:rsidRPr="00AC4E8A">
          <w:rPr>
            <w:rStyle w:val="Hyperlink"/>
          </w:rPr>
          <w:t>Apêndices</w:t>
        </w:r>
        <w:r w:rsidR="00AC4E8A" w:rsidRPr="00AC4E8A">
          <w:rPr>
            <w:webHidden/>
          </w:rPr>
          <w:tab/>
        </w:r>
        <w:r w:rsidR="00AC4E8A" w:rsidRPr="00AC4E8A">
          <w:rPr>
            <w:webHidden/>
          </w:rPr>
          <w:fldChar w:fldCharType="begin"/>
        </w:r>
        <w:r w:rsidR="00AC4E8A" w:rsidRPr="00AC4E8A">
          <w:rPr>
            <w:webHidden/>
          </w:rPr>
          <w:instrText xml:space="preserve"> PAGEREF _Toc176458062 \h </w:instrText>
        </w:r>
        <w:r w:rsidR="00AC4E8A" w:rsidRPr="00AC4E8A">
          <w:rPr>
            <w:webHidden/>
          </w:rPr>
        </w:r>
        <w:r w:rsidR="00AC4E8A" w:rsidRPr="00AC4E8A">
          <w:rPr>
            <w:webHidden/>
          </w:rPr>
          <w:fldChar w:fldCharType="separate"/>
        </w:r>
        <w:r w:rsidR="00E813AE">
          <w:rPr>
            <w:webHidden/>
          </w:rPr>
          <w:t>41</w:t>
        </w:r>
        <w:r w:rsidR="00AC4E8A" w:rsidRPr="00AC4E8A">
          <w:rPr>
            <w:webHidden/>
          </w:rPr>
          <w:fldChar w:fldCharType="end"/>
        </w:r>
      </w:hyperlink>
    </w:p>
    <w:p w14:paraId="0DF67B18" w14:textId="5193204B"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63" w:history="1">
        <w:r w:rsidR="00AC4E8A" w:rsidRPr="00AC4E8A">
          <w:rPr>
            <w:rStyle w:val="Hyperlink"/>
            <w:rFonts w:ascii="Garamond" w:hAnsi="Garamond"/>
            <w:noProof/>
            <w:sz w:val="24"/>
            <w:szCs w:val="24"/>
          </w:rPr>
          <w:t>7.1.</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Apêndice A</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_Toc176458063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41</w:t>
        </w:r>
        <w:r w:rsidR="00AC4E8A" w:rsidRPr="00AC4E8A">
          <w:rPr>
            <w:rFonts w:ascii="Garamond" w:hAnsi="Garamond"/>
            <w:noProof/>
            <w:webHidden/>
            <w:sz w:val="24"/>
            <w:szCs w:val="24"/>
          </w:rPr>
          <w:fldChar w:fldCharType="end"/>
        </w:r>
      </w:hyperlink>
    </w:p>
    <w:p w14:paraId="43DD0F33" w14:textId="1432F814"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64" w:history="1">
        <w:r w:rsidR="00AC4E8A" w:rsidRPr="00AC4E8A">
          <w:rPr>
            <w:rStyle w:val="Hyperlink"/>
            <w:rFonts w:ascii="Garamond" w:hAnsi="Garamond"/>
            <w:noProof/>
            <w:sz w:val="24"/>
            <w:szCs w:val="24"/>
          </w:rPr>
          <w:t>7.2.</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Apêndice B</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_Toc176458064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42</w:t>
        </w:r>
        <w:r w:rsidR="00AC4E8A" w:rsidRPr="00AC4E8A">
          <w:rPr>
            <w:rFonts w:ascii="Garamond" w:hAnsi="Garamond"/>
            <w:noProof/>
            <w:webHidden/>
            <w:sz w:val="24"/>
            <w:szCs w:val="24"/>
          </w:rPr>
          <w:fldChar w:fldCharType="end"/>
        </w:r>
      </w:hyperlink>
    </w:p>
    <w:p w14:paraId="129CFC4F" w14:textId="48ECF220" w:rsidR="00AC4E8A" w:rsidRPr="00AC4E8A" w:rsidRDefault="00000000" w:rsidP="00974A9D">
      <w:pPr>
        <w:pStyle w:val="TOC2"/>
        <w:tabs>
          <w:tab w:val="left" w:pos="880"/>
          <w:tab w:val="right" w:leader="dot" w:pos="8493"/>
        </w:tabs>
        <w:spacing w:line="360" w:lineRule="auto"/>
        <w:jc w:val="both"/>
        <w:rPr>
          <w:rFonts w:ascii="Garamond" w:hAnsi="Garamond"/>
          <w:noProof/>
          <w:kern w:val="2"/>
          <w:sz w:val="24"/>
          <w:szCs w:val="24"/>
          <w:lang w:eastAsia="en-GB"/>
          <w14:ligatures w14:val="standardContextual"/>
        </w:rPr>
      </w:pPr>
      <w:hyperlink w:anchor="_Toc176458065" w:history="1">
        <w:r w:rsidR="00AC4E8A" w:rsidRPr="00AC4E8A">
          <w:rPr>
            <w:rStyle w:val="Hyperlink"/>
            <w:rFonts w:ascii="Garamond" w:hAnsi="Garamond"/>
            <w:noProof/>
            <w:sz w:val="24"/>
            <w:szCs w:val="24"/>
          </w:rPr>
          <w:t>7.3.</w:t>
        </w:r>
        <w:r w:rsidR="00AC4E8A" w:rsidRPr="00AC4E8A">
          <w:rPr>
            <w:rFonts w:ascii="Garamond" w:hAnsi="Garamond"/>
            <w:noProof/>
            <w:kern w:val="2"/>
            <w:sz w:val="24"/>
            <w:szCs w:val="24"/>
            <w:lang w:eastAsia="en-GB"/>
            <w14:ligatures w14:val="standardContextual"/>
          </w:rPr>
          <w:tab/>
        </w:r>
        <w:r w:rsidR="00AC4E8A" w:rsidRPr="00AC4E8A">
          <w:rPr>
            <w:rStyle w:val="Hyperlink"/>
            <w:rFonts w:ascii="Garamond" w:hAnsi="Garamond"/>
            <w:noProof/>
            <w:sz w:val="24"/>
            <w:szCs w:val="24"/>
          </w:rPr>
          <w:t>Apêndice C</w:t>
        </w:r>
        <w:r w:rsidR="00AC4E8A" w:rsidRPr="00AC4E8A">
          <w:rPr>
            <w:rFonts w:ascii="Garamond" w:hAnsi="Garamond"/>
            <w:noProof/>
            <w:webHidden/>
            <w:sz w:val="24"/>
            <w:szCs w:val="24"/>
          </w:rPr>
          <w:tab/>
        </w:r>
        <w:r w:rsidR="00AC4E8A" w:rsidRPr="00AC4E8A">
          <w:rPr>
            <w:rFonts w:ascii="Garamond" w:hAnsi="Garamond"/>
            <w:noProof/>
            <w:webHidden/>
            <w:sz w:val="24"/>
            <w:szCs w:val="24"/>
          </w:rPr>
          <w:fldChar w:fldCharType="begin"/>
        </w:r>
        <w:r w:rsidR="00AC4E8A" w:rsidRPr="00AC4E8A">
          <w:rPr>
            <w:rFonts w:ascii="Garamond" w:hAnsi="Garamond"/>
            <w:noProof/>
            <w:webHidden/>
            <w:sz w:val="24"/>
            <w:szCs w:val="24"/>
          </w:rPr>
          <w:instrText xml:space="preserve"> PAGEREF _Toc176458065 \h </w:instrText>
        </w:r>
        <w:r w:rsidR="00AC4E8A" w:rsidRPr="00AC4E8A">
          <w:rPr>
            <w:rFonts w:ascii="Garamond" w:hAnsi="Garamond"/>
            <w:noProof/>
            <w:webHidden/>
            <w:sz w:val="24"/>
            <w:szCs w:val="24"/>
          </w:rPr>
        </w:r>
        <w:r w:rsidR="00AC4E8A" w:rsidRPr="00AC4E8A">
          <w:rPr>
            <w:rFonts w:ascii="Garamond" w:hAnsi="Garamond"/>
            <w:noProof/>
            <w:webHidden/>
            <w:sz w:val="24"/>
            <w:szCs w:val="24"/>
          </w:rPr>
          <w:fldChar w:fldCharType="separate"/>
        </w:r>
        <w:r w:rsidR="00E813AE">
          <w:rPr>
            <w:rFonts w:ascii="Garamond" w:hAnsi="Garamond"/>
            <w:noProof/>
            <w:webHidden/>
            <w:sz w:val="24"/>
            <w:szCs w:val="24"/>
          </w:rPr>
          <w:t>44</w:t>
        </w:r>
        <w:r w:rsidR="00AC4E8A" w:rsidRPr="00AC4E8A">
          <w:rPr>
            <w:rFonts w:ascii="Garamond" w:hAnsi="Garamond"/>
            <w:noProof/>
            <w:webHidden/>
            <w:sz w:val="24"/>
            <w:szCs w:val="24"/>
          </w:rPr>
          <w:fldChar w:fldCharType="end"/>
        </w:r>
      </w:hyperlink>
    </w:p>
    <w:p w14:paraId="2B8821F1" w14:textId="50998FCC" w:rsidR="00AC4E8A" w:rsidRDefault="00000000" w:rsidP="00974A9D">
      <w:pPr>
        <w:pStyle w:val="TOC1"/>
        <w:spacing w:line="360" w:lineRule="auto"/>
        <w:jc w:val="both"/>
        <w:rPr>
          <w:rFonts w:asciiTheme="minorHAnsi" w:hAnsiTheme="minorHAnsi"/>
          <w:b w:val="0"/>
          <w:bCs w:val="0"/>
          <w:kern w:val="2"/>
          <w:sz w:val="22"/>
          <w:szCs w:val="22"/>
          <w:lang w:eastAsia="en-GB"/>
          <w14:ligatures w14:val="standardContextual"/>
        </w:rPr>
      </w:pPr>
      <w:hyperlink w:anchor="_Toc176458066" w:history="1">
        <w:r w:rsidR="00AC4E8A" w:rsidRPr="00AC4E8A">
          <w:rPr>
            <w:rStyle w:val="Hyperlink"/>
          </w:rPr>
          <w:t>Bibliografia</w:t>
        </w:r>
        <w:r w:rsidR="00AC4E8A" w:rsidRPr="00AC4E8A">
          <w:rPr>
            <w:webHidden/>
          </w:rPr>
          <w:tab/>
        </w:r>
        <w:r w:rsidR="00AC4E8A" w:rsidRPr="00AC4E8A">
          <w:rPr>
            <w:webHidden/>
          </w:rPr>
          <w:fldChar w:fldCharType="begin"/>
        </w:r>
        <w:r w:rsidR="00AC4E8A" w:rsidRPr="00AC4E8A">
          <w:rPr>
            <w:webHidden/>
          </w:rPr>
          <w:instrText xml:space="preserve"> PAGEREF _Toc176458066 \h </w:instrText>
        </w:r>
        <w:r w:rsidR="00AC4E8A" w:rsidRPr="00AC4E8A">
          <w:rPr>
            <w:webHidden/>
          </w:rPr>
        </w:r>
        <w:r w:rsidR="00AC4E8A" w:rsidRPr="00AC4E8A">
          <w:rPr>
            <w:webHidden/>
          </w:rPr>
          <w:fldChar w:fldCharType="separate"/>
        </w:r>
        <w:r w:rsidR="00E813AE">
          <w:rPr>
            <w:webHidden/>
          </w:rPr>
          <w:t>45</w:t>
        </w:r>
        <w:r w:rsidR="00AC4E8A" w:rsidRPr="00AC4E8A">
          <w:rPr>
            <w:webHidden/>
          </w:rPr>
          <w:fldChar w:fldCharType="end"/>
        </w:r>
      </w:hyperlink>
    </w:p>
    <w:p w14:paraId="43A19CD3" w14:textId="62CBDC63" w:rsidR="00345C3B" w:rsidRPr="0081458D" w:rsidRDefault="00404B6F" w:rsidP="0081458D">
      <w:pPr>
        <w:pStyle w:val="TtuloPI"/>
        <w:spacing w:line="360" w:lineRule="auto"/>
        <w:jc w:val="both"/>
        <w:rPr>
          <w:b w:val="0"/>
          <w:bCs w:val="0"/>
          <w:sz w:val="24"/>
          <w:szCs w:val="24"/>
        </w:rPr>
      </w:pPr>
      <w:r w:rsidRPr="0081458D">
        <w:rPr>
          <w:b w:val="0"/>
          <w:bCs w:val="0"/>
          <w:sz w:val="24"/>
          <w:szCs w:val="24"/>
          <w:lang w:val="en-GB"/>
        </w:rPr>
        <w:fldChar w:fldCharType="end"/>
      </w:r>
    </w:p>
    <w:p w14:paraId="0820F28B" w14:textId="77777777" w:rsidR="002D211C" w:rsidRDefault="002D211C">
      <w:pPr>
        <w:spacing w:line="259" w:lineRule="auto"/>
        <w:rPr>
          <w:rFonts w:ascii="Garamond" w:hAnsi="Garamond"/>
          <w:b/>
          <w:bCs/>
          <w:sz w:val="28"/>
          <w:szCs w:val="28"/>
        </w:rPr>
      </w:pPr>
      <w:r>
        <w:rPr>
          <w:rFonts w:ascii="Garamond" w:hAnsi="Garamond"/>
          <w:b/>
          <w:bCs/>
          <w:sz w:val="28"/>
          <w:szCs w:val="28"/>
        </w:rPr>
        <w:br w:type="page"/>
      </w:r>
    </w:p>
    <w:p w14:paraId="3C977F5E" w14:textId="2B8428E0" w:rsidR="000975B4" w:rsidRDefault="00345C3B" w:rsidP="00425911">
      <w:pPr>
        <w:rPr>
          <w:rFonts w:ascii="Garamond" w:hAnsi="Garamond"/>
          <w:b/>
          <w:bCs/>
          <w:sz w:val="28"/>
          <w:szCs w:val="28"/>
        </w:rPr>
      </w:pPr>
      <w:proofErr w:type="spellStart"/>
      <w:r w:rsidRPr="002D7F08">
        <w:rPr>
          <w:rFonts w:ascii="Garamond" w:hAnsi="Garamond"/>
          <w:b/>
          <w:bCs/>
          <w:sz w:val="28"/>
          <w:szCs w:val="28"/>
        </w:rPr>
        <w:lastRenderedPageBreak/>
        <w:t>Índice</w:t>
      </w:r>
      <w:proofErr w:type="spellEnd"/>
      <w:r w:rsidR="00425911" w:rsidRPr="002D7F08">
        <w:rPr>
          <w:rFonts w:ascii="Garamond" w:hAnsi="Garamond"/>
          <w:b/>
          <w:bCs/>
          <w:sz w:val="28"/>
          <w:szCs w:val="28"/>
        </w:rPr>
        <w:t xml:space="preserve"> de </w:t>
      </w:r>
      <w:proofErr w:type="spellStart"/>
      <w:r w:rsidR="00425911" w:rsidRPr="002D7F08">
        <w:rPr>
          <w:rFonts w:ascii="Garamond" w:hAnsi="Garamond"/>
          <w:b/>
          <w:bCs/>
          <w:sz w:val="28"/>
          <w:szCs w:val="28"/>
        </w:rPr>
        <w:t>Tabelas</w:t>
      </w:r>
      <w:proofErr w:type="spellEnd"/>
    </w:p>
    <w:p w14:paraId="48BF9CC0" w14:textId="45703144" w:rsidR="0077188A" w:rsidRPr="0077188A" w:rsidRDefault="000975B4"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r w:rsidRPr="0077188A">
        <w:rPr>
          <w:rStyle w:val="Hyperlink"/>
          <w:rFonts w:ascii="Garamond" w:hAnsi="Garamond"/>
          <w:noProof/>
          <w:sz w:val="24"/>
          <w:szCs w:val="24"/>
        </w:rPr>
        <w:fldChar w:fldCharType="begin"/>
      </w:r>
      <w:r w:rsidRPr="0077188A">
        <w:rPr>
          <w:rStyle w:val="Hyperlink"/>
          <w:rFonts w:ascii="Garamond" w:hAnsi="Garamond"/>
          <w:noProof/>
          <w:sz w:val="24"/>
          <w:szCs w:val="24"/>
        </w:rPr>
        <w:instrText xml:space="preserve"> TOC \h \z \c "Tabela" </w:instrText>
      </w:r>
      <w:r w:rsidRPr="0077188A">
        <w:rPr>
          <w:rStyle w:val="Hyperlink"/>
          <w:rFonts w:ascii="Garamond" w:hAnsi="Garamond"/>
          <w:noProof/>
          <w:sz w:val="24"/>
          <w:szCs w:val="24"/>
        </w:rPr>
        <w:fldChar w:fldCharType="separate"/>
      </w:r>
      <w:hyperlink w:anchor="_Toc176855913" w:history="1">
        <w:r w:rsidR="0077188A" w:rsidRPr="0077188A">
          <w:rPr>
            <w:rStyle w:val="Hyperlink"/>
            <w:rFonts w:ascii="Garamond" w:hAnsi="Garamond"/>
            <w:b/>
            <w:bCs/>
            <w:noProof/>
            <w:sz w:val="24"/>
            <w:szCs w:val="24"/>
            <w:lang w:val="pt-PT"/>
          </w:rPr>
          <w:t>Tabela 1</w:t>
        </w:r>
        <w:r w:rsidR="0077188A" w:rsidRPr="0077188A">
          <w:rPr>
            <w:rStyle w:val="Hyperlink"/>
            <w:rFonts w:ascii="Garamond" w:hAnsi="Garamond"/>
            <w:noProof/>
            <w:sz w:val="24"/>
            <w:szCs w:val="24"/>
            <w:lang w:val="pt-PT"/>
          </w:rPr>
          <w:t xml:space="preserve"> - Critérios de seleção da amostra global</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_Toc176855913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25</w:t>
        </w:r>
        <w:r w:rsidR="0077188A" w:rsidRPr="0077188A">
          <w:rPr>
            <w:rFonts w:ascii="Garamond" w:hAnsi="Garamond"/>
            <w:noProof/>
            <w:webHidden/>
            <w:sz w:val="24"/>
            <w:szCs w:val="24"/>
          </w:rPr>
          <w:fldChar w:fldCharType="end"/>
        </w:r>
      </w:hyperlink>
    </w:p>
    <w:p w14:paraId="79ED5B52" w14:textId="47005881"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14" w:history="1">
        <w:r w:rsidR="0077188A" w:rsidRPr="0077188A">
          <w:rPr>
            <w:rStyle w:val="Hyperlink"/>
            <w:rFonts w:ascii="Garamond" w:hAnsi="Garamond"/>
            <w:b/>
            <w:bCs/>
            <w:noProof/>
            <w:sz w:val="24"/>
            <w:szCs w:val="24"/>
            <w:lang w:val="pt-PT"/>
          </w:rPr>
          <w:t>Tabela 2</w:t>
        </w:r>
        <w:r w:rsidR="0077188A" w:rsidRPr="0077188A">
          <w:rPr>
            <w:rStyle w:val="Hyperlink"/>
            <w:rFonts w:ascii="Garamond" w:hAnsi="Garamond"/>
            <w:noProof/>
            <w:sz w:val="24"/>
            <w:szCs w:val="24"/>
            <w:lang w:val="pt-PT"/>
          </w:rPr>
          <w:t xml:space="preserve"> - Estatísticas descritivas e teste de igualdade das médias da variável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Invt</m:t>
          </m:r>
          <m:r>
            <m:rPr>
              <m:sty m:val="p"/>
            </m:rPr>
            <w:rPr>
              <w:rStyle w:val="Hyperlink"/>
              <w:rFonts w:ascii="Cambria Math" w:hAnsi="Cambria Math"/>
              <w:noProof/>
              <w:sz w:val="24"/>
              <w:szCs w:val="24"/>
              <w:lang w:val="pt-PT"/>
            </w:rPr>
            <m:t>-1</m:t>
          </m:r>
        </m:oMath>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_Toc176855914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28</w:t>
        </w:r>
        <w:r w:rsidR="0077188A" w:rsidRPr="0077188A">
          <w:rPr>
            <w:rFonts w:ascii="Garamond" w:hAnsi="Garamond"/>
            <w:noProof/>
            <w:webHidden/>
            <w:sz w:val="24"/>
            <w:szCs w:val="24"/>
          </w:rPr>
          <w:fldChar w:fldCharType="end"/>
        </w:r>
      </w:hyperlink>
    </w:p>
    <w:p w14:paraId="21D5565F" w14:textId="63B8E6C5"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15" w:history="1">
        <w:r w:rsidR="0077188A" w:rsidRPr="0077188A">
          <w:rPr>
            <w:rStyle w:val="Hyperlink"/>
            <w:rFonts w:ascii="Garamond" w:hAnsi="Garamond"/>
            <w:b/>
            <w:bCs/>
            <w:noProof/>
            <w:sz w:val="24"/>
            <w:szCs w:val="24"/>
            <w:lang w:val="pt-PT"/>
          </w:rPr>
          <w:t>Tabela 3</w:t>
        </w:r>
        <w:r w:rsidR="0077188A" w:rsidRPr="0077188A">
          <w:rPr>
            <w:rStyle w:val="Hyperlink"/>
            <w:rFonts w:ascii="Garamond" w:hAnsi="Garamond"/>
            <w:noProof/>
            <w:sz w:val="24"/>
            <w:szCs w:val="24"/>
            <w:lang w:val="pt-PT"/>
          </w:rPr>
          <w:t xml:space="preserve"> - Estatísticas descritivas para as restantes variáveis explicativas - Amostra global (2018 - 2022)</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_Toc176855915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31</w:t>
        </w:r>
        <w:r w:rsidR="0077188A" w:rsidRPr="0077188A">
          <w:rPr>
            <w:rFonts w:ascii="Garamond" w:hAnsi="Garamond"/>
            <w:noProof/>
            <w:webHidden/>
            <w:sz w:val="24"/>
            <w:szCs w:val="24"/>
          </w:rPr>
          <w:fldChar w:fldCharType="end"/>
        </w:r>
      </w:hyperlink>
    </w:p>
    <w:p w14:paraId="105F3E7A" w14:textId="2DBD67A0"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16" w:history="1">
        <w:r w:rsidR="0077188A" w:rsidRPr="0077188A">
          <w:rPr>
            <w:rStyle w:val="Hyperlink"/>
            <w:rFonts w:ascii="Garamond" w:hAnsi="Garamond"/>
            <w:b/>
            <w:bCs/>
            <w:noProof/>
            <w:sz w:val="24"/>
            <w:szCs w:val="24"/>
          </w:rPr>
          <w:t>Tabela 4</w:t>
        </w:r>
        <w:r w:rsidR="0077188A" w:rsidRPr="0077188A">
          <w:rPr>
            <w:rStyle w:val="Hyperlink"/>
            <w:rFonts w:ascii="Garamond" w:hAnsi="Garamond"/>
            <w:noProof/>
            <w:sz w:val="24"/>
            <w:szCs w:val="24"/>
          </w:rPr>
          <w:t xml:space="preserve"> - Correlação entre variáveis</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_Toc176855916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33</w:t>
        </w:r>
        <w:r w:rsidR="0077188A" w:rsidRPr="0077188A">
          <w:rPr>
            <w:rFonts w:ascii="Garamond" w:hAnsi="Garamond"/>
            <w:noProof/>
            <w:webHidden/>
            <w:sz w:val="24"/>
            <w:szCs w:val="24"/>
          </w:rPr>
          <w:fldChar w:fldCharType="end"/>
        </w:r>
      </w:hyperlink>
    </w:p>
    <w:p w14:paraId="30EC7822" w14:textId="02FC4591"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17" w:history="1">
        <w:r w:rsidR="0077188A" w:rsidRPr="0077188A">
          <w:rPr>
            <w:rStyle w:val="Hyperlink"/>
            <w:rFonts w:ascii="Garamond" w:hAnsi="Garamond"/>
            <w:b/>
            <w:bCs/>
            <w:noProof/>
            <w:sz w:val="24"/>
            <w:szCs w:val="24"/>
            <w:lang w:val="pt-PT"/>
          </w:rPr>
          <w:t>Tabela 5</w:t>
        </w:r>
        <w:r w:rsidR="0077188A" w:rsidRPr="0077188A">
          <w:rPr>
            <w:rStyle w:val="Hyperlink"/>
            <w:rFonts w:ascii="Garamond" w:hAnsi="Garamond"/>
            <w:noProof/>
            <w:sz w:val="24"/>
            <w:szCs w:val="24"/>
            <w:lang w:val="pt-PT"/>
          </w:rPr>
          <w:t xml:space="preserve"> - Parâmetros estimados para o Modelo base com variável multiplicativa</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_Toc176855917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35</w:t>
        </w:r>
        <w:r w:rsidR="0077188A" w:rsidRPr="0077188A">
          <w:rPr>
            <w:rFonts w:ascii="Garamond" w:hAnsi="Garamond"/>
            <w:noProof/>
            <w:webHidden/>
            <w:sz w:val="24"/>
            <w:szCs w:val="24"/>
          </w:rPr>
          <w:fldChar w:fldCharType="end"/>
        </w:r>
      </w:hyperlink>
    </w:p>
    <w:p w14:paraId="7AC97176" w14:textId="24F74C54"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18" w:history="1">
        <w:r w:rsidR="0077188A" w:rsidRPr="0077188A">
          <w:rPr>
            <w:rStyle w:val="Hyperlink"/>
            <w:rFonts w:ascii="Garamond" w:hAnsi="Garamond"/>
            <w:b/>
            <w:bCs/>
            <w:noProof/>
            <w:sz w:val="24"/>
            <w:szCs w:val="24"/>
            <w:lang w:val="pt-PT"/>
          </w:rPr>
          <w:t>Tabela 6</w:t>
        </w:r>
        <w:r w:rsidR="0077188A" w:rsidRPr="0077188A">
          <w:rPr>
            <w:rStyle w:val="Hyperlink"/>
            <w:rFonts w:ascii="Garamond" w:hAnsi="Garamond"/>
            <w:noProof/>
            <w:sz w:val="24"/>
            <w:szCs w:val="24"/>
            <w:lang w:val="pt-PT"/>
          </w:rPr>
          <w:t xml:space="preserve"> - Parâmetros estimados da variável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noProof/>
            <w:sz w:val="24"/>
            <w:szCs w:val="24"/>
            <w:lang w:val="pt-PT"/>
          </w:rPr>
          <w:t xml:space="preserve"> por empresas que beneficiaram ou não do CFEI II em determinado ano</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_Toc176855918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37</w:t>
        </w:r>
        <w:r w:rsidR="0077188A" w:rsidRPr="0077188A">
          <w:rPr>
            <w:rFonts w:ascii="Garamond" w:hAnsi="Garamond"/>
            <w:noProof/>
            <w:webHidden/>
            <w:sz w:val="24"/>
            <w:szCs w:val="24"/>
          </w:rPr>
          <w:fldChar w:fldCharType="end"/>
        </w:r>
      </w:hyperlink>
    </w:p>
    <w:p w14:paraId="1D12B627" w14:textId="0267E879"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19" w:history="1">
        <w:r w:rsidR="0077188A" w:rsidRPr="0077188A">
          <w:rPr>
            <w:rStyle w:val="Hyperlink"/>
            <w:rFonts w:ascii="Garamond" w:hAnsi="Garamond"/>
            <w:b/>
            <w:bCs/>
            <w:noProof/>
            <w:sz w:val="24"/>
            <w:szCs w:val="24"/>
            <w:lang w:val="pt-PT"/>
          </w:rPr>
          <w:t>Tabela 7</w:t>
        </w:r>
        <w:r w:rsidR="0077188A" w:rsidRPr="0077188A">
          <w:rPr>
            <w:rStyle w:val="Hyperlink"/>
            <w:rFonts w:ascii="Garamond" w:hAnsi="Garamond"/>
            <w:noProof/>
            <w:sz w:val="24"/>
            <w:szCs w:val="24"/>
            <w:lang w:val="pt-PT"/>
          </w:rPr>
          <w:t xml:space="preserve"> - Estatísticas descritivas</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_Toc176855919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41</w:t>
        </w:r>
        <w:r w:rsidR="0077188A" w:rsidRPr="0077188A">
          <w:rPr>
            <w:rFonts w:ascii="Garamond" w:hAnsi="Garamond"/>
            <w:noProof/>
            <w:webHidden/>
            <w:sz w:val="24"/>
            <w:szCs w:val="24"/>
          </w:rPr>
          <w:fldChar w:fldCharType="end"/>
        </w:r>
      </w:hyperlink>
    </w:p>
    <w:p w14:paraId="71E2BA6D" w14:textId="3C7289FD"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0" w:history="1">
        <w:r w:rsidR="0077188A" w:rsidRPr="0077188A">
          <w:rPr>
            <w:rStyle w:val="Hyperlink"/>
            <w:rFonts w:ascii="Garamond" w:hAnsi="Garamond"/>
            <w:b/>
            <w:bCs/>
            <w:noProof/>
            <w:sz w:val="24"/>
            <w:szCs w:val="24"/>
            <w:lang w:val="pt-PT"/>
          </w:rPr>
          <w:t xml:space="preserve">Tabela 8 </w:t>
        </w:r>
        <w:r w:rsidR="0077188A" w:rsidRPr="0077188A">
          <w:rPr>
            <w:rStyle w:val="Hyperlink"/>
            <w:rFonts w:ascii="Garamond" w:hAnsi="Garamond"/>
            <w:noProof/>
            <w:sz w:val="24"/>
            <w:szCs w:val="24"/>
            <w:lang w:val="pt-PT"/>
          </w:rPr>
          <w:t xml:space="preserve">– Paired t test entre as variáveis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bCs/>
            <w:noProof/>
            <w:sz w:val="24"/>
            <w:szCs w:val="24"/>
            <w:lang w:val="pt-PT"/>
          </w:rPr>
          <w:t xml:space="preserve"> </w:t>
        </w:r>
        <w:r w:rsidR="0077188A" w:rsidRPr="0077188A">
          <w:rPr>
            <w:rStyle w:val="Hyperlink"/>
            <w:rFonts w:ascii="Garamond" w:hAnsi="Garamond"/>
            <w:noProof/>
            <w:sz w:val="24"/>
            <w:szCs w:val="24"/>
            <w:lang w:val="pt-PT"/>
          </w:rPr>
          <w:t>da subamostra principal do ano 2020</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_Toc176855920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42</w:t>
        </w:r>
        <w:r w:rsidR="0077188A" w:rsidRPr="0077188A">
          <w:rPr>
            <w:rFonts w:ascii="Garamond" w:hAnsi="Garamond"/>
            <w:noProof/>
            <w:webHidden/>
            <w:sz w:val="24"/>
            <w:szCs w:val="24"/>
          </w:rPr>
          <w:fldChar w:fldCharType="end"/>
        </w:r>
      </w:hyperlink>
    </w:p>
    <w:p w14:paraId="2216D3A5" w14:textId="40740CDF"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1" w:history="1">
        <w:r w:rsidR="0077188A" w:rsidRPr="0077188A">
          <w:rPr>
            <w:rStyle w:val="Hyperlink"/>
            <w:rFonts w:ascii="Garamond" w:hAnsi="Garamond"/>
            <w:b/>
            <w:bCs/>
            <w:noProof/>
            <w:sz w:val="24"/>
            <w:szCs w:val="24"/>
            <w:lang w:val="pt-PT"/>
          </w:rPr>
          <w:t>Tabela 9</w:t>
        </w:r>
        <w:r w:rsidR="0077188A" w:rsidRPr="0077188A">
          <w:rPr>
            <w:rStyle w:val="Hyperlink"/>
            <w:rFonts w:ascii="Garamond" w:hAnsi="Garamond"/>
            <w:noProof/>
            <w:sz w:val="24"/>
            <w:szCs w:val="24"/>
            <w:lang w:val="pt-PT"/>
          </w:rPr>
          <w:t xml:space="preserve"> - Paired t test entre as variáveis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bCs/>
            <w:noProof/>
            <w:sz w:val="24"/>
            <w:szCs w:val="24"/>
            <w:lang w:val="pt-PT"/>
          </w:rPr>
          <w:t xml:space="preserve"> </w:t>
        </w:r>
        <w:r w:rsidR="0077188A" w:rsidRPr="0077188A">
          <w:rPr>
            <w:rStyle w:val="Hyperlink"/>
            <w:rFonts w:ascii="Garamond" w:hAnsi="Garamond"/>
            <w:noProof/>
            <w:sz w:val="24"/>
            <w:szCs w:val="24"/>
            <w:lang w:val="pt-PT"/>
          </w:rPr>
          <w:t>da subamostra principal do ano 2021</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_Toc176855921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42</w:t>
        </w:r>
        <w:r w:rsidR="0077188A" w:rsidRPr="0077188A">
          <w:rPr>
            <w:rFonts w:ascii="Garamond" w:hAnsi="Garamond"/>
            <w:noProof/>
            <w:webHidden/>
            <w:sz w:val="24"/>
            <w:szCs w:val="24"/>
          </w:rPr>
          <w:fldChar w:fldCharType="end"/>
        </w:r>
      </w:hyperlink>
    </w:p>
    <w:p w14:paraId="60C23815" w14:textId="15F95244"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2" w:history="1">
        <w:r w:rsidR="0077188A" w:rsidRPr="0077188A">
          <w:rPr>
            <w:rStyle w:val="Hyperlink"/>
            <w:rFonts w:ascii="Garamond" w:hAnsi="Garamond"/>
            <w:b/>
            <w:bCs/>
            <w:noProof/>
            <w:sz w:val="24"/>
            <w:szCs w:val="24"/>
            <w:lang w:val="pt-PT"/>
          </w:rPr>
          <w:t>Tabela 10</w:t>
        </w:r>
        <w:r w:rsidR="0077188A" w:rsidRPr="0077188A">
          <w:rPr>
            <w:rStyle w:val="Hyperlink"/>
            <w:rFonts w:ascii="Garamond" w:hAnsi="Garamond"/>
            <w:noProof/>
            <w:sz w:val="24"/>
            <w:szCs w:val="24"/>
            <w:lang w:val="pt-PT"/>
          </w:rPr>
          <w:t xml:space="preserve"> - Paired t test entre as variáveis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bCs/>
            <w:noProof/>
            <w:sz w:val="24"/>
            <w:szCs w:val="24"/>
            <w:lang w:val="pt-PT"/>
          </w:rPr>
          <w:t xml:space="preserve"> </w:t>
        </w:r>
        <w:r w:rsidR="0077188A" w:rsidRPr="0077188A">
          <w:rPr>
            <w:rStyle w:val="Hyperlink"/>
            <w:rFonts w:ascii="Garamond" w:hAnsi="Garamond"/>
            <w:noProof/>
            <w:sz w:val="24"/>
            <w:szCs w:val="24"/>
            <w:lang w:val="pt-PT"/>
          </w:rPr>
          <w:t>da subamostra principal do ano 20224</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_Toc176855922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42</w:t>
        </w:r>
        <w:r w:rsidR="0077188A" w:rsidRPr="0077188A">
          <w:rPr>
            <w:rFonts w:ascii="Garamond" w:hAnsi="Garamond"/>
            <w:noProof/>
            <w:webHidden/>
            <w:sz w:val="24"/>
            <w:szCs w:val="24"/>
          </w:rPr>
          <w:fldChar w:fldCharType="end"/>
        </w:r>
      </w:hyperlink>
    </w:p>
    <w:p w14:paraId="15EE60FD" w14:textId="5990607C"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3" w:history="1">
        <w:r w:rsidR="0077188A" w:rsidRPr="0077188A">
          <w:rPr>
            <w:rStyle w:val="Hyperlink"/>
            <w:rFonts w:ascii="Garamond" w:hAnsi="Garamond"/>
            <w:b/>
            <w:bCs/>
            <w:noProof/>
            <w:sz w:val="24"/>
            <w:szCs w:val="24"/>
            <w:lang w:val="pt-PT"/>
          </w:rPr>
          <w:t>Tabela 11</w:t>
        </w:r>
        <w:r w:rsidR="0077188A" w:rsidRPr="0077188A">
          <w:rPr>
            <w:rStyle w:val="Hyperlink"/>
            <w:rFonts w:ascii="Garamond" w:hAnsi="Garamond"/>
            <w:noProof/>
            <w:sz w:val="24"/>
            <w:szCs w:val="24"/>
            <w:lang w:val="pt-PT"/>
          </w:rPr>
          <w:t xml:space="preserve"> - Paired t test entre as variáveis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bCs/>
            <w:noProof/>
            <w:sz w:val="24"/>
            <w:szCs w:val="24"/>
            <w:lang w:val="pt-PT"/>
          </w:rPr>
          <w:t xml:space="preserve"> </w:t>
        </w:r>
        <w:r w:rsidR="0077188A" w:rsidRPr="0077188A">
          <w:rPr>
            <w:rStyle w:val="Hyperlink"/>
            <w:rFonts w:ascii="Garamond" w:hAnsi="Garamond"/>
            <w:noProof/>
            <w:sz w:val="24"/>
            <w:szCs w:val="24"/>
            <w:lang w:val="pt-PT"/>
          </w:rPr>
          <w:t>da subamostra de controlo do ano 2020</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_Toc176855923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43</w:t>
        </w:r>
        <w:r w:rsidR="0077188A" w:rsidRPr="0077188A">
          <w:rPr>
            <w:rFonts w:ascii="Garamond" w:hAnsi="Garamond"/>
            <w:noProof/>
            <w:webHidden/>
            <w:sz w:val="24"/>
            <w:szCs w:val="24"/>
          </w:rPr>
          <w:fldChar w:fldCharType="end"/>
        </w:r>
      </w:hyperlink>
    </w:p>
    <w:p w14:paraId="750B77D7" w14:textId="29C46528"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4" w:history="1">
        <w:r w:rsidR="0077188A" w:rsidRPr="0077188A">
          <w:rPr>
            <w:rStyle w:val="Hyperlink"/>
            <w:rFonts w:ascii="Garamond" w:hAnsi="Garamond"/>
            <w:b/>
            <w:bCs/>
            <w:noProof/>
            <w:sz w:val="24"/>
            <w:szCs w:val="24"/>
            <w:lang w:val="pt-PT"/>
          </w:rPr>
          <w:t>Tabela 12</w:t>
        </w:r>
        <w:r w:rsidR="0077188A" w:rsidRPr="0077188A">
          <w:rPr>
            <w:rStyle w:val="Hyperlink"/>
            <w:rFonts w:ascii="Garamond" w:hAnsi="Garamond"/>
            <w:noProof/>
            <w:sz w:val="24"/>
            <w:szCs w:val="24"/>
            <w:lang w:val="pt-PT"/>
          </w:rPr>
          <w:t xml:space="preserve"> - Paired t test entre as variáveis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bCs/>
            <w:noProof/>
            <w:sz w:val="24"/>
            <w:szCs w:val="24"/>
            <w:lang w:val="pt-PT"/>
          </w:rPr>
          <w:t xml:space="preserve"> </w:t>
        </w:r>
        <w:r w:rsidR="0077188A" w:rsidRPr="0077188A">
          <w:rPr>
            <w:rStyle w:val="Hyperlink"/>
            <w:rFonts w:ascii="Garamond" w:hAnsi="Garamond"/>
            <w:noProof/>
            <w:sz w:val="24"/>
            <w:szCs w:val="24"/>
            <w:lang w:val="pt-PT"/>
          </w:rPr>
          <w:t>da subamostra de controlo do ano 2021</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_Toc176855924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43</w:t>
        </w:r>
        <w:r w:rsidR="0077188A" w:rsidRPr="0077188A">
          <w:rPr>
            <w:rFonts w:ascii="Garamond" w:hAnsi="Garamond"/>
            <w:noProof/>
            <w:webHidden/>
            <w:sz w:val="24"/>
            <w:szCs w:val="24"/>
          </w:rPr>
          <w:fldChar w:fldCharType="end"/>
        </w:r>
      </w:hyperlink>
    </w:p>
    <w:p w14:paraId="54015A35" w14:textId="5D1C08FB"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5" w:history="1">
        <w:r w:rsidR="0077188A" w:rsidRPr="0077188A">
          <w:rPr>
            <w:rStyle w:val="Hyperlink"/>
            <w:rFonts w:ascii="Garamond" w:hAnsi="Garamond"/>
            <w:b/>
            <w:bCs/>
            <w:noProof/>
            <w:sz w:val="24"/>
            <w:szCs w:val="24"/>
            <w:lang w:val="pt-PT"/>
          </w:rPr>
          <w:t>Tabela 13</w:t>
        </w:r>
        <w:r w:rsidR="0077188A" w:rsidRPr="0077188A">
          <w:rPr>
            <w:rStyle w:val="Hyperlink"/>
            <w:rFonts w:ascii="Garamond" w:hAnsi="Garamond"/>
            <w:noProof/>
            <w:sz w:val="24"/>
            <w:szCs w:val="24"/>
            <w:lang w:val="pt-PT"/>
          </w:rPr>
          <w:t xml:space="preserve"> - Paired t test entre as variáveis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oMath>
        <w:r w:rsidR="0077188A" w:rsidRPr="0077188A">
          <w:rPr>
            <w:rStyle w:val="Hyperlink"/>
            <w:rFonts w:ascii="Garamond" w:hAnsi="Garamond"/>
            <w:noProof/>
            <w:sz w:val="24"/>
            <w:szCs w:val="24"/>
            <w:lang w:val="pt-PT"/>
          </w:rPr>
          <w:t xml:space="preserve"> e </w:t>
        </w:r>
        <m:oMath>
          <m:r>
            <m:rPr>
              <m:sty m:val="p"/>
            </m:rPr>
            <w:rPr>
              <w:rStyle w:val="Hyperlink"/>
              <w:rFonts w:ascii="Cambria Math" w:hAnsi="Cambria Math"/>
              <w:noProof/>
              <w:sz w:val="24"/>
              <w:szCs w:val="24"/>
              <w:lang w:val="pt-PT"/>
            </w:rPr>
            <m:t>∆</m:t>
          </m:r>
          <m:r>
            <w:rPr>
              <w:rStyle w:val="Hyperlink"/>
              <w:rFonts w:ascii="Cambria Math" w:hAnsi="Cambria Math"/>
              <w:noProof/>
              <w:sz w:val="24"/>
              <w:szCs w:val="24"/>
              <w:lang w:val="pt-PT"/>
            </w:rPr>
            <m:t>Invi</m:t>
          </m:r>
          <m:r>
            <m:rPr>
              <m:sty m:val="p"/>
            </m:rPr>
            <w:rPr>
              <w:rStyle w:val="Hyperlink"/>
              <w:rFonts w:ascii="Cambria Math" w:hAnsi="Cambria Math"/>
              <w:noProof/>
              <w:sz w:val="24"/>
              <w:szCs w:val="24"/>
              <w:lang w:val="pt-PT"/>
            </w:rPr>
            <m:t xml:space="preserve">, </m:t>
          </m:r>
          <m:r>
            <w:rPr>
              <w:rStyle w:val="Hyperlink"/>
              <w:rFonts w:ascii="Cambria Math" w:hAnsi="Cambria Math"/>
              <w:noProof/>
              <w:sz w:val="24"/>
              <w:szCs w:val="24"/>
              <w:lang w:val="pt-PT"/>
            </w:rPr>
            <m:t>t</m:t>
          </m:r>
          <m:r>
            <m:rPr>
              <m:sty m:val="p"/>
            </m:rPr>
            <w:rPr>
              <w:rStyle w:val="Hyperlink"/>
              <w:rFonts w:ascii="Cambria Math" w:hAnsi="Cambria Math"/>
              <w:noProof/>
              <w:sz w:val="24"/>
              <w:szCs w:val="24"/>
              <w:lang w:val="pt-PT"/>
            </w:rPr>
            <m:t>-1</m:t>
          </m:r>
        </m:oMath>
        <w:r w:rsidR="0077188A" w:rsidRPr="0077188A">
          <w:rPr>
            <w:rStyle w:val="Hyperlink"/>
            <w:rFonts w:ascii="Garamond" w:hAnsi="Garamond"/>
            <w:bCs/>
            <w:noProof/>
            <w:sz w:val="24"/>
            <w:szCs w:val="24"/>
            <w:lang w:val="pt-PT"/>
          </w:rPr>
          <w:t xml:space="preserve"> </w:t>
        </w:r>
        <w:r w:rsidR="0077188A" w:rsidRPr="0077188A">
          <w:rPr>
            <w:rStyle w:val="Hyperlink"/>
            <w:rFonts w:ascii="Garamond" w:hAnsi="Garamond"/>
            <w:noProof/>
            <w:sz w:val="24"/>
            <w:szCs w:val="24"/>
            <w:lang w:val="pt-PT"/>
          </w:rPr>
          <w:t>da subamostra de controlo do ano 2022</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_Toc176855925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43</w:t>
        </w:r>
        <w:r w:rsidR="0077188A" w:rsidRPr="0077188A">
          <w:rPr>
            <w:rFonts w:ascii="Garamond" w:hAnsi="Garamond"/>
            <w:noProof/>
            <w:webHidden/>
            <w:sz w:val="24"/>
            <w:szCs w:val="24"/>
          </w:rPr>
          <w:fldChar w:fldCharType="end"/>
        </w:r>
      </w:hyperlink>
    </w:p>
    <w:p w14:paraId="52EE7AB2" w14:textId="42DF8DD9" w:rsidR="0077188A" w:rsidRPr="0077188A" w:rsidRDefault="00000000" w:rsidP="0077188A">
      <w:pPr>
        <w:pStyle w:val="TableofFigures"/>
        <w:tabs>
          <w:tab w:val="right" w:leader="dot" w:pos="8493"/>
        </w:tabs>
        <w:spacing w:line="360" w:lineRule="auto"/>
        <w:jc w:val="both"/>
        <w:rPr>
          <w:rFonts w:ascii="Garamond" w:hAnsi="Garamond"/>
          <w:noProof/>
          <w:kern w:val="2"/>
          <w:sz w:val="24"/>
          <w:szCs w:val="24"/>
          <w:lang w:eastAsia="en-GB"/>
          <w14:ligatures w14:val="standardContextual"/>
        </w:rPr>
      </w:pPr>
      <w:hyperlink w:anchor="_Toc176855926" w:history="1">
        <w:r w:rsidR="0077188A" w:rsidRPr="0077188A">
          <w:rPr>
            <w:rStyle w:val="Hyperlink"/>
            <w:rFonts w:ascii="Garamond" w:hAnsi="Garamond"/>
            <w:b/>
            <w:bCs/>
            <w:noProof/>
            <w:sz w:val="24"/>
            <w:szCs w:val="24"/>
            <w:lang w:val="pt-PT"/>
          </w:rPr>
          <w:t>Tabela 14</w:t>
        </w:r>
        <w:r w:rsidR="0077188A" w:rsidRPr="0077188A">
          <w:rPr>
            <w:rStyle w:val="Hyperlink"/>
            <w:rFonts w:ascii="Garamond" w:hAnsi="Garamond"/>
            <w:noProof/>
            <w:sz w:val="24"/>
            <w:szCs w:val="24"/>
            <w:lang w:val="pt-PT"/>
          </w:rPr>
          <w:t xml:space="preserve"> - Teste Hausman para o modelo base com variável multiplicativa</w:t>
        </w:r>
        <w:r w:rsidR="0077188A" w:rsidRPr="0077188A">
          <w:rPr>
            <w:rFonts w:ascii="Garamond" w:hAnsi="Garamond"/>
            <w:noProof/>
            <w:webHidden/>
            <w:sz w:val="24"/>
            <w:szCs w:val="24"/>
          </w:rPr>
          <w:tab/>
        </w:r>
        <w:r w:rsidR="0077188A" w:rsidRPr="0077188A">
          <w:rPr>
            <w:rFonts w:ascii="Garamond" w:hAnsi="Garamond"/>
            <w:noProof/>
            <w:webHidden/>
            <w:sz w:val="24"/>
            <w:szCs w:val="24"/>
          </w:rPr>
          <w:fldChar w:fldCharType="begin"/>
        </w:r>
        <w:r w:rsidR="0077188A" w:rsidRPr="0077188A">
          <w:rPr>
            <w:rFonts w:ascii="Garamond" w:hAnsi="Garamond"/>
            <w:noProof/>
            <w:webHidden/>
            <w:sz w:val="24"/>
            <w:szCs w:val="24"/>
          </w:rPr>
          <w:instrText xml:space="preserve"> PAGEREF _Toc176855926 \h </w:instrText>
        </w:r>
        <w:r w:rsidR="0077188A" w:rsidRPr="0077188A">
          <w:rPr>
            <w:rFonts w:ascii="Garamond" w:hAnsi="Garamond"/>
            <w:noProof/>
            <w:webHidden/>
            <w:sz w:val="24"/>
            <w:szCs w:val="24"/>
          </w:rPr>
        </w:r>
        <w:r w:rsidR="0077188A" w:rsidRPr="0077188A">
          <w:rPr>
            <w:rFonts w:ascii="Garamond" w:hAnsi="Garamond"/>
            <w:noProof/>
            <w:webHidden/>
            <w:sz w:val="24"/>
            <w:szCs w:val="24"/>
          </w:rPr>
          <w:fldChar w:fldCharType="separate"/>
        </w:r>
        <w:r w:rsidR="00E813AE">
          <w:rPr>
            <w:rFonts w:ascii="Garamond" w:hAnsi="Garamond"/>
            <w:noProof/>
            <w:webHidden/>
            <w:sz w:val="24"/>
            <w:szCs w:val="24"/>
          </w:rPr>
          <w:t>44</w:t>
        </w:r>
        <w:r w:rsidR="0077188A" w:rsidRPr="0077188A">
          <w:rPr>
            <w:rFonts w:ascii="Garamond" w:hAnsi="Garamond"/>
            <w:noProof/>
            <w:webHidden/>
            <w:sz w:val="24"/>
            <w:szCs w:val="24"/>
          </w:rPr>
          <w:fldChar w:fldCharType="end"/>
        </w:r>
      </w:hyperlink>
    </w:p>
    <w:p w14:paraId="1FEC6BD0" w14:textId="21E5D788" w:rsidR="00EE31AB" w:rsidRPr="006F2562" w:rsidRDefault="000975B4" w:rsidP="0077188A">
      <w:pPr>
        <w:pStyle w:val="TOC2"/>
        <w:tabs>
          <w:tab w:val="left" w:pos="880"/>
          <w:tab w:val="right" w:leader="dot" w:pos="8493"/>
        </w:tabs>
        <w:spacing w:line="360" w:lineRule="auto"/>
        <w:jc w:val="both"/>
        <w:rPr>
          <w:rFonts w:ascii="Garamond" w:hAnsi="Garamond"/>
          <w:sz w:val="24"/>
          <w:szCs w:val="24"/>
        </w:rPr>
        <w:sectPr w:rsidR="00EE31AB" w:rsidRPr="006F2562" w:rsidSect="00C82395">
          <w:footerReference w:type="default" r:id="rId11"/>
          <w:pgSz w:w="11906" w:h="16838"/>
          <w:pgMar w:top="1701" w:right="1418" w:bottom="1701" w:left="1985" w:header="709" w:footer="709" w:gutter="0"/>
          <w:pgNumType w:fmt="lowerRoman" w:start="1"/>
          <w:cols w:space="708"/>
          <w:docGrid w:linePitch="360"/>
        </w:sectPr>
      </w:pPr>
      <w:r w:rsidRPr="0077188A">
        <w:rPr>
          <w:rStyle w:val="Hyperlink"/>
          <w:rFonts w:ascii="Garamond" w:hAnsi="Garamond"/>
          <w:noProof/>
          <w:sz w:val="24"/>
          <w:szCs w:val="24"/>
        </w:rPr>
        <w:fldChar w:fldCharType="end"/>
      </w:r>
    </w:p>
    <w:p w14:paraId="46EA1E9F" w14:textId="1A60092D" w:rsidR="00D450E8" w:rsidRPr="002D7F08" w:rsidRDefault="00D450E8" w:rsidP="00425911">
      <w:pPr>
        <w:pStyle w:val="TtuloPrincipalTese"/>
      </w:pPr>
      <w:bookmarkStart w:id="13" w:name="_Toc176458035"/>
      <w:r w:rsidRPr="002D7F08">
        <w:lastRenderedPageBreak/>
        <w:t>Introdução</w:t>
      </w:r>
      <w:bookmarkEnd w:id="0"/>
      <w:bookmarkEnd w:id="13"/>
    </w:p>
    <w:p w14:paraId="1EA581EC" w14:textId="77777777" w:rsidR="00D450E8" w:rsidRPr="002D7F08" w:rsidRDefault="00D450E8" w:rsidP="001C64CD">
      <w:pPr>
        <w:spacing w:line="360" w:lineRule="auto"/>
        <w:jc w:val="both"/>
        <w:rPr>
          <w:rFonts w:ascii="Garamond" w:hAnsi="Garamond"/>
          <w:sz w:val="24"/>
          <w:szCs w:val="24"/>
          <w:lang w:val="pt-PT"/>
        </w:rPr>
      </w:pPr>
      <w:r w:rsidRPr="002D7F08">
        <w:rPr>
          <w:rFonts w:ascii="Garamond" w:hAnsi="Garamond"/>
          <w:sz w:val="24"/>
          <w:szCs w:val="24"/>
          <w:lang w:val="pt-PT"/>
        </w:rPr>
        <w:t>No atual panorama fiscal, as políticas de incentivos desempenham um papel essencial nas decisões de investimento empresariais, afetando diretamente os padrões de investimento e as estratégias de planeamento financeiro e fiscal. Esta dissertação tem como objetivo principal avaliar se a implementação do Crédito Fiscal Extraordinário de Investimento II (CFEI II) induziu as empresas a antecipar os investimentos previamente planeados, a fim de beneficiarem das vantagens fiscais oferecidas por este incentivo.</w:t>
      </w:r>
    </w:p>
    <w:p w14:paraId="4E75EB23" w14:textId="77E1B054" w:rsidR="00D450E8" w:rsidRPr="002D7F08" w:rsidRDefault="00D450E8" w:rsidP="001C64CD">
      <w:pPr>
        <w:spacing w:line="360" w:lineRule="auto"/>
        <w:jc w:val="both"/>
        <w:rPr>
          <w:rFonts w:ascii="Garamond" w:hAnsi="Garamond"/>
          <w:sz w:val="24"/>
          <w:szCs w:val="24"/>
          <w:lang w:val="pt-PT"/>
        </w:rPr>
      </w:pPr>
      <w:r w:rsidRPr="002D7F08">
        <w:rPr>
          <w:rFonts w:ascii="Garamond" w:hAnsi="Garamond"/>
          <w:sz w:val="24"/>
          <w:szCs w:val="24"/>
          <w:lang w:val="pt-PT"/>
        </w:rPr>
        <w:t xml:space="preserve">O CFEI II, uma política fiscal adotada durante um período específico, foi criado com o intuito de incentivar o investimento empresarial às empresas que cumprissem determinados requisitos. Este estudo empírico tem como base as informações recolhidas a partir do Portal da Autoridade Tributária e Aduaneira, relacionadas com a lista de contribuintes que beneficiaram deste incentivo nos anos 2020, 2021 e 2022. A análise destes dados possibilitou a seleção de uma subamostra principal representativa de empresas que tiraram partido do CFEI II e que não estão abrangidas pelo RETGS, assim como uma subamostra de controlo constituída por empresas que não beneficiaram do CFEI II em 2020, 2021 e 2022 e que não estão abrangidas pelo RETGS. A </w:t>
      </w:r>
      <w:r w:rsidR="007C7E59">
        <w:rPr>
          <w:rFonts w:ascii="Garamond" w:hAnsi="Garamond"/>
          <w:sz w:val="24"/>
          <w:szCs w:val="24"/>
          <w:lang w:val="pt-PT"/>
        </w:rPr>
        <w:t xml:space="preserve">junção </w:t>
      </w:r>
      <w:r w:rsidRPr="002D7F08">
        <w:rPr>
          <w:rFonts w:ascii="Garamond" w:hAnsi="Garamond"/>
          <w:sz w:val="24"/>
          <w:szCs w:val="24"/>
          <w:lang w:val="pt-PT"/>
        </w:rPr>
        <w:t>destas subamostras compõe a amostra global.</w:t>
      </w:r>
    </w:p>
    <w:p w14:paraId="1CCA8498" w14:textId="2F89140B" w:rsidR="00D450E8" w:rsidRPr="002D7F08" w:rsidRDefault="00D450E8" w:rsidP="001C64CD">
      <w:pPr>
        <w:spacing w:line="360" w:lineRule="auto"/>
        <w:jc w:val="both"/>
        <w:rPr>
          <w:rFonts w:ascii="Garamond" w:hAnsi="Garamond"/>
          <w:sz w:val="24"/>
          <w:szCs w:val="24"/>
          <w:lang w:val="pt-PT"/>
        </w:rPr>
      </w:pPr>
      <w:r w:rsidRPr="002D7F08">
        <w:rPr>
          <w:rFonts w:ascii="Garamond" w:hAnsi="Garamond"/>
          <w:sz w:val="24"/>
          <w:szCs w:val="24"/>
          <w:lang w:val="pt-PT"/>
        </w:rPr>
        <w:t>Com o propósito de compreender o impacto desta medida fiscal no investimento das empresas, foram recolhidos dados contabilístico-financeiros das mesmas a partir da base de dados SABI, abrangendo o período de 201</w:t>
      </w:r>
      <w:r w:rsidR="00025168">
        <w:rPr>
          <w:rFonts w:ascii="Garamond" w:hAnsi="Garamond"/>
          <w:sz w:val="24"/>
          <w:szCs w:val="24"/>
          <w:lang w:val="pt-PT"/>
        </w:rPr>
        <w:t>8</w:t>
      </w:r>
      <w:r w:rsidRPr="002D7F08">
        <w:rPr>
          <w:rFonts w:ascii="Garamond" w:hAnsi="Garamond"/>
          <w:sz w:val="24"/>
          <w:szCs w:val="24"/>
          <w:lang w:val="pt-PT"/>
        </w:rPr>
        <w:t xml:space="preserve"> a 2022. A expectativa subjacente a esta pesquisa é que as empresas que se qualificaram para o CFEI II tenham antecipado os seus investimentos, de modo a maximizar os benefícios fiscais proporcionados por este incentivo. A análise empírica desta dissertação reveste-se de importância fundamental para uma compreensão mais abrangente das dinâmicas empresariais em resposta a políticas fiscais e para avaliar o impacto efetivo do CFEI II no investimento em ativos.</w:t>
      </w:r>
    </w:p>
    <w:p w14:paraId="298D5CFE" w14:textId="77777777" w:rsidR="00824EAA" w:rsidRDefault="00D450E8" w:rsidP="001C64CD">
      <w:pPr>
        <w:spacing w:line="360" w:lineRule="auto"/>
        <w:jc w:val="both"/>
        <w:rPr>
          <w:rFonts w:ascii="Garamond" w:hAnsi="Garamond"/>
          <w:sz w:val="24"/>
          <w:szCs w:val="24"/>
          <w:lang w:val="pt-PT"/>
        </w:rPr>
      </w:pPr>
      <w:r w:rsidRPr="002D7F08">
        <w:rPr>
          <w:rFonts w:ascii="Garamond" w:hAnsi="Garamond"/>
          <w:sz w:val="24"/>
          <w:szCs w:val="24"/>
          <w:lang w:val="pt-PT"/>
        </w:rPr>
        <w:t>Este estudo tem</w:t>
      </w:r>
      <w:r w:rsidR="008D42DB">
        <w:rPr>
          <w:rFonts w:ascii="Garamond" w:hAnsi="Garamond"/>
          <w:sz w:val="24"/>
          <w:szCs w:val="24"/>
          <w:lang w:val="pt-PT"/>
        </w:rPr>
        <w:t xml:space="preserve"> também</w:t>
      </w:r>
      <w:r w:rsidRPr="002D7F08">
        <w:rPr>
          <w:rFonts w:ascii="Garamond" w:hAnsi="Garamond"/>
          <w:sz w:val="24"/>
          <w:szCs w:val="24"/>
          <w:lang w:val="pt-PT"/>
        </w:rPr>
        <w:t xml:space="preserve"> como objetivo contribuir para o enriquecimento do conhecimento na área das finanças e fiscalidade, fornecendo uma análise aprofundada sobre a relação entre incentivos fiscais e a tomada de decisões das empresas em relação aos investimentos em ativos.</w:t>
      </w:r>
    </w:p>
    <w:p w14:paraId="52D6CA54" w14:textId="68823EB1" w:rsidR="00921750" w:rsidRPr="00921750" w:rsidRDefault="00824EAA" w:rsidP="001C64CD">
      <w:pPr>
        <w:spacing w:line="360" w:lineRule="auto"/>
        <w:jc w:val="both"/>
        <w:rPr>
          <w:rFonts w:ascii="Garamond" w:hAnsi="Garamond"/>
          <w:sz w:val="24"/>
          <w:szCs w:val="24"/>
          <w:lang w:val="pt-PT"/>
        </w:rPr>
      </w:pPr>
      <w:r>
        <w:rPr>
          <w:rFonts w:ascii="Garamond" w:hAnsi="Garamond"/>
          <w:sz w:val="24"/>
          <w:szCs w:val="24"/>
          <w:lang w:val="pt-PT"/>
        </w:rPr>
        <w:t xml:space="preserve">Esta dissertação </w:t>
      </w:r>
      <w:r w:rsidR="001B4F32">
        <w:rPr>
          <w:rFonts w:ascii="Garamond" w:hAnsi="Garamond"/>
          <w:sz w:val="24"/>
          <w:szCs w:val="24"/>
          <w:lang w:val="pt-PT"/>
        </w:rPr>
        <w:t xml:space="preserve">está estruturada da </w:t>
      </w:r>
      <w:r w:rsidR="002073FF">
        <w:rPr>
          <w:rFonts w:ascii="Garamond" w:hAnsi="Garamond"/>
          <w:sz w:val="24"/>
          <w:szCs w:val="24"/>
          <w:lang w:val="pt-PT"/>
        </w:rPr>
        <w:t xml:space="preserve">seguinte </w:t>
      </w:r>
      <w:r w:rsidR="001B4F32">
        <w:rPr>
          <w:rFonts w:ascii="Garamond" w:hAnsi="Garamond"/>
          <w:sz w:val="24"/>
          <w:szCs w:val="24"/>
          <w:lang w:val="pt-PT"/>
        </w:rPr>
        <w:t>forma</w:t>
      </w:r>
      <w:r w:rsidR="002073FF">
        <w:rPr>
          <w:rFonts w:ascii="Garamond" w:hAnsi="Garamond"/>
          <w:sz w:val="24"/>
          <w:szCs w:val="24"/>
          <w:lang w:val="pt-PT"/>
        </w:rPr>
        <w:t>: a</w:t>
      </w:r>
      <w:r w:rsidR="002073FF" w:rsidRPr="002073FF">
        <w:rPr>
          <w:rFonts w:ascii="Garamond" w:hAnsi="Garamond"/>
          <w:sz w:val="24"/>
          <w:szCs w:val="24"/>
          <w:lang w:val="pt-PT"/>
        </w:rPr>
        <w:t xml:space="preserve"> </w:t>
      </w:r>
      <w:r w:rsidR="001B4F32">
        <w:rPr>
          <w:rFonts w:ascii="Garamond" w:hAnsi="Garamond"/>
          <w:i/>
          <w:iCs/>
          <w:sz w:val="24"/>
          <w:szCs w:val="24"/>
          <w:lang w:val="pt-PT"/>
        </w:rPr>
        <w:t>S</w:t>
      </w:r>
      <w:r w:rsidR="002073FF" w:rsidRPr="004471F7">
        <w:rPr>
          <w:rFonts w:ascii="Garamond" w:hAnsi="Garamond"/>
          <w:i/>
          <w:iCs/>
          <w:sz w:val="24"/>
          <w:szCs w:val="24"/>
          <w:lang w:val="pt-PT"/>
        </w:rPr>
        <w:t xml:space="preserve">ecção </w:t>
      </w:r>
      <w:r w:rsidR="001B4F32">
        <w:rPr>
          <w:rFonts w:ascii="Garamond" w:hAnsi="Garamond"/>
          <w:i/>
          <w:iCs/>
          <w:sz w:val="24"/>
          <w:szCs w:val="24"/>
          <w:lang w:val="pt-PT"/>
        </w:rPr>
        <w:t>1</w:t>
      </w:r>
      <w:r w:rsidR="001B4F32" w:rsidRPr="002073FF">
        <w:rPr>
          <w:rFonts w:ascii="Garamond" w:hAnsi="Garamond"/>
          <w:sz w:val="24"/>
          <w:szCs w:val="24"/>
          <w:lang w:val="pt-PT"/>
        </w:rPr>
        <w:t xml:space="preserve"> </w:t>
      </w:r>
      <w:r w:rsidR="002073FF" w:rsidRPr="002073FF">
        <w:rPr>
          <w:rFonts w:ascii="Garamond" w:hAnsi="Garamond"/>
          <w:sz w:val="24"/>
          <w:szCs w:val="24"/>
          <w:lang w:val="pt-PT"/>
        </w:rPr>
        <w:t xml:space="preserve">corresponde à </w:t>
      </w:r>
      <w:r w:rsidR="002073FF">
        <w:rPr>
          <w:rFonts w:ascii="Garamond" w:hAnsi="Garamond"/>
          <w:sz w:val="24"/>
          <w:szCs w:val="24"/>
          <w:lang w:val="pt-PT"/>
        </w:rPr>
        <w:t>i</w:t>
      </w:r>
      <w:r w:rsidR="002073FF" w:rsidRPr="002073FF">
        <w:rPr>
          <w:rFonts w:ascii="Garamond" w:hAnsi="Garamond"/>
          <w:sz w:val="24"/>
          <w:szCs w:val="24"/>
          <w:lang w:val="pt-PT"/>
        </w:rPr>
        <w:t>ntrodução, onde são estabelecidos os objetivos centrais da investigação e destacada a relevância do estudo no contexto da temática abordada.</w:t>
      </w:r>
      <w:r w:rsidR="002073FF">
        <w:rPr>
          <w:rFonts w:ascii="Garamond" w:hAnsi="Garamond"/>
          <w:sz w:val="24"/>
          <w:szCs w:val="24"/>
          <w:lang w:val="pt-PT"/>
        </w:rPr>
        <w:t xml:space="preserve"> </w:t>
      </w:r>
      <w:r w:rsidR="00921750" w:rsidRPr="00921750">
        <w:rPr>
          <w:rFonts w:ascii="Garamond" w:hAnsi="Garamond"/>
          <w:sz w:val="24"/>
          <w:szCs w:val="24"/>
          <w:lang w:val="pt-PT"/>
        </w:rPr>
        <w:t xml:space="preserve">Na </w:t>
      </w:r>
      <w:r w:rsidR="001B4F32">
        <w:rPr>
          <w:rFonts w:ascii="Garamond" w:hAnsi="Garamond"/>
          <w:i/>
          <w:iCs/>
          <w:sz w:val="24"/>
          <w:szCs w:val="24"/>
          <w:lang w:val="pt-PT"/>
        </w:rPr>
        <w:t>S</w:t>
      </w:r>
      <w:r w:rsidR="00921750" w:rsidRPr="004471F7">
        <w:rPr>
          <w:rFonts w:ascii="Garamond" w:hAnsi="Garamond"/>
          <w:i/>
          <w:iCs/>
          <w:sz w:val="24"/>
          <w:szCs w:val="24"/>
          <w:lang w:val="pt-PT"/>
        </w:rPr>
        <w:t xml:space="preserve">ecção </w:t>
      </w:r>
      <w:r w:rsidR="001B4F32">
        <w:rPr>
          <w:rFonts w:ascii="Garamond" w:hAnsi="Garamond"/>
          <w:i/>
          <w:iCs/>
          <w:sz w:val="24"/>
          <w:szCs w:val="24"/>
          <w:lang w:val="pt-PT"/>
        </w:rPr>
        <w:t>2</w:t>
      </w:r>
      <w:r w:rsidR="00921750">
        <w:rPr>
          <w:rFonts w:ascii="Garamond" w:hAnsi="Garamond"/>
          <w:sz w:val="24"/>
          <w:szCs w:val="24"/>
          <w:lang w:val="pt-PT"/>
        </w:rPr>
        <w:t xml:space="preserve"> </w:t>
      </w:r>
      <w:r w:rsidR="001B4F32">
        <w:rPr>
          <w:rFonts w:ascii="Garamond" w:hAnsi="Garamond"/>
          <w:sz w:val="24"/>
          <w:szCs w:val="24"/>
          <w:lang w:val="pt-PT"/>
        </w:rPr>
        <w:t>é</w:t>
      </w:r>
      <w:r w:rsidR="00921750">
        <w:rPr>
          <w:rFonts w:ascii="Garamond" w:hAnsi="Garamond"/>
          <w:sz w:val="24"/>
          <w:szCs w:val="24"/>
          <w:lang w:val="pt-PT"/>
        </w:rPr>
        <w:t xml:space="preserve"> feita a</w:t>
      </w:r>
      <w:r w:rsidR="00921750" w:rsidRPr="00921750">
        <w:rPr>
          <w:rFonts w:ascii="Garamond" w:hAnsi="Garamond"/>
          <w:sz w:val="24"/>
          <w:szCs w:val="24"/>
          <w:lang w:val="pt-PT"/>
        </w:rPr>
        <w:t xml:space="preserve"> </w:t>
      </w:r>
      <w:r w:rsidR="00921750">
        <w:rPr>
          <w:rFonts w:ascii="Garamond" w:hAnsi="Garamond"/>
          <w:sz w:val="24"/>
          <w:szCs w:val="24"/>
          <w:lang w:val="pt-PT"/>
        </w:rPr>
        <w:t>r</w:t>
      </w:r>
      <w:r w:rsidR="00921750" w:rsidRPr="00921750">
        <w:rPr>
          <w:rFonts w:ascii="Garamond" w:hAnsi="Garamond"/>
          <w:sz w:val="24"/>
          <w:szCs w:val="24"/>
          <w:lang w:val="pt-PT"/>
        </w:rPr>
        <w:t xml:space="preserve">evisão da </w:t>
      </w:r>
      <w:r w:rsidR="00921750">
        <w:rPr>
          <w:rFonts w:ascii="Garamond" w:hAnsi="Garamond"/>
          <w:sz w:val="24"/>
          <w:szCs w:val="24"/>
          <w:lang w:val="pt-PT"/>
        </w:rPr>
        <w:t>l</w:t>
      </w:r>
      <w:r w:rsidR="00921750" w:rsidRPr="00921750">
        <w:rPr>
          <w:rFonts w:ascii="Garamond" w:hAnsi="Garamond"/>
          <w:sz w:val="24"/>
          <w:szCs w:val="24"/>
          <w:lang w:val="pt-PT"/>
        </w:rPr>
        <w:t xml:space="preserve">iteratura, na qual se analisam </w:t>
      </w:r>
      <w:r w:rsidR="00921750" w:rsidRPr="00921750">
        <w:rPr>
          <w:rFonts w:ascii="Garamond" w:hAnsi="Garamond"/>
          <w:sz w:val="24"/>
          <w:szCs w:val="24"/>
          <w:lang w:val="pt-PT"/>
        </w:rPr>
        <w:lastRenderedPageBreak/>
        <w:t>os principais contributos teóricos e empíricos existentes sobre o tema. Est</w:t>
      </w:r>
      <w:r w:rsidR="004471F7">
        <w:rPr>
          <w:rFonts w:ascii="Garamond" w:hAnsi="Garamond"/>
          <w:sz w:val="24"/>
          <w:szCs w:val="24"/>
          <w:lang w:val="pt-PT"/>
        </w:rPr>
        <w:t>e capítulo</w:t>
      </w:r>
      <w:r w:rsidR="00921750" w:rsidRPr="00921750">
        <w:rPr>
          <w:rFonts w:ascii="Garamond" w:hAnsi="Garamond"/>
          <w:sz w:val="24"/>
          <w:szCs w:val="24"/>
          <w:lang w:val="pt-PT"/>
        </w:rPr>
        <w:t xml:space="preserve"> tem como objetivo fundamentar teoricamente a investigação, proporcionando uma base sólida para a formulação da hipótese</w:t>
      </w:r>
      <w:r w:rsidR="00921750">
        <w:rPr>
          <w:rFonts w:ascii="Garamond" w:hAnsi="Garamond"/>
          <w:sz w:val="24"/>
          <w:szCs w:val="24"/>
          <w:lang w:val="pt-PT"/>
        </w:rPr>
        <w:t xml:space="preserve"> de investigação. </w:t>
      </w:r>
      <w:r w:rsidR="00921750" w:rsidRPr="00921750">
        <w:rPr>
          <w:rFonts w:ascii="Garamond" w:hAnsi="Garamond"/>
          <w:sz w:val="24"/>
          <w:szCs w:val="24"/>
          <w:lang w:val="pt-PT"/>
        </w:rPr>
        <w:t xml:space="preserve">A </w:t>
      </w:r>
      <w:r w:rsidR="001B4F32">
        <w:rPr>
          <w:rFonts w:ascii="Garamond" w:hAnsi="Garamond"/>
          <w:i/>
          <w:iCs/>
          <w:sz w:val="24"/>
          <w:szCs w:val="24"/>
          <w:lang w:val="pt-PT"/>
        </w:rPr>
        <w:t>S</w:t>
      </w:r>
      <w:r w:rsidR="00921750" w:rsidRPr="004471F7">
        <w:rPr>
          <w:rFonts w:ascii="Garamond" w:hAnsi="Garamond"/>
          <w:i/>
          <w:iCs/>
          <w:sz w:val="24"/>
          <w:szCs w:val="24"/>
          <w:lang w:val="pt-PT"/>
        </w:rPr>
        <w:t xml:space="preserve">ecção </w:t>
      </w:r>
      <w:r w:rsidR="001B4F32">
        <w:rPr>
          <w:rFonts w:ascii="Garamond" w:hAnsi="Garamond"/>
          <w:i/>
          <w:iCs/>
          <w:sz w:val="24"/>
          <w:szCs w:val="24"/>
          <w:lang w:val="pt-PT"/>
        </w:rPr>
        <w:t>3</w:t>
      </w:r>
      <w:r w:rsidR="001B4F32" w:rsidRPr="00921750">
        <w:rPr>
          <w:rFonts w:ascii="Garamond" w:hAnsi="Garamond"/>
          <w:sz w:val="24"/>
          <w:szCs w:val="24"/>
          <w:lang w:val="pt-PT"/>
        </w:rPr>
        <w:t xml:space="preserve"> </w:t>
      </w:r>
      <w:r w:rsidR="00921750" w:rsidRPr="00921750">
        <w:rPr>
          <w:rFonts w:ascii="Garamond" w:hAnsi="Garamond"/>
          <w:sz w:val="24"/>
          <w:szCs w:val="24"/>
          <w:lang w:val="pt-PT"/>
        </w:rPr>
        <w:t xml:space="preserve">é dedicada à </w:t>
      </w:r>
      <w:r w:rsidR="001B4F32">
        <w:rPr>
          <w:rFonts w:ascii="Garamond" w:hAnsi="Garamond"/>
          <w:sz w:val="24"/>
          <w:szCs w:val="24"/>
          <w:lang w:val="pt-PT"/>
        </w:rPr>
        <w:t xml:space="preserve">definição </w:t>
      </w:r>
      <w:r w:rsidR="00921750" w:rsidRPr="00921750">
        <w:rPr>
          <w:rFonts w:ascii="Garamond" w:hAnsi="Garamond"/>
          <w:sz w:val="24"/>
          <w:szCs w:val="24"/>
          <w:lang w:val="pt-PT"/>
        </w:rPr>
        <w:t xml:space="preserve">do </w:t>
      </w:r>
      <w:r w:rsidR="00921750">
        <w:rPr>
          <w:rFonts w:ascii="Garamond" w:hAnsi="Garamond"/>
          <w:sz w:val="24"/>
          <w:szCs w:val="24"/>
          <w:lang w:val="pt-PT"/>
        </w:rPr>
        <w:t>o</w:t>
      </w:r>
      <w:r w:rsidR="00921750" w:rsidRPr="00921750">
        <w:rPr>
          <w:rFonts w:ascii="Garamond" w:hAnsi="Garamond"/>
          <w:sz w:val="24"/>
          <w:szCs w:val="24"/>
          <w:lang w:val="pt-PT"/>
        </w:rPr>
        <w:t xml:space="preserve">bjetivo </w:t>
      </w:r>
      <w:r w:rsidR="001B4F32">
        <w:rPr>
          <w:rFonts w:ascii="Garamond" w:hAnsi="Garamond"/>
          <w:sz w:val="24"/>
          <w:szCs w:val="24"/>
          <w:lang w:val="pt-PT"/>
        </w:rPr>
        <w:t xml:space="preserve">de investigação </w:t>
      </w:r>
      <w:r w:rsidR="00921750" w:rsidRPr="00921750">
        <w:rPr>
          <w:rFonts w:ascii="Garamond" w:hAnsi="Garamond"/>
          <w:sz w:val="24"/>
          <w:szCs w:val="24"/>
          <w:lang w:val="pt-PT"/>
        </w:rPr>
        <w:t xml:space="preserve">e </w:t>
      </w:r>
      <w:r w:rsidR="001B4F32">
        <w:rPr>
          <w:rFonts w:ascii="Garamond" w:hAnsi="Garamond"/>
          <w:sz w:val="24"/>
          <w:szCs w:val="24"/>
          <w:lang w:val="pt-PT"/>
        </w:rPr>
        <w:t xml:space="preserve">ao desenvolvimento </w:t>
      </w:r>
      <w:r w:rsidR="00921750" w:rsidRPr="00921750">
        <w:rPr>
          <w:rFonts w:ascii="Garamond" w:hAnsi="Garamond"/>
          <w:sz w:val="24"/>
          <w:szCs w:val="24"/>
          <w:lang w:val="pt-PT"/>
        </w:rPr>
        <w:t xml:space="preserve">da </w:t>
      </w:r>
      <w:r w:rsidR="00921750">
        <w:rPr>
          <w:rFonts w:ascii="Garamond" w:hAnsi="Garamond"/>
          <w:sz w:val="24"/>
          <w:szCs w:val="24"/>
          <w:lang w:val="pt-PT"/>
        </w:rPr>
        <w:t>h</w:t>
      </w:r>
      <w:r w:rsidR="00921750" w:rsidRPr="00921750">
        <w:rPr>
          <w:rFonts w:ascii="Garamond" w:hAnsi="Garamond"/>
          <w:sz w:val="24"/>
          <w:szCs w:val="24"/>
          <w:lang w:val="pt-PT"/>
        </w:rPr>
        <w:t xml:space="preserve">ipótese de </w:t>
      </w:r>
      <w:r w:rsidR="00921750">
        <w:rPr>
          <w:rFonts w:ascii="Garamond" w:hAnsi="Garamond"/>
          <w:sz w:val="24"/>
          <w:szCs w:val="24"/>
          <w:lang w:val="pt-PT"/>
        </w:rPr>
        <w:t>i</w:t>
      </w:r>
      <w:r w:rsidR="00921750" w:rsidRPr="00921750">
        <w:rPr>
          <w:rFonts w:ascii="Garamond" w:hAnsi="Garamond"/>
          <w:sz w:val="24"/>
          <w:szCs w:val="24"/>
          <w:lang w:val="pt-PT"/>
        </w:rPr>
        <w:t xml:space="preserve">nvestigação. A </w:t>
      </w:r>
      <w:r w:rsidR="001B4F32">
        <w:rPr>
          <w:rFonts w:ascii="Garamond" w:hAnsi="Garamond"/>
          <w:i/>
          <w:iCs/>
          <w:sz w:val="24"/>
          <w:szCs w:val="24"/>
          <w:lang w:val="pt-PT"/>
        </w:rPr>
        <w:t>S</w:t>
      </w:r>
      <w:r w:rsidR="00921750" w:rsidRPr="004471F7">
        <w:rPr>
          <w:rFonts w:ascii="Garamond" w:hAnsi="Garamond"/>
          <w:i/>
          <w:iCs/>
          <w:sz w:val="24"/>
          <w:szCs w:val="24"/>
          <w:lang w:val="pt-PT"/>
        </w:rPr>
        <w:t xml:space="preserve">ecção </w:t>
      </w:r>
      <w:r w:rsidR="001B4F32">
        <w:rPr>
          <w:rFonts w:ascii="Garamond" w:hAnsi="Garamond"/>
          <w:i/>
          <w:iCs/>
          <w:sz w:val="24"/>
          <w:szCs w:val="24"/>
          <w:lang w:val="pt-PT"/>
        </w:rPr>
        <w:t>4</w:t>
      </w:r>
      <w:r w:rsidR="001B4F32" w:rsidRPr="00921750">
        <w:rPr>
          <w:rFonts w:ascii="Garamond" w:hAnsi="Garamond"/>
          <w:sz w:val="24"/>
          <w:szCs w:val="24"/>
          <w:lang w:val="pt-PT"/>
        </w:rPr>
        <w:t xml:space="preserve"> </w:t>
      </w:r>
      <w:r w:rsidR="00921750" w:rsidRPr="00921750">
        <w:rPr>
          <w:rFonts w:ascii="Garamond" w:hAnsi="Garamond"/>
          <w:sz w:val="24"/>
          <w:szCs w:val="24"/>
          <w:lang w:val="pt-PT"/>
        </w:rPr>
        <w:t xml:space="preserve">aborda o </w:t>
      </w:r>
      <w:r w:rsidR="00921750">
        <w:rPr>
          <w:rFonts w:ascii="Garamond" w:hAnsi="Garamond"/>
          <w:sz w:val="24"/>
          <w:szCs w:val="24"/>
          <w:lang w:val="pt-PT"/>
        </w:rPr>
        <w:t>m</w:t>
      </w:r>
      <w:r w:rsidR="00921750" w:rsidRPr="00921750">
        <w:rPr>
          <w:rFonts w:ascii="Garamond" w:hAnsi="Garamond"/>
          <w:sz w:val="24"/>
          <w:szCs w:val="24"/>
          <w:lang w:val="pt-PT"/>
        </w:rPr>
        <w:t xml:space="preserve">odelo, a </w:t>
      </w:r>
      <w:r w:rsidR="00921750">
        <w:rPr>
          <w:rFonts w:ascii="Garamond" w:hAnsi="Garamond"/>
          <w:sz w:val="24"/>
          <w:szCs w:val="24"/>
          <w:lang w:val="pt-PT"/>
        </w:rPr>
        <w:t>d</w:t>
      </w:r>
      <w:r w:rsidR="00921750" w:rsidRPr="00921750">
        <w:rPr>
          <w:rFonts w:ascii="Garamond" w:hAnsi="Garamond"/>
          <w:sz w:val="24"/>
          <w:szCs w:val="24"/>
          <w:lang w:val="pt-PT"/>
        </w:rPr>
        <w:t xml:space="preserve">efinição da </w:t>
      </w:r>
      <w:r w:rsidR="00921750">
        <w:rPr>
          <w:rFonts w:ascii="Garamond" w:hAnsi="Garamond"/>
          <w:sz w:val="24"/>
          <w:szCs w:val="24"/>
          <w:lang w:val="pt-PT"/>
        </w:rPr>
        <w:t>a</w:t>
      </w:r>
      <w:r w:rsidR="00921750" w:rsidRPr="00921750">
        <w:rPr>
          <w:rFonts w:ascii="Garamond" w:hAnsi="Garamond"/>
          <w:sz w:val="24"/>
          <w:szCs w:val="24"/>
          <w:lang w:val="pt-PT"/>
        </w:rPr>
        <w:t xml:space="preserve">mostra e as </w:t>
      </w:r>
      <w:r w:rsidR="00921750">
        <w:rPr>
          <w:rFonts w:ascii="Garamond" w:hAnsi="Garamond"/>
          <w:sz w:val="24"/>
          <w:szCs w:val="24"/>
          <w:lang w:val="pt-PT"/>
        </w:rPr>
        <w:t>e</w:t>
      </w:r>
      <w:r w:rsidR="00921750" w:rsidRPr="00921750">
        <w:rPr>
          <w:rFonts w:ascii="Garamond" w:hAnsi="Garamond"/>
          <w:sz w:val="24"/>
          <w:szCs w:val="24"/>
          <w:lang w:val="pt-PT"/>
        </w:rPr>
        <w:t xml:space="preserve">statísticas </w:t>
      </w:r>
      <w:r w:rsidR="00921750">
        <w:rPr>
          <w:rFonts w:ascii="Garamond" w:hAnsi="Garamond"/>
          <w:sz w:val="24"/>
          <w:szCs w:val="24"/>
          <w:lang w:val="pt-PT"/>
        </w:rPr>
        <w:t>d</w:t>
      </w:r>
      <w:r w:rsidR="00921750" w:rsidRPr="00921750">
        <w:rPr>
          <w:rFonts w:ascii="Garamond" w:hAnsi="Garamond"/>
          <w:sz w:val="24"/>
          <w:szCs w:val="24"/>
          <w:lang w:val="pt-PT"/>
        </w:rPr>
        <w:t>escritivas</w:t>
      </w:r>
      <w:r w:rsidR="004471F7">
        <w:rPr>
          <w:rFonts w:ascii="Garamond" w:hAnsi="Garamond"/>
          <w:sz w:val="24"/>
          <w:szCs w:val="24"/>
          <w:lang w:val="pt-PT"/>
        </w:rPr>
        <w:t xml:space="preserve">, onde </w:t>
      </w:r>
      <w:r w:rsidR="00921750" w:rsidRPr="00921750">
        <w:rPr>
          <w:rFonts w:ascii="Garamond" w:hAnsi="Garamond"/>
          <w:sz w:val="24"/>
          <w:szCs w:val="24"/>
          <w:lang w:val="pt-PT"/>
        </w:rPr>
        <w:t xml:space="preserve">são apresentados o modelo econométrico selecionado, a caracterização da amostra utilizada e uma análise descritiva dos dados. Na </w:t>
      </w:r>
      <w:r w:rsidR="001B4F32">
        <w:rPr>
          <w:rFonts w:ascii="Garamond" w:hAnsi="Garamond"/>
          <w:i/>
          <w:iCs/>
          <w:sz w:val="24"/>
          <w:szCs w:val="24"/>
          <w:lang w:val="pt-PT"/>
        </w:rPr>
        <w:t>S</w:t>
      </w:r>
      <w:r w:rsidR="00921750" w:rsidRPr="004471F7">
        <w:rPr>
          <w:rFonts w:ascii="Garamond" w:hAnsi="Garamond"/>
          <w:i/>
          <w:iCs/>
          <w:sz w:val="24"/>
          <w:szCs w:val="24"/>
          <w:lang w:val="pt-PT"/>
        </w:rPr>
        <w:t xml:space="preserve">ecção </w:t>
      </w:r>
      <w:r w:rsidR="001B4F32">
        <w:rPr>
          <w:rFonts w:ascii="Garamond" w:hAnsi="Garamond"/>
          <w:i/>
          <w:iCs/>
          <w:sz w:val="24"/>
          <w:szCs w:val="24"/>
          <w:lang w:val="pt-PT"/>
        </w:rPr>
        <w:t>5</w:t>
      </w:r>
      <w:r w:rsidR="00921750" w:rsidRPr="00921750">
        <w:rPr>
          <w:rFonts w:ascii="Garamond" w:hAnsi="Garamond"/>
          <w:sz w:val="24"/>
          <w:szCs w:val="24"/>
          <w:lang w:val="pt-PT"/>
        </w:rPr>
        <w:t xml:space="preserve">, </w:t>
      </w:r>
      <w:r w:rsidR="00921750">
        <w:rPr>
          <w:rFonts w:ascii="Garamond" w:hAnsi="Garamond"/>
          <w:sz w:val="24"/>
          <w:szCs w:val="24"/>
          <w:lang w:val="pt-PT"/>
        </w:rPr>
        <w:t>procede</w:t>
      </w:r>
      <w:r w:rsidR="001B4F32">
        <w:rPr>
          <w:rFonts w:ascii="Garamond" w:hAnsi="Garamond"/>
          <w:sz w:val="24"/>
          <w:szCs w:val="24"/>
          <w:lang w:val="pt-PT"/>
        </w:rPr>
        <w:t>mos</w:t>
      </w:r>
      <w:r w:rsidR="00921750" w:rsidRPr="00921750">
        <w:rPr>
          <w:rFonts w:ascii="Garamond" w:hAnsi="Garamond"/>
          <w:sz w:val="24"/>
          <w:szCs w:val="24"/>
          <w:lang w:val="pt-PT"/>
        </w:rPr>
        <w:t xml:space="preserve"> à </w:t>
      </w:r>
      <w:r w:rsidR="00921750">
        <w:rPr>
          <w:rFonts w:ascii="Garamond" w:hAnsi="Garamond"/>
          <w:sz w:val="24"/>
          <w:szCs w:val="24"/>
          <w:lang w:val="pt-PT"/>
        </w:rPr>
        <w:t>a</w:t>
      </w:r>
      <w:r w:rsidR="00921750" w:rsidRPr="00921750">
        <w:rPr>
          <w:rFonts w:ascii="Garamond" w:hAnsi="Garamond"/>
          <w:sz w:val="24"/>
          <w:szCs w:val="24"/>
          <w:lang w:val="pt-PT"/>
        </w:rPr>
        <w:t xml:space="preserve">nálise </w:t>
      </w:r>
      <w:r w:rsidR="001B4F32">
        <w:rPr>
          <w:rFonts w:ascii="Garamond" w:hAnsi="Garamond"/>
          <w:sz w:val="24"/>
          <w:szCs w:val="24"/>
          <w:lang w:val="pt-PT"/>
        </w:rPr>
        <w:t xml:space="preserve">e discussão </w:t>
      </w:r>
      <w:r w:rsidR="00921750" w:rsidRPr="00921750">
        <w:rPr>
          <w:rFonts w:ascii="Garamond" w:hAnsi="Garamond"/>
          <w:sz w:val="24"/>
          <w:szCs w:val="24"/>
          <w:lang w:val="pt-PT"/>
        </w:rPr>
        <w:t xml:space="preserve">dos </w:t>
      </w:r>
      <w:r w:rsidR="00921750">
        <w:rPr>
          <w:rFonts w:ascii="Garamond" w:hAnsi="Garamond"/>
          <w:sz w:val="24"/>
          <w:szCs w:val="24"/>
          <w:lang w:val="pt-PT"/>
        </w:rPr>
        <w:t>r</w:t>
      </w:r>
      <w:r w:rsidR="00921750" w:rsidRPr="00921750">
        <w:rPr>
          <w:rFonts w:ascii="Garamond" w:hAnsi="Garamond"/>
          <w:sz w:val="24"/>
          <w:szCs w:val="24"/>
          <w:lang w:val="pt-PT"/>
        </w:rPr>
        <w:t>esultados</w:t>
      </w:r>
      <w:r w:rsidR="00B658D0">
        <w:rPr>
          <w:rFonts w:ascii="Garamond" w:hAnsi="Garamond"/>
          <w:sz w:val="24"/>
          <w:szCs w:val="24"/>
          <w:lang w:val="pt-PT"/>
        </w:rPr>
        <w:t>.</w:t>
      </w:r>
      <w:r w:rsidR="00921750">
        <w:rPr>
          <w:rFonts w:ascii="Garamond" w:hAnsi="Garamond"/>
          <w:sz w:val="24"/>
          <w:szCs w:val="24"/>
          <w:lang w:val="pt-PT"/>
        </w:rPr>
        <w:t xml:space="preserve"> Por fim, </w:t>
      </w:r>
      <w:r w:rsidR="00921750" w:rsidRPr="00921750">
        <w:rPr>
          <w:rFonts w:ascii="Garamond" w:hAnsi="Garamond"/>
          <w:sz w:val="24"/>
          <w:szCs w:val="24"/>
          <w:lang w:val="pt-PT"/>
        </w:rPr>
        <w:t xml:space="preserve">a </w:t>
      </w:r>
      <w:r w:rsidR="001B4F32">
        <w:rPr>
          <w:rFonts w:ascii="Garamond" w:hAnsi="Garamond"/>
          <w:sz w:val="24"/>
          <w:szCs w:val="24"/>
          <w:lang w:val="pt-PT"/>
        </w:rPr>
        <w:t xml:space="preserve">última secção </w:t>
      </w:r>
      <w:r w:rsidR="00921750" w:rsidRPr="00921750">
        <w:rPr>
          <w:rFonts w:ascii="Garamond" w:hAnsi="Garamond"/>
          <w:sz w:val="24"/>
          <w:szCs w:val="24"/>
          <w:lang w:val="pt-PT"/>
        </w:rPr>
        <w:t>é dedicada à</w:t>
      </w:r>
      <w:r w:rsidR="001B4F32">
        <w:rPr>
          <w:rFonts w:ascii="Garamond" w:hAnsi="Garamond"/>
          <w:sz w:val="24"/>
          <w:szCs w:val="24"/>
          <w:lang w:val="pt-PT"/>
        </w:rPr>
        <w:t>s</w:t>
      </w:r>
      <w:r w:rsidR="00921750" w:rsidRPr="00921750">
        <w:rPr>
          <w:rFonts w:ascii="Garamond" w:hAnsi="Garamond"/>
          <w:sz w:val="24"/>
          <w:szCs w:val="24"/>
          <w:lang w:val="pt-PT"/>
        </w:rPr>
        <w:t xml:space="preserve"> </w:t>
      </w:r>
      <w:r w:rsidR="00921750">
        <w:rPr>
          <w:rFonts w:ascii="Garamond" w:hAnsi="Garamond"/>
          <w:sz w:val="24"/>
          <w:szCs w:val="24"/>
          <w:lang w:val="pt-PT"/>
        </w:rPr>
        <w:t>c</w:t>
      </w:r>
      <w:r w:rsidR="00921750" w:rsidRPr="00921750">
        <w:rPr>
          <w:rFonts w:ascii="Garamond" w:hAnsi="Garamond"/>
          <w:sz w:val="24"/>
          <w:szCs w:val="24"/>
          <w:lang w:val="pt-PT"/>
        </w:rPr>
        <w:t>onclus</w:t>
      </w:r>
      <w:r w:rsidR="001B4F32">
        <w:rPr>
          <w:rFonts w:ascii="Garamond" w:hAnsi="Garamond"/>
          <w:sz w:val="24"/>
          <w:szCs w:val="24"/>
          <w:lang w:val="pt-PT"/>
        </w:rPr>
        <w:t>ões</w:t>
      </w:r>
      <w:r w:rsidR="004471F7">
        <w:rPr>
          <w:rFonts w:ascii="Garamond" w:hAnsi="Garamond"/>
          <w:sz w:val="24"/>
          <w:szCs w:val="24"/>
          <w:lang w:val="pt-PT"/>
        </w:rPr>
        <w:t>, onde são</w:t>
      </w:r>
      <w:r w:rsidR="00921750" w:rsidRPr="00921750">
        <w:rPr>
          <w:rFonts w:ascii="Garamond" w:hAnsi="Garamond"/>
          <w:sz w:val="24"/>
          <w:szCs w:val="24"/>
          <w:lang w:val="pt-PT"/>
        </w:rPr>
        <w:t xml:space="preserve"> sintetizados os principais resultados do estudo, discutidas as suas implicações no contexto teórico e prático, e sugeridas possíveis futuras investigações. </w:t>
      </w:r>
      <w:r w:rsidR="004471F7">
        <w:rPr>
          <w:rFonts w:ascii="Garamond" w:hAnsi="Garamond"/>
          <w:sz w:val="24"/>
          <w:szCs w:val="24"/>
          <w:lang w:val="pt-PT"/>
        </w:rPr>
        <w:t>Adicionalmente, s</w:t>
      </w:r>
      <w:r w:rsidR="00921750" w:rsidRPr="00921750">
        <w:rPr>
          <w:rFonts w:ascii="Garamond" w:hAnsi="Garamond"/>
          <w:sz w:val="24"/>
          <w:szCs w:val="24"/>
          <w:lang w:val="pt-PT"/>
        </w:rPr>
        <w:t xml:space="preserve">ão </w:t>
      </w:r>
      <w:r w:rsidR="001B4F32">
        <w:rPr>
          <w:rFonts w:ascii="Garamond" w:hAnsi="Garamond"/>
          <w:sz w:val="24"/>
          <w:szCs w:val="24"/>
          <w:lang w:val="pt-PT"/>
        </w:rPr>
        <w:t>apresentadas as</w:t>
      </w:r>
      <w:r w:rsidR="00921750" w:rsidRPr="00921750">
        <w:rPr>
          <w:rFonts w:ascii="Garamond" w:hAnsi="Garamond"/>
          <w:sz w:val="24"/>
          <w:szCs w:val="24"/>
          <w:lang w:val="pt-PT"/>
        </w:rPr>
        <w:t xml:space="preserve"> limitações do estudo</w:t>
      </w:r>
    </w:p>
    <w:p w14:paraId="685F807D" w14:textId="42EBA17F" w:rsidR="00921750" w:rsidRPr="00824EAA" w:rsidRDefault="00921750" w:rsidP="00824EAA">
      <w:pPr>
        <w:spacing w:line="360" w:lineRule="auto"/>
        <w:jc w:val="both"/>
        <w:rPr>
          <w:rFonts w:ascii="Garamond" w:hAnsi="Garamond"/>
          <w:sz w:val="24"/>
          <w:szCs w:val="24"/>
          <w:lang w:val="pt-PT"/>
        </w:rPr>
        <w:sectPr w:rsidR="00921750" w:rsidRPr="00824EAA" w:rsidSect="00EE31AB">
          <w:pgSz w:w="11906" w:h="16838"/>
          <w:pgMar w:top="1701" w:right="1418" w:bottom="1701" w:left="1985" w:header="709" w:footer="709" w:gutter="0"/>
          <w:pgNumType w:start="1"/>
          <w:cols w:space="708"/>
          <w:docGrid w:linePitch="360"/>
        </w:sectPr>
      </w:pPr>
    </w:p>
    <w:p w14:paraId="037104A9" w14:textId="4F46FB3D" w:rsidR="00D450E8" w:rsidRPr="002D7F08" w:rsidRDefault="00D450E8" w:rsidP="00060643">
      <w:pPr>
        <w:pStyle w:val="TtuloPrincipalTese"/>
      </w:pPr>
      <w:bookmarkStart w:id="14" w:name="_Toc153203459"/>
      <w:bookmarkStart w:id="15" w:name="_Toc176458036"/>
      <w:r w:rsidRPr="002D7F08">
        <w:lastRenderedPageBreak/>
        <w:t>Revisão de Literatura</w:t>
      </w:r>
      <w:bookmarkEnd w:id="14"/>
      <w:bookmarkEnd w:id="15"/>
    </w:p>
    <w:p w14:paraId="21CC6DD6" w14:textId="2E8FBF8B" w:rsidR="00D450E8" w:rsidRPr="002D7F08" w:rsidRDefault="00D450E8" w:rsidP="00425911">
      <w:pPr>
        <w:pStyle w:val="TtuloSecundrioTese"/>
      </w:pPr>
      <w:bookmarkStart w:id="16" w:name="_Toc153203460"/>
      <w:bookmarkStart w:id="17" w:name="_Toc176458037"/>
      <w:r w:rsidRPr="002D7F08">
        <w:t>Benefícios Fiscais</w:t>
      </w:r>
      <w:bookmarkEnd w:id="16"/>
      <w:bookmarkEnd w:id="17"/>
    </w:p>
    <w:p w14:paraId="4154298B" w14:textId="5FC2DC7A" w:rsidR="00CF6512" w:rsidRPr="002D7F08" w:rsidRDefault="004B36E5" w:rsidP="00642608">
      <w:pPr>
        <w:spacing w:line="360" w:lineRule="auto"/>
        <w:jc w:val="both"/>
        <w:rPr>
          <w:rFonts w:ascii="Garamond" w:hAnsi="Garamond"/>
          <w:sz w:val="24"/>
          <w:szCs w:val="24"/>
          <w:lang w:val="pt-PT"/>
        </w:rPr>
      </w:pPr>
      <w:r w:rsidRPr="002D7F08">
        <w:rPr>
          <w:rFonts w:ascii="Garamond" w:hAnsi="Garamond"/>
          <w:sz w:val="24"/>
          <w:szCs w:val="24"/>
          <w:lang w:val="pt-PT"/>
        </w:rPr>
        <w:t>Os benefícios fiscais são importantes políticas em muitos sistemas fiscais, quer em países desenvolvidos, quer em países em desenvolvimento. Nos países desenvolvidos, é comum haver incentivos fiscais direcionados para o investimento, geralmente incorporados nas leis de imposto sobre o rendimento. Por outro lado, nos países em desenvolvimento, a abordagem tende a ser mais variada, com uma combinação de incentivos específicos e mais amplos, que podem ser incluídos nas leis fiscais, leis de investimento e até mesmo em decretos governamentais</w:t>
      </w:r>
      <w:r w:rsidR="00CF6512" w:rsidRPr="002D7F08">
        <w:rPr>
          <w:rFonts w:ascii="Garamond" w:hAnsi="Garamond"/>
          <w:sz w:val="24"/>
          <w:szCs w:val="24"/>
          <w:lang w:val="pt-PT"/>
        </w:rPr>
        <w:t xml:space="preserve"> (</w:t>
      </w:r>
      <w:proofErr w:type="spellStart"/>
      <w:r w:rsidR="00CF6512" w:rsidRPr="002D7F08">
        <w:rPr>
          <w:rFonts w:ascii="Garamond" w:hAnsi="Garamond"/>
          <w:sz w:val="24"/>
          <w:szCs w:val="24"/>
          <w:lang w:val="pt-PT"/>
        </w:rPr>
        <w:t>Zee</w:t>
      </w:r>
      <w:proofErr w:type="spellEnd"/>
      <w:r w:rsidR="00CF6512" w:rsidRPr="002D7F08">
        <w:rPr>
          <w:rFonts w:ascii="Garamond" w:hAnsi="Garamond"/>
          <w:sz w:val="24"/>
          <w:szCs w:val="24"/>
          <w:lang w:val="pt-PT"/>
        </w:rPr>
        <w:t>, 2002)</w:t>
      </w:r>
      <w:r w:rsidRPr="002D7F08">
        <w:rPr>
          <w:rFonts w:ascii="Garamond" w:hAnsi="Garamond"/>
          <w:sz w:val="24"/>
          <w:szCs w:val="24"/>
          <w:lang w:val="pt-PT"/>
        </w:rPr>
        <w:t>.</w:t>
      </w:r>
    </w:p>
    <w:p w14:paraId="3A9E6530" w14:textId="791F3800" w:rsidR="00D450E8" w:rsidRPr="002D7F08" w:rsidRDefault="00D450E8"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De acordo com </w:t>
      </w:r>
      <w:proofErr w:type="spellStart"/>
      <w:r w:rsidRPr="002D7F08">
        <w:rPr>
          <w:rFonts w:ascii="Garamond" w:hAnsi="Garamond"/>
          <w:sz w:val="24"/>
          <w:szCs w:val="24"/>
          <w:lang w:val="pt-PT"/>
        </w:rPr>
        <w:t>Klemm</w:t>
      </w:r>
      <w:proofErr w:type="spellEnd"/>
      <w:r w:rsidR="00D864B6" w:rsidRPr="002D7F08">
        <w:rPr>
          <w:rFonts w:ascii="Garamond" w:hAnsi="Garamond"/>
          <w:sz w:val="24"/>
          <w:szCs w:val="24"/>
          <w:lang w:val="pt-PT"/>
        </w:rPr>
        <w:t xml:space="preserve"> </w:t>
      </w:r>
      <w:r w:rsidRPr="002D7F08">
        <w:rPr>
          <w:rFonts w:ascii="Garamond" w:hAnsi="Garamond"/>
          <w:sz w:val="24"/>
          <w:szCs w:val="24"/>
          <w:lang w:val="pt-PT"/>
        </w:rPr>
        <w:t xml:space="preserve">(2010), os incentivos fiscais consistem em medidas que, de forma explícita, oferecem um tratamento fiscal mais benéfico para certas atividades ou setores, em comparação com o que é concedido à indústria em geral. Esta definição exclui reduções gerais nas taxas de impostos ou estratégias de depreciação que se apliquem a todas as empresas. É importante notar que tais incentivos não necessitam de ser estabelecidos em códigos fiscais especiais. Os mesmos podem ser integrados na legislação tributária existente. </w:t>
      </w:r>
    </w:p>
    <w:p w14:paraId="1676746E" w14:textId="795FB9E1" w:rsidR="000150B0" w:rsidRPr="002D7F08" w:rsidRDefault="000150B0" w:rsidP="00642608">
      <w:pPr>
        <w:spacing w:line="360" w:lineRule="auto"/>
        <w:jc w:val="both"/>
        <w:rPr>
          <w:rFonts w:ascii="Garamond" w:hAnsi="Garamond"/>
          <w:sz w:val="24"/>
          <w:szCs w:val="24"/>
          <w:lang w:val="pt-PT"/>
        </w:rPr>
      </w:pPr>
      <w:r w:rsidRPr="002D7F08">
        <w:rPr>
          <w:rFonts w:ascii="Garamond" w:hAnsi="Garamond"/>
          <w:sz w:val="24"/>
          <w:szCs w:val="24"/>
          <w:lang w:val="pt-PT"/>
        </w:rPr>
        <w:t>Os países têm vindo a utilizar os benefícios fiscais com o intuito de alcançarem determinados objetivos. Em muitos casos, a principal motivação para conceder esses incentivos é estimular o investimento em geral e, especialmente em países em desenvolvimento, atrair o Investimento Direto Estrangeiro (IDE). Adicionalmente, outros objetivos frequentemente mencionados incluem a redução do desemprego, o estímulo a setores económicos específicos ou tipos de atividades por razões de política económica ou social, e a promoção do desenvolvimento regional. Muitas vezes, os países procuram obter múltiplos objetivos com os incentivos fiscais (</w:t>
      </w:r>
      <w:proofErr w:type="spellStart"/>
      <w:r w:rsidRPr="002D7F08">
        <w:rPr>
          <w:rFonts w:ascii="Garamond" w:hAnsi="Garamond"/>
          <w:sz w:val="24"/>
          <w:szCs w:val="24"/>
          <w:lang w:val="pt-PT"/>
        </w:rPr>
        <w:t>Zee</w:t>
      </w:r>
      <w:proofErr w:type="spellEnd"/>
      <w:r w:rsidRPr="002D7F08">
        <w:rPr>
          <w:rFonts w:ascii="Garamond" w:hAnsi="Garamond"/>
          <w:sz w:val="24"/>
          <w:szCs w:val="24"/>
          <w:lang w:val="pt-PT"/>
        </w:rPr>
        <w:t>, 2002).</w:t>
      </w:r>
    </w:p>
    <w:p w14:paraId="69C042F9" w14:textId="2F0D4342" w:rsidR="008232ED" w:rsidRDefault="00D450E8"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Enquanto Estado-Membro da União Europeia, Portugal tem seguido as suas diretrizes e disponibilizado diversos incentivos fiscais com o propósito de promover o desempenho das empresas (Aldeia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2021).</w:t>
      </w:r>
      <w:bookmarkStart w:id="18" w:name="_Toc153203461"/>
    </w:p>
    <w:p w14:paraId="0A15B658" w14:textId="77777777" w:rsidR="008232ED" w:rsidRDefault="008232ED" w:rsidP="008232ED">
      <w:pPr>
        <w:spacing w:line="360" w:lineRule="auto"/>
        <w:rPr>
          <w:rFonts w:ascii="Garamond" w:hAnsi="Garamond"/>
          <w:sz w:val="24"/>
          <w:szCs w:val="24"/>
          <w:lang w:val="pt-PT"/>
        </w:rPr>
      </w:pPr>
    </w:p>
    <w:p w14:paraId="6A5F6DAC" w14:textId="77777777" w:rsidR="00161887" w:rsidRDefault="00161887" w:rsidP="008232ED">
      <w:pPr>
        <w:spacing w:line="360" w:lineRule="auto"/>
        <w:rPr>
          <w:rFonts w:ascii="Garamond" w:hAnsi="Garamond"/>
          <w:sz w:val="24"/>
          <w:szCs w:val="24"/>
          <w:lang w:val="pt-PT"/>
        </w:rPr>
      </w:pPr>
    </w:p>
    <w:p w14:paraId="0FFB3119" w14:textId="77777777" w:rsidR="00B96A13" w:rsidRPr="008232ED" w:rsidRDefault="00B96A13" w:rsidP="008232ED">
      <w:pPr>
        <w:spacing w:line="360" w:lineRule="auto"/>
        <w:rPr>
          <w:rFonts w:ascii="Garamond" w:hAnsi="Garamond"/>
          <w:sz w:val="24"/>
          <w:szCs w:val="24"/>
          <w:lang w:val="pt-PT"/>
        </w:rPr>
      </w:pPr>
    </w:p>
    <w:p w14:paraId="2FC1F58D" w14:textId="5FB5CD56" w:rsidR="00D450E8" w:rsidRPr="002D7F08" w:rsidRDefault="00D450E8" w:rsidP="00425911">
      <w:pPr>
        <w:pStyle w:val="TtuloSecundrioTese"/>
      </w:pPr>
      <w:bookmarkStart w:id="19" w:name="_Toc176458038"/>
      <w:r w:rsidRPr="002D7F08">
        <w:lastRenderedPageBreak/>
        <w:t>CFEI II</w:t>
      </w:r>
      <w:bookmarkEnd w:id="18"/>
      <w:bookmarkEnd w:id="19"/>
    </w:p>
    <w:p w14:paraId="3DA47425" w14:textId="77777777" w:rsidR="00842302" w:rsidRPr="002D7F08" w:rsidRDefault="00D450E8" w:rsidP="00642608">
      <w:pPr>
        <w:spacing w:line="360" w:lineRule="auto"/>
        <w:jc w:val="both"/>
        <w:rPr>
          <w:rFonts w:ascii="Garamond" w:hAnsi="Garamond"/>
          <w:sz w:val="24"/>
          <w:szCs w:val="24"/>
          <w:lang w:val="pt-PT"/>
        </w:rPr>
      </w:pPr>
      <w:r w:rsidRPr="002D7F08">
        <w:rPr>
          <w:rFonts w:ascii="Garamond" w:hAnsi="Garamond"/>
          <w:sz w:val="24"/>
          <w:szCs w:val="24"/>
          <w:lang w:val="pt-PT"/>
        </w:rPr>
        <w:t>O Crédito Fiscal Extraordinário de Investimento II (CFEI II) é um benefício fiscal reintroduzido pelo Orçamento de Estado Suplementar para 2020, permitindo às empresas deduzirem parte dos investimentos feitos entre julho de 2020 e junho de 2021. Este benefício está disponível para sujeitos passivos de IRC envolvidos em atividades comerciais, industriais ou agrícolas, desde que cumpram certas condições,</w:t>
      </w:r>
      <w:r w:rsidR="00842302" w:rsidRPr="002D7F08">
        <w:rPr>
          <w:rFonts w:ascii="Garamond" w:hAnsi="Garamond"/>
          <w:sz w:val="24"/>
          <w:szCs w:val="24"/>
          <w:lang w:val="pt-PT"/>
        </w:rPr>
        <w:t xml:space="preserve"> tais</w:t>
      </w:r>
      <w:r w:rsidRPr="002D7F08">
        <w:rPr>
          <w:rFonts w:ascii="Garamond" w:hAnsi="Garamond"/>
          <w:sz w:val="24"/>
          <w:szCs w:val="24"/>
          <w:lang w:val="pt-PT"/>
        </w:rPr>
        <w:t xml:space="preserve"> como</w:t>
      </w:r>
      <w:r w:rsidR="00842302" w:rsidRPr="002D7F08">
        <w:rPr>
          <w:rFonts w:ascii="Garamond" w:hAnsi="Garamond"/>
          <w:sz w:val="24"/>
          <w:szCs w:val="24"/>
          <w:lang w:val="pt-PT"/>
        </w:rPr>
        <w:t>:</w:t>
      </w:r>
    </w:p>
    <w:p w14:paraId="0C629EE6" w14:textId="50CD2C3A" w:rsidR="00842302" w:rsidRPr="002D7F08" w:rsidRDefault="003874F0" w:rsidP="00642608">
      <w:pPr>
        <w:pStyle w:val="ListParagraph"/>
        <w:numPr>
          <w:ilvl w:val="0"/>
          <w:numId w:val="2"/>
        </w:numPr>
        <w:spacing w:line="360" w:lineRule="auto"/>
        <w:jc w:val="both"/>
        <w:rPr>
          <w:rFonts w:ascii="Garamond" w:hAnsi="Garamond"/>
          <w:sz w:val="24"/>
          <w:szCs w:val="24"/>
          <w:lang w:val="pt-PT"/>
        </w:rPr>
      </w:pPr>
      <w:r w:rsidRPr="002D7F08">
        <w:rPr>
          <w:rFonts w:ascii="Garamond" w:hAnsi="Garamond"/>
          <w:sz w:val="24"/>
          <w:szCs w:val="24"/>
          <w:lang w:val="pt-PT"/>
        </w:rPr>
        <w:t xml:space="preserve">Ter </w:t>
      </w:r>
      <w:r w:rsidR="00D450E8" w:rsidRPr="002D7F08">
        <w:rPr>
          <w:rFonts w:ascii="Garamond" w:hAnsi="Garamond"/>
          <w:sz w:val="24"/>
          <w:szCs w:val="24"/>
          <w:lang w:val="pt-PT"/>
        </w:rPr>
        <w:t>contabilidade organizada</w:t>
      </w:r>
      <w:r w:rsidR="00842302" w:rsidRPr="002D7F08">
        <w:rPr>
          <w:rFonts w:ascii="Garamond" w:hAnsi="Garamond"/>
          <w:sz w:val="24"/>
          <w:szCs w:val="24"/>
          <w:lang w:val="pt-PT"/>
        </w:rPr>
        <w:t>;</w:t>
      </w:r>
    </w:p>
    <w:p w14:paraId="463097A3" w14:textId="20CA1A30" w:rsidR="00842302" w:rsidRPr="002D7F08" w:rsidRDefault="00842302" w:rsidP="00642608">
      <w:pPr>
        <w:pStyle w:val="ListParagraph"/>
        <w:numPr>
          <w:ilvl w:val="0"/>
          <w:numId w:val="2"/>
        </w:numPr>
        <w:spacing w:line="360" w:lineRule="auto"/>
        <w:jc w:val="both"/>
        <w:rPr>
          <w:rFonts w:ascii="Garamond" w:hAnsi="Garamond"/>
          <w:sz w:val="24"/>
          <w:szCs w:val="24"/>
          <w:lang w:val="pt-PT"/>
        </w:rPr>
      </w:pPr>
      <w:r w:rsidRPr="002D7F08">
        <w:rPr>
          <w:rFonts w:ascii="Garamond" w:hAnsi="Garamond"/>
          <w:sz w:val="24"/>
          <w:szCs w:val="24"/>
          <w:lang w:val="pt-PT"/>
        </w:rPr>
        <w:t>M</w:t>
      </w:r>
      <w:r w:rsidR="00D450E8" w:rsidRPr="002D7F08">
        <w:rPr>
          <w:rFonts w:ascii="Garamond" w:hAnsi="Garamond"/>
          <w:sz w:val="24"/>
          <w:szCs w:val="24"/>
          <w:lang w:val="pt-PT"/>
        </w:rPr>
        <w:t>anter a regularidade tributária</w:t>
      </w:r>
      <w:r w:rsidRPr="002D7F08">
        <w:rPr>
          <w:rFonts w:ascii="Garamond" w:hAnsi="Garamond"/>
          <w:sz w:val="24"/>
          <w:szCs w:val="24"/>
          <w:lang w:val="pt-PT"/>
        </w:rPr>
        <w:t>;</w:t>
      </w:r>
    </w:p>
    <w:p w14:paraId="0E5907A6" w14:textId="762922A9" w:rsidR="00842302" w:rsidRPr="002D7F08" w:rsidRDefault="00842302" w:rsidP="00642608">
      <w:pPr>
        <w:pStyle w:val="ListParagraph"/>
        <w:numPr>
          <w:ilvl w:val="0"/>
          <w:numId w:val="2"/>
        </w:numPr>
        <w:spacing w:line="360" w:lineRule="auto"/>
        <w:jc w:val="both"/>
        <w:rPr>
          <w:rFonts w:ascii="Garamond" w:hAnsi="Garamond"/>
          <w:sz w:val="24"/>
          <w:szCs w:val="24"/>
          <w:lang w:val="pt-PT"/>
        </w:rPr>
      </w:pPr>
      <w:r w:rsidRPr="002D7F08">
        <w:rPr>
          <w:rFonts w:ascii="Garamond" w:hAnsi="Garamond"/>
          <w:sz w:val="24"/>
          <w:szCs w:val="24"/>
          <w:lang w:val="pt-PT"/>
        </w:rPr>
        <w:t>Mante</w:t>
      </w:r>
      <w:r w:rsidR="006C119F" w:rsidRPr="002D7F08">
        <w:rPr>
          <w:rFonts w:ascii="Garamond" w:hAnsi="Garamond"/>
          <w:sz w:val="24"/>
          <w:szCs w:val="24"/>
          <w:lang w:val="pt-PT"/>
        </w:rPr>
        <w:t>r</w:t>
      </w:r>
      <w:r w:rsidRPr="002D7F08">
        <w:rPr>
          <w:rFonts w:ascii="Garamond" w:hAnsi="Garamond"/>
          <w:sz w:val="24"/>
          <w:szCs w:val="24"/>
          <w:lang w:val="pt-PT"/>
        </w:rPr>
        <w:t xml:space="preserve"> os postos de trabalho</w:t>
      </w:r>
      <w:r w:rsidR="00D450E8" w:rsidRPr="002D7F08">
        <w:rPr>
          <w:rFonts w:ascii="Garamond" w:hAnsi="Garamond"/>
          <w:sz w:val="24"/>
          <w:szCs w:val="24"/>
          <w:lang w:val="pt-PT"/>
        </w:rPr>
        <w:t xml:space="preserve"> por três anos</w:t>
      </w:r>
      <w:r w:rsidRPr="002D7F08">
        <w:rPr>
          <w:rFonts w:ascii="Garamond" w:hAnsi="Garamond"/>
          <w:sz w:val="24"/>
          <w:szCs w:val="24"/>
          <w:lang w:val="pt-PT"/>
        </w:rPr>
        <w:t>;</w:t>
      </w:r>
    </w:p>
    <w:p w14:paraId="3EF5FFBC" w14:textId="1EF5C867" w:rsidR="00D450E8" w:rsidRPr="002D7F08" w:rsidRDefault="00842302" w:rsidP="00642608">
      <w:pPr>
        <w:pStyle w:val="ListParagraph"/>
        <w:numPr>
          <w:ilvl w:val="0"/>
          <w:numId w:val="2"/>
        </w:numPr>
        <w:spacing w:line="360" w:lineRule="auto"/>
        <w:jc w:val="both"/>
        <w:rPr>
          <w:rFonts w:ascii="Garamond" w:hAnsi="Garamond"/>
          <w:sz w:val="24"/>
          <w:szCs w:val="24"/>
          <w:lang w:val="pt-PT"/>
        </w:rPr>
      </w:pPr>
      <w:r w:rsidRPr="002D7F08">
        <w:rPr>
          <w:rFonts w:ascii="Garamond" w:hAnsi="Garamond"/>
          <w:sz w:val="24"/>
          <w:szCs w:val="24"/>
          <w:lang w:val="pt-PT"/>
        </w:rPr>
        <w:t>O</w:t>
      </w:r>
      <w:r w:rsidR="00D450E8" w:rsidRPr="002D7F08">
        <w:rPr>
          <w:rFonts w:ascii="Garamond" w:hAnsi="Garamond"/>
          <w:sz w:val="24"/>
          <w:szCs w:val="24"/>
          <w:lang w:val="pt-PT"/>
        </w:rPr>
        <w:t xml:space="preserve"> seu lucro tributável não ser determinado por métodos indiretos.</w:t>
      </w:r>
    </w:p>
    <w:p w14:paraId="7E609D25" w14:textId="77777777" w:rsidR="00D450E8" w:rsidRPr="002D7F08" w:rsidRDefault="00D450E8" w:rsidP="00642608">
      <w:pPr>
        <w:spacing w:line="360" w:lineRule="auto"/>
        <w:jc w:val="both"/>
        <w:rPr>
          <w:rFonts w:ascii="Garamond" w:hAnsi="Garamond"/>
          <w:sz w:val="24"/>
          <w:szCs w:val="24"/>
          <w:lang w:val="pt-PT"/>
        </w:rPr>
      </w:pPr>
      <w:r w:rsidRPr="002D7F08">
        <w:rPr>
          <w:rFonts w:ascii="Garamond" w:hAnsi="Garamond"/>
          <w:sz w:val="24"/>
          <w:szCs w:val="24"/>
          <w:lang w:val="pt-PT"/>
        </w:rPr>
        <w:t>Os tipos de investimentos elegíveis incluem:</w:t>
      </w:r>
    </w:p>
    <w:p w14:paraId="5B798A14" w14:textId="30099646" w:rsidR="00D450E8" w:rsidRPr="002D7F08" w:rsidRDefault="00D450E8" w:rsidP="00642608">
      <w:pPr>
        <w:pStyle w:val="ListParagraph"/>
        <w:numPr>
          <w:ilvl w:val="0"/>
          <w:numId w:val="1"/>
        </w:numPr>
        <w:spacing w:line="360" w:lineRule="auto"/>
        <w:jc w:val="both"/>
        <w:rPr>
          <w:rFonts w:ascii="Garamond" w:hAnsi="Garamond"/>
          <w:sz w:val="24"/>
          <w:szCs w:val="24"/>
          <w:lang w:val="pt-PT"/>
        </w:rPr>
      </w:pPr>
      <w:r w:rsidRPr="002D7F08">
        <w:rPr>
          <w:rFonts w:ascii="Garamond" w:hAnsi="Garamond"/>
          <w:sz w:val="24"/>
          <w:szCs w:val="24"/>
          <w:lang w:val="pt-PT"/>
        </w:rPr>
        <w:t>A</w:t>
      </w:r>
      <w:r w:rsidR="006C119F" w:rsidRPr="002D7F08">
        <w:rPr>
          <w:rFonts w:ascii="Garamond" w:hAnsi="Garamond"/>
          <w:sz w:val="24"/>
          <w:szCs w:val="24"/>
          <w:lang w:val="pt-PT"/>
        </w:rPr>
        <w:t>quisição de a</w:t>
      </w:r>
      <w:r w:rsidRPr="002D7F08">
        <w:rPr>
          <w:rFonts w:ascii="Garamond" w:hAnsi="Garamond"/>
          <w:sz w:val="24"/>
          <w:szCs w:val="24"/>
          <w:lang w:val="pt-PT"/>
        </w:rPr>
        <w:t>tivos fixos tangíveis como máquinas e equipamentos produtivos;</w:t>
      </w:r>
    </w:p>
    <w:p w14:paraId="60B301FF" w14:textId="77777777" w:rsidR="00D450E8" w:rsidRPr="002D7F08" w:rsidRDefault="00D450E8" w:rsidP="00642608">
      <w:pPr>
        <w:pStyle w:val="ListParagraph"/>
        <w:numPr>
          <w:ilvl w:val="0"/>
          <w:numId w:val="1"/>
        </w:numPr>
        <w:spacing w:line="360" w:lineRule="auto"/>
        <w:jc w:val="both"/>
        <w:rPr>
          <w:rFonts w:ascii="Garamond" w:hAnsi="Garamond"/>
          <w:sz w:val="24"/>
          <w:szCs w:val="24"/>
          <w:lang w:val="pt-PT"/>
        </w:rPr>
      </w:pPr>
      <w:r w:rsidRPr="002D7F08">
        <w:rPr>
          <w:rFonts w:ascii="Garamond" w:hAnsi="Garamond"/>
          <w:sz w:val="24"/>
          <w:szCs w:val="24"/>
          <w:lang w:val="pt-PT"/>
        </w:rPr>
        <w:t>Construção, aquisição, reparação e ampliação de quaisquer edifícios, se afetos a atividades produtivas ou administrativas;</w:t>
      </w:r>
    </w:p>
    <w:p w14:paraId="4E608095" w14:textId="77777777" w:rsidR="00D450E8" w:rsidRPr="002D7F08" w:rsidRDefault="00D450E8" w:rsidP="00642608">
      <w:pPr>
        <w:pStyle w:val="ListParagraph"/>
        <w:numPr>
          <w:ilvl w:val="0"/>
          <w:numId w:val="1"/>
        </w:numPr>
        <w:spacing w:line="360" w:lineRule="auto"/>
        <w:jc w:val="both"/>
        <w:rPr>
          <w:rFonts w:ascii="Garamond" w:hAnsi="Garamond"/>
          <w:sz w:val="24"/>
          <w:szCs w:val="24"/>
          <w:lang w:val="pt-PT"/>
        </w:rPr>
      </w:pPr>
      <w:r w:rsidRPr="002D7F08">
        <w:rPr>
          <w:rFonts w:ascii="Garamond" w:hAnsi="Garamond"/>
          <w:sz w:val="24"/>
          <w:szCs w:val="24"/>
          <w:lang w:val="pt-PT"/>
        </w:rPr>
        <w:t>Mobiliário e artigos de conforto ou decoração, se afetos à atividade produtiva ou administrativa;</w:t>
      </w:r>
    </w:p>
    <w:p w14:paraId="6731B203" w14:textId="77777777" w:rsidR="00D450E8" w:rsidRPr="002D7F08" w:rsidRDefault="00D450E8" w:rsidP="00642608">
      <w:pPr>
        <w:pStyle w:val="ListParagraph"/>
        <w:numPr>
          <w:ilvl w:val="0"/>
          <w:numId w:val="1"/>
        </w:numPr>
        <w:spacing w:line="360" w:lineRule="auto"/>
        <w:jc w:val="both"/>
        <w:rPr>
          <w:rFonts w:ascii="Garamond" w:hAnsi="Garamond"/>
          <w:sz w:val="24"/>
          <w:szCs w:val="24"/>
          <w:lang w:val="pt-PT"/>
        </w:rPr>
      </w:pPr>
      <w:r w:rsidRPr="002D7F08">
        <w:rPr>
          <w:rFonts w:ascii="Garamond" w:hAnsi="Garamond"/>
          <w:sz w:val="24"/>
          <w:szCs w:val="24"/>
          <w:lang w:val="pt-PT"/>
        </w:rPr>
        <w:t>Ativos biológicos, que não sejam consumíveis;</w:t>
      </w:r>
    </w:p>
    <w:p w14:paraId="78870DC7" w14:textId="77777777" w:rsidR="00D450E8" w:rsidRPr="002D7F08" w:rsidRDefault="00D450E8" w:rsidP="00642608">
      <w:pPr>
        <w:pStyle w:val="ListParagraph"/>
        <w:numPr>
          <w:ilvl w:val="0"/>
          <w:numId w:val="1"/>
        </w:numPr>
        <w:spacing w:line="360" w:lineRule="auto"/>
        <w:jc w:val="both"/>
        <w:rPr>
          <w:rFonts w:ascii="Garamond" w:hAnsi="Garamond"/>
          <w:sz w:val="24"/>
          <w:szCs w:val="24"/>
          <w:lang w:val="pt-PT"/>
        </w:rPr>
      </w:pPr>
      <w:r w:rsidRPr="002D7F08">
        <w:rPr>
          <w:rFonts w:ascii="Garamond" w:hAnsi="Garamond"/>
          <w:sz w:val="24"/>
          <w:szCs w:val="24"/>
          <w:lang w:val="pt-PT"/>
        </w:rPr>
        <w:t>As despesas com elementos da propriedade industrial;</w:t>
      </w:r>
    </w:p>
    <w:p w14:paraId="702892B0" w14:textId="77777777" w:rsidR="00D450E8" w:rsidRPr="002D7F08" w:rsidRDefault="00D450E8" w:rsidP="00642608">
      <w:pPr>
        <w:pStyle w:val="ListParagraph"/>
        <w:numPr>
          <w:ilvl w:val="0"/>
          <w:numId w:val="1"/>
        </w:numPr>
        <w:spacing w:line="360" w:lineRule="auto"/>
        <w:jc w:val="both"/>
        <w:rPr>
          <w:rFonts w:ascii="Garamond" w:hAnsi="Garamond"/>
          <w:sz w:val="24"/>
          <w:szCs w:val="24"/>
          <w:lang w:val="pt-PT"/>
        </w:rPr>
      </w:pPr>
      <w:r w:rsidRPr="002D7F08">
        <w:rPr>
          <w:rFonts w:ascii="Garamond" w:hAnsi="Garamond"/>
          <w:sz w:val="24"/>
          <w:szCs w:val="24"/>
          <w:lang w:val="pt-PT"/>
        </w:rPr>
        <w:t>Despesas com projetos de desenvolvimento.</w:t>
      </w:r>
    </w:p>
    <w:p w14:paraId="5F904C77" w14:textId="77777777" w:rsidR="00D450E8" w:rsidRPr="002D7F08" w:rsidRDefault="00D450E8" w:rsidP="00642608">
      <w:pPr>
        <w:spacing w:line="360" w:lineRule="auto"/>
        <w:jc w:val="both"/>
        <w:rPr>
          <w:rFonts w:ascii="Garamond" w:hAnsi="Garamond"/>
          <w:sz w:val="24"/>
          <w:szCs w:val="24"/>
          <w:lang w:val="pt-PT"/>
        </w:rPr>
      </w:pPr>
      <w:r w:rsidRPr="002D7F08">
        <w:rPr>
          <w:rFonts w:ascii="Garamond" w:hAnsi="Garamond"/>
          <w:sz w:val="24"/>
          <w:szCs w:val="24"/>
          <w:lang w:val="pt-PT"/>
        </w:rPr>
        <w:t>As empresas podem deduzir 20% desses investimentos na sua coleta de impostos para os anos de 2020 e 2021, com um limite de 5 000 000€. A dedução à coleta é permitida até 70% da mesma em cada ano e se a dedução não for possível devido à insuficiência de impostos a pagar, o montante não utilizado pode ser reportado nos cinco anos seguintes.</w:t>
      </w:r>
    </w:p>
    <w:p w14:paraId="3DD26C0A" w14:textId="77777777" w:rsidR="00D450E8" w:rsidRPr="002D7F08" w:rsidRDefault="00D450E8" w:rsidP="000942BF">
      <w:pPr>
        <w:spacing w:line="360" w:lineRule="auto"/>
        <w:rPr>
          <w:rFonts w:ascii="Garamond" w:hAnsi="Garamond"/>
          <w:b/>
          <w:bCs/>
          <w:sz w:val="24"/>
          <w:szCs w:val="24"/>
          <w:lang w:val="pt-PT"/>
        </w:rPr>
      </w:pPr>
    </w:p>
    <w:p w14:paraId="4C878A4F" w14:textId="79A781FB" w:rsidR="00D450E8" w:rsidRPr="002D7F08" w:rsidRDefault="00D450E8" w:rsidP="00425911">
      <w:pPr>
        <w:pStyle w:val="TtuloSecundrioTese"/>
      </w:pPr>
      <w:bookmarkStart w:id="20" w:name="_Toc153203462"/>
      <w:bookmarkStart w:id="21" w:name="_Toc176458039"/>
      <w:r w:rsidRPr="002D7F08">
        <w:t>Investimento</w:t>
      </w:r>
      <w:bookmarkEnd w:id="20"/>
      <w:r w:rsidR="008B5B93" w:rsidRPr="002D7F08">
        <w:t xml:space="preserve"> </w:t>
      </w:r>
      <w:r w:rsidR="00265708" w:rsidRPr="002D7F08">
        <w:t>Empresarial</w:t>
      </w:r>
      <w:bookmarkEnd w:id="21"/>
    </w:p>
    <w:p w14:paraId="1DFB7D4F" w14:textId="1E2DCFB8" w:rsidR="006D0F7E" w:rsidRPr="002D7F08" w:rsidRDefault="006D0F7E"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Conforme mencionado anteriormente, o objetivo deste estudo consiste em </w:t>
      </w:r>
      <w:r w:rsidR="0075538D" w:rsidRPr="002D7F08">
        <w:rPr>
          <w:rFonts w:ascii="Garamond" w:hAnsi="Garamond"/>
          <w:sz w:val="24"/>
          <w:szCs w:val="24"/>
          <w:lang w:val="pt-PT"/>
        </w:rPr>
        <w:t>compreender</w:t>
      </w:r>
      <w:r w:rsidRPr="002D7F08">
        <w:rPr>
          <w:rFonts w:ascii="Garamond" w:hAnsi="Garamond"/>
          <w:sz w:val="24"/>
          <w:szCs w:val="24"/>
          <w:lang w:val="pt-PT"/>
        </w:rPr>
        <w:t xml:space="preserve"> se a introdução do CFEI II conduziu as empresas a anteciparem o investimento empresarial (em ativos fixos tangíveis e intangíveis). </w:t>
      </w:r>
    </w:p>
    <w:p w14:paraId="2A09B4CD" w14:textId="6C881FFB" w:rsidR="001A3E4B" w:rsidRPr="002D7F08" w:rsidRDefault="001A3E4B" w:rsidP="00642608">
      <w:pPr>
        <w:spacing w:line="360" w:lineRule="auto"/>
        <w:jc w:val="both"/>
        <w:rPr>
          <w:rFonts w:ascii="Garamond" w:hAnsi="Garamond"/>
          <w:sz w:val="24"/>
          <w:szCs w:val="24"/>
          <w:lang w:val="pt-PT"/>
        </w:rPr>
      </w:pPr>
      <w:r w:rsidRPr="002D7F08">
        <w:rPr>
          <w:rFonts w:ascii="Garamond" w:hAnsi="Garamond"/>
          <w:sz w:val="24"/>
          <w:szCs w:val="24"/>
          <w:lang w:val="pt-PT"/>
        </w:rPr>
        <w:lastRenderedPageBreak/>
        <w:t xml:space="preserve">De acordo com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o conceito de investimento engloba uma variedade de atividades distintas. De forma geral, investir implica adiar o consumo de recursos (ou dos seus benefícios) com vista a ampliar as oportunidades de consumo no futuro.</w:t>
      </w:r>
    </w:p>
    <w:p w14:paraId="27D2EAA5" w14:textId="50D257BE" w:rsidR="00AA79CF" w:rsidRPr="002D7F08" w:rsidRDefault="008B5B93"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Farooq</w:t>
      </w:r>
      <w:proofErr w:type="spellEnd"/>
      <w:r w:rsidRPr="002D7F08">
        <w:rPr>
          <w:rFonts w:ascii="Garamond" w:hAnsi="Garamond"/>
          <w:sz w:val="24"/>
          <w:szCs w:val="24"/>
          <w:lang w:val="pt-PT"/>
        </w:rPr>
        <w:t xml:space="preserve"> et al., (2022)</w:t>
      </w:r>
      <w:r w:rsidR="00497804" w:rsidRPr="002D7F08">
        <w:rPr>
          <w:rFonts w:ascii="Garamond" w:hAnsi="Garamond"/>
          <w:sz w:val="24"/>
          <w:szCs w:val="24"/>
          <w:lang w:val="pt-PT"/>
        </w:rPr>
        <w:t xml:space="preserve"> </w:t>
      </w:r>
      <w:r w:rsidR="00AA79CF" w:rsidRPr="002D7F08">
        <w:rPr>
          <w:rFonts w:ascii="Garamond" w:hAnsi="Garamond"/>
          <w:sz w:val="24"/>
          <w:szCs w:val="24"/>
          <w:lang w:val="pt-PT"/>
        </w:rPr>
        <w:t>m</w:t>
      </w:r>
      <w:r w:rsidR="0077439E" w:rsidRPr="002D7F08">
        <w:rPr>
          <w:rFonts w:ascii="Garamond" w:hAnsi="Garamond"/>
          <w:sz w:val="24"/>
          <w:szCs w:val="24"/>
          <w:lang w:val="pt-PT"/>
        </w:rPr>
        <w:t>encionam</w:t>
      </w:r>
      <w:r w:rsidR="00AA79CF" w:rsidRPr="002D7F08">
        <w:rPr>
          <w:rFonts w:ascii="Garamond" w:hAnsi="Garamond"/>
          <w:sz w:val="24"/>
          <w:szCs w:val="24"/>
          <w:lang w:val="pt-PT"/>
        </w:rPr>
        <w:t xml:space="preserve"> que </w:t>
      </w:r>
      <w:r w:rsidR="00783918" w:rsidRPr="002D7F08">
        <w:rPr>
          <w:rFonts w:ascii="Garamond" w:hAnsi="Garamond"/>
          <w:sz w:val="24"/>
          <w:szCs w:val="24"/>
          <w:lang w:val="pt-PT"/>
        </w:rPr>
        <w:t xml:space="preserve">diariamente </w:t>
      </w:r>
      <w:r w:rsidR="00AA79CF" w:rsidRPr="002D7F08">
        <w:rPr>
          <w:rFonts w:ascii="Garamond" w:hAnsi="Garamond"/>
          <w:sz w:val="24"/>
          <w:szCs w:val="24"/>
          <w:lang w:val="pt-PT"/>
        </w:rPr>
        <w:t>as empresas</w:t>
      </w:r>
      <w:r w:rsidR="003300AC" w:rsidRPr="002D7F08">
        <w:rPr>
          <w:rFonts w:ascii="Garamond" w:hAnsi="Garamond"/>
          <w:sz w:val="24"/>
          <w:szCs w:val="24"/>
          <w:lang w:val="pt-PT"/>
        </w:rPr>
        <w:t xml:space="preserve"> </w:t>
      </w:r>
      <w:r w:rsidR="00AA79CF" w:rsidRPr="002D7F08">
        <w:rPr>
          <w:rFonts w:ascii="Garamond" w:hAnsi="Garamond"/>
          <w:sz w:val="24"/>
          <w:szCs w:val="24"/>
          <w:lang w:val="pt-PT"/>
        </w:rPr>
        <w:t>enfrentam uma multiplicidade de decisões estratégicas, tais como a obtenção de financiamento</w:t>
      </w:r>
      <w:r w:rsidR="003300AC" w:rsidRPr="002D7F08">
        <w:rPr>
          <w:rFonts w:ascii="Garamond" w:hAnsi="Garamond"/>
          <w:sz w:val="24"/>
          <w:szCs w:val="24"/>
          <w:lang w:val="pt-PT"/>
        </w:rPr>
        <w:t>,</w:t>
      </w:r>
      <w:r w:rsidR="00AA79CF" w:rsidRPr="002D7F08">
        <w:rPr>
          <w:rFonts w:ascii="Garamond" w:hAnsi="Garamond"/>
          <w:sz w:val="24"/>
          <w:szCs w:val="24"/>
          <w:lang w:val="pt-PT"/>
        </w:rPr>
        <w:t xml:space="preserve"> a ampliação das suas atividades operacionais e a aquisição de novos ativos, </w:t>
      </w:r>
      <w:r w:rsidR="003300AC" w:rsidRPr="002D7F08">
        <w:rPr>
          <w:rFonts w:ascii="Garamond" w:hAnsi="Garamond"/>
          <w:sz w:val="24"/>
          <w:szCs w:val="24"/>
          <w:lang w:val="pt-PT"/>
        </w:rPr>
        <w:t>com o intuito de promoverem o</w:t>
      </w:r>
      <w:r w:rsidR="00AA79CF" w:rsidRPr="002D7F08">
        <w:rPr>
          <w:rFonts w:ascii="Garamond" w:hAnsi="Garamond"/>
          <w:sz w:val="24"/>
          <w:szCs w:val="24"/>
          <w:lang w:val="pt-PT"/>
        </w:rPr>
        <w:t xml:space="preserve"> crescimento sustentado</w:t>
      </w:r>
      <w:r w:rsidR="003300AC" w:rsidRPr="002D7F08">
        <w:rPr>
          <w:rFonts w:ascii="Garamond" w:hAnsi="Garamond"/>
          <w:sz w:val="24"/>
          <w:szCs w:val="24"/>
          <w:lang w:val="pt-PT"/>
        </w:rPr>
        <w:t xml:space="preserve"> das mesmas</w:t>
      </w:r>
      <w:r w:rsidR="00AA79CF" w:rsidRPr="002D7F08">
        <w:rPr>
          <w:rFonts w:ascii="Garamond" w:hAnsi="Garamond"/>
          <w:sz w:val="24"/>
          <w:szCs w:val="24"/>
          <w:lang w:val="pt-PT"/>
        </w:rPr>
        <w:t xml:space="preserve"> (</w:t>
      </w:r>
      <w:proofErr w:type="spellStart"/>
      <w:r w:rsidR="00AA79CF" w:rsidRPr="002D7F08">
        <w:rPr>
          <w:rFonts w:ascii="Garamond" w:hAnsi="Garamond"/>
          <w:sz w:val="24"/>
          <w:szCs w:val="24"/>
          <w:lang w:val="pt-PT"/>
        </w:rPr>
        <w:t>Rahayu</w:t>
      </w:r>
      <w:proofErr w:type="spellEnd"/>
      <w:r w:rsidR="00AA79CF" w:rsidRPr="002D7F08">
        <w:rPr>
          <w:rFonts w:ascii="Garamond" w:hAnsi="Garamond"/>
          <w:sz w:val="24"/>
          <w:szCs w:val="24"/>
          <w:lang w:val="pt-PT"/>
        </w:rPr>
        <w:t xml:space="preserve">, 2019). Neste contexto, os investimentos a longo prazo, particularmente na compra de ativos fixos, </w:t>
      </w:r>
      <w:r w:rsidR="003300AC" w:rsidRPr="002D7F08">
        <w:rPr>
          <w:rFonts w:ascii="Garamond" w:hAnsi="Garamond"/>
          <w:sz w:val="24"/>
          <w:szCs w:val="24"/>
          <w:lang w:val="pt-PT"/>
        </w:rPr>
        <w:t>são essenciais para assegurar o crescimento empresarial. As decisões de</w:t>
      </w:r>
      <w:r w:rsidR="00AA79CF" w:rsidRPr="002D7F08">
        <w:rPr>
          <w:rFonts w:ascii="Garamond" w:hAnsi="Garamond"/>
          <w:sz w:val="24"/>
          <w:szCs w:val="24"/>
          <w:lang w:val="pt-PT"/>
        </w:rPr>
        <w:t xml:space="preserve"> investimento são influenciadas por </w:t>
      </w:r>
      <w:r w:rsidR="00787852" w:rsidRPr="002D7F08">
        <w:rPr>
          <w:rFonts w:ascii="Garamond" w:hAnsi="Garamond"/>
          <w:sz w:val="24"/>
          <w:szCs w:val="24"/>
          <w:lang w:val="pt-PT"/>
        </w:rPr>
        <w:t>diversos</w:t>
      </w:r>
      <w:r w:rsidR="00AA79CF" w:rsidRPr="002D7F08">
        <w:rPr>
          <w:rFonts w:ascii="Garamond" w:hAnsi="Garamond"/>
          <w:sz w:val="24"/>
          <w:szCs w:val="24"/>
          <w:lang w:val="pt-PT"/>
        </w:rPr>
        <w:t xml:space="preserve"> fatores, nomeadamente a taxa de retorno esperada, o período de retorno do investimento e o índice de rentabilidade (</w:t>
      </w:r>
      <w:proofErr w:type="spellStart"/>
      <w:r w:rsidR="00AA79CF" w:rsidRPr="002D7F08">
        <w:rPr>
          <w:rFonts w:ascii="Garamond" w:hAnsi="Garamond"/>
          <w:sz w:val="24"/>
          <w:szCs w:val="24"/>
          <w:lang w:val="pt-PT"/>
        </w:rPr>
        <w:t>Farooq</w:t>
      </w:r>
      <w:proofErr w:type="spellEnd"/>
      <w:r w:rsidR="00AA79CF" w:rsidRPr="002D7F08">
        <w:rPr>
          <w:rFonts w:ascii="Garamond" w:hAnsi="Garamond"/>
          <w:sz w:val="24"/>
          <w:szCs w:val="24"/>
          <w:lang w:val="pt-PT"/>
        </w:rPr>
        <w:t xml:space="preserve"> e </w:t>
      </w:r>
      <w:proofErr w:type="spellStart"/>
      <w:r w:rsidR="00AA79CF" w:rsidRPr="002D7F08">
        <w:rPr>
          <w:rFonts w:ascii="Garamond" w:hAnsi="Garamond"/>
          <w:sz w:val="24"/>
          <w:szCs w:val="24"/>
          <w:lang w:val="pt-PT"/>
        </w:rPr>
        <w:t>Subhani</w:t>
      </w:r>
      <w:proofErr w:type="spellEnd"/>
      <w:r w:rsidR="00AA79CF" w:rsidRPr="002D7F08">
        <w:rPr>
          <w:rFonts w:ascii="Garamond" w:hAnsi="Garamond"/>
          <w:sz w:val="24"/>
          <w:szCs w:val="24"/>
          <w:lang w:val="pt-PT"/>
        </w:rPr>
        <w:t xml:space="preserve">, 2021). As </w:t>
      </w:r>
      <w:r w:rsidR="00783918" w:rsidRPr="002D7F08">
        <w:rPr>
          <w:rFonts w:ascii="Garamond" w:hAnsi="Garamond"/>
          <w:sz w:val="24"/>
          <w:szCs w:val="24"/>
          <w:lang w:val="pt-PT"/>
        </w:rPr>
        <w:t>empresas do setor industrial</w:t>
      </w:r>
      <w:r w:rsidR="00AA79CF" w:rsidRPr="002D7F08">
        <w:rPr>
          <w:rFonts w:ascii="Garamond" w:hAnsi="Garamond"/>
          <w:sz w:val="24"/>
          <w:szCs w:val="24"/>
          <w:lang w:val="pt-PT"/>
        </w:rPr>
        <w:t xml:space="preserve"> </w:t>
      </w:r>
      <w:r w:rsidR="0077439E" w:rsidRPr="002D7F08">
        <w:rPr>
          <w:rFonts w:ascii="Garamond" w:hAnsi="Garamond"/>
          <w:sz w:val="24"/>
          <w:szCs w:val="24"/>
          <w:lang w:val="pt-PT"/>
        </w:rPr>
        <w:t>tomam estas decisões</w:t>
      </w:r>
      <w:r w:rsidR="00AA79CF" w:rsidRPr="002D7F08">
        <w:rPr>
          <w:rFonts w:ascii="Garamond" w:hAnsi="Garamond"/>
          <w:sz w:val="24"/>
          <w:szCs w:val="24"/>
          <w:lang w:val="pt-PT"/>
        </w:rPr>
        <w:t xml:space="preserve"> </w:t>
      </w:r>
      <w:r w:rsidR="0077439E" w:rsidRPr="002D7F08">
        <w:rPr>
          <w:rFonts w:ascii="Garamond" w:hAnsi="Garamond"/>
          <w:sz w:val="24"/>
          <w:szCs w:val="24"/>
          <w:lang w:val="pt-PT"/>
        </w:rPr>
        <w:t>com o auxílio</w:t>
      </w:r>
      <w:r w:rsidR="00AA79CF" w:rsidRPr="002D7F08">
        <w:rPr>
          <w:rFonts w:ascii="Garamond" w:hAnsi="Garamond"/>
          <w:sz w:val="24"/>
          <w:szCs w:val="24"/>
          <w:lang w:val="pt-PT"/>
        </w:rPr>
        <w:t xml:space="preserve"> de políticas e estratégias específicas que </w:t>
      </w:r>
      <w:r w:rsidR="00783918" w:rsidRPr="002D7F08">
        <w:rPr>
          <w:rFonts w:ascii="Garamond" w:hAnsi="Garamond"/>
          <w:sz w:val="24"/>
          <w:szCs w:val="24"/>
          <w:lang w:val="pt-PT"/>
        </w:rPr>
        <w:t>permitem atingir estes</w:t>
      </w:r>
      <w:r w:rsidR="00AA79CF" w:rsidRPr="002D7F08">
        <w:rPr>
          <w:rFonts w:ascii="Garamond" w:hAnsi="Garamond"/>
          <w:sz w:val="24"/>
          <w:szCs w:val="24"/>
          <w:lang w:val="pt-PT"/>
        </w:rPr>
        <w:t xml:space="preserve"> objetivos de forma </w:t>
      </w:r>
      <w:r w:rsidR="003300AC" w:rsidRPr="002D7F08">
        <w:rPr>
          <w:rFonts w:ascii="Garamond" w:hAnsi="Garamond"/>
          <w:sz w:val="24"/>
          <w:szCs w:val="24"/>
          <w:lang w:val="pt-PT"/>
        </w:rPr>
        <w:t>mais eficaz</w:t>
      </w:r>
      <w:r w:rsidR="00AA79CF" w:rsidRPr="002D7F08">
        <w:rPr>
          <w:rFonts w:ascii="Garamond" w:hAnsi="Garamond"/>
          <w:sz w:val="24"/>
          <w:szCs w:val="24"/>
          <w:lang w:val="pt-PT"/>
        </w:rPr>
        <w:t xml:space="preserve">. </w:t>
      </w:r>
    </w:p>
    <w:p w14:paraId="7179F7E8" w14:textId="2F28965B" w:rsidR="00783918" w:rsidRPr="002D7F08" w:rsidRDefault="003300AC" w:rsidP="00642608">
      <w:pPr>
        <w:spacing w:line="360" w:lineRule="auto"/>
        <w:jc w:val="both"/>
        <w:rPr>
          <w:rFonts w:ascii="Garamond" w:hAnsi="Garamond"/>
          <w:sz w:val="24"/>
          <w:szCs w:val="24"/>
          <w:lang w:val="pt-PT"/>
        </w:rPr>
      </w:pPr>
      <w:r w:rsidRPr="002D7F08">
        <w:rPr>
          <w:rFonts w:ascii="Garamond" w:hAnsi="Garamond"/>
          <w:sz w:val="24"/>
          <w:szCs w:val="24"/>
          <w:lang w:val="pt-PT"/>
        </w:rPr>
        <w:t>Estas estratégias e abordagens são fundamentais para a tomada de decisões de investimento nas empresas, influenciando profundamente a forma como os gestores planeiam e estruturam os investimentos. Para além disso, é crucial que os gestores considerem a sustentabilidade a longo prazo nas suas estratégias</w:t>
      </w:r>
      <w:r w:rsidR="00783918" w:rsidRPr="002D7F08">
        <w:rPr>
          <w:rFonts w:ascii="Garamond" w:hAnsi="Garamond"/>
          <w:sz w:val="24"/>
          <w:szCs w:val="24"/>
          <w:lang w:val="pt-PT"/>
        </w:rPr>
        <w:t xml:space="preserve"> empresariais</w:t>
      </w:r>
      <w:r w:rsidR="00496F9D" w:rsidRPr="002D7F08">
        <w:rPr>
          <w:rFonts w:ascii="Garamond" w:hAnsi="Garamond"/>
          <w:sz w:val="24"/>
          <w:szCs w:val="24"/>
          <w:lang w:val="pt-PT"/>
        </w:rPr>
        <w:t xml:space="preserve"> e é</w:t>
      </w:r>
      <w:r w:rsidRPr="002D7F08">
        <w:rPr>
          <w:rFonts w:ascii="Garamond" w:hAnsi="Garamond"/>
          <w:sz w:val="24"/>
          <w:szCs w:val="24"/>
          <w:lang w:val="pt-PT"/>
        </w:rPr>
        <w:t xml:space="preserve"> essencial desenvolverem estratégias de investimento que aumentem a confiança no crescimento futuro da empresa. Estas incluem a procura por um aumento contínuo </w:t>
      </w:r>
      <w:r w:rsidR="00871884" w:rsidRPr="002D7F08">
        <w:rPr>
          <w:rFonts w:ascii="Garamond" w:hAnsi="Garamond"/>
          <w:sz w:val="24"/>
          <w:szCs w:val="24"/>
          <w:lang w:val="pt-PT"/>
        </w:rPr>
        <w:t>d</w:t>
      </w:r>
      <w:r w:rsidRPr="002D7F08">
        <w:rPr>
          <w:rFonts w:ascii="Garamond" w:hAnsi="Garamond"/>
          <w:sz w:val="24"/>
          <w:szCs w:val="24"/>
          <w:lang w:val="pt-PT"/>
        </w:rPr>
        <w:t xml:space="preserve">as vendas, o </w:t>
      </w:r>
      <w:r w:rsidR="00783918" w:rsidRPr="002D7F08">
        <w:rPr>
          <w:rFonts w:ascii="Garamond" w:hAnsi="Garamond"/>
          <w:sz w:val="24"/>
          <w:szCs w:val="24"/>
          <w:lang w:val="pt-PT"/>
        </w:rPr>
        <w:t>aumento</w:t>
      </w:r>
      <w:r w:rsidRPr="002D7F08">
        <w:rPr>
          <w:rFonts w:ascii="Garamond" w:hAnsi="Garamond"/>
          <w:sz w:val="24"/>
          <w:szCs w:val="24"/>
          <w:lang w:val="pt-PT"/>
        </w:rPr>
        <w:t xml:space="preserve"> da rentabilidade, a expansão do acesso a recursos financeiros e a geração de retornos significativos em investimentos </w:t>
      </w:r>
      <w:r w:rsidR="00871884" w:rsidRPr="002D7F08">
        <w:rPr>
          <w:rFonts w:ascii="Garamond" w:hAnsi="Garamond"/>
          <w:sz w:val="24"/>
          <w:szCs w:val="24"/>
          <w:lang w:val="pt-PT"/>
        </w:rPr>
        <w:t>a longo prazo</w:t>
      </w:r>
      <w:r w:rsidRPr="002D7F08">
        <w:rPr>
          <w:rFonts w:ascii="Garamond" w:hAnsi="Garamond"/>
          <w:sz w:val="24"/>
          <w:szCs w:val="24"/>
          <w:lang w:val="pt-PT"/>
        </w:rPr>
        <w:t xml:space="preserve"> (</w:t>
      </w:r>
      <w:proofErr w:type="spellStart"/>
      <w:r w:rsidRPr="002D7F08">
        <w:rPr>
          <w:rFonts w:ascii="Garamond" w:hAnsi="Garamond"/>
          <w:sz w:val="24"/>
          <w:szCs w:val="24"/>
          <w:lang w:val="pt-PT"/>
        </w:rPr>
        <w:t>Ding</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2013). Estes aspetos são especialmente pertinentes para empresas que requerem investimentos </w:t>
      </w:r>
      <w:r w:rsidR="00783918" w:rsidRPr="002D7F08">
        <w:rPr>
          <w:rFonts w:ascii="Garamond" w:hAnsi="Garamond"/>
          <w:sz w:val="24"/>
          <w:szCs w:val="24"/>
          <w:lang w:val="pt-PT"/>
        </w:rPr>
        <w:t>significativos</w:t>
      </w:r>
      <w:r w:rsidRPr="002D7F08">
        <w:rPr>
          <w:rFonts w:ascii="Garamond" w:hAnsi="Garamond"/>
          <w:sz w:val="24"/>
          <w:szCs w:val="24"/>
          <w:lang w:val="pt-PT"/>
        </w:rPr>
        <w:t xml:space="preserve">. </w:t>
      </w:r>
    </w:p>
    <w:p w14:paraId="29E2038A" w14:textId="63AF5424" w:rsidR="00025143" w:rsidRDefault="003300AC" w:rsidP="00642608">
      <w:pPr>
        <w:spacing w:line="360" w:lineRule="auto"/>
        <w:jc w:val="both"/>
        <w:rPr>
          <w:rFonts w:ascii="Garamond" w:hAnsi="Garamond"/>
          <w:sz w:val="24"/>
          <w:szCs w:val="24"/>
          <w:lang w:val="pt-PT"/>
        </w:rPr>
      </w:pPr>
      <w:r w:rsidRPr="002D7F08">
        <w:rPr>
          <w:rFonts w:ascii="Garamond" w:hAnsi="Garamond"/>
          <w:sz w:val="24"/>
          <w:szCs w:val="24"/>
          <w:lang w:val="pt-PT"/>
        </w:rPr>
        <w:t>Realizaram-se numerosas pesquisas empíricas com o objetivo de descobrir quais os fatores que influenciam as decisões de investimento nas empresas (</w:t>
      </w:r>
      <w:proofErr w:type="spellStart"/>
      <w:r w:rsidRPr="002D7F08">
        <w:rPr>
          <w:rFonts w:ascii="Garamond" w:hAnsi="Garamond"/>
          <w:sz w:val="24"/>
          <w:szCs w:val="24"/>
          <w:lang w:val="pt-PT"/>
        </w:rPr>
        <w:t>Federici</w:t>
      </w:r>
      <w:proofErr w:type="spellEnd"/>
      <w:r w:rsidRPr="002D7F08">
        <w:rPr>
          <w:rFonts w:ascii="Garamond" w:hAnsi="Garamond"/>
          <w:sz w:val="24"/>
          <w:szCs w:val="24"/>
          <w:lang w:val="pt-PT"/>
        </w:rPr>
        <w:t xml:space="preserve"> e </w:t>
      </w:r>
      <w:proofErr w:type="spellStart"/>
      <w:r w:rsidRPr="002D7F08">
        <w:rPr>
          <w:rFonts w:ascii="Garamond" w:hAnsi="Garamond"/>
          <w:sz w:val="24"/>
          <w:szCs w:val="24"/>
          <w:lang w:val="pt-PT"/>
        </w:rPr>
        <w:t>Parisi</w:t>
      </w:r>
      <w:proofErr w:type="spellEnd"/>
      <w:r w:rsidRPr="002D7F08">
        <w:rPr>
          <w:rFonts w:ascii="Garamond" w:hAnsi="Garamond"/>
          <w:sz w:val="24"/>
          <w:szCs w:val="24"/>
          <w:lang w:val="pt-PT"/>
        </w:rPr>
        <w:t xml:space="preserve">, 2015; </w:t>
      </w:r>
      <w:proofErr w:type="spellStart"/>
      <w:r w:rsidRPr="002D7F08">
        <w:rPr>
          <w:rFonts w:ascii="Garamond" w:hAnsi="Garamond"/>
          <w:sz w:val="24"/>
          <w:szCs w:val="24"/>
          <w:lang w:val="pt-PT"/>
        </w:rPr>
        <w:t>Frésard</w:t>
      </w:r>
      <w:proofErr w:type="spellEnd"/>
      <w:r w:rsidRPr="002D7F08">
        <w:rPr>
          <w:rFonts w:ascii="Garamond" w:hAnsi="Garamond"/>
          <w:sz w:val="24"/>
          <w:szCs w:val="24"/>
          <w:lang w:val="pt-PT"/>
        </w:rPr>
        <w:t xml:space="preserve"> e </w:t>
      </w:r>
      <w:proofErr w:type="spellStart"/>
      <w:r w:rsidRPr="002D7F08">
        <w:rPr>
          <w:rFonts w:ascii="Garamond" w:hAnsi="Garamond"/>
          <w:sz w:val="24"/>
          <w:szCs w:val="24"/>
          <w:lang w:val="pt-PT"/>
        </w:rPr>
        <w:t>Valta</w:t>
      </w:r>
      <w:proofErr w:type="spellEnd"/>
      <w:r w:rsidRPr="002D7F08">
        <w:rPr>
          <w:rFonts w:ascii="Garamond" w:hAnsi="Garamond"/>
          <w:sz w:val="24"/>
          <w:szCs w:val="24"/>
          <w:lang w:val="pt-PT"/>
        </w:rPr>
        <w:t xml:space="preserve">, 2016; Gao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2019).</w:t>
      </w:r>
      <w:r w:rsidR="00871884" w:rsidRPr="002D7F08">
        <w:rPr>
          <w:rFonts w:ascii="Garamond" w:hAnsi="Garamond"/>
          <w:sz w:val="24"/>
          <w:szCs w:val="24"/>
          <w:lang w:val="pt-PT"/>
        </w:rPr>
        <w:t xml:space="preserve"> Na secção seguinte, iremos explorar detalhadamente </w:t>
      </w:r>
      <w:r w:rsidR="003874F0" w:rsidRPr="002D7F08">
        <w:rPr>
          <w:rFonts w:ascii="Garamond" w:hAnsi="Garamond"/>
          <w:sz w:val="24"/>
          <w:szCs w:val="24"/>
          <w:lang w:val="pt-PT"/>
        </w:rPr>
        <w:t>o</w:t>
      </w:r>
      <w:r w:rsidR="00871884" w:rsidRPr="002D7F08">
        <w:rPr>
          <w:rFonts w:ascii="Garamond" w:hAnsi="Garamond"/>
          <w:sz w:val="24"/>
          <w:szCs w:val="24"/>
          <w:lang w:val="pt-PT"/>
        </w:rPr>
        <w:t>s determinantes do investimento</w:t>
      </w:r>
      <w:r w:rsidR="00810D37" w:rsidRPr="002D7F08">
        <w:rPr>
          <w:rFonts w:ascii="Garamond" w:hAnsi="Garamond"/>
          <w:sz w:val="24"/>
          <w:szCs w:val="24"/>
          <w:lang w:val="pt-PT"/>
        </w:rPr>
        <w:t>.</w:t>
      </w:r>
    </w:p>
    <w:p w14:paraId="6AEEC089" w14:textId="77777777" w:rsidR="005239FA" w:rsidRPr="002D7F08" w:rsidRDefault="005239FA" w:rsidP="00642608">
      <w:pPr>
        <w:spacing w:line="360" w:lineRule="auto"/>
        <w:jc w:val="both"/>
        <w:rPr>
          <w:rFonts w:ascii="Garamond" w:hAnsi="Garamond"/>
          <w:sz w:val="24"/>
          <w:szCs w:val="24"/>
          <w:lang w:val="pt-PT"/>
        </w:rPr>
      </w:pPr>
    </w:p>
    <w:p w14:paraId="3EC1126C" w14:textId="76F27C7D" w:rsidR="00077812" w:rsidRPr="002D7F08" w:rsidRDefault="00831F38" w:rsidP="00642608">
      <w:pPr>
        <w:pStyle w:val="TtuloSecundrioTese"/>
        <w:jc w:val="both"/>
      </w:pPr>
      <w:bookmarkStart w:id="22" w:name="_Toc176458040"/>
      <w:r w:rsidRPr="002D7F08">
        <w:t>Determinantes do Investimento</w:t>
      </w:r>
      <w:bookmarkEnd w:id="22"/>
    </w:p>
    <w:p w14:paraId="55FB8F91" w14:textId="0C291AC8" w:rsidR="007C1C23" w:rsidRDefault="00B17326" w:rsidP="00755E5D">
      <w:pPr>
        <w:spacing w:line="360" w:lineRule="auto"/>
        <w:jc w:val="both"/>
        <w:rPr>
          <w:rFonts w:ascii="Garamond" w:hAnsi="Garamond"/>
          <w:sz w:val="24"/>
          <w:szCs w:val="24"/>
          <w:lang w:val="pt-PT"/>
        </w:rPr>
      </w:pPr>
      <w:r w:rsidRPr="002D7F08">
        <w:rPr>
          <w:rFonts w:ascii="Garamond" w:hAnsi="Garamond"/>
          <w:sz w:val="24"/>
          <w:szCs w:val="24"/>
          <w:lang w:val="pt-PT"/>
        </w:rPr>
        <w:t>O investimento empresarial é essencial para o crescimento económico e para o desenvolvimento sustentável de uma economia. Os incentivos fiscais desempenham um papel essencial</w:t>
      </w:r>
      <w:r w:rsidR="00DC3B64" w:rsidRPr="002D7F08">
        <w:rPr>
          <w:rFonts w:ascii="Garamond" w:hAnsi="Garamond"/>
          <w:sz w:val="24"/>
          <w:szCs w:val="24"/>
          <w:lang w:val="pt-PT"/>
        </w:rPr>
        <w:t>,</w:t>
      </w:r>
      <w:r w:rsidRPr="002D7F08">
        <w:rPr>
          <w:rFonts w:ascii="Garamond" w:hAnsi="Garamond"/>
          <w:sz w:val="24"/>
          <w:szCs w:val="24"/>
          <w:lang w:val="pt-PT"/>
        </w:rPr>
        <w:t xml:space="preserve"> influenciando significativamente as decisões de investimento.</w:t>
      </w:r>
      <w:r w:rsidR="009514A2" w:rsidRPr="002D7F08">
        <w:rPr>
          <w:rFonts w:ascii="Garamond" w:hAnsi="Garamond"/>
          <w:sz w:val="24"/>
          <w:szCs w:val="24"/>
          <w:lang w:val="pt-PT"/>
        </w:rPr>
        <w:t xml:space="preserve"> As políticas de </w:t>
      </w:r>
      <w:r w:rsidR="009514A2" w:rsidRPr="002D7F08">
        <w:rPr>
          <w:rFonts w:ascii="Garamond" w:hAnsi="Garamond"/>
          <w:sz w:val="24"/>
          <w:szCs w:val="24"/>
          <w:lang w:val="pt-PT"/>
        </w:rPr>
        <w:lastRenderedPageBreak/>
        <w:t>incentivos fiscais são projetadas para estimular o investimento empresarial, oferecendo benefícios fiscais específicos para as empresas.</w:t>
      </w:r>
    </w:p>
    <w:p w14:paraId="769ADBA8" w14:textId="1468F78E" w:rsidR="00F4090B" w:rsidRPr="002D7F08" w:rsidRDefault="007C1C23" w:rsidP="00642608">
      <w:pPr>
        <w:spacing w:line="360" w:lineRule="auto"/>
        <w:jc w:val="both"/>
        <w:rPr>
          <w:rFonts w:ascii="Garamond" w:hAnsi="Garamond"/>
          <w:sz w:val="24"/>
          <w:szCs w:val="24"/>
          <w:lang w:val="pt-PT"/>
        </w:rPr>
      </w:pPr>
      <w:r w:rsidRPr="007C1C23">
        <w:rPr>
          <w:rFonts w:ascii="Garamond" w:hAnsi="Garamond"/>
          <w:sz w:val="24"/>
          <w:szCs w:val="24"/>
          <w:lang w:val="pt-PT"/>
        </w:rPr>
        <w:t>De acordo com Fisher (1930) e Keynes (2007), as empresas realizam investimentos apenas quando o Valor Atual Líquido (VAL) dos fluxos de caixa futuros gerados pelo investimento é superior a zero. Fisher argumenta que o critério decisivo para a execução de investimentos em ativos fixos é que o VAL seja positivo, ou seja, o valor presente dos fluxos de caixa líquidos (fluxos de caixa de investimento, de exploração e terminais) deve ser superior ao custo inicial do investimento. Isso significa que o investimento só será realizado se o valor atual dos benefícios futuros esperados superar os custos atuais envolvidos</w:t>
      </w:r>
      <w:r w:rsidR="00F4090B" w:rsidRPr="002D7F08">
        <w:rPr>
          <w:rFonts w:ascii="Garamond" w:hAnsi="Garamond"/>
          <w:sz w:val="24"/>
          <w:szCs w:val="24"/>
          <w:lang w:val="pt-PT"/>
        </w:rPr>
        <w:t xml:space="preserve">. Mais tarde, Markowitz (1952) enunciou outros fatores que devem ser considerados nas decisões de investimento das empresas, tais como os cash </w:t>
      </w:r>
      <w:proofErr w:type="spellStart"/>
      <w:r w:rsidR="00F4090B" w:rsidRPr="002D7F08">
        <w:rPr>
          <w:rFonts w:ascii="Garamond" w:hAnsi="Garamond"/>
          <w:sz w:val="24"/>
          <w:szCs w:val="24"/>
          <w:lang w:val="pt-PT"/>
        </w:rPr>
        <w:t>flows</w:t>
      </w:r>
      <w:proofErr w:type="spellEnd"/>
      <w:r w:rsidR="00F4090B" w:rsidRPr="002D7F08">
        <w:rPr>
          <w:rFonts w:ascii="Garamond" w:hAnsi="Garamond"/>
          <w:sz w:val="24"/>
          <w:szCs w:val="24"/>
          <w:lang w:val="pt-PT"/>
        </w:rPr>
        <w:t xml:space="preserve"> descontados, o período de recuperação do investimento e a taxa interna de rentabilidade. A partir dessas contribuições, desenvolveram-se teorias que procuram compreender o comportamento do investimento empresarial, fundamentando-se em pressupostos que orientam as decisões de investimento. Essas teorias abrangem</w:t>
      </w:r>
      <w:r w:rsidR="00495B96" w:rsidRPr="002D7F08">
        <w:rPr>
          <w:rFonts w:ascii="Garamond" w:hAnsi="Garamond"/>
          <w:sz w:val="24"/>
          <w:szCs w:val="24"/>
          <w:lang w:val="pt-PT"/>
        </w:rPr>
        <w:t xml:space="preserve"> as que são discutidas nas subsecções seguintes.</w:t>
      </w:r>
    </w:p>
    <w:p w14:paraId="0BE301E1" w14:textId="54644F6E" w:rsidR="00DD1464" w:rsidRPr="002D7F08" w:rsidRDefault="00DD1464" w:rsidP="00642608">
      <w:pPr>
        <w:pStyle w:val="Ttulo2SecundrioTese"/>
        <w:numPr>
          <w:ilvl w:val="2"/>
          <w:numId w:val="4"/>
        </w:numPr>
        <w:jc w:val="both"/>
        <w:rPr>
          <w:i w:val="0"/>
        </w:rPr>
      </w:pPr>
      <w:bookmarkStart w:id="23" w:name="_Toc176458041"/>
      <w:r w:rsidRPr="002D7F08">
        <w:t>Teoria Neoclássica do Investimento (</w:t>
      </w:r>
      <w:proofErr w:type="spellStart"/>
      <w:r w:rsidRPr="002D7F08">
        <w:t>Neoclassical</w:t>
      </w:r>
      <w:proofErr w:type="spellEnd"/>
      <w:r w:rsidRPr="002D7F08">
        <w:t xml:space="preserve"> </w:t>
      </w:r>
      <w:proofErr w:type="spellStart"/>
      <w:r w:rsidRPr="002D7F08">
        <w:t>Theory</w:t>
      </w:r>
      <w:proofErr w:type="spellEnd"/>
      <w:r w:rsidRPr="002D7F08">
        <w:t xml:space="preserve"> of Investment)</w:t>
      </w:r>
      <w:bookmarkEnd w:id="23"/>
    </w:p>
    <w:p w14:paraId="2165AD4B" w14:textId="4B9E6780" w:rsidR="00712676" w:rsidRPr="002D7F08" w:rsidRDefault="002C7069"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 Teoria Neoclássica do Investimento, uma abordagem fundamental na economia para </w:t>
      </w:r>
      <w:r w:rsidR="002F3D48" w:rsidRPr="002D7F08">
        <w:rPr>
          <w:rFonts w:ascii="Garamond" w:hAnsi="Garamond"/>
          <w:sz w:val="24"/>
          <w:szCs w:val="24"/>
          <w:lang w:val="pt-PT"/>
        </w:rPr>
        <w:t>compreender</w:t>
      </w:r>
      <w:r w:rsidRPr="002D7F08">
        <w:rPr>
          <w:rFonts w:ascii="Garamond" w:hAnsi="Garamond"/>
          <w:sz w:val="24"/>
          <w:szCs w:val="24"/>
          <w:lang w:val="pt-PT"/>
        </w:rPr>
        <w:t xml:space="preserve"> como as empresas decidem acerca dos seus investimentos em capital, é abordada </w:t>
      </w:r>
      <w:r w:rsidR="00FC4119" w:rsidRPr="002D7F08">
        <w:rPr>
          <w:rFonts w:ascii="Garamond" w:hAnsi="Garamond"/>
          <w:sz w:val="24"/>
          <w:szCs w:val="24"/>
          <w:lang w:val="pt-PT"/>
        </w:rPr>
        <w:t xml:space="preserve">pela primeira vez </w:t>
      </w:r>
      <w:r w:rsidRPr="002D7F08">
        <w:rPr>
          <w:rFonts w:ascii="Garamond" w:hAnsi="Garamond"/>
          <w:sz w:val="24"/>
          <w:szCs w:val="24"/>
          <w:lang w:val="pt-PT"/>
        </w:rPr>
        <w:t xml:space="preserve">por </w:t>
      </w:r>
      <w:proofErr w:type="spellStart"/>
      <w:r w:rsidRPr="002D7F08">
        <w:rPr>
          <w:rFonts w:ascii="Garamond" w:hAnsi="Garamond"/>
          <w:sz w:val="24"/>
          <w:szCs w:val="24"/>
          <w:lang w:val="pt-PT"/>
        </w:rPr>
        <w:t>Jorgenson</w:t>
      </w:r>
      <w:proofErr w:type="spellEnd"/>
      <w:r w:rsidR="00416CF4" w:rsidRPr="002D7F08">
        <w:rPr>
          <w:rFonts w:ascii="Garamond" w:hAnsi="Garamond"/>
          <w:sz w:val="24"/>
          <w:szCs w:val="24"/>
          <w:lang w:val="pt-PT"/>
        </w:rPr>
        <w:t xml:space="preserve"> (</w:t>
      </w:r>
      <w:r w:rsidRPr="002D7F08">
        <w:rPr>
          <w:rFonts w:ascii="Garamond" w:hAnsi="Garamond"/>
          <w:sz w:val="24"/>
          <w:szCs w:val="24"/>
          <w:lang w:val="pt-PT"/>
        </w:rPr>
        <w:t>1963</w:t>
      </w:r>
      <w:r w:rsidR="00416CF4" w:rsidRPr="002D7F08">
        <w:rPr>
          <w:rFonts w:ascii="Garamond" w:hAnsi="Garamond"/>
          <w:sz w:val="24"/>
          <w:szCs w:val="24"/>
          <w:lang w:val="pt-PT"/>
        </w:rPr>
        <w:t>)</w:t>
      </w:r>
      <w:r w:rsidRPr="002D7F08">
        <w:rPr>
          <w:rFonts w:ascii="Garamond" w:hAnsi="Garamond"/>
          <w:sz w:val="24"/>
          <w:szCs w:val="24"/>
          <w:lang w:val="pt-PT"/>
        </w:rPr>
        <w:t xml:space="preserve">. </w:t>
      </w:r>
    </w:p>
    <w:p w14:paraId="71DED365" w14:textId="3FA0A424" w:rsidR="00712676" w:rsidRPr="002D7F08" w:rsidRDefault="00525F17"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De acordo com </w:t>
      </w:r>
      <w:proofErr w:type="spellStart"/>
      <w:r w:rsidRPr="002D7F08">
        <w:rPr>
          <w:rFonts w:ascii="Garamond" w:hAnsi="Garamond"/>
          <w:sz w:val="24"/>
          <w:szCs w:val="24"/>
          <w:lang w:val="pt-PT"/>
        </w:rPr>
        <w:t>Farooq</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(2021), esta</w:t>
      </w:r>
      <w:r w:rsidR="002C7069" w:rsidRPr="002D7F08">
        <w:rPr>
          <w:rFonts w:ascii="Garamond" w:hAnsi="Garamond"/>
          <w:sz w:val="24"/>
          <w:szCs w:val="24"/>
          <w:lang w:val="pt-PT"/>
        </w:rPr>
        <w:t xml:space="preserve"> teoria assume</w:t>
      </w:r>
      <w:r w:rsidR="00712676" w:rsidRPr="002D7F08">
        <w:rPr>
          <w:rFonts w:ascii="Garamond" w:hAnsi="Garamond"/>
          <w:sz w:val="24"/>
          <w:szCs w:val="24"/>
          <w:lang w:val="pt-PT"/>
        </w:rPr>
        <w:t xml:space="preserve"> os seguintes pressupostos básicos:</w:t>
      </w:r>
    </w:p>
    <w:p w14:paraId="27DF5841" w14:textId="0CD449AB" w:rsidR="002C7069" w:rsidRPr="002D7F08" w:rsidRDefault="00712676" w:rsidP="00642608">
      <w:pPr>
        <w:pStyle w:val="ListParagraph"/>
        <w:numPr>
          <w:ilvl w:val="0"/>
          <w:numId w:val="3"/>
        </w:numPr>
        <w:spacing w:line="360" w:lineRule="auto"/>
        <w:jc w:val="both"/>
        <w:rPr>
          <w:rFonts w:ascii="Garamond" w:hAnsi="Garamond"/>
          <w:sz w:val="24"/>
          <w:szCs w:val="24"/>
          <w:lang w:val="pt-PT"/>
        </w:rPr>
      </w:pPr>
      <w:r w:rsidRPr="002D7F08">
        <w:rPr>
          <w:rFonts w:ascii="Garamond" w:hAnsi="Garamond"/>
          <w:sz w:val="24"/>
          <w:szCs w:val="24"/>
          <w:lang w:val="pt-PT"/>
        </w:rPr>
        <w:t>A</w:t>
      </w:r>
      <w:r w:rsidR="002C7069" w:rsidRPr="002D7F08">
        <w:rPr>
          <w:rFonts w:ascii="Garamond" w:hAnsi="Garamond"/>
          <w:sz w:val="24"/>
          <w:szCs w:val="24"/>
          <w:lang w:val="pt-PT"/>
        </w:rPr>
        <w:t xml:space="preserve">s empresas </w:t>
      </w:r>
      <w:r w:rsidRPr="002D7F08">
        <w:rPr>
          <w:rFonts w:ascii="Garamond" w:hAnsi="Garamond"/>
          <w:sz w:val="24"/>
          <w:szCs w:val="24"/>
          <w:lang w:val="pt-PT"/>
        </w:rPr>
        <w:t>são capazes</w:t>
      </w:r>
      <w:r w:rsidR="002C7069" w:rsidRPr="002D7F08">
        <w:rPr>
          <w:rFonts w:ascii="Garamond" w:hAnsi="Garamond"/>
          <w:sz w:val="24"/>
          <w:szCs w:val="24"/>
          <w:lang w:val="pt-PT"/>
        </w:rPr>
        <w:t xml:space="preserve"> de maximizar o valor </w:t>
      </w:r>
      <w:r w:rsidR="00DE3DC1" w:rsidRPr="002D7F08">
        <w:rPr>
          <w:rFonts w:ascii="Garamond" w:hAnsi="Garamond"/>
          <w:sz w:val="24"/>
          <w:szCs w:val="24"/>
          <w:lang w:val="pt-PT"/>
        </w:rPr>
        <w:t>atual</w:t>
      </w:r>
      <w:r w:rsidR="002C7069" w:rsidRPr="002D7F08">
        <w:rPr>
          <w:rFonts w:ascii="Garamond" w:hAnsi="Garamond"/>
          <w:sz w:val="24"/>
          <w:szCs w:val="24"/>
          <w:lang w:val="pt-PT"/>
        </w:rPr>
        <w:t xml:space="preserve"> líquido dos </w:t>
      </w:r>
      <w:r w:rsidR="00FC4119" w:rsidRPr="002D7F08">
        <w:rPr>
          <w:rFonts w:ascii="Garamond" w:hAnsi="Garamond"/>
          <w:sz w:val="24"/>
          <w:szCs w:val="24"/>
          <w:lang w:val="pt-PT"/>
        </w:rPr>
        <w:t>fluxos de caixa</w:t>
      </w:r>
      <w:r w:rsidR="002C7069" w:rsidRPr="002D7F08">
        <w:rPr>
          <w:rFonts w:ascii="Garamond" w:hAnsi="Garamond"/>
          <w:sz w:val="24"/>
          <w:szCs w:val="24"/>
          <w:lang w:val="pt-PT"/>
        </w:rPr>
        <w:t xml:space="preserve"> </w:t>
      </w:r>
      <w:r w:rsidR="00FC4119" w:rsidRPr="002D7F08">
        <w:rPr>
          <w:rFonts w:ascii="Garamond" w:hAnsi="Garamond"/>
          <w:sz w:val="24"/>
          <w:szCs w:val="24"/>
          <w:lang w:val="pt-PT"/>
        </w:rPr>
        <w:t xml:space="preserve">presentes e </w:t>
      </w:r>
      <w:r w:rsidR="002C7069" w:rsidRPr="002D7F08">
        <w:rPr>
          <w:rFonts w:ascii="Garamond" w:hAnsi="Garamond"/>
          <w:sz w:val="24"/>
          <w:szCs w:val="24"/>
          <w:lang w:val="pt-PT"/>
        </w:rPr>
        <w:t>futuros</w:t>
      </w:r>
      <w:r w:rsidRPr="002D7F08">
        <w:rPr>
          <w:rFonts w:ascii="Garamond" w:hAnsi="Garamond"/>
          <w:sz w:val="24"/>
          <w:szCs w:val="24"/>
          <w:lang w:val="pt-PT"/>
        </w:rPr>
        <w:t>;</w:t>
      </w:r>
    </w:p>
    <w:p w14:paraId="1F696750" w14:textId="64B4EC87" w:rsidR="00712676" w:rsidRPr="002D7F08" w:rsidRDefault="00712676" w:rsidP="00642608">
      <w:pPr>
        <w:pStyle w:val="ListParagraph"/>
        <w:numPr>
          <w:ilvl w:val="0"/>
          <w:numId w:val="3"/>
        </w:numPr>
        <w:spacing w:line="360" w:lineRule="auto"/>
        <w:jc w:val="both"/>
        <w:rPr>
          <w:rFonts w:ascii="Garamond" w:hAnsi="Garamond"/>
          <w:sz w:val="24"/>
          <w:szCs w:val="24"/>
          <w:lang w:val="pt-PT"/>
        </w:rPr>
      </w:pPr>
      <w:r w:rsidRPr="002D7F08">
        <w:rPr>
          <w:rFonts w:ascii="Garamond" w:hAnsi="Garamond"/>
          <w:sz w:val="24"/>
          <w:szCs w:val="24"/>
          <w:lang w:val="pt-PT"/>
        </w:rPr>
        <w:t>Não existe incerteza no mercado;</w:t>
      </w:r>
    </w:p>
    <w:p w14:paraId="1A1D8120" w14:textId="62C28403" w:rsidR="00712676" w:rsidRPr="002D7F08" w:rsidRDefault="00712676" w:rsidP="00642608">
      <w:pPr>
        <w:pStyle w:val="ListParagraph"/>
        <w:numPr>
          <w:ilvl w:val="0"/>
          <w:numId w:val="3"/>
        </w:numPr>
        <w:spacing w:line="360" w:lineRule="auto"/>
        <w:jc w:val="both"/>
        <w:rPr>
          <w:rFonts w:ascii="Garamond" w:hAnsi="Garamond"/>
          <w:sz w:val="24"/>
          <w:szCs w:val="24"/>
          <w:lang w:val="pt-PT"/>
        </w:rPr>
      </w:pPr>
      <w:r w:rsidRPr="002D7F08">
        <w:rPr>
          <w:rFonts w:ascii="Garamond" w:hAnsi="Garamond"/>
          <w:sz w:val="24"/>
          <w:szCs w:val="24"/>
          <w:lang w:val="pt-PT"/>
        </w:rPr>
        <w:t>As empresas estão a operar em plena concorrência perfeita;</w:t>
      </w:r>
    </w:p>
    <w:p w14:paraId="0BB12E2B" w14:textId="43C0631E" w:rsidR="00712676" w:rsidRPr="002D7F08" w:rsidRDefault="00712676" w:rsidP="00642608">
      <w:pPr>
        <w:pStyle w:val="ListParagraph"/>
        <w:numPr>
          <w:ilvl w:val="0"/>
          <w:numId w:val="3"/>
        </w:numPr>
        <w:spacing w:line="360" w:lineRule="auto"/>
        <w:jc w:val="both"/>
        <w:rPr>
          <w:rFonts w:ascii="Garamond" w:hAnsi="Garamond"/>
          <w:sz w:val="24"/>
          <w:szCs w:val="24"/>
          <w:lang w:val="pt-PT"/>
        </w:rPr>
      </w:pPr>
      <w:r w:rsidRPr="002D7F08">
        <w:rPr>
          <w:rFonts w:ascii="Garamond" w:hAnsi="Garamond"/>
          <w:sz w:val="24"/>
          <w:szCs w:val="24"/>
          <w:lang w:val="pt-PT"/>
        </w:rPr>
        <w:t>Existe uma taxa máxima de emprego numa economia;</w:t>
      </w:r>
    </w:p>
    <w:p w14:paraId="64D71DFB" w14:textId="5D84875F" w:rsidR="00712676" w:rsidRPr="002D7F08" w:rsidRDefault="00712676" w:rsidP="00642608">
      <w:pPr>
        <w:pStyle w:val="ListParagraph"/>
        <w:numPr>
          <w:ilvl w:val="0"/>
          <w:numId w:val="3"/>
        </w:numPr>
        <w:spacing w:line="360" w:lineRule="auto"/>
        <w:jc w:val="both"/>
        <w:rPr>
          <w:rFonts w:ascii="Garamond" w:hAnsi="Garamond"/>
          <w:sz w:val="24"/>
          <w:szCs w:val="24"/>
          <w:lang w:val="pt-PT"/>
        </w:rPr>
      </w:pPr>
      <w:r w:rsidRPr="002D7F08">
        <w:rPr>
          <w:rFonts w:ascii="Garamond" w:hAnsi="Garamond"/>
          <w:sz w:val="24"/>
          <w:szCs w:val="24"/>
          <w:lang w:val="pt-PT"/>
        </w:rPr>
        <w:t>Existe um mercado financeiro eficiente que pode oferecer empréstimos ao sector industrial a determinadas taxas de juro.</w:t>
      </w:r>
    </w:p>
    <w:p w14:paraId="26C0AA6F" w14:textId="76952C98" w:rsidR="002C7069" w:rsidRPr="002D7F08" w:rsidRDefault="002C7069"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Segundo </w:t>
      </w:r>
      <w:proofErr w:type="spellStart"/>
      <w:r w:rsidRPr="002D7F08">
        <w:rPr>
          <w:rFonts w:ascii="Garamond" w:hAnsi="Garamond"/>
          <w:sz w:val="24"/>
          <w:szCs w:val="24"/>
          <w:lang w:val="pt-PT"/>
        </w:rPr>
        <w:t>Jorgenson</w:t>
      </w:r>
      <w:proofErr w:type="spellEnd"/>
      <w:r w:rsidR="00416CF4" w:rsidRPr="002D7F08">
        <w:rPr>
          <w:rFonts w:ascii="Garamond" w:hAnsi="Garamond"/>
          <w:sz w:val="24"/>
          <w:szCs w:val="24"/>
          <w:lang w:val="pt-PT"/>
        </w:rPr>
        <w:t xml:space="preserve"> (1963)</w:t>
      </w:r>
      <w:r w:rsidRPr="002D7F08">
        <w:rPr>
          <w:rFonts w:ascii="Garamond" w:hAnsi="Garamond"/>
          <w:sz w:val="24"/>
          <w:szCs w:val="24"/>
          <w:lang w:val="pt-PT"/>
        </w:rPr>
        <w:t xml:space="preserve">, </w:t>
      </w:r>
      <w:r w:rsidR="00416CF4" w:rsidRPr="002D7F08">
        <w:rPr>
          <w:rFonts w:ascii="Garamond" w:hAnsi="Garamond"/>
          <w:sz w:val="24"/>
          <w:szCs w:val="24"/>
          <w:lang w:val="pt-PT"/>
        </w:rPr>
        <w:t>a decisão de investimento</w:t>
      </w:r>
      <w:r w:rsidR="002A7C74" w:rsidRPr="002D7F08">
        <w:rPr>
          <w:rFonts w:ascii="Garamond" w:hAnsi="Garamond"/>
          <w:sz w:val="24"/>
          <w:szCs w:val="24"/>
          <w:lang w:val="pt-PT"/>
        </w:rPr>
        <w:t xml:space="preserve"> por parte das empresas</w:t>
      </w:r>
      <w:r w:rsidR="00416CF4" w:rsidRPr="002D7F08">
        <w:rPr>
          <w:rFonts w:ascii="Garamond" w:hAnsi="Garamond"/>
          <w:sz w:val="24"/>
          <w:szCs w:val="24"/>
          <w:lang w:val="pt-PT"/>
        </w:rPr>
        <w:t xml:space="preserve"> </w:t>
      </w:r>
      <w:r w:rsidR="00E124B0" w:rsidRPr="002D7F08">
        <w:rPr>
          <w:rFonts w:ascii="Garamond" w:hAnsi="Garamond"/>
          <w:sz w:val="24"/>
          <w:szCs w:val="24"/>
          <w:lang w:val="pt-PT"/>
        </w:rPr>
        <w:t>considera</w:t>
      </w:r>
      <w:r w:rsidR="00416CF4" w:rsidRPr="002D7F08">
        <w:rPr>
          <w:rFonts w:ascii="Garamond" w:hAnsi="Garamond"/>
          <w:sz w:val="24"/>
          <w:szCs w:val="24"/>
          <w:lang w:val="pt-PT"/>
        </w:rPr>
        <w:t xml:space="preserve"> que as </w:t>
      </w:r>
      <w:r w:rsidR="002A7C74" w:rsidRPr="002D7F08">
        <w:rPr>
          <w:rFonts w:ascii="Garamond" w:hAnsi="Garamond"/>
          <w:sz w:val="24"/>
          <w:szCs w:val="24"/>
          <w:lang w:val="pt-PT"/>
        </w:rPr>
        <w:t>mesma</w:t>
      </w:r>
      <w:r w:rsidR="00416CF4" w:rsidRPr="002D7F08">
        <w:rPr>
          <w:rFonts w:ascii="Garamond" w:hAnsi="Garamond"/>
          <w:sz w:val="24"/>
          <w:szCs w:val="24"/>
          <w:lang w:val="pt-PT"/>
        </w:rPr>
        <w:t xml:space="preserve">s ambicionam maximizar o seu valor líquido, o qual é calculado através da soma dos lucros líquidos descontados ao longo do tempo. Os lucros líquidos, por sua vez, são </w:t>
      </w:r>
      <w:r w:rsidR="00416CF4" w:rsidRPr="002D7F08">
        <w:rPr>
          <w:rFonts w:ascii="Garamond" w:hAnsi="Garamond"/>
          <w:sz w:val="24"/>
          <w:szCs w:val="24"/>
          <w:lang w:val="pt-PT"/>
        </w:rPr>
        <w:lastRenderedPageBreak/>
        <w:t xml:space="preserve">calculados subtraindo as despesas às receitas correntes, o que inclui os custos de capital e </w:t>
      </w:r>
      <w:r w:rsidR="00DE3DC1" w:rsidRPr="002D7F08">
        <w:rPr>
          <w:rFonts w:ascii="Garamond" w:hAnsi="Garamond"/>
          <w:sz w:val="24"/>
          <w:szCs w:val="24"/>
          <w:lang w:val="pt-PT"/>
        </w:rPr>
        <w:t xml:space="preserve">custos </w:t>
      </w:r>
      <w:r w:rsidR="00416CF4" w:rsidRPr="002D7F08">
        <w:rPr>
          <w:rFonts w:ascii="Garamond" w:hAnsi="Garamond"/>
          <w:sz w:val="24"/>
          <w:szCs w:val="24"/>
          <w:lang w:val="pt-PT"/>
        </w:rPr>
        <w:t>operacionais, bem como os impostos. Esta abordagem conduz a condições de produtividade marginal, nas quais a procura por capital é ajustada de forma a igualar o custo marginal do capital ao seu produto marginal.</w:t>
      </w:r>
    </w:p>
    <w:p w14:paraId="48573E03" w14:textId="7F5C95CD" w:rsidR="002C7069" w:rsidRPr="002D7F08" w:rsidRDefault="002C7069"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Um conceito chave na Teoria Neoclássica do Investimento é o "user cost of capital" (custo de uso do capital), que representa o custo implícito ou a despesa associada ao uso de uma unidade de capital por um </w:t>
      </w:r>
      <w:proofErr w:type="gramStart"/>
      <w:r w:rsidRPr="002D7F08">
        <w:rPr>
          <w:rFonts w:ascii="Garamond" w:hAnsi="Garamond"/>
          <w:sz w:val="24"/>
          <w:szCs w:val="24"/>
          <w:lang w:val="pt-PT"/>
        </w:rPr>
        <w:t>período de tempo</w:t>
      </w:r>
      <w:proofErr w:type="gramEnd"/>
      <w:r w:rsidRPr="002D7F08">
        <w:rPr>
          <w:rFonts w:ascii="Garamond" w:hAnsi="Garamond"/>
          <w:sz w:val="24"/>
          <w:szCs w:val="24"/>
          <w:lang w:val="pt-PT"/>
        </w:rPr>
        <w:t xml:space="preserve">. Este custo é influenciado por vários fatores, incluindo os preços dos bens de capital, a taxa de depreciação, a taxa de juro e a estrutura fiscal. </w:t>
      </w:r>
      <w:r w:rsidR="00416CF4" w:rsidRPr="002D7F08">
        <w:rPr>
          <w:rFonts w:ascii="Garamond" w:hAnsi="Garamond"/>
          <w:sz w:val="24"/>
          <w:szCs w:val="24"/>
          <w:lang w:val="pt-PT"/>
        </w:rPr>
        <w:t>O autor</w:t>
      </w:r>
      <w:r w:rsidRPr="002D7F08">
        <w:rPr>
          <w:rFonts w:ascii="Garamond" w:hAnsi="Garamond"/>
          <w:sz w:val="24"/>
          <w:szCs w:val="24"/>
          <w:lang w:val="pt-PT"/>
        </w:rPr>
        <w:t xml:space="preserve"> formula matematicamente o custo de uso do capital como:</w:t>
      </w:r>
    </w:p>
    <w:p w14:paraId="791ADA07" w14:textId="29CBF571" w:rsidR="002C7069" w:rsidRPr="002D7F08" w:rsidRDefault="001B7524" w:rsidP="000942BF">
      <w:pPr>
        <w:spacing w:line="360" w:lineRule="auto"/>
        <w:jc w:val="center"/>
        <w:rPr>
          <w:rFonts w:ascii="Garamond" w:hAnsi="Garamond"/>
          <w:sz w:val="24"/>
          <w:szCs w:val="24"/>
          <w:lang w:val="pt-PT"/>
        </w:rPr>
      </w:pPr>
      <m:oMath>
        <m:r>
          <w:rPr>
            <w:rFonts w:ascii="Cambria Math" w:hAnsi="Cambria Math" w:cs="Cambria Math"/>
            <w:sz w:val="24"/>
            <w:szCs w:val="24"/>
            <w:lang w:val="pt-PT"/>
          </w:rPr>
          <m:t>c</m:t>
        </m:r>
        <m:r>
          <m:rPr>
            <m:sty m:val="p"/>
          </m:rPr>
          <w:rPr>
            <w:rFonts w:ascii="Cambria Math" w:hAnsi="Cambria Math" w:cs="Cambria Math"/>
            <w:sz w:val="24"/>
            <w:szCs w:val="24"/>
            <w:lang w:val="pt-PT"/>
          </w:rPr>
          <m:t>=</m:t>
        </m:r>
        <m:f>
          <m:fPr>
            <m:ctrlPr>
              <w:rPr>
                <w:rFonts w:ascii="Cambria Math" w:hAnsi="Cambria Math"/>
                <w:sz w:val="24"/>
                <w:szCs w:val="24"/>
                <w:lang w:val="pt-PT"/>
              </w:rPr>
            </m:ctrlPr>
          </m:fPr>
          <m:num>
            <m:r>
              <m:rPr>
                <m:sty m:val="p"/>
              </m:rPr>
              <w:rPr>
                <w:rFonts w:ascii="Cambria Math" w:hAnsi="Cambria Math" w:cs="Cambria Math"/>
                <w:sz w:val="24"/>
                <w:szCs w:val="24"/>
                <w:lang w:val="pt-PT"/>
              </w:rPr>
              <m:t>q</m:t>
            </m:r>
            <m:d>
              <m:dPr>
                <m:ctrlPr>
                  <w:rPr>
                    <w:rFonts w:ascii="Cambria Math" w:hAnsi="Cambria Math" w:cs="Cambria Math"/>
                    <w:sz w:val="24"/>
                    <w:szCs w:val="24"/>
                    <w:lang w:val="pt-PT"/>
                  </w:rPr>
                </m:ctrlPr>
              </m:dPr>
              <m:e>
                <m:r>
                  <m:rPr>
                    <m:sty m:val="p"/>
                  </m:rPr>
                  <w:rPr>
                    <w:rFonts w:ascii="Cambria Math" w:hAnsi="Cambria Math" w:cs="Cambria Math"/>
                    <w:sz w:val="24"/>
                    <w:szCs w:val="24"/>
                    <w:lang w:val="pt-PT"/>
                  </w:rPr>
                  <m:t>1-μ</m:t>
                </m:r>
                <m:r>
                  <m:rPr>
                    <m:scr m:val="script"/>
                    <m:sty m:val="p"/>
                  </m:rPr>
                  <w:rPr>
                    <w:rFonts w:ascii="Cambria Math" w:hAnsi="Cambria Math" w:cs="Cambria Math"/>
                    <w:sz w:val="24"/>
                    <w:szCs w:val="24"/>
                    <w:lang w:val="pt-PT"/>
                  </w:rPr>
                  <m:t>z</m:t>
                </m:r>
              </m:e>
            </m:d>
            <m:r>
              <m:rPr>
                <m:sty m:val="p"/>
              </m:rPr>
              <w:rPr>
                <w:rFonts w:ascii="Cambria Math" w:hAnsi="Cambria Math" w:cs="Cambria Math"/>
                <w:sz w:val="24"/>
                <w:szCs w:val="24"/>
                <w:lang w:val="pt-PT"/>
              </w:rPr>
              <m:t>+r-q(1-μ)</m:t>
            </m:r>
          </m:num>
          <m:den>
            <m:r>
              <w:rPr>
                <w:rFonts w:ascii="Cambria Math" w:hAnsi="Cambria Math" w:cs="Cambria Math"/>
                <w:sz w:val="24"/>
                <w:szCs w:val="24"/>
                <w:lang w:val="pt-PT"/>
              </w:rPr>
              <m:t>1-μ</m:t>
            </m:r>
          </m:den>
        </m:f>
      </m:oMath>
      <w:r w:rsidR="002C7069" w:rsidRPr="002D7F08">
        <w:rPr>
          <w:rFonts w:ascii="Times New Roman" w:hAnsi="Times New Roman" w:cs="Times New Roman"/>
          <w:sz w:val="24"/>
          <w:szCs w:val="24"/>
          <w:lang w:val="pt-PT"/>
        </w:rPr>
        <w:t>​</w:t>
      </w:r>
    </w:p>
    <w:p w14:paraId="514A8371" w14:textId="577595A7" w:rsidR="002C7069" w:rsidRPr="002D7F08" w:rsidRDefault="001B7524" w:rsidP="00642608">
      <w:pPr>
        <w:spacing w:line="360" w:lineRule="auto"/>
        <w:jc w:val="both"/>
        <w:rPr>
          <w:rFonts w:ascii="Garamond" w:hAnsi="Garamond"/>
          <w:sz w:val="24"/>
          <w:szCs w:val="24"/>
          <w:lang w:val="pt-PT"/>
        </w:rPr>
      </w:pPr>
      <w:r w:rsidRPr="002D7F08">
        <w:rPr>
          <w:rFonts w:ascii="Garamond" w:hAnsi="Garamond"/>
          <w:sz w:val="24"/>
          <w:szCs w:val="24"/>
          <w:lang w:val="pt-PT"/>
        </w:rPr>
        <w:t>O</w:t>
      </w:r>
      <w:r w:rsidR="002C7069" w:rsidRPr="002D7F08">
        <w:rPr>
          <w:rFonts w:ascii="Garamond" w:hAnsi="Garamond"/>
          <w:sz w:val="24"/>
          <w:szCs w:val="24"/>
          <w:lang w:val="pt-PT"/>
        </w:rPr>
        <w:t>nde</w:t>
      </w:r>
      <w:r w:rsidRPr="002D7F08">
        <w:rPr>
          <w:rFonts w:ascii="Garamond" w:hAnsi="Garamond"/>
          <w:sz w:val="24"/>
          <w:szCs w:val="24"/>
          <w:lang w:val="pt-PT"/>
        </w:rPr>
        <w:t xml:space="preserve"> </w:t>
      </w:r>
      <w:r w:rsidR="002C7069" w:rsidRPr="002D7F08">
        <w:rPr>
          <w:rFonts w:ascii="Garamond" w:hAnsi="Garamond"/>
          <w:sz w:val="24"/>
          <w:szCs w:val="24"/>
          <w:lang w:val="pt-PT"/>
        </w:rPr>
        <w:t xml:space="preserve"> </w:t>
      </w:r>
      <m:oMath>
        <m:r>
          <w:rPr>
            <w:rFonts w:ascii="Cambria Math" w:hAnsi="Cambria Math" w:cs="Cambria Math"/>
            <w:sz w:val="24"/>
            <w:szCs w:val="24"/>
            <w:lang w:val="pt-PT"/>
          </w:rPr>
          <m:t>c</m:t>
        </m:r>
      </m:oMath>
      <w:r w:rsidRPr="002D7F08">
        <w:rPr>
          <w:rFonts w:ascii="Garamond" w:hAnsi="Garamond"/>
          <w:sz w:val="24"/>
          <w:szCs w:val="24"/>
          <w:lang w:val="pt-PT"/>
        </w:rPr>
        <w:t xml:space="preserve"> </w:t>
      </w:r>
      <w:r w:rsidR="002C7069" w:rsidRPr="002D7F08">
        <w:rPr>
          <w:rFonts w:ascii="Garamond" w:hAnsi="Garamond"/>
          <w:sz w:val="24"/>
          <w:szCs w:val="24"/>
          <w:lang w:val="pt-PT"/>
        </w:rPr>
        <w:t xml:space="preserve">é o custo de uso do capital, </w:t>
      </w:r>
      <m:oMath>
        <m:r>
          <m:rPr>
            <m:sty m:val="p"/>
          </m:rPr>
          <w:rPr>
            <w:rFonts w:ascii="Cambria Math" w:hAnsi="Cambria Math" w:cs="Cambria Math"/>
            <w:sz w:val="24"/>
            <w:szCs w:val="24"/>
            <w:lang w:val="pt-PT"/>
          </w:rPr>
          <m:t>q</m:t>
        </m:r>
      </m:oMath>
      <w:r w:rsidRPr="002D7F08">
        <w:rPr>
          <w:rFonts w:ascii="Garamond" w:hAnsi="Garamond"/>
          <w:sz w:val="24"/>
          <w:szCs w:val="24"/>
          <w:lang w:val="pt-PT"/>
        </w:rPr>
        <w:t xml:space="preserve"> é </w:t>
      </w:r>
      <w:r w:rsidR="002C7069" w:rsidRPr="002D7F08">
        <w:rPr>
          <w:rFonts w:ascii="Garamond" w:hAnsi="Garamond"/>
          <w:sz w:val="24"/>
          <w:szCs w:val="24"/>
          <w:lang w:val="pt-PT"/>
        </w:rPr>
        <w:t xml:space="preserve">o preço dos bens de capital, </w:t>
      </w:r>
      <m:oMath>
        <m:r>
          <m:rPr>
            <m:sty m:val="p"/>
          </m:rPr>
          <w:rPr>
            <w:rFonts w:ascii="Cambria Math" w:hAnsi="Cambria Math" w:cs="Cambria Math"/>
            <w:sz w:val="24"/>
            <w:szCs w:val="24"/>
            <w:lang w:val="pt-PT"/>
          </w:rPr>
          <m:t>μ</m:t>
        </m:r>
      </m:oMath>
      <w:r w:rsidRPr="002D7F08">
        <w:rPr>
          <w:rFonts w:ascii="Garamond" w:hAnsi="Garamond"/>
          <w:sz w:val="24"/>
          <w:szCs w:val="24"/>
          <w:lang w:val="pt-PT"/>
        </w:rPr>
        <w:t xml:space="preserve"> </w:t>
      </w:r>
      <w:r w:rsidR="002C7069" w:rsidRPr="002D7F08">
        <w:rPr>
          <w:rFonts w:ascii="Garamond" w:hAnsi="Garamond"/>
          <w:sz w:val="24"/>
          <w:szCs w:val="24"/>
          <w:lang w:val="pt-PT"/>
        </w:rPr>
        <w:t xml:space="preserve">é a taxa de imposto direto, </w:t>
      </w:r>
      <m:oMath>
        <m:r>
          <m:rPr>
            <m:scr m:val="script"/>
            <m:sty m:val="p"/>
          </m:rPr>
          <w:rPr>
            <w:rFonts w:ascii="Cambria Math" w:hAnsi="Cambria Math" w:cs="Cambria Math"/>
            <w:sz w:val="24"/>
            <w:szCs w:val="24"/>
            <w:lang w:val="pt-PT"/>
          </w:rPr>
          <m:t>z</m:t>
        </m:r>
      </m:oMath>
      <w:r w:rsidRPr="002D7F08">
        <w:rPr>
          <w:rFonts w:ascii="Garamond" w:hAnsi="Garamond"/>
          <w:sz w:val="24"/>
          <w:szCs w:val="24"/>
          <w:lang w:val="pt-PT"/>
        </w:rPr>
        <w:t xml:space="preserve"> </w:t>
      </w:r>
      <w:r w:rsidR="002C7069" w:rsidRPr="002D7F08">
        <w:rPr>
          <w:rFonts w:ascii="Garamond" w:hAnsi="Garamond"/>
          <w:sz w:val="24"/>
          <w:szCs w:val="24"/>
          <w:lang w:val="pt-PT"/>
        </w:rPr>
        <w:t xml:space="preserve">é a proporção das perdas de capital que podem ser deduzidas para fins fiscais, e </w:t>
      </w:r>
      <m:oMath>
        <m:r>
          <m:rPr>
            <m:sty m:val="p"/>
          </m:rPr>
          <w:rPr>
            <w:rFonts w:ascii="Cambria Math" w:hAnsi="Cambria Math" w:cs="Cambria Math"/>
            <w:sz w:val="24"/>
            <w:szCs w:val="24"/>
            <w:lang w:val="pt-PT"/>
          </w:rPr>
          <m:t>r</m:t>
        </m:r>
      </m:oMath>
      <w:r w:rsidR="002C7069" w:rsidRPr="002D7F08">
        <w:rPr>
          <w:rFonts w:ascii="Garamond" w:hAnsi="Garamond"/>
          <w:sz w:val="24"/>
          <w:szCs w:val="24"/>
          <w:lang w:val="pt-PT"/>
        </w:rPr>
        <w:t xml:space="preserve"> é a taxa de juro. Este modelo enfatiza que o investimento é sensível às alter</w:t>
      </w:r>
      <w:r w:rsidR="00E124B0" w:rsidRPr="002D7F08">
        <w:rPr>
          <w:rFonts w:ascii="Garamond" w:hAnsi="Garamond"/>
          <w:sz w:val="24"/>
          <w:szCs w:val="24"/>
          <w:lang w:val="pt-PT"/>
        </w:rPr>
        <w:t>a</w:t>
      </w:r>
      <w:r w:rsidR="002C7069" w:rsidRPr="002D7F08">
        <w:rPr>
          <w:rFonts w:ascii="Garamond" w:hAnsi="Garamond"/>
          <w:sz w:val="24"/>
          <w:szCs w:val="24"/>
          <w:lang w:val="pt-PT"/>
        </w:rPr>
        <w:t>ções nos preços relativos dos fatores de produção, incluindo o custo do capital.</w:t>
      </w:r>
    </w:p>
    <w:p w14:paraId="680E7547" w14:textId="7FDAF8C0" w:rsidR="002C7069" w:rsidRPr="002D7F08" w:rsidRDefault="002C7069" w:rsidP="00642608">
      <w:pPr>
        <w:spacing w:line="360" w:lineRule="auto"/>
        <w:jc w:val="both"/>
        <w:rPr>
          <w:rFonts w:ascii="Garamond" w:hAnsi="Garamond"/>
          <w:sz w:val="24"/>
          <w:szCs w:val="24"/>
          <w:lang w:val="pt-PT"/>
        </w:rPr>
      </w:pPr>
      <w:r w:rsidRPr="002D7F08">
        <w:rPr>
          <w:rFonts w:ascii="Garamond" w:hAnsi="Garamond"/>
          <w:sz w:val="24"/>
          <w:szCs w:val="24"/>
          <w:lang w:val="pt-PT"/>
        </w:rPr>
        <w:t>Para aplicar esta teoria ao comportamento d</w:t>
      </w:r>
      <w:r w:rsidR="00DE3DC1" w:rsidRPr="002D7F08">
        <w:rPr>
          <w:rFonts w:ascii="Garamond" w:hAnsi="Garamond"/>
          <w:sz w:val="24"/>
          <w:szCs w:val="24"/>
          <w:lang w:val="pt-PT"/>
        </w:rPr>
        <w:t>o</w:t>
      </w:r>
      <w:r w:rsidRPr="002D7F08">
        <w:rPr>
          <w:rFonts w:ascii="Garamond" w:hAnsi="Garamond"/>
          <w:sz w:val="24"/>
          <w:szCs w:val="24"/>
          <w:lang w:val="pt-PT"/>
        </w:rPr>
        <w:t xml:space="preserve"> investimento real das empresas, </w:t>
      </w:r>
      <w:proofErr w:type="spellStart"/>
      <w:r w:rsidRPr="002D7F08">
        <w:rPr>
          <w:rFonts w:ascii="Garamond" w:hAnsi="Garamond"/>
          <w:sz w:val="24"/>
          <w:szCs w:val="24"/>
          <w:lang w:val="pt-PT"/>
        </w:rPr>
        <w:t>Jorgenson</w:t>
      </w:r>
      <w:proofErr w:type="spellEnd"/>
      <w:r w:rsidRPr="002D7F08">
        <w:rPr>
          <w:rFonts w:ascii="Garamond" w:hAnsi="Garamond"/>
          <w:sz w:val="24"/>
          <w:szCs w:val="24"/>
          <w:lang w:val="pt-PT"/>
        </w:rPr>
        <w:t xml:space="preserve"> </w:t>
      </w:r>
      <w:r w:rsidR="001B7524" w:rsidRPr="002D7F08">
        <w:rPr>
          <w:rFonts w:ascii="Garamond" w:hAnsi="Garamond"/>
          <w:sz w:val="24"/>
          <w:szCs w:val="24"/>
          <w:lang w:val="pt-PT"/>
        </w:rPr>
        <w:t xml:space="preserve">(1963) </w:t>
      </w:r>
      <w:r w:rsidRPr="002D7F08">
        <w:rPr>
          <w:rFonts w:ascii="Garamond" w:hAnsi="Garamond"/>
          <w:sz w:val="24"/>
          <w:szCs w:val="24"/>
          <w:lang w:val="pt-PT"/>
        </w:rPr>
        <w:t>desenvolve</w:t>
      </w:r>
      <w:r w:rsidR="000D2245" w:rsidRPr="002D7F08">
        <w:rPr>
          <w:rFonts w:ascii="Garamond" w:hAnsi="Garamond"/>
          <w:sz w:val="24"/>
          <w:szCs w:val="24"/>
          <w:lang w:val="pt-PT"/>
        </w:rPr>
        <w:t>u</w:t>
      </w:r>
      <w:r w:rsidRPr="002D7F08">
        <w:rPr>
          <w:rFonts w:ascii="Garamond" w:hAnsi="Garamond"/>
          <w:sz w:val="24"/>
          <w:szCs w:val="24"/>
          <w:lang w:val="pt-PT"/>
        </w:rPr>
        <w:t xml:space="preserve"> um modelo dinâmico que </w:t>
      </w:r>
      <w:r w:rsidR="001B7524" w:rsidRPr="002D7F08">
        <w:rPr>
          <w:rFonts w:ascii="Garamond" w:hAnsi="Garamond"/>
          <w:sz w:val="24"/>
          <w:szCs w:val="24"/>
          <w:lang w:val="pt-PT"/>
        </w:rPr>
        <w:t>tem</w:t>
      </w:r>
      <w:r w:rsidRPr="002D7F08">
        <w:rPr>
          <w:rFonts w:ascii="Garamond" w:hAnsi="Garamond"/>
          <w:sz w:val="24"/>
          <w:szCs w:val="24"/>
          <w:lang w:val="pt-PT"/>
        </w:rPr>
        <w:t xml:space="preserve"> em conta o tempo de resposta a mudanças na </w:t>
      </w:r>
      <w:r w:rsidR="001B7524" w:rsidRPr="002D7F08">
        <w:rPr>
          <w:rFonts w:ascii="Garamond" w:hAnsi="Garamond"/>
          <w:sz w:val="24"/>
          <w:szCs w:val="24"/>
          <w:lang w:val="pt-PT"/>
        </w:rPr>
        <w:t>procura</w:t>
      </w:r>
      <w:r w:rsidRPr="002D7F08">
        <w:rPr>
          <w:rFonts w:ascii="Garamond" w:hAnsi="Garamond"/>
          <w:sz w:val="24"/>
          <w:szCs w:val="24"/>
          <w:lang w:val="pt-PT"/>
        </w:rPr>
        <w:t xml:space="preserve"> por capital. Assume-se que o investimento responde </w:t>
      </w:r>
      <w:r w:rsidR="001B7524" w:rsidRPr="002D7F08">
        <w:rPr>
          <w:rFonts w:ascii="Garamond" w:hAnsi="Garamond"/>
          <w:sz w:val="24"/>
          <w:szCs w:val="24"/>
          <w:lang w:val="pt-PT"/>
        </w:rPr>
        <w:t xml:space="preserve">de forma </w:t>
      </w:r>
      <w:r w:rsidRPr="002D7F08">
        <w:rPr>
          <w:rFonts w:ascii="Garamond" w:hAnsi="Garamond"/>
          <w:sz w:val="24"/>
          <w:szCs w:val="24"/>
          <w:lang w:val="pt-PT"/>
        </w:rPr>
        <w:t xml:space="preserve">não </w:t>
      </w:r>
      <w:r w:rsidR="001B7524" w:rsidRPr="002D7F08">
        <w:rPr>
          <w:rFonts w:ascii="Garamond" w:hAnsi="Garamond"/>
          <w:sz w:val="24"/>
          <w:szCs w:val="24"/>
          <w:lang w:val="pt-PT"/>
        </w:rPr>
        <w:t>instantânea</w:t>
      </w:r>
      <w:r w:rsidRPr="002D7F08">
        <w:rPr>
          <w:rFonts w:ascii="Garamond" w:hAnsi="Garamond"/>
          <w:sz w:val="24"/>
          <w:szCs w:val="24"/>
          <w:lang w:val="pt-PT"/>
        </w:rPr>
        <w:t>, mas</w:t>
      </w:r>
      <w:r w:rsidR="001B7524" w:rsidRPr="002D7F08">
        <w:rPr>
          <w:rFonts w:ascii="Garamond" w:hAnsi="Garamond"/>
          <w:sz w:val="24"/>
          <w:szCs w:val="24"/>
          <w:lang w:val="pt-PT"/>
        </w:rPr>
        <w:t xml:space="preserve"> sim</w:t>
      </w:r>
      <w:r w:rsidRPr="002D7F08">
        <w:rPr>
          <w:rFonts w:ascii="Garamond" w:hAnsi="Garamond"/>
          <w:sz w:val="24"/>
          <w:szCs w:val="24"/>
          <w:lang w:val="pt-PT"/>
        </w:rPr>
        <w:t xml:space="preserve"> ao longo do tempo, à diferença entre o stock de capital desejado e o stock de capital existente, ajustado pela taxa de depreciação</w:t>
      </w:r>
      <w:r w:rsidR="00BE7483">
        <w:rPr>
          <w:rFonts w:ascii="Garamond" w:hAnsi="Garamond"/>
          <w:sz w:val="24"/>
          <w:szCs w:val="24"/>
          <w:lang w:val="pt-PT"/>
        </w:rPr>
        <w:t>.</w:t>
      </w:r>
      <w:r w:rsidR="00BE7483" w:rsidRPr="00BE7483">
        <w:rPr>
          <w:lang w:val="pt-PT"/>
        </w:rPr>
        <w:t xml:space="preserve"> </w:t>
      </w:r>
      <w:r w:rsidR="00BE7483" w:rsidRPr="00BE7483">
        <w:rPr>
          <w:rFonts w:ascii="Garamond" w:hAnsi="Garamond"/>
          <w:sz w:val="24"/>
          <w:szCs w:val="24"/>
          <w:lang w:val="pt-PT"/>
        </w:rPr>
        <w:t xml:space="preserve">Este mecanismo é descrito através do uso de operadores </w:t>
      </w:r>
      <w:proofErr w:type="spellStart"/>
      <w:r w:rsidR="00BE7483" w:rsidRPr="00BE7483">
        <w:rPr>
          <w:rFonts w:ascii="Garamond" w:hAnsi="Garamond"/>
          <w:sz w:val="24"/>
          <w:szCs w:val="24"/>
          <w:lang w:val="pt-PT"/>
        </w:rPr>
        <w:t>lag</w:t>
      </w:r>
      <w:proofErr w:type="spellEnd"/>
      <w:r w:rsidR="00BE7483" w:rsidRPr="00BE7483">
        <w:rPr>
          <w:rFonts w:ascii="Garamond" w:hAnsi="Garamond"/>
          <w:sz w:val="24"/>
          <w:szCs w:val="24"/>
          <w:lang w:val="pt-PT"/>
        </w:rPr>
        <w:t xml:space="preserve">, que representam os efeitos temporais das variáveis económicas </w:t>
      </w:r>
      <w:r w:rsidR="00BE7483">
        <w:rPr>
          <w:rFonts w:ascii="Garamond" w:hAnsi="Garamond"/>
          <w:sz w:val="24"/>
          <w:szCs w:val="24"/>
          <w:lang w:val="pt-PT"/>
        </w:rPr>
        <w:t>em</w:t>
      </w:r>
      <w:r w:rsidR="00BE7483" w:rsidRPr="00BE7483">
        <w:rPr>
          <w:rFonts w:ascii="Garamond" w:hAnsi="Garamond"/>
          <w:sz w:val="24"/>
          <w:szCs w:val="24"/>
          <w:lang w:val="pt-PT"/>
        </w:rPr>
        <w:t xml:space="preserve"> resposta </w:t>
      </w:r>
      <w:r w:rsidR="00BE7483">
        <w:rPr>
          <w:rFonts w:ascii="Garamond" w:hAnsi="Garamond"/>
          <w:sz w:val="24"/>
          <w:szCs w:val="24"/>
          <w:lang w:val="pt-PT"/>
        </w:rPr>
        <w:t>a</w:t>
      </w:r>
      <w:r w:rsidR="00BE7483" w:rsidRPr="00BE7483">
        <w:rPr>
          <w:rFonts w:ascii="Garamond" w:hAnsi="Garamond"/>
          <w:sz w:val="24"/>
          <w:szCs w:val="24"/>
          <w:lang w:val="pt-PT"/>
        </w:rPr>
        <w:t>o investimento.</w:t>
      </w:r>
      <w:r w:rsidR="00BE7483">
        <w:rPr>
          <w:rFonts w:ascii="Garamond" w:hAnsi="Garamond"/>
          <w:sz w:val="24"/>
          <w:szCs w:val="24"/>
          <w:lang w:val="pt-PT"/>
        </w:rPr>
        <w:t xml:space="preserve"> </w:t>
      </w:r>
      <w:r w:rsidR="00BE7483" w:rsidRPr="00BE7483">
        <w:rPr>
          <w:rFonts w:ascii="Garamond" w:hAnsi="Garamond"/>
          <w:sz w:val="24"/>
          <w:szCs w:val="24"/>
          <w:lang w:val="pt-PT"/>
        </w:rPr>
        <w:t xml:space="preserve">Os operadores </w:t>
      </w:r>
      <w:proofErr w:type="spellStart"/>
      <w:r w:rsidR="00BE7483">
        <w:rPr>
          <w:rFonts w:ascii="Garamond" w:hAnsi="Garamond"/>
          <w:sz w:val="24"/>
          <w:szCs w:val="24"/>
          <w:lang w:val="pt-PT"/>
        </w:rPr>
        <w:t>lag</w:t>
      </w:r>
      <w:proofErr w:type="spellEnd"/>
      <w:r w:rsidR="00BE7483" w:rsidRPr="00BE7483">
        <w:rPr>
          <w:rFonts w:ascii="Garamond" w:hAnsi="Garamond"/>
          <w:sz w:val="24"/>
          <w:szCs w:val="24"/>
          <w:lang w:val="pt-PT"/>
        </w:rPr>
        <w:t xml:space="preserve"> são uma ferramenta matemática utilizada para modelar como uma variável </w:t>
      </w:r>
      <w:r w:rsidR="00BE7483">
        <w:rPr>
          <w:rFonts w:ascii="Garamond" w:hAnsi="Garamond"/>
          <w:sz w:val="24"/>
          <w:szCs w:val="24"/>
          <w:lang w:val="pt-PT"/>
        </w:rPr>
        <w:t>num</w:t>
      </w:r>
      <w:r w:rsidR="00BE7483" w:rsidRPr="00BE7483">
        <w:rPr>
          <w:rFonts w:ascii="Garamond" w:hAnsi="Garamond"/>
          <w:sz w:val="24"/>
          <w:szCs w:val="24"/>
          <w:lang w:val="pt-PT"/>
        </w:rPr>
        <w:t xml:space="preserve"> período específico é influenciada por valores passados de outras variáveis. No modelo de </w:t>
      </w:r>
      <w:proofErr w:type="spellStart"/>
      <w:r w:rsidR="00BE7483" w:rsidRPr="00BE7483">
        <w:rPr>
          <w:rFonts w:ascii="Garamond" w:hAnsi="Garamond"/>
          <w:sz w:val="24"/>
          <w:szCs w:val="24"/>
          <w:lang w:val="pt-PT"/>
        </w:rPr>
        <w:t>Jorgenson</w:t>
      </w:r>
      <w:proofErr w:type="spellEnd"/>
      <w:r w:rsidR="00BE7483" w:rsidRPr="00BE7483">
        <w:rPr>
          <w:rFonts w:ascii="Garamond" w:hAnsi="Garamond"/>
          <w:sz w:val="24"/>
          <w:szCs w:val="24"/>
          <w:lang w:val="pt-PT"/>
        </w:rPr>
        <w:t xml:space="preserve">, os operadores </w:t>
      </w:r>
      <w:proofErr w:type="spellStart"/>
      <w:r w:rsidR="00BE7483">
        <w:rPr>
          <w:rFonts w:ascii="Garamond" w:hAnsi="Garamond"/>
          <w:sz w:val="24"/>
          <w:szCs w:val="24"/>
          <w:lang w:val="pt-PT"/>
        </w:rPr>
        <w:t>lag</w:t>
      </w:r>
      <w:proofErr w:type="spellEnd"/>
      <w:r w:rsidR="00BE7483" w:rsidRPr="00BE7483">
        <w:rPr>
          <w:rFonts w:ascii="Garamond" w:hAnsi="Garamond"/>
          <w:sz w:val="24"/>
          <w:szCs w:val="24"/>
          <w:lang w:val="pt-PT"/>
        </w:rPr>
        <w:t xml:space="preserve"> são representados por uma série de poderes no operador </w:t>
      </w:r>
      <w:proofErr w:type="spellStart"/>
      <w:r w:rsidR="00BE7483" w:rsidRPr="00BE7483">
        <w:rPr>
          <w:rFonts w:ascii="Garamond" w:hAnsi="Garamond"/>
          <w:sz w:val="24"/>
          <w:szCs w:val="24"/>
          <w:lang w:val="pt-PT"/>
        </w:rPr>
        <w:t>lag</w:t>
      </w:r>
      <w:proofErr w:type="spellEnd"/>
      <w:r w:rsidR="00BE7483" w:rsidRPr="00BE7483">
        <w:rPr>
          <w:rFonts w:ascii="Garamond" w:hAnsi="Garamond"/>
          <w:sz w:val="24"/>
          <w:szCs w:val="24"/>
          <w:lang w:val="pt-PT"/>
        </w:rPr>
        <w:t xml:space="preserve">, que calcula uma média ponderada dos valores passados para prever o investimento futuro. Isso permite capturar a inércia e os atrasos inerentes aos processos de ajuste </w:t>
      </w:r>
      <w:r w:rsidR="00385031">
        <w:rPr>
          <w:rFonts w:ascii="Garamond" w:hAnsi="Garamond"/>
          <w:sz w:val="24"/>
          <w:szCs w:val="24"/>
          <w:lang w:val="pt-PT"/>
        </w:rPr>
        <w:t>relativo ao</w:t>
      </w:r>
      <w:r w:rsidR="00BE7483" w:rsidRPr="00BE7483">
        <w:rPr>
          <w:rFonts w:ascii="Garamond" w:hAnsi="Garamond"/>
          <w:sz w:val="24"/>
          <w:szCs w:val="24"/>
          <w:lang w:val="pt-PT"/>
        </w:rPr>
        <w:t xml:space="preserve"> investimento.</w:t>
      </w:r>
    </w:p>
    <w:p w14:paraId="0A54A4BE" w14:textId="6F5BB14D" w:rsidR="00712676" w:rsidRPr="002D7F08" w:rsidRDefault="001B7524" w:rsidP="00642608">
      <w:pPr>
        <w:spacing w:line="360" w:lineRule="auto"/>
        <w:jc w:val="both"/>
        <w:rPr>
          <w:rFonts w:ascii="Garamond" w:hAnsi="Garamond"/>
          <w:sz w:val="24"/>
          <w:szCs w:val="24"/>
          <w:lang w:val="pt-PT"/>
        </w:rPr>
      </w:pPr>
      <w:r w:rsidRPr="002D7F08">
        <w:rPr>
          <w:rFonts w:ascii="Garamond" w:hAnsi="Garamond"/>
          <w:sz w:val="24"/>
          <w:szCs w:val="24"/>
          <w:lang w:val="pt-PT"/>
        </w:rPr>
        <w:t>O autor</w:t>
      </w:r>
      <w:r w:rsidR="002C7069" w:rsidRPr="002D7F08">
        <w:rPr>
          <w:rFonts w:ascii="Garamond" w:hAnsi="Garamond"/>
          <w:sz w:val="24"/>
          <w:szCs w:val="24"/>
          <w:lang w:val="pt-PT"/>
        </w:rPr>
        <w:t xml:space="preserve"> apresenta várias equações testadas com dados do setor </w:t>
      </w:r>
      <w:r w:rsidR="00DE3DC1" w:rsidRPr="002D7F08">
        <w:rPr>
          <w:rFonts w:ascii="Garamond" w:hAnsi="Garamond"/>
          <w:sz w:val="24"/>
          <w:szCs w:val="24"/>
          <w:lang w:val="pt-PT"/>
        </w:rPr>
        <w:t>industrial</w:t>
      </w:r>
      <w:r w:rsidRPr="002D7F08">
        <w:rPr>
          <w:rFonts w:ascii="Garamond" w:hAnsi="Garamond"/>
          <w:sz w:val="24"/>
          <w:szCs w:val="24"/>
          <w:lang w:val="pt-PT"/>
        </w:rPr>
        <w:t xml:space="preserve"> </w:t>
      </w:r>
      <w:r w:rsidR="002C7069" w:rsidRPr="002D7F08">
        <w:rPr>
          <w:rFonts w:ascii="Garamond" w:hAnsi="Garamond"/>
          <w:sz w:val="24"/>
          <w:szCs w:val="24"/>
          <w:lang w:val="pt-PT"/>
        </w:rPr>
        <w:t xml:space="preserve">dos EUA, </w:t>
      </w:r>
      <w:r w:rsidRPr="002D7F08">
        <w:rPr>
          <w:rFonts w:ascii="Garamond" w:hAnsi="Garamond"/>
          <w:sz w:val="24"/>
          <w:szCs w:val="24"/>
          <w:lang w:val="pt-PT"/>
        </w:rPr>
        <w:t>de</w:t>
      </w:r>
      <w:r w:rsidR="002C7069" w:rsidRPr="002D7F08">
        <w:rPr>
          <w:rFonts w:ascii="Garamond" w:hAnsi="Garamond"/>
          <w:sz w:val="24"/>
          <w:szCs w:val="24"/>
          <w:lang w:val="pt-PT"/>
        </w:rPr>
        <w:t>mostrando a aplicabilidade do seu modelo. Estas equações revelam a sensibilidade do investimento a variações no custo d</w:t>
      </w:r>
      <w:r w:rsidR="00E30596" w:rsidRPr="002D7F08">
        <w:rPr>
          <w:rFonts w:ascii="Garamond" w:hAnsi="Garamond"/>
          <w:sz w:val="24"/>
          <w:szCs w:val="24"/>
          <w:lang w:val="pt-PT"/>
        </w:rPr>
        <w:t>o</w:t>
      </w:r>
      <w:r w:rsidR="002C7069" w:rsidRPr="002D7F08">
        <w:rPr>
          <w:rFonts w:ascii="Garamond" w:hAnsi="Garamond"/>
          <w:sz w:val="24"/>
          <w:szCs w:val="24"/>
          <w:lang w:val="pt-PT"/>
        </w:rPr>
        <w:t xml:space="preserve"> uso do capital e outros parâmetros económicos, </w:t>
      </w:r>
      <w:r w:rsidR="002C7069" w:rsidRPr="002D7F08">
        <w:rPr>
          <w:rFonts w:ascii="Garamond" w:hAnsi="Garamond"/>
          <w:sz w:val="24"/>
          <w:szCs w:val="24"/>
          <w:lang w:val="pt-PT"/>
        </w:rPr>
        <w:lastRenderedPageBreak/>
        <w:t>validando a teoria neoclássica do investimento como uma ferramenta poderosa para entender o comportamento d</w:t>
      </w:r>
      <w:r w:rsidRPr="002D7F08">
        <w:rPr>
          <w:rFonts w:ascii="Garamond" w:hAnsi="Garamond"/>
          <w:sz w:val="24"/>
          <w:szCs w:val="24"/>
          <w:lang w:val="pt-PT"/>
        </w:rPr>
        <w:t>o</w:t>
      </w:r>
      <w:r w:rsidR="002C7069" w:rsidRPr="002D7F08">
        <w:rPr>
          <w:rFonts w:ascii="Garamond" w:hAnsi="Garamond"/>
          <w:sz w:val="24"/>
          <w:szCs w:val="24"/>
          <w:lang w:val="pt-PT"/>
        </w:rPr>
        <w:t xml:space="preserve"> investimento das empresas.</w:t>
      </w:r>
    </w:p>
    <w:p w14:paraId="2CDE17E2" w14:textId="3238D7A9" w:rsidR="008855F3" w:rsidRPr="002D7F08" w:rsidRDefault="0063210B"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 artigo de </w:t>
      </w:r>
      <w:proofErr w:type="spellStart"/>
      <w:r w:rsidRPr="002D7F08">
        <w:rPr>
          <w:rFonts w:ascii="Garamond" w:hAnsi="Garamond"/>
          <w:sz w:val="24"/>
          <w:szCs w:val="24"/>
          <w:lang w:val="pt-PT"/>
        </w:rPr>
        <w:t>Klemm</w:t>
      </w:r>
      <w:proofErr w:type="spellEnd"/>
      <w:r w:rsidRPr="002D7F08">
        <w:rPr>
          <w:rFonts w:ascii="Garamond" w:hAnsi="Garamond"/>
          <w:sz w:val="24"/>
          <w:szCs w:val="24"/>
          <w:lang w:val="pt-PT"/>
        </w:rPr>
        <w:t xml:space="preserve"> e Van </w:t>
      </w:r>
      <w:proofErr w:type="spellStart"/>
      <w:r w:rsidRPr="002D7F08">
        <w:rPr>
          <w:rFonts w:ascii="Garamond" w:hAnsi="Garamond"/>
          <w:sz w:val="24"/>
          <w:szCs w:val="24"/>
          <w:lang w:val="pt-PT"/>
        </w:rPr>
        <w:t>Parys</w:t>
      </w:r>
      <w:proofErr w:type="spellEnd"/>
      <w:r w:rsidRPr="002D7F08">
        <w:rPr>
          <w:rFonts w:ascii="Garamond" w:hAnsi="Garamond"/>
          <w:sz w:val="24"/>
          <w:szCs w:val="24"/>
          <w:lang w:val="pt-PT"/>
        </w:rPr>
        <w:t xml:space="preserve"> (2012) realça que a teoria neoclássica do investimento serve como base para entender como os incentivos fiscais influenciam as decisões de investimento das empresas. De acordo com essa teoria, as empresas optam por investir quando os benefícios económicos superam os custos associados. Este princípio fundamenta-se na premissa de que reduções fiscais que diminuem o custo do capital incentivam a um aumento nos investimentos. A teoria neoclássica, portanto, fornece um quadro explicativo para avaliar como as políticas fiscais podem ser eficazes ao alterar os custos e benefícios do investimento empresarial, apoiando a hipótese de que os incentivos fiscais podem ser um mecanismo efetivo para atrair investimentos, especialmente em contextos de baixa incerteza económica.</w:t>
      </w:r>
    </w:p>
    <w:p w14:paraId="0B95EE9A" w14:textId="48A75124" w:rsidR="00DD1464" w:rsidRPr="002D7F08" w:rsidRDefault="002C7069" w:rsidP="00642608">
      <w:pPr>
        <w:spacing w:line="360" w:lineRule="auto"/>
        <w:jc w:val="both"/>
        <w:rPr>
          <w:rFonts w:ascii="Garamond" w:hAnsi="Garamond"/>
          <w:sz w:val="24"/>
          <w:szCs w:val="24"/>
          <w:lang w:val="pt-PT"/>
        </w:rPr>
      </w:pPr>
      <w:r w:rsidRPr="002D7F08">
        <w:rPr>
          <w:rFonts w:ascii="Garamond" w:hAnsi="Garamond"/>
          <w:sz w:val="24"/>
          <w:szCs w:val="24"/>
          <w:lang w:val="pt-PT"/>
        </w:rPr>
        <w:t>Em resumo, a Teoria Neoclássica do Investimento</w:t>
      </w:r>
      <w:r w:rsidR="00DE3DC1" w:rsidRPr="002D7F08">
        <w:rPr>
          <w:rFonts w:ascii="Garamond" w:hAnsi="Garamond"/>
          <w:sz w:val="24"/>
          <w:szCs w:val="24"/>
          <w:lang w:val="pt-PT"/>
        </w:rPr>
        <w:t xml:space="preserve"> permite</w:t>
      </w:r>
      <w:r w:rsidRPr="002D7F08">
        <w:rPr>
          <w:rFonts w:ascii="Garamond" w:hAnsi="Garamond"/>
          <w:sz w:val="24"/>
          <w:szCs w:val="24"/>
          <w:lang w:val="pt-PT"/>
        </w:rPr>
        <w:t xml:space="preserve"> analisar como as decisões de investimento são influenciadas por fatores económicos e fiscais. Este modelo destaca a interação entre a teoria económica e a prática econométrica, fornecendo </w:t>
      </w:r>
      <w:r w:rsidR="009D57F6" w:rsidRPr="002D7F08">
        <w:rPr>
          <w:rFonts w:ascii="Garamond" w:hAnsi="Garamond"/>
          <w:sz w:val="24"/>
          <w:szCs w:val="24"/>
          <w:lang w:val="pt-PT"/>
        </w:rPr>
        <w:t>perspetivas valiosa</w:t>
      </w:r>
      <w:r w:rsidRPr="002D7F08">
        <w:rPr>
          <w:rFonts w:ascii="Garamond" w:hAnsi="Garamond"/>
          <w:sz w:val="24"/>
          <w:szCs w:val="24"/>
          <w:lang w:val="pt-PT"/>
        </w:rPr>
        <w:t xml:space="preserve">s sobre o processo de </w:t>
      </w:r>
      <w:r w:rsidR="00DE3DC1" w:rsidRPr="002D7F08">
        <w:rPr>
          <w:rFonts w:ascii="Garamond" w:hAnsi="Garamond"/>
          <w:sz w:val="24"/>
          <w:szCs w:val="24"/>
          <w:lang w:val="pt-PT"/>
        </w:rPr>
        <w:t>formação</w:t>
      </w:r>
      <w:r w:rsidRPr="002D7F08">
        <w:rPr>
          <w:rFonts w:ascii="Garamond" w:hAnsi="Garamond"/>
          <w:sz w:val="24"/>
          <w:szCs w:val="24"/>
          <w:lang w:val="pt-PT"/>
        </w:rPr>
        <w:t xml:space="preserve"> de capital nas empresas.</w:t>
      </w:r>
      <w:r w:rsidR="00712676" w:rsidRPr="002D7F08">
        <w:rPr>
          <w:rFonts w:ascii="Garamond" w:hAnsi="Garamond"/>
          <w:sz w:val="24"/>
          <w:szCs w:val="24"/>
          <w:lang w:val="pt-PT"/>
        </w:rPr>
        <w:t xml:space="preserve"> Os pressupostos básicos desta teoria explicam, de certa forma, os requisitos básicos para atingir o investimento máximo das empresas. No entanto, a concretização de tais pressupostos na economia real é difícil. Assim, estes pressupostos fictícios conduziram ao desenvolvimento de outras teorias do investimento</w:t>
      </w:r>
      <w:r w:rsidR="007745B9" w:rsidRPr="002D7F08">
        <w:rPr>
          <w:rFonts w:ascii="Garamond" w:hAnsi="Garamond"/>
          <w:sz w:val="24"/>
          <w:szCs w:val="24"/>
          <w:lang w:val="pt-PT"/>
        </w:rPr>
        <w:t xml:space="preserve"> (</w:t>
      </w:r>
      <w:proofErr w:type="spellStart"/>
      <w:r w:rsidR="00FB1621" w:rsidRPr="002D7F08">
        <w:rPr>
          <w:rFonts w:ascii="Garamond" w:hAnsi="Garamond"/>
          <w:sz w:val="24"/>
          <w:szCs w:val="24"/>
          <w:lang w:val="pt-PT"/>
        </w:rPr>
        <w:t>Farooq</w:t>
      </w:r>
      <w:proofErr w:type="spellEnd"/>
      <w:r w:rsidR="00FB1621" w:rsidRPr="002D7F08">
        <w:rPr>
          <w:rFonts w:ascii="Garamond" w:hAnsi="Garamond"/>
          <w:sz w:val="24"/>
          <w:szCs w:val="24"/>
          <w:lang w:val="pt-PT"/>
        </w:rPr>
        <w:t xml:space="preserve"> </w:t>
      </w:r>
      <w:proofErr w:type="spellStart"/>
      <w:r w:rsidR="00FB1621" w:rsidRPr="002D7F08">
        <w:rPr>
          <w:rFonts w:ascii="Garamond" w:hAnsi="Garamond"/>
          <w:sz w:val="24"/>
          <w:szCs w:val="24"/>
          <w:lang w:val="pt-PT"/>
        </w:rPr>
        <w:t>et</w:t>
      </w:r>
      <w:proofErr w:type="spellEnd"/>
      <w:r w:rsidR="00FB1621" w:rsidRPr="002D7F08">
        <w:rPr>
          <w:rFonts w:ascii="Garamond" w:hAnsi="Garamond"/>
          <w:sz w:val="24"/>
          <w:szCs w:val="24"/>
          <w:lang w:val="pt-PT"/>
        </w:rPr>
        <w:t xml:space="preserve"> al, 2021)</w:t>
      </w:r>
      <w:r w:rsidR="00712676" w:rsidRPr="002D7F08">
        <w:rPr>
          <w:rFonts w:ascii="Garamond" w:hAnsi="Garamond"/>
          <w:sz w:val="24"/>
          <w:szCs w:val="24"/>
          <w:lang w:val="pt-PT"/>
        </w:rPr>
        <w:t>.</w:t>
      </w:r>
    </w:p>
    <w:p w14:paraId="5C3FA855" w14:textId="583C1A6B" w:rsidR="008606FA" w:rsidRPr="002D7F08" w:rsidRDefault="00A96084" w:rsidP="00642608">
      <w:pPr>
        <w:pStyle w:val="Ttulo2SecundrioTese"/>
        <w:numPr>
          <w:ilvl w:val="2"/>
          <w:numId w:val="4"/>
        </w:numPr>
        <w:jc w:val="both"/>
      </w:pPr>
      <w:bookmarkStart w:id="24" w:name="_Toc176458042"/>
      <w:r w:rsidRPr="002D7F08">
        <w:t>Teoria Aceleradora do Investimento (</w:t>
      </w:r>
      <w:proofErr w:type="spellStart"/>
      <w:r w:rsidRPr="002D7F08">
        <w:t>Accelerator</w:t>
      </w:r>
      <w:proofErr w:type="spellEnd"/>
      <w:r w:rsidRPr="002D7F08">
        <w:t xml:space="preserve"> </w:t>
      </w:r>
      <w:proofErr w:type="spellStart"/>
      <w:r w:rsidRPr="002D7F08">
        <w:t>Theory</w:t>
      </w:r>
      <w:proofErr w:type="spellEnd"/>
      <w:r w:rsidRPr="002D7F08">
        <w:t xml:space="preserve"> of Investment)</w:t>
      </w:r>
      <w:bookmarkEnd w:id="24"/>
    </w:p>
    <w:p w14:paraId="27CB143A" w14:textId="13853C68" w:rsidR="008556B7" w:rsidRPr="002D7F08" w:rsidRDefault="008606FA"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 Teoria </w:t>
      </w:r>
      <w:r w:rsidR="00A96084" w:rsidRPr="002D7F08">
        <w:rPr>
          <w:rFonts w:ascii="Garamond" w:hAnsi="Garamond"/>
          <w:sz w:val="24"/>
          <w:szCs w:val="24"/>
          <w:lang w:val="pt-PT"/>
        </w:rPr>
        <w:t xml:space="preserve">Aceleradora do Investimento </w:t>
      </w:r>
      <w:r w:rsidRPr="002D7F08">
        <w:rPr>
          <w:rFonts w:ascii="Garamond" w:hAnsi="Garamond"/>
          <w:sz w:val="24"/>
          <w:szCs w:val="24"/>
          <w:lang w:val="pt-PT"/>
        </w:rPr>
        <w:t xml:space="preserve">desempenha um papel </w:t>
      </w:r>
      <w:r w:rsidR="00885824" w:rsidRPr="002D7F08">
        <w:rPr>
          <w:rFonts w:ascii="Garamond" w:hAnsi="Garamond"/>
          <w:sz w:val="24"/>
          <w:szCs w:val="24"/>
          <w:lang w:val="pt-PT"/>
        </w:rPr>
        <w:t>imperativo</w:t>
      </w:r>
      <w:r w:rsidRPr="002D7F08">
        <w:rPr>
          <w:rFonts w:ascii="Garamond" w:hAnsi="Garamond"/>
          <w:sz w:val="24"/>
          <w:szCs w:val="24"/>
          <w:lang w:val="pt-PT"/>
        </w:rPr>
        <w:t xml:space="preserve"> na compreensão das flutuações económicas e dos ciclos d</w:t>
      </w:r>
      <w:r w:rsidR="00A132A8" w:rsidRPr="002D7F08">
        <w:rPr>
          <w:rFonts w:ascii="Garamond" w:hAnsi="Garamond"/>
          <w:sz w:val="24"/>
          <w:szCs w:val="24"/>
          <w:lang w:val="pt-PT"/>
        </w:rPr>
        <w:t>os</w:t>
      </w:r>
      <w:r w:rsidRPr="002D7F08">
        <w:rPr>
          <w:rFonts w:ascii="Garamond" w:hAnsi="Garamond"/>
          <w:sz w:val="24"/>
          <w:szCs w:val="24"/>
          <w:lang w:val="pt-PT"/>
        </w:rPr>
        <w:t xml:space="preserve"> negócios, oferecendo uma perspetiva sobre como as decisões de investimento das empresas são influenciadas por mudanças na procura. Esta teoria, detalhadamente discutida por </w:t>
      </w:r>
      <w:proofErr w:type="spellStart"/>
      <w:r w:rsidRPr="002D7F08">
        <w:rPr>
          <w:rFonts w:ascii="Garamond" w:hAnsi="Garamond"/>
          <w:sz w:val="24"/>
          <w:szCs w:val="24"/>
          <w:lang w:val="pt-PT"/>
        </w:rPr>
        <w:t>Clark</w:t>
      </w:r>
      <w:proofErr w:type="spellEnd"/>
      <w:r w:rsidRPr="002D7F08">
        <w:rPr>
          <w:rFonts w:ascii="Garamond" w:hAnsi="Garamond"/>
          <w:sz w:val="24"/>
          <w:szCs w:val="24"/>
          <w:lang w:val="pt-PT"/>
        </w:rPr>
        <w:t xml:space="preserve"> (1917), destaca o impacto das variações na procura sobre o investimento em bens de capital, tais como maquinaria e equipamentos, essenciais para a produção.</w:t>
      </w:r>
    </w:p>
    <w:p w14:paraId="63B2081F" w14:textId="68E0B091" w:rsidR="008606FA" w:rsidRPr="002D7F08" w:rsidRDefault="008606FA"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Segundo o autor, esta teoria </w:t>
      </w:r>
      <w:r w:rsidR="00495B96" w:rsidRPr="002D7F08">
        <w:rPr>
          <w:rFonts w:ascii="Garamond" w:hAnsi="Garamond"/>
          <w:sz w:val="24"/>
          <w:szCs w:val="24"/>
          <w:lang w:val="pt-PT"/>
        </w:rPr>
        <w:t>considera</w:t>
      </w:r>
      <w:r w:rsidRPr="002D7F08">
        <w:rPr>
          <w:rFonts w:ascii="Garamond" w:hAnsi="Garamond"/>
          <w:sz w:val="24"/>
          <w:szCs w:val="24"/>
          <w:lang w:val="pt-PT"/>
        </w:rPr>
        <w:t xml:space="preserve"> que o investimento empresarial em bens de capital é impulsionado não </w:t>
      </w:r>
      <w:r w:rsidR="00885824" w:rsidRPr="002D7F08">
        <w:rPr>
          <w:rFonts w:ascii="Garamond" w:hAnsi="Garamond"/>
          <w:sz w:val="24"/>
          <w:szCs w:val="24"/>
          <w:lang w:val="pt-PT"/>
        </w:rPr>
        <w:t>só</w:t>
      </w:r>
      <w:r w:rsidRPr="002D7F08">
        <w:rPr>
          <w:rFonts w:ascii="Garamond" w:hAnsi="Garamond"/>
          <w:sz w:val="24"/>
          <w:szCs w:val="24"/>
          <w:lang w:val="pt-PT"/>
        </w:rPr>
        <w:t xml:space="preserve"> pelo nível atual da procura, mas também pela taxa de variação dessa procura. Ou seja, o investimento é sensível não só à quantidade de procura </w:t>
      </w:r>
      <w:r w:rsidR="00885824" w:rsidRPr="002D7F08">
        <w:rPr>
          <w:rFonts w:ascii="Garamond" w:hAnsi="Garamond"/>
          <w:sz w:val="24"/>
          <w:szCs w:val="24"/>
          <w:lang w:val="pt-PT"/>
        </w:rPr>
        <w:t>por</w:t>
      </w:r>
      <w:r w:rsidRPr="002D7F08">
        <w:rPr>
          <w:rFonts w:ascii="Garamond" w:hAnsi="Garamond"/>
          <w:sz w:val="24"/>
          <w:szCs w:val="24"/>
          <w:lang w:val="pt-PT"/>
        </w:rPr>
        <w:t xml:space="preserve"> bens finais, mas sobretudo às alterações da mesma. Quando há um aumento na procura por produtos finais, as empresas </w:t>
      </w:r>
      <w:r w:rsidR="00885824" w:rsidRPr="002D7F08">
        <w:rPr>
          <w:rFonts w:ascii="Garamond" w:hAnsi="Garamond"/>
          <w:sz w:val="24"/>
          <w:szCs w:val="24"/>
          <w:lang w:val="pt-PT"/>
        </w:rPr>
        <w:t>preveem</w:t>
      </w:r>
      <w:r w:rsidRPr="002D7F08">
        <w:rPr>
          <w:rFonts w:ascii="Garamond" w:hAnsi="Garamond"/>
          <w:sz w:val="24"/>
          <w:szCs w:val="24"/>
          <w:lang w:val="pt-PT"/>
        </w:rPr>
        <w:t xml:space="preserve"> uma necessidade de expandir a capacidade produtiva para </w:t>
      </w:r>
      <w:r w:rsidRPr="002D7F08">
        <w:rPr>
          <w:rFonts w:ascii="Garamond" w:hAnsi="Garamond"/>
          <w:sz w:val="24"/>
          <w:szCs w:val="24"/>
          <w:lang w:val="pt-PT"/>
        </w:rPr>
        <w:lastRenderedPageBreak/>
        <w:t>atender a esta procura crescente, levando a um aumento do investimento. Este investimento adicional visa não só manter, mas também ampliar a capacidade de produção, traduzindo-se na aquisição de novos bens de capital.</w:t>
      </w:r>
    </w:p>
    <w:p w14:paraId="6AD671C3" w14:textId="2EC55077" w:rsidR="008606FA" w:rsidRPr="002D7F08" w:rsidRDefault="008606FA"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Clark</w:t>
      </w:r>
      <w:proofErr w:type="spellEnd"/>
      <w:r w:rsidR="00885824" w:rsidRPr="002D7F08">
        <w:rPr>
          <w:rFonts w:ascii="Garamond" w:hAnsi="Garamond"/>
          <w:sz w:val="24"/>
          <w:szCs w:val="24"/>
          <w:lang w:val="pt-PT"/>
        </w:rPr>
        <w:t xml:space="preserve"> (1917)</w:t>
      </w:r>
      <w:r w:rsidRPr="002D7F08">
        <w:rPr>
          <w:rFonts w:ascii="Garamond" w:hAnsi="Garamond"/>
          <w:sz w:val="24"/>
          <w:szCs w:val="24"/>
          <w:lang w:val="pt-PT"/>
        </w:rPr>
        <w:t xml:space="preserve"> ilustra esta dinâmica utilizando o exemplo hipotético de uma indústria que experiencia um crescimento na procura pelos seus produtos. À medida que esta procura aumenta, a necessidade de expandir a capacidade produtiva torna-se </w:t>
      </w:r>
      <w:r w:rsidR="00882DEC" w:rsidRPr="002D7F08">
        <w:rPr>
          <w:rFonts w:ascii="Garamond" w:hAnsi="Garamond"/>
          <w:sz w:val="24"/>
          <w:szCs w:val="24"/>
          <w:lang w:val="pt-PT"/>
        </w:rPr>
        <w:t xml:space="preserve">cada vez </w:t>
      </w:r>
      <w:r w:rsidRPr="002D7F08">
        <w:rPr>
          <w:rFonts w:ascii="Garamond" w:hAnsi="Garamond"/>
          <w:sz w:val="24"/>
          <w:szCs w:val="24"/>
          <w:lang w:val="pt-PT"/>
        </w:rPr>
        <w:t xml:space="preserve">mais </w:t>
      </w:r>
      <w:r w:rsidR="00882DEC" w:rsidRPr="002D7F08">
        <w:rPr>
          <w:rFonts w:ascii="Garamond" w:hAnsi="Garamond"/>
          <w:sz w:val="24"/>
          <w:szCs w:val="24"/>
          <w:lang w:val="pt-PT"/>
        </w:rPr>
        <w:t>importante</w:t>
      </w:r>
      <w:r w:rsidRPr="002D7F08">
        <w:rPr>
          <w:rFonts w:ascii="Garamond" w:hAnsi="Garamond"/>
          <w:sz w:val="24"/>
          <w:szCs w:val="24"/>
          <w:lang w:val="pt-PT"/>
        </w:rPr>
        <w:t xml:space="preserve">, resultando num crescimento significativo na procura por bens de capital. Esse aumento na procura por bens de capital é proporcionalmente maior do que o aumento na procura pelos produtos finais, evidenciando um efeito intensificador. Este fenómeno pode </w:t>
      </w:r>
      <w:r w:rsidR="00882DEC" w:rsidRPr="002D7F08">
        <w:rPr>
          <w:rFonts w:ascii="Garamond" w:hAnsi="Garamond"/>
          <w:sz w:val="24"/>
          <w:szCs w:val="24"/>
          <w:lang w:val="pt-PT"/>
        </w:rPr>
        <w:t>conduzir</w:t>
      </w:r>
      <w:r w:rsidRPr="002D7F08">
        <w:rPr>
          <w:rFonts w:ascii="Garamond" w:hAnsi="Garamond"/>
          <w:sz w:val="24"/>
          <w:szCs w:val="24"/>
          <w:lang w:val="pt-PT"/>
        </w:rPr>
        <w:t xml:space="preserve"> a um ciclo de expansão e contração, onde períodos de forte investimento são seguidos por períodos de </w:t>
      </w:r>
      <w:r w:rsidR="00B42BE3" w:rsidRPr="002D7F08">
        <w:rPr>
          <w:rFonts w:ascii="Garamond" w:hAnsi="Garamond"/>
          <w:sz w:val="24"/>
          <w:szCs w:val="24"/>
          <w:lang w:val="pt-PT"/>
        </w:rPr>
        <w:t>retração do mesmo</w:t>
      </w:r>
      <w:r w:rsidRPr="002D7F08">
        <w:rPr>
          <w:rFonts w:ascii="Garamond" w:hAnsi="Garamond"/>
          <w:sz w:val="24"/>
          <w:szCs w:val="24"/>
          <w:lang w:val="pt-PT"/>
        </w:rPr>
        <w:t xml:space="preserve">, à medida que as empresas </w:t>
      </w:r>
      <w:r w:rsidR="00882DEC" w:rsidRPr="002D7F08">
        <w:rPr>
          <w:rFonts w:ascii="Garamond" w:hAnsi="Garamond"/>
          <w:sz w:val="24"/>
          <w:szCs w:val="24"/>
          <w:lang w:val="pt-PT"/>
        </w:rPr>
        <w:t>adaptam</w:t>
      </w:r>
      <w:r w:rsidRPr="002D7F08">
        <w:rPr>
          <w:rFonts w:ascii="Garamond" w:hAnsi="Garamond"/>
          <w:sz w:val="24"/>
          <w:szCs w:val="24"/>
          <w:lang w:val="pt-PT"/>
        </w:rPr>
        <w:t xml:space="preserve"> as suas capacidades produtivas </w:t>
      </w:r>
      <w:r w:rsidR="00882DEC" w:rsidRPr="002D7F08">
        <w:rPr>
          <w:rFonts w:ascii="Garamond" w:hAnsi="Garamond"/>
          <w:sz w:val="24"/>
          <w:szCs w:val="24"/>
          <w:lang w:val="pt-PT"/>
        </w:rPr>
        <w:t>às flutuações</w:t>
      </w:r>
      <w:r w:rsidRPr="002D7F08">
        <w:rPr>
          <w:rFonts w:ascii="Garamond" w:hAnsi="Garamond"/>
          <w:sz w:val="24"/>
          <w:szCs w:val="24"/>
          <w:lang w:val="pt-PT"/>
        </w:rPr>
        <w:t xml:space="preserve"> </w:t>
      </w:r>
      <w:r w:rsidR="00882DEC" w:rsidRPr="002D7F08">
        <w:rPr>
          <w:rFonts w:ascii="Garamond" w:hAnsi="Garamond"/>
          <w:sz w:val="24"/>
          <w:szCs w:val="24"/>
          <w:lang w:val="pt-PT"/>
        </w:rPr>
        <w:t>d</w:t>
      </w:r>
      <w:r w:rsidRPr="002D7F08">
        <w:rPr>
          <w:rFonts w:ascii="Garamond" w:hAnsi="Garamond"/>
          <w:sz w:val="24"/>
          <w:szCs w:val="24"/>
          <w:lang w:val="pt-PT"/>
        </w:rPr>
        <w:t>a procura.</w:t>
      </w:r>
    </w:p>
    <w:p w14:paraId="3BDB7CE4" w14:textId="727557ED" w:rsidR="008606FA" w:rsidRPr="002D7F08" w:rsidRDefault="008606FA"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Um aspeto crucial destacado por </w:t>
      </w:r>
      <w:proofErr w:type="spellStart"/>
      <w:r w:rsidRPr="002D7F08">
        <w:rPr>
          <w:rFonts w:ascii="Garamond" w:hAnsi="Garamond"/>
          <w:sz w:val="24"/>
          <w:szCs w:val="24"/>
          <w:lang w:val="pt-PT"/>
        </w:rPr>
        <w:t>Clark</w:t>
      </w:r>
      <w:proofErr w:type="spellEnd"/>
      <w:r w:rsidRPr="002D7F08">
        <w:rPr>
          <w:rFonts w:ascii="Garamond" w:hAnsi="Garamond"/>
          <w:sz w:val="24"/>
          <w:szCs w:val="24"/>
          <w:lang w:val="pt-PT"/>
        </w:rPr>
        <w:t xml:space="preserve"> </w:t>
      </w:r>
      <w:r w:rsidR="0025045F" w:rsidRPr="002D7F08">
        <w:rPr>
          <w:rFonts w:ascii="Garamond" w:hAnsi="Garamond"/>
          <w:sz w:val="24"/>
          <w:szCs w:val="24"/>
          <w:lang w:val="pt-PT"/>
        </w:rPr>
        <w:t xml:space="preserve">(1997) </w:t>
      </w:r>
      <w:r w:rsidRPr="002D7F08">
        <w:rPr>
          <w:rFonts w:ascii="Garamond" w:hAnsi="Garamond"/>
          <w:sz w:val="24"/>
          <w:szCs w:val="24"/>
          <w:lang w:val="pt-PT"/>
        </w:rPr>
        <w:t>é o impacto desse mecanismo sobre os ciclos económicos. Durante os períodos de crescimento económico, quando a procura aumenta rapidamente, as empresas a</w:t>
      </w:r>
      <w:r w:rsidR="00B723A9" w:rsidRPr="002D7F08">
        <w:rPr>
          <w:rFonts w:ascii="Garamond" w:hAnsi="Garamond"/>
          <w:sz w:val="24"/>
          <w:szCs w:val="24"/>
          <w:lang w:val="pt-PT"/>
        </w:rPr>
        <w:t>umentam</w:t>
      </w:r>
      <w:r w:rsidRPr="002D7F08">
        <w:rPr>
          <w:rFonts w:ascii="Garamond" w:hAnsi="Garamond"/>
          <w:sz w:val="24"/>
          <w:szCs w:val="24"/>
          <w:lang w:val="pt-PT"/>
        </w:rPr>
        <w:t xml:space="preserve"> os seus investimentos em bens de capital para expandir a produção. No entanto, se a procura desacelera ou estagna, o investimento previamente realizado pode resulta</w:t>
      </w:r>
      <w:r w:rsidR="00B42BE3" w:rsidRPr="002D7F08">
        <w:rPr>
          <w:rFonts w:ascii="Garamond" w:hAnsi="Garamond"/>
          <w:sz w:val="24"/>
          <w:szCs w:val="24"/>
          <w:lang w:val="pt-PT"/>
        </w:rPr>
        <w:t>r</w:t>
      </w:r>
      <w:r w:rsidRPr="002D7F08">
        <w:rPr>
          <w:rFonts w:ascii="Garamond" w:hAnsi="Garamond"/>
          <w:sz w:val="24"/>
          <w:szCs w:val="24"/>
          <w:lang w:val="pt-PT"/>
        </w:rPr>
        <w:t xml:space="preserve"> num excesso de capacidade e </w:t>
      </w:r>
      <w:r w:rsidR="00B42BE3" w:rsidRPr="002D7F08">
        <w:rPr>
          <w:rFonts w:ascii="Garamond" w:hAnsi="Garamond"/>
          <w:sz w:val="24"/>
          <w:szCs w:val="24"/>
          <w:lang w:val="pt-PT"/>
        </w:rPr>
        <w:t>levar</w:t>
      </w:r>
      <w:r w:rsidRPr="002D7F08">
        <w:rPr>
          <w:rFonts w:ascii="Garamond" w:hAnsi="Garamond"/>
          <w:sz w:val="24"/>
          <w:szCs w:val="24"/>
          <w:lang w:val="pt-PT"/>
        </w:rPr>
        <w:t xml:space="preserve"> a uma contração económica. Esta dinâmica pode contribuir para a volatilidade dos ciclos económicos, com períodos de expansão seguidos por períodos de retração.</w:t>
      </w:r>
    </w:p>
    <w:p w14:paraId="07517A02" w14:textId="3CF37E8D" w:rsidR="008606FA" w:rsidRPr="002D7F08" w:rsidRDefault="00B723A9" w:rsidP="00642608">
      <w:pPr>
        <w:spacing w:line="360" w:lineRule="auto"/>
        <w:jc w:val="both"/>
        <w:rPr>
          <w:rFonts w:ascii="Garamond" w:hAnsi="Garamond"/>
          <w:sz w:val="24"/>
          <w:szCs w:val="24"/>
          <w:lang w:val="pt-PT"/>
        </w:rPr>
      </w:pPr>
      <w:r w:rsidRPr="002D7F08">
        <w:rPr>
          <w:rFonts w:ascii="Garamond" w:hAnsi="Garamond"/>
          <w:sz w:val="24"/>
          <w:szCs w:val="24"/>
          <w:lang w:val="pt-PT"/>
        </w:rPr>
        <w:t>A</w:t>
      </w:r>
      <w:r w:rsidR="00651A7D" w:rsidRPr="002D7F08">
        <w:rPr>
          <w:rFonts w:ascii="Garamond" w:hAnsi="Garamond"/>
          <w:sz w:val="24"/>
          <w:szCs w:val="24"/>
          <w:lang w:val="pt-PT"/>
        </w:rPr>
        <w:t>ssim, a</w:t>
      </w:r>
      <w:r w:rsidRPr="002D7F08">
        <w:rPr>
          <w:rFonts w:ascii="Garamond" w:hAnsi="Garamond"/>
          <w:sz w:val="24"/>
          <w:szCs w:val="24"/>
          <w:lang w:val="pt-PT"/>
        </w:rPr>
        <w:t xml:space="preserve"> </w:t>
      </w:r>
      <w:r w:rsidR="004F1F73" w:rsidRPr="002D7F08">
        <w:rPr>
          <w:rFonts w:ascii="Garamond" w:hAnsi="Garamond"/>
          <w:sz w:val="24"/>
          <w:szCs w:val="24"/>
          <w:lang w:val="pt-PT"/>
        </w:rPr>
        <w:t>“</w:t>
      </w:r>
      <w:r w:rsidR="00A96084" w:rsidRPr="002D7F08">
        <w:rPr>
          <w:rFonts w:ascii="Garamond" w:hAnsi="Garamond"/>
          <w:sz w:val="24"/>
          <w:szCs w:val="24"/>
          <w:lang w:val="pt-PT"/>
        </w:rPr>
        <w:t>Teoria Aceleradora do Investimento</w:t>
      </w:r>
      <w:r w:rsidR="004F1F73" w:rsidRPr="002D7F08">
        <w:rPr>
          <w:rFonts w:ascii="Garamond" w:hAnsi="Garamond"/>
          <w:sz w:val="24"/>
          <w:szCs w:val="24"/>
          <w:lang w:val="pt-PT"/>
        </w:rPr>
        <w:t>”</w:t>
      </w:r>
      <w:r w:rsidR="00A96084" w:rsidRPr="002D7F08">
        <w:rPr>
          <w:rFonts w:ascii="Garamond" w:hAnsi="Garamond"/>
          <w:sz w:val="24"/>
          <w:szCs w:val="24"/>
          <w:lang w:val="pt-PT"/>
        </w:rPr>
        <w:t xml:space="preserve"> </w:t>
      </w:r>
      <w:r w:rsidR="008606FA" w:rsidRPr="002D7F08">
        <w:rPr>
          <w:rFonts w:ascii="Garamond" w:hAnsi="Garamond"/>
          <w:sz w:val="24"/>
          <w:szCs w:val="24"/>
          <w:lang w:val="pt-PT"/>
        </w:rPr>
        <w:t>oferece uma explicação técnica e quantitativa para um dos fenómenos observados nos ciclos d</w:t>
      </w:r>
      <w:r w:rsidR="0025045F" w:rsidRPr="002D7F08">
        <w:rPr>
          <w:rFonts w:ascii="Garamond" w:hAnsi="Garamond"/>
          <w:sz w:val="24"/>
          <w:szCs w:val="24"/>
          <w:lang w:val="pt-PT"/>
        </w:rPr>
        <w:t>os</w:t>
      </w:r>
      <w:r w:rsidR="008606FA" w:rsidRPr="002D7F08">
        <w:rPr>
          <w:rFonts w:ascii="Garamond" w:hAnsi="Garamond"/>
          <w:sz w:val="24"/>
          <w:szCs w:val="24"/>
          <w:lang w:val="pt-PT"/>
        </w:rPr>
        <w:t xml:space="preserve"> negócios, sublinhando a importância de compreender as decisões de investimento empresarial dentro do contexto mais amplo da economia. O trabalho de </w:t>
      </w:r>
      <w:proofErr w:type="spellStart"/>
      <w:r w:rsidR="008606FA" w:rsidRPr="002D7F08">
        <w:rPr>
          <w:rFonts w:ascii="Garamond" w:hAnsi="Garamond"/>
          <w:sz w:val="24"/>
          <w:szCs w:val="24"/>
          <w:lang w:val="pt-PT"/>
        </w:rPr>
        <w:t>Clark</w:t>
      </w:r>
      <w:proofErr w:type="spellEnd"/>
      <w:r w:rsidR="008606FA" w:rsidRPr="002D7F08">
        <w:rPr>
          <w:rFonts w:ascii="Garamond" w:hAnsi="Garamond"/>
          <w:sz w:val="24"/>
          <w:szCs w:val="24"/>
          <w:lang w:val="pt-PT"/>
        </w:rPr>
        <w:t xml:space="preserve"> é fundamental para esta compreensão, fornecendo uma base teórica e empírica para a análise das dinâmicas de investimento e seu papel nos ciclos económicos.</w:t>
      </w:r>
    </w:p>
    <w:p w14:paraId="66388B4A" w14:textId="46C9F507" w:rsidR="00B723A9" w:rsidRPr="002D7F08" w:rsidRDefault="00B723A9"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Aprofundando a discussão sobre a </w:t>
      </w:r>
      <w:r w:rsidR="004F1F73" w:rsidRPr="002D7F08">
        <w:rPr>
          <w:rFonts w:ascii="Garamond" w:hAnsi="Garamond"/>
          <w:sz w:val="24"/>
          <w:szCs w:val="24"/>
          <w:lang w:val="pt-PT"/>
        </w:rPr>
        <w:t>“</w:t>
      </w:r>
      <w:r w:rsidR="00A96084" w:rsidRPr="002D7F08">
        <w:rPr>
          <w:rFonts w:ascii="Garamond" w:hAnsi="Garamond"/>
          <w:sz w:val="24"/>
          <w:szCs w:val="24"/>
          <w:lang w:val="pt-PT"/>
        </w:rPr>
        <w:t>Teoria Aceleradora do Investimento</w:t>
      </w:r>
      <w:r w:rsidR="004F1F73" w:rsidRPr="002D7F08">
        <w:rPr>
          <w:rFonts w:ascii="Garamond" w:hAnsi="Garamond"/>
          <w:sz w:val="24"/>
          <w:szCs w:val="24"/>
          <w:lang w:val="pt-PT"/>
        </w:rPr>
        <w:t>”</w:t>
      </w:r>
      <w:r w:rsidR="00A96084" w:rsidRPr="002D7F08">
        <w:rPr>
          <w:rFonts w:ascii="Garamond" w:hAnsi="Garamond"/>
          <w:sz w:val="24"/>
          <w:szCs w:val="24"/>
          <w:lang w:val="pt-PT"/>
        </w:rPr>
        <w:t xml:space="preserve"> </w:t>
      </w:r>
      <w:r w:rsidRPr="002D7F08">
        <w:rPr>
          <w:rFonts w:ascii="Garamond" w:hAnsi="Garamond"/>
          <w:sz w:val="24"/>
          <w:szCs w:val="24"/>
          <w:lang w:val="pt-PT"/>
        </w:rPr>
        <w:t xml:space="preserve">e </w:t>
      </w:r>
      <w:r w:rsidR="00A96084" w:rsidRPr="002D7F08">
        <w:rPr>
          <w:rFonts w:ascii="Garamond" w:hAnsi="Garamond"/>
          <w:sz w:val="24"/>
          <w:szCs w:val="24"/>
          <w:lang w:val="pt-PT"/>
        </w:rPr>
        <w:t xml:space="preserve">a </w:t>
      </w:r>
      <w:r w:rsidRPr="002D7F08">
        <w:rPr>
          <w:rFonts w:ascii="Garamond" w:hAnsi="Garamond"/>
          <w:sz w:val="24"/>
          <w:szCs w:val="24"/>
          <w:lang w:val="pt-PT"/>
        </w:rPr>
        <w:t xml:space="preserve">sua relevância nos ciclos económicos, é pertinente examinar as contribuições de estudos mais recentes que exploram a relação entre as decisões de investimento </w:t>
      </w:r>
      <w:r w:rsidR="0025045F" w:rsidRPr="002D7F08">
        <w:rPr>
          <w:rFonts w:ascii="Garamond" w:hAnsi="Garamond"/>
          <w:sz w:val="24"/>
          <w:szCs w:val="24"/>
          <w:lang w:val="pt-PT"/>
        </w:rPr>
        <w:t>empresarial</w:t>
      </w:r>
      <w:r w:rsidRPr="002D7F08">
        <w:rPr>
          <w:rFonts w:ascii="Garamond" w:hAnsi="Garamond"/>
          <w:sz w:val="24"/>
          <w:szCs w:val="24"/>
          <w:lang w:val="pt-PT"/>
        </w:rPr>
        <w:t xml:space="preserve"> e o desempenho das </w:t>
      </w:r>
      <w:r w:rsidR="0025045F" w:rsidRPr="002D7F08">
        <w:rPr>
          <w:rFonts w:ascii="Garamond" w:hAnsi="Garamond"/>
          <w:sz w:val="24"/>
          <w:szCs w:val="24"/>
          <w:lang w:val="pt-PT"/>
        </w:rPr>
        <w:t>mesmas</w:t>
      </w:r>
      <w:r w:rsidRPr="002D7F08">
        <w:rPr>
          <w:rFonts w:ascii="Garamond" w:hAnsi="Garamond"/>
          <w:sz w:val="24"/>
          <w:szCs w:val="24"/>
          <w:lang w:val="pt-PT"/>
        </w:rPr>
        <w:t>. Ne</w:t>
      </w:r>
      <w:r w:rsidR="00A96084" w:rsidRPr="002D7F08">
        <w:rPr>
          <w:rFonts w:ascii="Garamond" w:hAnsi="Garamond"/>
          <w:sz w:val="24"/>
          <w:szCs w:val="24"/>
          <w:lang w:val="pt-PT"/>
        </w:rPr>
        <w:t>sse</w:t>
      </w:r>
      <w:r w:rsidRPr="002D7F08">
        <w:rPr>
          <w:rFonts w:ascii="Garamond" w:hAnsi="Garamond"/>
          <w:sz w:val="24"/>
          <w:szCs w:val="24"/>
          <w:lang w:val="pt-PT"/>
        </w:rPr>
        <w:t xml:space="preserve"> sentido, os </w:t>
      </w:r>
      <w:r w:rsidR="0025045F" w:rsidRPr="002D7F08">
        <w:rPr>
          <w:rFonts w:ascii="Garamond" w:hAnsi="Garamond"/>
          <w:sz w:val="24"/>
          <w:szCs w:val="24"/>
          <w:lang w:val="pt-PT"/>
        </w:rPr>
        <w:t>estudos</w:t>
      </w:r>
      <w:r w:rsidRPr="002D7F08">
        <w:rPr>
          <w:rFonts w:ascii="Garamond" w:hAnsi="Garamond"/>
          <w:sz w:val="24"/>
          <w:szCs w:val="24"/>
          <w:lang w:val="pt-PT"/>
        </w:rPr>
        <w:t xml:space="preserve"> de </w:t>
      </w:r>
      <w:proofErr w:type="spellStart"/>
      <w:r w:rsidRPr="002D7F08">
        <w:rPr>
          <w:rFonts w:ascii="Garamond" w:hAnsi="Garamond"/>
          <w:sz w:val="24"/>
          <w:szCs w:val="24"/>
          <w:lang w:val="pt-PT"/>
        </w:rPr>
        <w:t>Farooq</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(2021), Kong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(2022), </w:t>
      </w:r>
      <w:proofErr w:type="spellStart"/>
      <w:r w:rsidRPr="002D7F08">
        <w:rPr>
          <w:rFonts w:ascii="Garamond" w:hAnsi="Garamond"/>
          <w:sz w:val="24"/>
          <w:szCs w:val="24"/>
          <w:lang w:val="pt-PT"/>
        </w:rPr>
        <w:t>Islam</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(2022), </w:t>
      </w:r>
      <w:proofErr w:type="spellStart"/>
      <w:r w:rsidRPr="002D7F08">
        <w:rPr>
          <w:rFonts w:ascii="Garamond" w:hAnsi="Garamond"/>
          <w:sz w:val="24"/>
          <w:szCs w:val="24"/>
          <w:lang w:val="pt-PT"/>
        </w:rPr>
        <w:t>Salehi</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(2022) </w:t>
      </w:r>
      <w:r w:rsidR="00B432D7" w:rsidRPr="002D7F08">
        <w:rPr>
          <w:rFonts w:ascii="Garamond" w:hAnsi="Garamond"/>
          <w:sz w:val="24"/>
          <w:szCs w:val="24"/>
          <w:lang w:val="pt-PT"/>
        </w:rPr>
        <w:t xml:space="preserve">e Mendes </w:t>
      </w:r>
      <w:proofErr w:type="spellStart"/>
      <w:r w:rsidR="00B432D7" w:rsidRPr="002D7F08">
        <w:rPr>
          <w:rFonts w:ascii="Garamond" w:hAnsi="Garamond"/>
          <w:sz w:val="24"/>
          <w:szCs w:val="24"/>
          <w:lang w:val="pt-PT"/>
        </w:rPr>
        <w:t>et</w:t>
      </w:r>
      <w:proofErr w:type="spellEnd"/>
      <w:r w:rsidR="00B432D7" w:rsidRPr="002D7F08">
        <w:rPr>
          <w:rFonts w:ascii="Garamond" w:hAnsi="Garamond"/>
          <w:sz w:val="24"/>
          <w:szCs w:val="24"/>
          <w:lang w:val="pt-PT"/>
        </w:rPr>
        <w:t xml:space="preserve"> al. (2014) </w:t>
      </w:r>
      <w:r w:rsidRPr="002D7F08">
        <w:rPr>
          <w:rFonts w:ascii="Garamond" w:hAnsi="Garamond"/>
          <w:sz w:val="24"/>
          <w:szCs w:val="24"/>
          <w:lang w:val="pt-PT"/>
        </w:rPr>
        <w:t xml:space="preserve">fornecem </w:t>
      </w:r>
      <w:r w:rsidR="004C1908" w:rsidRPr="002D7F08">
        <w:rPr>
          <w:rFonts w:ascii="Garamond" w:hAnsi="Garamond"/>
          <w:sz w:val="24"/>
          <w:szCs w:val="24"/>
          <w:lang w:val="pt-PT"/>
        </w:rPr>
        <w:t xml:space="preserve">conhecimento </w:t>
      </w:r>
      <w:r w:rsidRPr="002D7F08">
        <w:rPr>
          <w:rFonts w:ascii="Garamond" w:hAnsi="Garamond"/>
          <w:sz w:val="24"/>
          <w:szCs w:val="24"/>
          <w:lang w:val="pt-PT"/>
        </w:rPr>
        <w:t xml:space="preserve">valioso que complementa e expande os princípios fundamentais discutidos por </w:t>
      </w:r>
      <w:proofErr w:type="spellStart"/>
      <w:r w:rsidRPr="002D7F08">
        <w:rPr>
          <w:rFonts w:ascii="Garamond" w:hAnsi="Garamond"/>
          <w:sz w:val="24"/>
          <w:szCs w:val="24"/>
          <w:lang w:val="pt-PT"/>
        </w:rPr>
        <w:t>Clark</w:t>
      </w:r>
      <w:proofErr w:type="spellEnd"/>
      <w:r w:rsidRPr="002D7F08">
        <w:rPr>
          <w:rFonts w:ascii="Garamond" w:hAnsi="Garamond"/>
          <w:sz w:val="24"/>
          <w:szCs w:val="24"/>
          <w:lang w:val="pt-PT"/>
        </w:rPr>
        <w:t xml:space="preserve"> (1917).</w:t>
      </w:r>
    </w:p>
    <w:p w14:paraId="3EA31902" w14:textId="538D6CAC" w:rsidR="00B723A9" w:rsidRPr="002D7F08" w:rsidRDefault="006D07D2"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lastRenderedPageBreak/>
        <w:t>Farooq</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(2021) investigam a dinâmica das decisões de investimento </w:t>
      </w:r>
      <w:r w:rsidR="0025045F" w:rsidRPr="002D7F08">
        <w:rPr>
          <w:rFonts w:ascii="Garamond" w:hAnsi="Garamond"/>
          <w:sz w:val="24"/>
          <w:szCs w:val="24"/>
          <w:lang w:val="pt-PT"/>
        </w:rPr>
        <w:t>empresarial</w:t>
      </w:r>
      <w:r w:rsidRPr="002D7F08">
        <w:rPr>
          <w:rFonts w:ascii="Garamond" w:hAnsi="Garamond"/>
          <w:sz w:val="24"/>
          <w:szCs w:val="24"/>
          <w:lang w:val="pt-PT"/>
        </w:rPr>
        <w:t xml:space="preserve">, enfatizando a importância da qualidade da </w:t>
      </w:r>
      <w:r w:rsidR="003953E5" w:rsidRPr="002D7F08">
        <w:rPr>
          <w:rFonts w:ascii="Garamond" w:hAnsi="Garamond"/>
          <w:sz w:val="24"/>
          <w:szCs w:val="24"/>
          <w:lang w:val="pt-PT"/>
        </w:rPr>
        <w:t>gestão empresarial</w:t>
      </w:r>
      <w:r w:rsidRPr="002D7F08">
        <w:rPr>
          <w:rFonts w:ascii="Garamond" w:hAnsi="Garamond"/>
          <w:sz w:val="24"/>
          <w:szCs w:val="24"/>
          <w:lang w:val="pt-PT"/>
        </w:rPr>
        <w:t xml:space="preserve"> e do ambiente macroeconómico. Este estudo sugere que um</w:t>
      </w:r>
      <w:r w:rsidR="00A132A8" w:rsidRPr="002D7F08">
        <w:rPr>
          <w:rFonts w:ascii="Garamond" w:hAnsi="Garamond"/>
          <w:sz w:val="24"/>
          <w:szCs w:val="24"/>
          <w:lang w:val="pt-PT"/>
        </w:rPr>
        <w:t>a boa gestão empresarial</w:t>
      </w:r>
      <w:r w:rsidRPr="002D7F08">
        <w:rPr>
          <w:rFonts w:ascii="Garamond" w:hAnsi="Garamond"/>
          <w:sz w:val="24"/>
          <w:szCs w:val="24"/>
          <w:lang w:val="pt-PT"/>
        </w:rPr>
        <w:t xml:space="preserve"> e um ambiente macroeconómico estável podem facilitar as decisões de investimento, permitindo que as empresas se adaptem mais eficazmente às mudanças na procura. Assim, complementa a </w:t>
      </w:r>
      <w:r w:rsidR="004F1F73" w:rsidRPr="002D7F08">
        <w:rPr>
          <w:rFonts w:ascii="Garamond" w:hAnsi="Garamond"/>
          <w:sz w:val="24"/>
          <w:szCs w:val="24"/>
          <w:lang w:val="pt-PT"/>
        </w:rPr>
        <w:t xml:space="preserve">“Teoria Aceleradora do Investimento” </w:t>
      </w:r>
      <w:r w:rsidRPr="002D7F08">
        <w:rPr>
          <w:rFonts w:ascii="Garamond" w:hAnsi="Garamond"/>
          <w:sz w:val="24"/>
          <w:szCs w:val="24"/>
          <w:lang w:val="pt-PT"/>
        </w:rPr>
        <w:t>ao sugerir que fatores externos ao ciclo d</w:t>
      </w:r>
      <w:r w:rsidR="003953E5" w:rsidRPr="002D7F08">
        <w:rPr>
          <w:rFonts w:ascii="Garamond" w:hAnsi="Garamond"/>
          <w:sz w:val="24"/>
          <w:szCs w:val="24"/>
          <w:lang w:val="pt-PT"/>
        </w:rPr>
        <w:t>a procura</w:t>
      </w:r>
      <w:r w:rsidRPr="002D7F08">
        <w:rPr>
          <w:rFonts w:ascii="Garamond" w:hAnsi="Garamond"/>
          <w:sz w:val="24"/>
          <w:szCs w:val="24"/>
          <w:lang w:val="pt-PT"/>
        </w:rPr>
        <w:t xml:space="preserve"> e investimento, como a </w:t>
      </w:r>
      <w:r w:rsidR="003953E5" w:rsidRPr="002D7F08">
        <w:rPr>
          <w:rFonts w:ascii="Garamond" w:hAnsi="Garamond"/>
          <w:sz w:val="24"/>
          <w:szCs w:val="24"/>
          <w:lang w:val="pt-PT"/>
        </w:rPr>
        <w:t>gestão</w:t>
      </w:r>
      <w:r w:rsidRPr="002D7F08">
        <w:rPr>
          <w:rFonts w:ascii="Garamond" w:hAnsi="Garamond"/>
          <w:sz w:val="24"/>
          <w:szCs w:val="24"/>
          <w:lang w:val="pt-PT"/>
        </w:rPr>
        <w:t xml:space="preserve"> </w:t>
      </w:r>
      <w:r w:rsidR="003953E5" w:rsidRPr="002D7F08">
        <w:rPr>
          <w:rFonts w:ascii="Garamond" w:hAnsi="Garamond"/>
          <w:sz w:val="24"/>
          <w:szCs w:val="24"/>
          <w:lang w:val="pt-PT"/>
        </w:rPr>
        <w:t>empresarial</w:t>
      </w:r>
      <w:r w:rsidRPr="002D7F08">
        <w:rPr>
          <w:rFonts w:ascii="Garamond" w:hAnsi="Garamond"/>
          <w:sz w:val="24"/>
          <w:szCs w:val="24"/>
          <w:lang w:val="pt-PT"/>
        </w:rPr>
        <w:t xml:space="preserve">, desempenham um papel </w:t>
      </w:r>
      <w:r w:rsidR="003953E5" w:rsidRPr="002D7F08">
        <w:rPr>
          <w:rFonts w:ascii="Garamond" w:hAnsi="Garamond"/>
          <w:sz w:val="24"/>
          <w:szCs w:val="24"/>
          <w:lang w:val="pt-PT"/>
        </w:rPr>
        <w:t>essencial</w:t>
      </w:r>
      <w:r w:rsidRPr="002D7F08">
        <w:rPr>
          <w:rFonts w:ascii="Garamond" w:hAnsi="Garamond"/>
          <w:sz w:val="24"/>
          <w:szCs w:val="24"/>
          <w:lang w:val="pt-PT"/>
        </w:rPr>
        <w:t xml:space="preserve"> na </w:t>
      </w:r>
      <w:r w:rsidR="00BE39E1" w:rsidRPr="002D7F08">
        <w:rPr>
          <w:rFonts w:ascii="Garamond" w:hAnsi="Garamond"/>
          <w:sz w:val="24"/>
          <w:szCs w:val="24"/>
          <w:lang w:val="pt-PT"/>
        </w:rPr>
        <w:t>tomada</w:t>
      </w:r>
      <w:r w:rsidRPr="002D7F08">
        <w:rPr>
          <w:rFonts w:ascii="Garamond" w:hAnsi="Garamond"/>
          <w:sz w:val="24"/>
          <w:szCs w:val="24"/>
          <w:lang w:val="pt-PT"/>
        </w:rPr>
        <w:t xml:space="preserve"> dessas decisões.</w:t>
      </w:r>
    </w:p>
    <w:p w14:paraId="7C86E594" w14:textId="504E026B" w:rsidR="006D07D2" w:rsidRPr="002D7F08" w:rsidRDefault="006D07D2"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Kong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w:t>
      </w:r>
      <w:r w:rsidR="0025045F" w:rsidRPr="002D7F08">
        <w:rPr>
          <w:rFonts w:ascii="Garamond" w:hAnsi="Garamond"/>
          <w:sz w:val="24"/>
          <w:szCs w:val="24"/>
          <w:lang w:val="pt-PT"/>
        </w:rPr>
        <w:t>2022</w:t>
      </w:r>
      <w:r w:rsidRPr="002D7F08">
        <w:rPr>
          <w:rFonts w:ascii="Garamond" w:hAnsi="Garamond"/>
          <w:sz w:val="24"/>
          <w:szCs w:val="24"/>
          <w:lang w:val="pt-PT"/>
        </w:rPr>
        <w:t xml:space="preserve">) </w:t>
      </w:r>
      <w:r w:rsidR="0025045F" w:rsidRPr="002D7F08">
        <w:rPr>
          <w:rFonts w:ascii="Garamond" w:hAnsi="Garamond"/>
          <w:sz w:val="24"/>
          <w:szCs w:val="24"/>
          <w:lang w:val="pt-PT"/>
        </w:rPr>
        <w:t>estudam a</w:t>
      </w:r>
      <w:r w:rsidRPr="002D7F08">
        <w:rPr>
          <w:rFonts w:ascii="Garamond" w:hAnsi="Garamond"/>
          <w:sz w:val="24"/>
          <w:szCs w:val="24"/>
          <w:lang w:val="pt-PT"/>
        </w:rPr>
        <w:t xml:space="preserve"> interação entre o investimento </w:t>
      </w:r>
      <w:r w:rsidR="0025045F" w:rsidRPr="002D7F08">
        <w:rPr>
          <w:rFonts w:ascii="Garamond" w:hAnsi="Garamond"/>
          <w:sz w:val="24"/>
          <w:szCs w:val="24"/>
          <w:lang w:val="pt-PT"/>
        </w:rPr>
        <w:t>empresarial</w:t>
      </w:r>
      <w:r w:rsidRPr="002D7F08">
        <w:rPr>
          <w:rFonts w:ascii="Garamond" w:hAnsi="Garamond"/>
          <w:sz w:val="24"/>
          <w:szCs w:val="24"/>
          <w:lang w:val="pt-PT"/>
        </w:rPr>
        <w:t xml:space="preserve"> e o acesso ao financiamento. O estudo revela que a disponibilidade de crédito e as condições de financiamento são determinantes significativ</w:t>
      </w:r>
      <w:r w:rsidR="0025045F" w:rsidRPr="002D7F08">
        <w:rPr>
          <w:rFonts w:ascii="Garamond" w:hAnsi="Garamond"/>
          <w:sz w:val="24"/>
          <w:szCs w:val="24"/>
          <w:lang w:val="pt-PT"/>
        </w:rPr>
        <w:t>a</w:t>
      </w:r>
      <w:r w:rsidRPr="002D7F08">
        <w:rPr>
          <w:rFonts w:ascii="Garamond" w:hAnsi="Garamond"/>
          <w:sz w:val="24"/>
          <w:szCs w:val="24"/>
          <w:lang w:val="pt-PT"/>
        </w:rPr>
        <w:t>s do investimento, particularmente em economias emergentes onde os mercados financeiros são menos desenvolvidos. Esta pesquisa ressalta que, além das variações na procura, a capacidade d</w:t>
      </w:r>
      <w:r w:rsidR="0025045F" w:rsidRPr="002D7F08">
        <w:rPr>
          <w:rFonts w:ascii="Garamond" w:hAnsi="Garamond"/>
          <w:sz w:val="24"/>
          <w:szCs w:val="24"/>
          <w:lang w:val="pt-PT"/>
        </w:rPr>
        <w:t>e as</w:t>
      </w:r>
      <w:r w:rsidRPr="002D7F08">
        <w:rPr>
          <w:rFonts w:ascii="Garamond" w:hAnsi="Garamond"/>
          <w:sz w:val="24"/>
          <w:szCs w:val="24"/>
          <w:lang w:val="pt-PT"/>
        </w:rPr>
        <w:t xml:space="preserve"> empresas </w:t>
      </w:r>
      <w:r w:rsidR="0025045F" w:rsidRPr="002D7F08">
        <w:rPr>
          <w:rFonts w:ascii="Garamond" w:hAnsi="Garamond"/>
          <w:sz w:val="24"/>
          <w:szCs w:val="24"/>
          <w:lang w:val="pt-PT"/>
        </w:rPr>
        <w:t>terem acesso ao</w:t>
      </w:r>
      <w:r w:rsidRPr="002D7F08">
        <w:rPr>
          <w:rFonts w:ascii="Garamond" w:hAnsi="Garamond"/>
          <w:sz w:val="24"/>
          <w:szCs w:val="24"/>
          <w:lang w:val="pt-PT"/>
        </w:rPr>
        <w:t xml:space="preserve"> financiamento pode acelerar ou restringir os c</w:t>
      </w:r>
      <w:r w:rsidR="0025045F" w:rsidRPr="002D7F08">
        <w:rPr>
          <w:rFonts w:ascii="Garamond" w:hAnsi="Garamond"/>
          <w:sz w:val="24"/>
          <w:szCs w:val="24"/>
          <w:lang w:val="pt-PT"/>
        </w:rPr>
        <w:t>i</w:t>
      </w:r>
      <w:r w:rsidRPr="002D7F08">
        <w:rPr>
          <w:rFonts w:ascii="Garamond" w:hAnsi="Garamond"/>
          <w:sz w:val="24"/>
          <w:szCs w:val="24"/>
          <w:lang w:val="pt-PT"/>
        </w:rPr>
        <w:t xml:space="preserve">clos de investimento, alinhando-se com a </w:t>
      </w:r>
      <w:r w:rsidR="004F1F73" w:rsidRPr="002D7F08">
        <w:rPr>
          <w:rFonts w:ascii="Garamond" w:hAnsi="Garamond"/>
          <w:sz w:val="24"/>
          <w:szCs w:val="24"/>
          <w:lang w:val="pt-PT"/>
        </w:rPr>
        <w:t xml:space="preserve">“Teoria Aceleradora do Investimento” </w:t>
      </w:r>
      <w:r w:rsidRPr="002D7F08">
        <w:rPr>
          <w:rFonts w:ascii="Garamond" w:hAnsi="Garamond"/>
          <w:sz w:val="24"/>
          <w:szCs w:val="24"/>
          <w:lang w:val="pt-PT"/>
        </w:rPr>
        <w:t>ao destacar a importância do financiamento no processo de tomada de decisão de invest</w:t>
      </w:r>
      <w:r w:rsidR="004F1F73" w:rsidRPr="002D7F08">
        <w:rPr>
          <w:rFonts w:ascii="Garamond" w:hAnsi="Garamond"/>
          <w:sz w:val="24"/>
          <w:szCs w:val="24"/>
          <w:lang w:val="pt-PT"/>
        </w:rPr>
        <w:t>ir</w:t>
      </w:r>
      <w:r w:rsidRPr="002D7F08">
        <w:rPr>
          <w:rFonts w:ascii="Garamond" w:hAnsi="Garamond"/>
          <w:sz w:val="24"/>
          <w:szCs w:val="24"/>
          <w:lang w:val="pt-PT"/>
        </w:rPr>
        <w:t>.</w:t>
      </w:r>
    </w:p>
    <w:p w14:paraId="67FB3DE7" w14:textId="71372585" w:rsidR="006D07D2" w:rsidRPr="002D7F08" w:rsidRDefault="006D07D2"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Islam</w:t>
      </w:r>
      <w:proofErr w:type="spellEnd"/>
      <w:r w:rsidRPr="002D7F08">
        <w:rPr>
          <w:rFonts w:ascii="Garamond" w:hAnsi="Garamond"/>
          <w:sz w:val="24"/>
          <w:szCs w:val="24"/>
          <w:lang w:val="pt-PT"/>
        </w:rPr>
        <w:t xml:space="preserve"> et al. (</w:t>
      </w:r>
      <w:r w:rsidR="0025045F" w:rsidRPr="002D7F08">
        <w:rPr>
          <w:rFonts w:ascii="Garamond" w:hAnsi="Garamond"/>
          <w:sz w:val="24"/>
          <w:szCs w:val="24"/>
          <w:lang w:val="pt-PT"/>
        </w:rPr>
        <w:t>2022</w:t>
      </w:r>
      <w:r w:rsidRPr="002D7F08">
        <w:rPr>
          <w:rFonts w:ascii="Garamond" w:hAnsi="Garamond"/>
          <w:sz w:val="24"/>
          <w:szCs w:val="24"/>
          <w:lang w:val="pt-PT"/>
        </w:rPr>
        <w:t>) examinam o papel dos fluxos de cai</w:t>
      </w:r>
      <w:r w:rsidR="0025045F" w:rsidRPr="002D7F08">
        <w:rPr>
          <w:rFonts w:ascii="Garamond" w:hAnsi="Garamond"/>
          <w:sz w:val="24"/>
          <w:szCs w:val="24"/>
          <w:lang w:val="pt-PT"/>
        </w:rPr>
        <w:t>xa</w:t>
      </w:r>
      <w:r w:rsidRPr="002D7F08">
        <w:rPr>
          <w:rFonts w:ascii="Garamond" w:hAnsi="Garamond"/>
          <w:sz w:val="24"/>
          <w:szCs w:val="24"/>
          <w:lang w:val="pt-PT"/>
        </w:rPr>
        <w:t xml:space="preserve"> na relação entre</w:t>
      </w:r>
      <w:r w:rsidR="0025045F" w:rsidRPr="002D7F08">
        <w:rPr>
          <w:rFonts w:ascii="Garamond" w:hAnsi="Garamond"/>
          <w:sz w:val="24"/>
          <w:szCs w:val="24"/>
          <w:lang w:val="pt-PT"/>
        </w:rPr>
        <w:t xml:space="preserve"> as</w:t>
      </w:r>
      <w:r w:rsidRPr="002D7F08">
        <w:rPr>
          <w:rFonts w:ascii="Garamond" w:hAnsi="Garamond"/>
          <w:sz w:val="24"/>
          <w:szCs w:val="24"/>
          <w:lang w:val="pt-PT"/>
        </w:rPr>
        <w:t xml:space="preserve"> decis</w:t>
      </w:r>
      <w:r w:rsidR="0025045F" w:rsidRPr="002D7F08">
        <w:rPr>
          <w:rFonts w:ascii="Garamond" w:hAnsi="Garamond"/>
          <w:sz w:val="24"/>
          <w:szCs w:val="24"/>
          <w:lang w:val="pt-PT"/>
        </w:rPr>
        <w:t>ões</w:t>
      </w:r>
      <w:r w:rsidRPr="002D7F08">
        <w:rPr>
          <w:rFonts w:ascii="Garamond" w:hAnsi="Garamond"/>
          <w:sz w:val="24"/>
          <w:szCs w:val="24"/>
          <w:lang w:val="pt-PT"/>
        </w:rPr>
        <w:t xml:space="preserve"> de investimento e</w:t>
      </w:r>
      <w:r w:rsidR="0025045F" w:rsidRPr="002D7F08">
        <w:rPr>
          <w:rFonts w:ascii="Garamond" w:hAnsi="Garamond"/>
          <w:sz w:val="24"/>
          <w:szCs w:val="24"/>
          <w:lang w:val="pt-PT"/>
        </w:rPr>
        <w:t xml:space="preserve"> o</w:t>
      </w:r>
      <w:r w:rsidRPr="002D7F08">
        <w:rPr>
          <w:rFonts w:ascii="Garamond" w:hAnsi="Garamond"/>
          <w:sz w:val="24"/>
          <w:szCs w:val="24"/>
          <w:lang w:val="pt-PT"/>
        </w:rPr>
        <w:t xml:space="preserve"> desempenho empresarial. </w:t>
      </w:r>
      <w:r w:rsidR="0025045F" w:rsidRPr="002D7F08">
        <w:rPr>
          <w:rFonts w:ascii="Garamond" w:hAnsi="Garamond"/>
          <w:sz w:val="24"/>
          <w:szCs w:val="24"/>
          <w:lang w:val="pt-PT"/>
        </w:rPr>
        <w:t>Os autores</w:t>
      </w:r>
      <w:r w:rsidRPr="002D7F08">
        <w:rPr>
          <w:rFonts w:ascii="Garamond" w:hAnsi="Garamond"/>
          <w:sz w:val="24"/>
          <w:szCs w:val="24"/>
          <w:lang w:val="pt-PT"/>
        </w:rPr>
        <w:t xml:space="preserve"> </w:t>
      </w:r>
      <w:r w:rsidR="0025045F" w:rsidRPr="002D7F08">
        <w:rPr>
          <w:rFonts w:ascii="Garamond" w:hAnsi="Garamond"/>
          <w:sz w:val="24"/>
          <w:szCs w:val="24"/>
          <w:lang w:val="pt-PT"/>
        </w:rPr>
        <w:t>concluem</w:t>
      </w:r>
      <w:r w:rsidRPr="002D7F08">
        <w:rPr>
          <w:rFonts w:ascii="Garamond" w:hAnsi="Garamond"/>
          <w:sz w:val="24"/>
          <w:szCs w:val="24"/>
          <w:lang w:val="pt-PT"/>
        </w:rPr>
        <w:t xml:space="preserve"> que </w:t>
      </w:r>
      <w:r w:rsidR="0025045F" w:rsidRPr="002D7F08">
        <w:rPr>
          <w:rFonts w:ascii="Garamond" w:hAnsi="Garamond"/>
          <w:sz w:val="24"/>
          <w:szCs w:val="24"/>
          <w:lang w:val="pt-PT"/>
        </w:rPr>
        <w:t xml:space="preserve">as </w:t>
      </w:r>
      <w:r w:rsidRPr="002D7F08">
        <w:rPr>
          <w:rFonts w:ascii="Garamond" w:hAnsi="Garamond"/>
          <w:sz w:val="24"/>
          <w:szCs w:val="24"/>
          <w:lang w:val="pt-PT"/>
        </w:rPr>
        <w:t>empresas com</w:t>
      </w:r>
      <w:r w:rsidR="0025045F" w:rsidRPr="002D7F08">
        <w:rPr>
          <w:rFonts w:ascii="Garamond" w:hAnsi="Garamond"/>
          <w:sz w:val="24"/>
          <w:szCs w:val="24"/>
          <w:lang w:val="pt-PT"/>
        </w:rPr>
        <w:t xml:space="preserve"> um grande nível de</w:t>
      </w:r>
      <w:r w:rsidRPr="002D7F08">
        <w:rPr>
          <w:rFonts w:ascii="Garamond" w:hAnsi="Garamond"/>
          <w:sz w:val="24"/>
          <w:szCs w:val="24"/>
          <w:lang w:val="pt-PT"/>
        </w:rPr>
        <w:t xml:space="preserve"> fluxos de caixa</w:t>
      </w:r>
      <w:r w:rsidR="0025045F" w:rsidRPr="002D7F08">
        <w:rPr>
          <w:rFonts w:ascii="Garamond" w:hAnsi="Garamond"/>
          <w:sz w:val="24"/>
          <w:szCs w:val="24"/>
          <w:lang w:val="pt-PT"/>
        </w:rPr>
        <w:t xml:space="preserve"> </w:t>
      </w:r>
      <w:r w:rsidRPr="002D7F08">
        <w:rPr>
          <w:rFonts w:ascii="Garamond" w:hAnsi="Garamond"/>
          <w:sz w:val="24"/>
          <w:szCs w:val="24"/>
          <w:lang w:val="pt-PT"/>
        </w:rPr>
        <w:t xml:space="preserve">estão </w:t>
      </w:r>
      <w:r w:rsidR="00A132A8" w:rsidRPr="002D7F08">
        <w:rPr>
          <w:rFonts w:ascii="Garamond" w:hAnsi="Garamond"/>
          <w:sz w:val="24"/>
          <w:szCs w:val="24"/>
          <w:lang w:val="pt-PT"/>
        </w:rPr>
        <w:t>mais aptas</w:t>
      </w:r>
      <w:r w:rsidRPr="002D7F08">
        <w:rPr>
          <w:rFonts w:ascii="Garamond" w:hAnsi="Garamond"/>
          <w:sz w:val="24"/>
          <w:szCs w:val="24"/>
          <w:lang w:val="pt-PT"/>
        </w:rPr>
        <w:t xml:space="preserve"> para fazer</w:t>
      </w:r>
      <w:r w:rsidR="00A132A8" w:rsidRPr="002D7F08">
        <w:rPr>
          <w:rFonts w:ascii="Garamond" w:hAnsi="Garamond"/>
          <w:sz w:val="24"/>
          <w:szCs w:val="24"/>
          <w:lang w:val="pt-PT"/>
        </w:rPr>
        <w:t>em</w:t>
      </w:r>
      <w:r w:rsidRPr="002D7F08">
        <w:rPr>
          <w:rFonts w:ascii="Garamond" w:hAnsi="Garamond"/>
          <w:sz w:val="24"/>
          <w:szCs w:val="24"/>
          <w:lang w:val="pt-PT"/>
        </w:rPr>
        <w:t xml:space="preserve"> investimentos oportunos e estratégicos, reagindo de forma mais ágil às mudanças na procura. Est</w:t>
      </w:r>
      <w:r w:rsidR="00A132A8" w:rsidRPr="002D7F08">
        <w:rPr>
          <w:rFonts w:ascii="Garamond" w:hAnsi="Garamond"/>
          <w:sz w:val="24"/>
          <w:szCs w:val="24"/>
          <w:lang w:val="pt-PT"/>
        </w:rPr>
        <w:t>a conclusão</w:t>
      </w:r>
      <w:r w:rsidRPr="002D7F08">
        <w:rPr>
          <w:rFonts w:ascii="Garamond" w:hAnsi="Garamond"/>
          <w:sz w:val="24"/>
          <w:szCs w:val="24"/>
          <w:lang w:val="pt-PT"/>
        </w:rPr>
        <w:t xml:space="preserve"> corrobora a ideia de que a capacidade financeira interna da empresa, refletid</w:t>
      </w:r>
      <w:r w:rsidR="00A132A8" w:rsidRPr="002D7F08">
        <w:rPr>
          <w:rFonts w:ascii="Garamond" w:hAnsi="Garamond"/>
          <w:sz w:val="24"/>
          <w:szCs w:val="24"/>
          <w:lang w:val="pt-PT"/>
        </w:rPr>
        <w:t>a</w:t>
      </w:r>
      <w:r w:rsidRPr="002D7F08">
        <w:rPr>
          <w:rFonts w:ascii="Garamond" w:hAnsi="Garamond"/>
          <w:sz w:val="24"/>
          <w:szCs w:val="24"/>
          <w:lang w:val="pt-PT"/>
        </w:rPr>
        <w:t xml:space="preserve"> nos seus fluxos de caixa, é um fator crítico que pode </w:t>
      </w:r>
      <w:r w:rsidR="00A132A8" w:rsidRPr="002D7F08">
        <w:rPr>
          <w:rFonts w:ascii="Garamond" w:hAnsi="Garamond"/>
          <w:sz w:val="24"/>
          <w:szCs w:val="24"/>
          <w:lang w:val="pt-PT"/>
        </w:rPr>
        <w:t>aumentar</w:t>
      </w:r>
      <w:r w:rsidRPr="002D7F08">
        <w:rPr>
          <w:rFonts w:ascii="Garamond" w:hAnsi="Garamond"/>
          <w:sz w:val="24"/>
          <w:szCs w:val="24"/>
          <w:lang w:val="pt-PT"/>
        </w:rPr>
        <w:t xml:space="preserve"> ou atenuar os efeitos previstos pela </w:t>
      </w:r>
      <w:r w:rsidR="004F1F73" w:rsidRPr="002D7F08">
        <w:rPr>
          <w:rFonts w:ascii="Garamond" w:hAnsi="Garamond"/>
          <w:sz w:val="24"/>
          <w:szCs w:val="24"/>
          <w:lang w:val="pt-PT"/>
        </w:rPr>
        <w:t>“Teoria Aceleradora do Investimento”.</w:t>
      </w:r>
    </w:p>
    <w:p w14:paraId="77337093" w14:textId="2B7214BC" w:rsidR="00B432D7" w:rsidRPr="002D7F08" w:rsidRDefault="006D07D2"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Salehi</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w:t>
      </w:r>
      <w:r w:rsidR="000B4964" w:rsidRPr="002D7F08">
        <w:rPr>
          <w:rFonts w:ascii="Garamond" w:hAnsi="Garamond"/>
          <w:sz w:val="24"/>
          <w:szCs w:val="24"/>
          <w:lang w:val="pt-PT"/>
        </w:rPr>
        <w:t>2022</w:t>
      </w:r>
      <w:r w:rsidRPr="002D7F08">
        <w:rPr>
          <w:rFonts w:ascii="Garamond" w:hAnsi="Garamond"/>
          <w:sz w:val="24"/>
          <w:szCs w:val="24"/>
          <w:lang w:val="pt-PT"/>
        </w:rPr>
        <w:t xml:space="preserve">) </w:t>
      </w:r>
      <w:r w:rsidR="000B4964" w:rsidRPr="002D7F08">
        <w:rPr>
          <w:rFonts w:ascii="Garamond" w:hAnsi="Garamond"/>
          <w:sz w:val="24"/>
          <w:szCs w:val="24"/>
          <w:lang w:val="pt-PT"/>
        </w:rPr>
        <w:t>destacam</w:t>
      </w:r>
      <w:r w:rsidRPr="002D7F08">
        <w:rPr>
          <w:rFonts w:ascii="Garamond" w:hAnsi="Garamond"/>
          <w:sz w:val="24"/>
          <w:szCs w:val="24"/>
          <w:lang w:val="pt-PT"/>
        </w:rPr>
        <w:t xml:space="preserve"> a relação entre </w:t>
      </w:r>
      <w:r w:rsidR="000B4964" w:rsidRPr="002D7F08">
        <w:rPr>
          <w:rFonts w:ascii="Garamond" w:hAnsi="Garamond"/>
          <w:sz w:val="24"/>
          <w:szCs w:val="24"/>
          <w:lang w:val="pt-PT"/>
        </w:rPr>
        <w:t xml:space="preserve">o </w:t>
      </w:r>
      <w:r w:rsidRPr="002D7F08">
        <w:rPr>
          <w:rFonts w:ascii="Garamond" w:hAnsi="Garamond"/>
          <w:sz w:val="24"/>
          <w:szCs w:val="24"/>
          <w:lang w:val="pt-PT"/>
        </w:rPr>
        <w:t xml:space="preserve">investimento e </w:t>
      </w:r>
      <w:r w:rsidR="000B4964" w:rsidRPr="002D7F08">
        <w:rPr>
          <w:rFonts w:ascii="Garamond" w:hAnsi="Garamond"/>
          <w:sz w:val="24"/>
          <w:szCs w:val="24"/>
          <w:lang w:val="pt-PT"/>
        </w:rPr>
        <w:t xml:space="preserve">a </w:t>
      </w:r>
      <w:r w:rsidRPr="002D7F08">
        <w:rPr>
          <w:rFonts w:ascii="Garamond" w:hAnsi="Garamond"/>
          <w:sz w:val="24"/>
          <w:szCs w:val="24"/>
          <w:lang w:val="pt-PT"/>
        </w:rPr>
        <w:t>inovação, argumentando que o investimento em novas tecnologias e processos pode melhorar a eficiência operacional e o desempenho a longo prazo das empresas. Este estudo sugere que o investimento estratégico, especialmente em inovação, é uma resposta crucial às mudanças na procura, mas também um fator que contribui para o crescimento sustentável da empresa</w:t>
      </w:r>
      <w:r w:rsidR="000B4964" w:rsidRPr="002D7F08">
        <w:rPr>
          <w:rFonts w:ascii="Garamond" w:hAnsi="Garamond"/>
          <w:sz w:val="24"/>
          <w:szCs w:val="24"/>
          <w:lang w:val="pt-PT"/>
        </w:rPr>
        <w:t>,</w:t>
      </w:r>
      <w:r w:rsidRPr="002D7F08">
        <w:rPr>
          <w:rFonts w:ascii="Garamond" w:hAnsi="Garamond"/>
          <w:sz w:val="24"/>
          <w:szCs w:val="24"/>
          <w:lang w:val="pt-PT"/>
        </w:rPr>
        <w:t xml:space="preserve"> para além dos ciclos económicos </w:t>
      </w:r>
      <w:r w:rsidR="000B4964" w:rsidRPr="002D7F08">
        <w:rPr>
          <w:rFonts w:ascii="Garamond" w:hAnsi="Garamond"/>
          <w:sz w:val="24"/>
          <w:szCs w:val="24"/>
          <w:lang w:val="pt-PT"/>
        </w:rPr>
        <w:t>comuns</w:t>
      </w:r>
      <w:r w:rsidRPr="002D7F08">
        <w:rPr>
          <w:rFonts w:ascii="Garamond" w:hAnsi="Garamond"/>
          <w:sz w:val="24"/>
          <w:szCs w:val="24"/>
          <w:lang w:val="pt-PT"/>
        </w:rPr>
        <w:t>.</w:t>
      </w:r>
    </w:p>
    <w:p w14:paraId="4A0911EB" w14:textId="0D24232A" w:rsidR="00B432D7" w:rsidRPr="002D7F08" w:rsidRDefault="00B432D7"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 estudo conduzido por Mendes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(2014) analisa as determinantes do investimento em pequenas e médias empresas (PMEs) portuguesas, utilizando uma abordagem </w:t>
      </w:r>
      <w:r w:rsidR="00C33587" w:rsidRPr="002D7F08">
        <w:rPr>
          <w:rFonts w:ascii="Garamond" w:hAnsi="Garamond"/>
          <w:sz w:val="24"/>
          <w:szCs w:val="24"/>
          <w:lang w:val="pt-PT"/>
        </w:rPr>
        <w:t xml:space="preserve">baseada em </w:t>
      </w:r>
      <w:r w:rsidR="00C33587" w:rsidRPr="002D7F08">
        <w:rPr>
          <w:rFonts w:ascii="Garamond" w:hAnsi="Garamond"/>
          <w:sz w:val="24"/>
          <w:szCs w:val="24"/>
          <w:lang w:val="pt-PT"/>
        </w:rPr>
        <w:lastRenderedPageBreak/>
        <w:t>qu</w:t>
      </w:r>
      <w:r w:rsidR="00954A35">
        <w:rPr>
          <w:rFonts w:ascii="Garamond" w:hAnsi="Garamond"/>
          <w:sz w:val="24"/>
          <w:szCs w:val="24"/>
          <w:lang w:val="pt-PT"/>
        </w:rPr>
        <w:t xml:space="preserve">antis </w:t>
      </w:r>
      <w:r w:rsidRPr="002D7F08">
        <w:rPr>
          <w:rFonts w:ascii="Garamond" w:hAnsi="Garamond"/>
          <w:sz w:val="24"/>
          <w:szCs w:val="24"/>
          <w:lang w:val="pt-PT"/>
        </w:rPr>
        <w:t xml:space="preserve">para </w:t>
      </w:r>
      <w:r w:rsidR="00D54CB3" w:rsidRPr="002D7F08">
        <w:rPr>
          <w:rFonts w:ascii="Garamond" w:hAnsi="Garamond"/>
          <w:sz w:val="24"/>
          <w:szCs w:val="24"/>
          <w:lang w:val="pt-PT"/>
        </w:rPr>
        <w:t xml:space="preserve">examinar como essas determinantes variam </w:t>
      </w:r>
      <w:r w:rsidRPr="002D7F08">
        <w:rPr>
          <w:rFonts w:ascii="Garamond" w:hAnsi="Garamond"/>
          <w:sz w:val="24"/>
          <w:szCs w:val="24"/>
          <w:lang w:val="pt-PT"/>
        </w:rPr>
        <w:t xml:space="preserve">entre empresas mais recentes e empresas mais antigas. </w:t>
      </w:r>
      <w:r w:rsidR="00D54CB3" w:rsidRPr="002D7F08">
        <w:rPr>
          <w:rFonts w:ascii="Garamond" w:hAnsi="Garamond"/>
          <w:sz w:val="24"/>
          <w:szCs w:val="24"/>
          <w:lang w:val="pt-PT"/>
        </w:rPr>
        <w:t xml:space="preserve">Integrando as teorias </w:t>
      </w:r>
      <w:r w:rsidR="002F0B5D" w:rsidRPr="002D7F08">
        <w:rPr>
          <w:rFonts w:ascii="Garamond" w:hAnsi="Garamond"/>
          <w:sz w:val="24"/>
          <w:szCs w:val="24"/>
          <w:lang w:val="pt-PT"/>
        </w:rPr>
        <w:t>“</w:t>
      </w:r>
      <w:r w:rsidR="00D54CB3" w:rsidRPr="002D7F08">
        <w:rPr>
          <w:rFonts w:ascii="Garamond" w:hAnsi="Garamond"/>
          <w:sz w:val="24"/>
          <w:szCs w:val="24"/>
          <w:lang w:val="pt-PT"/>
        </w:rPr>
        <w:t>Neoclássica</w:t>
      </w:r>
      <w:r w:rsidR="002F0B5D" w:rsidRPr="002D7F08">
        <w:rPr>
          <w:rFonts w:ascii="Garamond" w:hAnsi="Garamond"/>
          <w:sz w:val="24"/>
          <w:szCs w:val="24"/>
          <w:lang w:val="pt-PT"/>
        </w:rPr>
        <w:t>”,</w:t>
      </w:r>
      <w:r w:rsidR="00D54CB3" w:rsidRPr="002D7F08">
        <w:rPr>
          <w:rFonts w:ascii="Garamond" w:hAnsi="Garamond"/>
          <w:sz w:val="24"/>
          <w:szCs w:val="24"/>
          <w:lang w:val="pt-PT"/>
        </w:rPr>
        <w:t xml:space="preserve"> </w:t>
      </w:r>
      <w:r w:rsidR="002F0B5D" w:rsidRPr="002D7F08">
        <w:rPr>
          <w:rFonts w:ascii="Garamond" w:hAnsi="Garamond"/>
          <w:sz w:val="24"/>
          <w:szCs w:val="24"/>
          <w:lang w:val="pt-PT"/>
        </w:rPr>
        <w:t>“</w:t>
      </w:r>
      <w:r w:rsidR="00D54CB3" w:rsidRPr="002D7F08">
        <w:rPr>
          <w:rFonts w:ascii="Garamond" w:hAnsi="Garamond"/>
          <w:sz w:val="24"/>
          <w:szCs w:val="24"/>
          <w:lang w:val="pt-PT"/>
        </w:rPr>
        <w:t>Aceleradora</w:t>
      </w:r>
      <w:r w:rsidR="002F0B5D" w:rsidRPr="002D7F08">
        <w:rPr>
          <w:rFonts w:ascii="Garamond" w:hAnsi="Garamond"/>
          <w:sz w:val="24"/>
          <w:szCs w:val="24"/>
          <w:lang w:val="pt-PT"/>
        </w:rPr>
        <w:t xml:space="preserve">” e </w:t>
      </w:r>
      <w:r w:rsidR="004C1908" w:rsidRPr="002D7F08">
        <w:rPr>
          <w:rFonts w:ascii="Garamond" w:hAnsi="Garamond"/>
          <w:sz w:val="24"/>
          <w:szCs w:val="24"/>
          <w:lang w:val="pt-PT"/>
        </w:rPr>
        <w:t xml:space="preserve">a </w:t>
      </w:r>
      <w:r w:rsidR="002F0B5D" w:rsidRPr="002D7F08">
        <w:rPr>
          <w:rFonts w:ascii="Garamond" w:hAnsi="Garamond"/>
          <w:sz w:val="24"/>
          <w:szCs w:val="24"/>
          <w:lang w:val="pt-PT"/>
        </w:rPr>
        <w:t>dos</w:t>
      </w:r>
      <w:r w:rsidR="004C1908" w:rsidRPr="002D7F08">
        <w:rPr>
          <w:rFonts w:ascii="Garamond" w:hAnsi="Garamond"/>
          <w:sz w:val="24"/>
          <w:szCs w:val="24"/>
          <w:lang w:val="pt-PT"/>
        </w:rPr>
        <w:t xml:space="preserve"> “Free cash </w:t>
      </w:r>
      <w:proofErr w:type="spellStart"/>
      <w:r w:rsidR="004C1908" w:rsidRPr="002D7F08">
        <w:rPr>
          <w:rFonts w:ascii="Garamond" w:hAnsi="Garamond"/>
          <w:sz w:val="24"/>
          <w:szCs w:val="24"/>
          <w:lang w:val="pt-PT"/>
        </w:rPr>
        <w:t>Flows</w:t>
      </w:r>
      <w:proofErr w:type="spellEnd"/>
      <w:r w:rsidR="004C1908" w:rsidRPr="002D7F08">
        <w:rPr>
          <w:rFonts w:ascii="Garamond" w:hAnsi="Garamond"/>
          <w:sz w:val="24"/>
          <w:szCs w:val="24"/>
          <w:lang w:val="pt-PT"/>
        </w:rPr>
        <w:t>”</w:t>
      </w:r>
      <w:r w:rsidR="00D54CB3" w:rsidRPr="002D7F08">
        <w:rPr>
          <w:rFonts w:ascii="Garamond" w:hAnsi="Garamond"/>
          <w:sz w:val="24"/>
          <w:szCs w:val="24"/>
          <w:lang w:val="pt-PT"/>
        </w:rPr>
        <w:t>, o estudo revela que fatores económicos e operacionais afetam de maneira distinta as decisões de investimento, dependendo da maturidade da empresa e do volume de investimento que realiza.</w:t>
      </w:r>
    </w:p>
    <w:p w14:paraId="20D9027D" w14:textId="3E990027" w:rsidR="00B432D7" w:rsidRPr="002D7F08" w:rsidRDefault="00B432D7"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De forma específica, a análise revela que o Produto Interno Bruto (PIB), uma variável central na </w:t>
      </w:r>
      <w:r w:rsidR="002F0B5D" w:rsidRPr="002D7F08">
        <w:rPr>
          <w:rFonts w:ascii="Garamond" w:hAnsi="Garamond"/>
          <w:sz w:val="24"/>
          <w:szCs w:val="24"/>
          <w:lang w:val="pt-PT"/>
        </w:rPr>
        <w:t>“</w:t>
      </w:r>
      <w:r w:rsidRPr="002D7F08">
        <w:rPr>
          <w:rFonts w:ascii="Garamond" w:hAnsi="Garamond"/>
          <w:sz w:val="24"/>
          <w:szCs w:val="24"/>
          <w:lang w:val="pt-PT"/>
        </w:rPr>
        <w:t xml:space="preserve">Teoria </w:t>
      </w:r>
      <w:r w:rsidR="002F0B5D" w:rsidRPr="002D7F08">
        <w:rPr>
          <w:rFonts w:ascii="Garamond" w:hAnsi="Garamond"/>
          <w:sz w:val="24"/>
          <w:szCs w:val="24"/>
          <w:lang w:val="pt-PT"/>
        </w:rPr>
        <w:t>A</w:t>
      </w:r>
      <w:r w:rsidR="00D54CB3" w:rsidRPr="002D7F08">
        <w:rPr>
          <w:rFonts w:ascii="Garamond" w:hAnsi="Garamond"/>
          <w:sz w:val="24"/>
          <w:szCs w:val="24"/>
          <w:lang w:val="pt-PT"/>
        </w:rPr>
        <w:t>celeradora</w:t>
      </w:r>
      <w:r w:rsidR="002F0B5D" w:rsidRPr="002D7F08">
        <w:rPr>
          <w:rFonts w:ascii="Garamond" w:hAnsi="Garamond"/>
          <w:sz w:val="24"/>
          <w:szCs w:val="24"/>
          <w:lang w:val="pt-PT"/>
        </w:rPr>
        <w:t>”</w:t>
      </w:r>
      <w:r w:rsidRPr="002D7F08">
        <w:rPr>
          <w:rFonts w:ascii="Garamond" w:hAnsi="Garamond"/>
          <w:sz w:val="24"/>
          <w:szCs w:val="24"/>
          <w:lang w:val="pt-PT"/>
        </w:rPr>
        <w:t xml:space="preserve">, exerce uma influência mais </w:t>
      </w:r>
      <w:r w:rsidR="00D54CB3" w:rsidRPr="002D7F08">
        <w:rPr>
          <w:rFonts w:ascii="Garamond" w:hAnsi="Garamond"/>
          <w:sz w:val="24"/>
          <w:szCs w:val="24"/>
          <w:lang w:val="pt-PT"/>
        </w:rPr>
        <w:t xml:space="preserve">significativa </w:t>
      </w:r>
      <w:r w:rsidRPr="002D7F08">
        <w:rPr>
          <w:rFonts w:ascii="Garamond" w:hAnsi="Garamond"/>
          <w:sz w:val="24"/>
          <w:szCs w:val="24"/>
          <w:lang w:val="pt-PT"/>
        </w:rPr>
        <w:t xml:space="preserve">sobre o investimento nas PMEs mais </w:t>
      </w:r>
      <w:r w:rsidR="00D54CB3" w:rsidRPr="002D7F08">
        <w:rPr>
          <w:rFonts w:ascii="Garamond" w:hAnsi="Garamond"/>
          <w:sz w:val="24"/>
          <w:szCs w:val="24"/>
          <w:lang w:val="pt-PT"/>
        </w:rPr>
        <w:t>recentes</w:t>
      </w:r>
      <w:r w:rsidRPr="002D7F08">
        <w:rPr>
          <w:rFonts w:ascii="Garamond" w:hAnsi="Garamond"/>
          <w:sz w:val="24"/>
          <w:szCs w:val="24"/>
          <w:lang w:val="pt-PT"/>
        </w:rPr>
        <w:t xml:space="preserve"> que apresentam níveis elevados de investimento. Por outro lado, as vendas, um elemento destacado na </w:t>
      </w:r>
      <w:r w:rsidR="002F0B5D" w:rsidRPr="002D7F08">
        <w:rPr>
          <w:rFonts w:ascii="Garamond" w:hAnsi="Garamond"/>
          <w:sz w:val="24"/>
          <w:szCs w:val="24"/>
          <w:lang w:val="pt-PT"/>
        </w:rPr>
        <w:t>“</w:t>
      </w:r>
      <w:r w:rsidRPr="002D7F08">
        <w:rPr>
          <w:rFonts w:ascii="Garamond" w:hAnsi="Garamond"/>
          <w:sz w:val="24"/>
          <w:szCs w:val="24"/>
          <w:lang w:val="pt-PT"/>
        </w:rPr>
        <w:t>Teoria Neoclássica</w:t>
      </w:r>
      <w:r w:rsidR="002F0B5D" w:rsidRPr="002D7F08">
        <w:rPr>
          <w:rFonts w:ascii="Garamond" w:hAnsi="Garamond"/>
          <w:sz w:val="24"/>
          <w:szCs w:val="24"/>
          <w:lang w:val="pt-PT"/>
        </w:rPr>
        <w:t>”</w:t>
      </w:r>
      <w:r w:rsidRPr="002D7F08">
        <w:rPr>
          <w:rFonts w:ascii="Garamond" w:hAnsi="Garamond"/>
          <w:sz w:val="24"/>
          <w:szCs w:val="24"/>
          <w:lang w:val="pt-PT"/>
        </w:rPr>
        <w:t xml:space="preserve">, impactam de maneira mais significativa as PMEs mais antigas que também se caracterizam por altos níveis de investimento. Adicionalmente, o fluxo de caixa, crucial na </w:t>
      </w:r>
      <w:r w:rsidR="004C1908" w:rsidRPr="002D7F08">
        <w:rPr>
          <w:rFonts w:ascii="Garamond" w:hAnsi="Garamond"/>
          <w:sz w:val="24"/>
          <w:szCs w:val="24"/>
          <w:lang w:val="pt-PT"/>
        </w:rPr>
        <w:t xml:space="preserve">teoria dos </w:t>
      </w:r>
      <w:r w:rsidR="002F0B5D" w:rsidRPr="002D7F08">
        <w:rPr>
          <w:rFonts w:ascii="Garamond" w:hAnsi="Garamond"/>
          <w:sz w:val="24"/>
          <w:szCs w:val="24"/>
          <w:lang w:val="pt-PT"/>
        </w:rPr>
        <w:t xml:space="preserve">Free </w:t>
      </w:r>
      <w:r w:rsidR="00D54CB3" w:rsidRPr="002D7F08">
        <w:rPr>
          <w:rFonts w:ascii="Garamond" w:hAnsi="Garamond"/>
          <w:sz w:val="24"/>
          <w:szCs w:val="24"/>
          <w:lang w:val="pt-PT"/>
        </w:rPr>
        <w:t>Cash Flow</w:t>
      </w:r>
      <w:r w:rsidR="004C1908" w:rsidRPr="002D7F08">
        <w:rPr>
          <w:rFonts w:ascii="Garamond" w:hAnsi="Garamond"/>
          <w:sz w:val="24"/>
          <w:szCs w:val="24"/>
          <w:lang w:val="pt-PT"/>
        </w:rPr>
        <w:t xml:space="preserve"> (</w:t>
      </w:r>
      <w:r w:rsidR="002F0B5D" w:rsidRPr="002D7F08">
        <w:rPr>
          <w:rFonts w:ascii="Garamond" w:hAnsi="Garamond"/>
          <w:sz w:val="24"/>
          <w:szCs w:val="24"/>
          <w:lang w:val="pt-PT"/>
        </w:rPr>
        <w:t>detalhada mais à frente</w:t>
      </w:r>
      <w:r w:rsidR="00D54CB3" w:rsidRPr="002D7F08">
        <w:rPr>
          <w:rFonts w:ascii="Garamond" w:hAnsi="Garamond"/>
          <w:sz w:val="24"/>
          <w:szCs w:val="24"/>
          <w:lang w:val="pt-PT"/>
        </w:rPr>
        <w:t>)</w:t>
      </w:r>
      <w:r w:rsidRPr="002D7F08">
        <w:rPr>
          <w:rFonts w:ascii="Garamond" w:hAnsi="Garamond"/>
          <w:sz w:val="24"/>
          <w:szCs w:val="24"/>
          <w:lang w:val="pt-PT"/>
        </w:rPr>
        <w:t xml:space="preserve">, </w:t>
      </w:r>
      <w:r w:rsidR="00D54CB3" w:rsidRPr="002D7F08">
        <w:rPr>
          <w:rFonts w:ascii="Garamond" w:hAnsi="Garamond"/>
          <w:sz w:val="24"/>
          <w:szCs w:val="24"/>
          <w:lang w:val="pt-PT"/>
        </w:rPr>
        <w:t>de</w:t>
      </w:r>
      <w:r w:rsidRPr="002D7F08">
        <w:rPr>
          <w:rFonts w:ascii="Garamond" w:hAnsi="Garamond"/>
          <w:sz w:val="24"/>
          <w:szCs w:val="24"/>
          <w:lang w:val="pt-PT"/>
        </w:rPr>
        <w:t xml:space="preserve">mostra-se determinante principalmente para PMEs com menores níveis de investimento, afetando de forma mais intensa as empresas mais </w:t>
      </w:r>
      <w:r w:rsidR="00D54CB3" w:rsidRPr="002D7F08">
        <w:rPr>
          <w:rFonts w:ascii="Garamond" w:hAnsi="Garamond"/>
          <w:sz w:val="24"/>
          <w:szCs w:val="24"/>
          <w:lang w:val="pt-PT"/>
        </w:rPr>
        <w:t>recentes</w:t>
      </w:r>
      <w:r w:rsidRPr="002D7F08">
        <w:rPr>
          <w:rFonts w:ascii="Garamond" w:hAnsi="Garamond"/>
          <w:sz w:val="24"/>
          <w:szCs w:val="24"/>
          <w:lang w:val="pt-PT"/>
        </w:rPr>
        <w:t xml:space="preserve"> nesta categoria.</w:t>
      </w:r>
    </w:p>
    <w:p w14:paraId="1E649668" w14:textId="4B12478E" w:rsidR="00B432D7" w:rsidRPr="002D7F08" w:rsidRDefault="00B432D7" w:rsidP="00642608">
      <w:pPr>
        <w:spacing w:line="360" w:lineRule="auto"/>
        <w:jc w:val="both"/>
        <w:rPr>
          <w:rFonts w:ascii="Garamond" w:hAnsi="Garamond"/>
          <w:sz w:val="24"/>
          <w:szCs w:val="24"/>
          <w:lang w:val="pt-PT"/>
        </w:rPr>
      </w:pPr>
      <w:r w:rsidRPr="002D7F08">
        <w:rPr>
          <w:rFonts w:ascii="Garamond" w:hAnsi="Garamond"/>
          <w:sz w:val="24"/>
          <w:szCs w:val="24"/>
          <w:lang w:val="pt-PT"/>
        </w:rPr>
        <w:t>Este estudo proporciona uma compreensão aprofundada de como fatores exógenos e endógenos, como condições macroecon</w:t>
      </w:r>
      <w:r w:rsidR="00D54CB3" w:rsidRPr="002D7F08">
        <w:rPr>
          <w:rFonts w:ascii="Garamond" w:hAnsi="Garamond"/>
          <w:sz w:val="24"/>
          <w:szCs w:val="24"/>
          <w:lang w:val="pt-PT"/>
        </w:rPr>
        <w:t>ó</w:t>
      </w:r>
      <w:r w:rsidRPr="002D7F08">
        <w:rPr>
          <w:rFonts w:ascii="Garamond" w:hAnsi="Garamond"/>
          <w:sz w:val="24"/>
          <w:szCs w:val="24"/>
          <w:lang w:val="pt-PT"/>
        </w:rPr>
        <w:t xml:space="preserve">micas e a saúde financeira </w:t>
      </w:r>
      <w:r w:rsidR="00D54CB3" w:rsidRPr="002D7F08">
        <w:rPr>
          <w:rFonts w:ascii="Garamond" w:hAnsi="Garamond"/>
          <w:sz w:val="24"/>
          <w:szCs w:val="24"/>
          <w:lang w:val="pt-PT"/>
        </w:rPr>
        <w:t>das empresas</w:t>
      </w:r>
      <w:r w:rsidRPr="002D7F08">
        <w:rPr>
          <w:rFonts w:ascii="Garamond" w:hAnsi="Garamond"/>
          <w:sz w:val="24"/>
          <w:szCs w:val="24"/>
          <w:lang w:val="pt-PT"/>
        </w:rPr>
        <w:t xml:space="preserve">, </w:t>
      </w:r>
      <w:r w:rsidR="00D54CB3" w:rsidRPr="002D7F08">
        <w:rPr>
          <w:rFonts w:ascii="Garamond" w:hAnsi="Garamond"/>
          <w:sz w:val="24"/>
          <w:szCs w:val="24"/>
          <w:lang w:val="pt-PT"/>
        </w:rPr>
        <w:t>influenciam</w:t>
      </w:r>
      <w:r w:rsidRPr="002D7F08">
        <w:rPr>
          <w:rFonts w:ascii="Garamond" w:hAnsi="Garamond"/>
          <w:sz w:val="24"/>
          <w:szCs w:val="24"/>
          <w:lang w:val="pt-PT"/>
        </w:rPr>
        <w:t xml:space="preserve"> as decisões de investimento em diferentes fases do ciclo de vida empresarial e em distintos </w:t>
      </w:r>
      <w:r w:rsidR="00D54CB3" w:rsidRPr="002D7F08">
        <w:rPr>
          <w:rFonts w:ascii="Garamond" w:hAnsi="Garamond"/>
          <w:sz w:val="24"/>
          <w:szCs w:val="24"/>
          <w:lang w:val="pt-PT"/>
        </w:rPr>
        <w:t>graus</w:t>
      </w:r>
      <w:r w:rsidRPr="002D7F08">
        <w:rPr>
          <w:rFonts w:ascii="Garamond" w:hAnsi="Garamond"/>
          <w:sz w:val="24"/>
          <w:szCs w:val="24"/>
          <w:lang w:val="pt-PT"/>
        </w:rPr>
        <w:t xml:space="preserve"> de investimento. Os resultados </w:t>
      </w:r>
      <w:r w:rsidR="00D54CB3" w:rsidRPr="002D7F08">
        <w:rPr>
          <w:rFonts w:ascii="Garamond" w:hAnsi="Garamond"/>
          <w:sz w:val="24"/>
          <w:szCs w:val="24"/>
          <w:lang w:val="pt-PT"/>
        </w:rPr>
        <w:t>salientam</w:t>
      </w:r>
      <w:r w:rsidRPr="002D7F08">
        <w:rPr>
          <w:rFonts w:ascii="Garamond" w:hAnsi="Garamond"/>
          <w:sz w:val="24"/>
          <w:szCs w:val="24"/>
          <w:lang w:val="pt-PT"/>
        </w:rPr>
        <w:t xml:space="preserve"> a complexidade e a necessidade de políticas diferenciadas que considerem a idade da empresa e o ambiente económico, com o objetivo de promover eficazmente o investimento nas PMEs.</w:t>
      </w:r>
    </w:p>
    <w:p w14:paraId="1A28C7B7" w14:textId="08888161" w:rsidR="006D07D2" w:rsidRDefault="006D07D2"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síntese, </w:t>
      </w:r>
      <w:r w:rsidR="00EF7F7E" w:rsidRPr="002D7F08">
        <w:rPr>
          <w:rFonts w:ascii="Garamond" w:hAnsi="Garamond"/>
          <w:sz w:val="24"/>
          <w:szCs w:val="24"/>
          <w:lang w:val="pt-PT"/>
        </w:rPr>
        <w:t>estes</w:t>
      </w:r>
      <w:r w:rsidRPr="002D7F08">
        <w:rPr>
          <w:rFonts w:ascii="Garamond" w:hAnsi="Garamond"/>
          <w:sz w:val="24"/>
          <w:szCs w:val="24"/>
          <w:lang w:val="pt-PT"/>
        </w:rPr>
        <w:t xml:space="preserve"> estudos contemporâneos demonstra</w:t>
      </w:r>
      <w:r w:rsidR="00EF7F7E" w:rsidRPr="002D7F08">
        <w:rPr>
          <w:rFonts w:ascii="Garamond" w:hAnsi="Garamond"/>
          <w:sz w:val="24"/>
          <w:szCs w:val="24"/>
          <w:lang w:val="pt-PT"/>
        </w:rPr>
        <w:t>m</w:t>
      </w:r>
      <w:r w:rsidRPr="002D7F08">
        <w:rPr>
          <w:rFonts w:ascii="Garamond" w:hAnsi="Garamond"/>
          <w:sz w:val="24"/>
          <w:szCs w:val="24"/>
          <w:lang w:val="pt-PT"/>
        </w:rPr>
        <w:t xml:space="preserve"> que a </w:t>
      </w:r>
      <w:r w:rsidR="00EF7F7E" w:rsidRPr="002D7F08">
        <w:rPr>
          <w:rFonts w:ascii="Garamond" w:hAnsi="Garamond"/>
          <w:sz w:val="24"/>
          <w:szCs w:val="24"/>
          <w:lang w:val="pt-PT"/>
        </w:rPr>
        <w:t>relação</w:t>
      </w:r>
      <w:r w:rsidRPr="002D7F08">
        <w:rPr>
          <w:rFonts w:ascii="Garamond" w:hAnsi="Garamond"/>
          <w:sz w:val="24"/>
          <w:szCs w:val="24"/>
          <w:lang w:val="pt-PT"/>
        </w:rPr>
        <w:t xml:space="preserve"> entre </w:t>
      </w:r>
      <w:r w:rsidR="00EF7F7E" w:rsidRPr="002D7F08">
        <w:rPr>
          <w:rFonts w:ascii="Garamond" w:hAnsi="Garamond"/>
          <w:sz w:val="24"/>
          <w:szCs w:val="24"/>
          <w:lang w:val="pt-PT"/>
        </w:rPr>
        <w:t xml:space="preserve">o </w:t>
      </w:r>
      <w:r w:rsidRPr="002D7F08">
        <w:rPr>
          <w:rFonts w:ascii="Garamond" w:hAnsi="Garamond"/>
          <w:sz w:val="24"/>
          <w:szCs w:val="24"/>
          <w:lang w:val="pt-PT"/>
        </w:rPr>
        <w:t xml:space="preserve">investimento </w:t>
      </w:r>
      <w:r w:rsidR="00EF7F7E" w:rsidRPr="002D7F08">
        <w:rPr>
          <w:rFonts w:ascii="Garamond" w:hAnsi="Garamond"/>
          <w:sz w:val="24"/>
          <w:szCs w:val="24"/>
          <w:lang w:val="pt-PT"/>
        </w:rPr>
        <w:t>empresarial</w:t>
      </w:r>
      <w:r w:rsidRPr="002D7F08">
        <w:rPr>
          <w:rFonts w:ascii="Garamond" w:hAnsi="Garamond"/>
          <w:sz w:val="24"/>
          <w:szCs w:val="24"/>
          <w:lang w:val="pt-PT"/>
        </w:rPr>
        <w:t xml:space="preserve"> e </w:t>
      </w:r>
      <w:r w:rsidR="00EF7F7E" w:rsidRPr="002D7F08">
        <w:rPr>
          <w:rFonts w:ascii="Garamond" w:hAnsi="Garamond"/>
          <w:sz w:val="24"/>
          <w:szCs w:val="24"/>
          <w:lang w:val="pt-PT"/>
        </w:rPr>
        <w:t xml:space="preserve">o </w:t>
      </w:r>
      <w:r w:rsidRPr="002D7F08">
        <w:rPr>
          <w:rFonts w:ascii="Garamond" w:hAnsi="Garamond"/>
          <w:sz w:val="24"/>
          <w:szCs w:val="24"/>
          <w:lang w:val="pt-PT"/>
        </w:rPr>
        <w:t xml:space="preserve">desempenho empresarial é influenciada por uma série de fatores, incluindo a </w:t>
      </w:r>
      <w:r w:rsidR="00EF7F7E" w:rsidRPr="002D7F08">
        <w:rPr>
          <w:rFonts w:ascii="Garamond" w:hAnsi="Garamond"/>
          <w:sz w:val="24"/>
          <w:szCs w:val="24"/>
          <w:lang w:val="pt-PT"/>
        </w:rPr>
        <w:t>gestão empresarial</w:t>
      </w:r>
      <w:r w:rsidRPr="002D7F08">
        <w:rPr>
          <w:rFonts w:ascii="Garamond" w:hAnsi="Garamond"/>
          <w:sz w:val="24"/>
          <w:szCs w:val="24"/>
          <w:lang w:val="pt-PT"/>
        </w:rPr>
        <w:t xml:space="preserve">, </w:t>
      </w:r>
      <w:r w:rsidR="00EF7F7E" w:rsidRPr="002D7F08">
        <w:rPr>
          <w:rFonts w:ascii="Garamond" w:hAnsi="Garamond"/>
          <w:sz w:val="24"/>
          <w:szCs w:val="24"/>
          <w:lang w:val="pt-PT"/>
        </w:rPr>
        <w:t xml:space="preserve">as </w:t>
      </w:r>
      <w:r w:rsidRPr="002D7F08">
        <w:rPr>
          <w:rFonts w:ascii="Garamond" w:hAnsi="Garamond"/>
          <w:sz w:val="24"/>
          <w:szCs w:val="24"/>
          <w:lang w:val="pt-PT"/>
        </w:rPr>
        <w:t xml:space="preserve">condições de financiamento, </w:t>
      </w:r>
      <w:r w:rsidR="00EF7F7E" w:rsidRPr="002D7F08">
        <w:rPr>
          <w:rFonts w:ascii="Garamond" w:hAnsi="Garamond"/>
          <w:sz w:val="24"/>
          <w:szCs w:val="24"/>
          <w:lang w:val="pt-PT"/>
        </w:rPr>
        <w:t xml:space="preserve">os </w:t>
      </w:r>
      <w:r w:rsidRPr="002D7F08">
        <w:rPr>
          <w:rFonts w:ascii="Garamond" w:hAnsi="Garamond"/>
          <w:sz w:val="24"/>
          <w:szCs w:val="24"/>
          <w:lang w:val="pt-PT"/>
        </w:rPr>
        <w:t xml:space="preserve">fluxos de caixa internos e </w:t>
      </w:r>
      <w:r w:rsidR="00EF7F7E" w:rsidRPr="002D7F08">
        <w:rPr>
          <w:rFonts w:ascii="Garamond" w:hAnsi="Garamond"/>
          <w:sz w:val="24"/>
          <w:szCs w:val="24"/>
          <w:lang w:val="pt-PT"/>
        </w:rPr>
        <w:t xml:space="preserve">o </w:t>
      </w:r>
      <w:r w:rsidRPr="002D7F08">
        <w:rPr>
          <w:rFonts w:ascii="Garamond" w:hAnsi="Garamond"/>
          <w:sz w:val="24"/>
          <w:szCs w:val="24"/>
          <w:lang w:val="pt-PT"/>
        </w:rPr>
        <w:t xml:space="preserve">investimento em inovação. Esses fatores atuam sobre o núcleo da </w:t>
      </w:r>
      <w:r w:rsidR="004F1F73" w:rsidRPr="002D7F08">
        <w:rPr>
          <w:rFonts w:ascii="Garamond" w:hAnsi="Garamond"/>
          <w:sz w:val="24"/>
          <w:szCs w:val="24"/>
          <w:lang w:val="pt-PT"/>
        </w:rPr>
        <w:t>“Teoria Aceleradora do Investimento”</w:t>
      </w:r>
      <w:r w:rsidRPr="002D7F08">
        <w:rPr>
          <w:rFonts w:ascii="Garamond" w:hAnsi="Garamond"/>
          <w:sz w:val="24"/>
          <w:szCs w:val="24"/>
          <w:lang w:val="pt-PT"/>
        </w:rPr>
        <w:t xml:space="preserve">, sugerindo que a adaptação das empresas às mudanças na procura é um processo multifacetado que transcende a simples reação às variações </w:t>
      </w:r>
      <w:r w:rsidR="00EF7F7E" w:rsidRPr="002D7F08">
        <w:rPr>
          <w:rFonts w:ascii="Garamond" w:hAnsi="Garamond"/>
          <w:sz w:val="24"/>
          <w:szCs w:val="24"/>
          <w:lang w:val="pt-PT"/>
        </w:rPr>
        <w:t>d</w:t>
      </w:r>
      <w:r w:rsidRPr="002D7F08">
        <w:rPr>
          <w:rFonts w:ascii="Garamond" w:hAnsi="Garamond"/>
          <w:sz w:val="24"/>
          <w:szCs w:val="24"/>
          <w:lang w:val="pt-PT"/>
        </w:rPr>
        <w:t>a procura p</w:t>
      </w:r>
      <w:r w:rsidR="00EF7F7E" w:rsidRPr="002D7F08">
        <w:rPr>
          <w:rFonts w:ascii="Garamond" w:hAnsi="Garamond"/>
          <w:sz w:val="24"/>
          <w:szCs w:val="24"/>
          <w:lang w:val="pt-PT"/>
        </w:rPr>
        <w:t>elos</w:t>
      </w:r>
      <w:r w:rsidRPr="002D7F08">
        <w:rPr>
          <w:rFonts w:ascii="Garamond" w:hAnsi="Garamond"/>
          <w:sz w:val="24"/>
          <w:szCs w:val="24"/>
          <w:lang w:val="pt-PT"/>
        </w:rPr>
        <w:t xml:space="preserve"> seus produtos finais. As decisões de investimento são, portanto, o resultado de uma avaliação complexa que inclui não </w:t>
      </w:r>
      <w:r w:rsidR="00EF7F7E" w:rsidRPr="002D7F08">
        <w:rPr>
          <w:rFonts w:ascii="Garamond" w:hAnsi="Garamond"/>
          <w:sz w:val="24"/>
          <w:szCs w:val="24"/>
          <w:lang w:val="pt-PT"/>
        </w:rPr>
        <w:t>só</w:t>
      </w:r>
      <w:r w:rsidRPr="002D7F08">
        <w:rPr>
          <w:rFonts w:ascii="Garamond" w:hAnsi="Garamond"/>
          <w:sz w:val="24"/>
          <w:szCs w:val="24"/>
          <w:lang w:val="pt-PT"/>
        </w:rPr>
        <w:t xml:space="preserve"> expectativas de mercado, mas também condições internas e externas à empresa.</w:t>
      </w:r>
    </w:p>
    <w:p w14:paraId="19CF9C62" w14:textId="77777777" w:rsidR="00161887" w:rsidRDefault="00161887" w:rsidP="00642608">
      <w:pPr>
        <w:spacing w:line="360" w:lineRule="auto"/>
        <w:jc w:val="both"/>
        <w:rPr>
          <w:rFonts w:ascii="Garamond" w:hAnsi="Garamond"/>
          <w:sz w:val="24"/>
          <w:szCs w:val="24"/>
          <w:lang w:val="pt-PT"/>
        </w:rPr>
      </w:pPr>
    </w:p>
    <w:p w14:paraId="152B30CD" w14:textId="77777777" w:rsidR="00161887" w:rsidRPr="002D7F08" w:rsidRDefault="00161887" w:rsidP="00642608">
      <w:pPr>
        <w:spacing w:line="360" w:lineRule="auto"/>
        <w:jc w:val="both"/>
        <w:rPr>
          <w:rFonts w:ascii="Garamond" w:hAnsi="Garamond"/>
          <w:sz w:val="24"/>
          <w:szCs w:val="24"/>
          <w:lang w:val="pt-PT"/>
        </w:rPr>
      </w:pPr>
    </w:p>
    <w:p w14:paraId="34EA00C1" w14:textId="34A7A8B8" w:rsidR="00D450E8" w:rsidRPr="002D7F08" w:rsidRDefault="000E2361" w:rsidP="00642608">
      <w:pPr>
        <w:pStyle w:val="Ttulo2SecundrioTese"/>
        <w:numPr>
          <w:ilvl w:val="2"/>
          <w:numId w:val="4"/>
        </w:numPr>
        <w:jc w:val="both"/>
      </w:pPr>
      <w:bookmarkStart w:id="25" w:name="_Toc176458043"/>
      <w:r w:rsidRPr="002D7F08">
        <w:lastRenderedPageBreak/>
        <w:t xml:space="preserve">Teoria Q do Investimento </w:t>
      </w:r>
      <w:r w:rsidR="000B184B" w:rsidRPr="002D7F08">
        <w:t xml:space="preserve">(Q </w:t>
      </w:r>
      <w:proofErr w:type="spellStart"/>
      <w:r w:rsidR="000B184B" w:rsidRPr="002D7F08">
        <w:t>Theory</w:t>
      </w:r>
      <w:proofErr w:type="spellEnd"/>
      <w:r w:rsidR="000B184B" w:rsidRPr="002D7F08">
        <w:t xml:space="preserve"> of Investment)</w:t>
      </w:r>
      <w:bookmarkEnd w:id="25"/>
    </w:p>
    <w:p w14:paraId="74A49E9C" w14:textId="3A91CB81" w:rsidR="000E2361" w:rsidRPr="002D7F08" w:rsidRDefault="000E2361"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 “Teoria Q do Investimento”, formulada por </w:t>
      </w:r>
      <w:proofErr w:type="spellStart"/>
      <w:r w:rsidR="005C4E9B" w:rsidRPr="002D7F08">
        <w:rPr>
          <w:rFonts w:ascii="Garamond" w:hAnsi="Garamond"/>
          <w:sz w:val="24"/>
          <w:szCs w:val="24"/>
          <w:lang w:val="pt-PT"/>
        </w:rPr>
        <w:t>Brainard</w:t>
      </w:r>
      <w:proofErr w:type="spellEnd"/>
      <w:r w:rsidR="005C4E9B" w:rsidRPr="002D7F08">
        <w:rPr>
          <w:rFonts w:ascii="Garamond" w:hAnsi="Garamond"/>
          <w:sz w:val="24"/>
          <w:szCs w:val="24"/>
          <w:lang w:val="pt-PT"/>
        </w:rPr>
        <w:t xml:space="preserve"> and Tobin (1968) e </w:t>
      </w:r>
      <w:r w:rsidRPr="002D7F08">
        <w:rPr>
          <w:rFonts w:ascii="Garamond" w:hAnsi="Garamond"/>
          <w:sz w:val="24"/>
          <w:szCs w:val="24"/>
          <w:lang w:val="pt-PT"/>
        </w:rPr>
        <w:t xml:space="preserve">Tobin (1969), é um instrumento analítico essencial na economia monetária para compreender como as decisões de investimento das empresas são influenciadas pelo valor de mercado dos seus ativos em comparação com o seu custo de substituição. </w:t>
      </w:r>
      <w:r w:rsidR="005C4E9B" w:rsidRPr="002D7F08">
        <w:rPr>
          <w:rFonts w:ascii="Garamond" w:hAnsi="Garamond"/>
          <w:sz w:val="24"/>
          <w:szCs w:val="24"/>
          <w:lang w:val="pt-PT"/>
        </w:rPr>
        <w:t>Os autores</w:t>
      </w:r>
      <w:r w:rsidRPr="002D7F08">
        <w:rPr>
          <w:rFonts w:ascii="Garamond" w:hAnsi="Garamond"/>
          <w:sz w:val="24"/>
          <w:szCs w:val="24"/>
          <w:lang w:val="pt-PT"/>
        </w:rPr>
        <w:t xml:space="preserve"> argumenta</w:t>
      </w:r>
      <w:r w:rsidR="005C4E9B" w:rsidRPr="002D7F08">
        <w:rPr>
          <w:rFonts w:ascii="Garamond" w:hAnsi="Garamond"/>
          <w:sz w:val="24"/>
          <w:szCs w:val="24"/>
          <w:lang w:val="pt-PT"/>
        </w:rPr>
        <w:t>m</w:t>
      </w:r>
      <w:r w:rsidRPr="002D7F08">
        <w:rPr>
          <w:rFonts w:ascii="Garamond" w:hAnsi="Garamond"/>
          <w:sz w:val="24"/>
          <w:szCs w:val="24"/>
          <w:lang w:val="pt-PT"/>
        </w:rPr>
        <w:t xml:space="preserve"> que o investimento das empresas é motivado pelo "quociente Q", definido como a razão entre o valor de mercado do capital da empresa (ou ativos) e o custo de reposição desse capital</w:t>
      </w:r>
      <w:r w:rsidR="0040533D" w:rsidRPr="002D7F08">
        <w:rPr>
          <w:rFonts w:ascii="Garamond" w:hAnsi="Garamond"/>
          <w:sz w:val="24"/>
          <w:szCs w:val="24"/>
          <w:lang w:val="pt-PT"/>
        </w:rPr>
        <w:t xml:space="preserve"> (ou ativos)</w:t>
      </w:r>
      <w:r w:rsidRPr="002D7F08">
        <w:rPr>
          <w:rFonts w:ascii="Garamond" w:hAnsi="Garamond"/>
          <w:sz w:val="24"/>
          <w:szCs w:val="24"/>
          <w:lang w:val="pt-PT"/>
        </w:rPr>
        <w:t>.</w:t>
      </w:r>
    </w:p>
    <w:p w14:paraId="558B391A" w14:textId="266C08F9" w:rsidR="000E2361" w:rsidRPr="002D7F08" w:rsidRDefault="000E2361" w:rsidP="00642608">
      <w:pPr>
        <w:spacing w:line="360" w:lineRule="auto"/>
        <w:jc w:val="both"/>
        <w:rPr>
          <w:rFonts w:ascii="Garamond" w:hAnsi="Garamond"/>
          <w:sz w:val="24"/>
          <w:szCs w:val="24"/>
          <w:lang w:val="pt-PT"/>
        </w:rPr>
      </w:pPr>
      <w:r w:rsidRPr="002D7F08">
        <w:rPr>
          <w:rFonts w:ascii="Garamond" w:hAnsi="Garamond"/>
          <w:sz w:val="24"/>
          <w:szCs w:val="24"/>
          <w:lang w:val="pt-PT"/>
        </w:rPr>
        <w:t>Segundo o</w:t>
      </w:r>
      <w:r w:rsidR="005C4E9B" w:rsidRPr="002D7F08">
        <w:rPr>
          <w:rFonts w:ascii="Garamond" w:hAnsi="Garamond"/>
          <w:sz w:val="24"/>
          <w:szCs w:val="24"/>
          <w:lang w:val="pt-PT"/>
        </w:rPr>
        <w:t>s</w:t>
      </w:r>
      <w:r w:rsidRPr="002D7F08">
        <w:rPr>
          <w:rFonts w:ascii="Garamond" w:hAnsi="Garamond"/>
          <w:sz w:val="24"/>
          <w:szCs w:val="24"/>
          <w:lang w:val="pt-PT"/>
        </w:rPr>
        <w:t xml:space="preserve"> autor</w:t>
      </w:r>
      <w:r w:rsidR="005C4E9B" w:rsidRPr="002D7F08">
        <w:rPr>
          <w:rFonts w:ascii="Garamond" w:hAnsi="Garamond"/>
          <w:sz w:val="24"/>
          <w:szCs w:val="24"/>
          <w:lang w:val="pt-PT"/>
        </w:rPr>
        <w:t>es desta teoria</w:t>
      </w:r>
      <w:r w:rsidRPr="002D7F08">
        <w:rPr>
          <w:rFonts w:ascii="Garamond" w:hAnsi="Garamond"/>
          <w:sz w:val="24"/>
          <w:szCs w:val="24"/>
          <w:lang w:val="pt-PT"/>
        </w:rPr>
        <w:t>, quando o quociente Q é superior a 1, o valor de mercado dos ativos da empresa excede o custo de reposição, incentivando a empresa a investir mais, pois é mais rentável adquirir novos ativos do que os produzir. Por outro lado, quando o quociente Q é inferior a 1, indica que o custo de reposição dos ativos é superior ao seu valor de mercado, desencorajando assim o investimento, já que não seria rentável para a empresa adquirir mais ativos.</w:t>
      </w:r>
    </w:p>
    <w:p w14:paraId="7C8F9C01" w14:textId="74CA11B0" w:rsidR="006967ED" w:rsidRPr="002D7F08" w:rsidRDefault="006967ED" w:rsidP="00642608">
      <w:pPr>
        <w:spacing w:line="360" w:lineRule="auto"/>
        <w:jc w:val="both"/>
        <w:rPr>
          <w:rFonts w:ascii="Garamond" w:hAnsi="Garamond"/>
          <w:sz w:val="24"/>
          <w:szCs w:val="24"/>
          <w:lang w:val="pt-PT"/>
        </w:rPr>
      </w:pPr>
      <w:r w:rsidRPr="002D7F08">
        <w:rPr>
          <w:rFonts w:ascii="Garamond" w:hAnsi="Garamond"/>
          <w:sz w:val="24"/>
          <w:szCs w:val="24"/>
          <w:lang w:val="pt-PT"/>
        </w:rPr>
        <w:t>A formulação básica da teoria pode ser expressa pela seguinte equação:</w:t>
      </w:r>
    </w:p>
    <w:p w14:paraId="5D36D977" w14:textId="57C1DDAD" w:rsidR="006967ED" w:rsidRPr="002D7F08" w:rsidRDefault="006967ED" w:rsidP="000942BF">
      <w:pPr>
        <w:spacing w:line="360" w:lineRule="auto"/>
        <w:rPr>
          <w:rFonts w:ascii="Garamond" w:hAnsi="Garamond"/>
          <w:sz w:val="24"/>
          <w:szCs w:val="24"/>
          <w:lang w:val="pt-PT"/>
        </w:rPr>
      </w:pPr>
      <m:oMathPara>
        <m:oMath>
          <m:r>
            <w:rPr>
              <w:rFonts w:ascii="Cambria Math" w:hAnsi="Cambria Math"/>
              <w:sz w:val="24"/>
              <w:szCs w:val="24"/>
              <w:lang w:val="pt-PT"/>
            </w:rPr>
            <m:t>Q=</m:t>
          </m:r>
          <m:f>
            <m:fPr>
              <m:ctrlPr>
                <w:rPr>
                  <w:rFonts w:ascii="Cambria Math" w:hAnsi="Cambria Math"/>
                  <w:i/>
                  <w:sz w:val="24"/>
                  <w:szCs w:val="24"/>
                  <w:lang w:val="pt-PT"/>
                </w:rPr>
              </m:ctrlPr>
            </m:fPr>
            <m:num>
              <m:r>
                <w:rPr>
                  <w:rFonts w:ascii="Cambria Math" w:hAnsi="Cambria Math"/>
                  <w:sz w:val="24"/>
                  <w:szCs w:val="24"/>
                  <w:lang w:val="pt-PT"/>
                </w:rPr>
                <m:t>Valor de Mercado do capital da empresa (ou ativos)</m:t>
              </m:r>
            </m:num>
            <m:den>
              <m:r>
                <w:rPr>
                  <w:rFonts w:ascii="Cambria Math" w:hAnsi="Cambria Math"/>
                  <w:sz w:val="24"/>
                  <w:szCs w:val="24"/>
                  <w:lang w:val="pt-PT"/>
                </w:rPr>
                <m:t>Custo de Reposição desse capital (ou ativos)</m:t>
              </m:r>
            </m:den>
          </m:f>
        </m:oMath>
      </m:oMathPara>
    </w:p>
    <w:p w14:paraId="3230A1EB" w14:textId="09949D3C" w:rsidR="00DD1464" w:rsidRPr="002D7F08" w:rsidRDefault="0040533D" w:rsidP="00642608">
      <w:pPr>
        <w:spacing w:line="360" w:lineRule="auto"/>
        <w:jc w:val="both"/>
        <w:rPr>
          <w:rFonts w:ascii="Garamond" w:hAnsi="Garamond"/>
          <w:sz w:val="24"/>
          <w:szCs w:val="24"/>
          <w:lang w:val="pt-PT"/>
        </w:rPr>
      </w:pPr>
      <w:r w:rsidRPr="002D7F08">
        <w:rPr>
          <w:rFonts w:ascii="Garamond" w:hAnsi="Garamond"/>
          <w:sz w:val="24"/>
          <w:szCs w:val="24"/>
          <w:lang w:val="pt-PT"/>
        </w:rPr>
        <w:t>Esta teoria destaca o papel dos mercados financeiros na determinação dos incentivos ao investimento. As flutuações nos preços das ações, que afetam o valor de mercado dos ativos, podem, portanto, ter um impacto significativo nas decisões de investimento. O quociente Q de Tobin torna-se, assim, um indicador crucial que liga o mercado financeiro ao investimento real das empresas, oferecendo uma explicação de como a política monetária e as condições económicas mais amplas afetam o investimento empresarial através do mecanismo dos preços dos ativos.</w:t>
      </w:r>
    </w:p>
    <w:p w14:paraId="7549188B" w14:textId="346491AE" w:rsidR="006F5550" w:rsidRPr="002D7F08" w:rsidRDefault="006F5550"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complementa a discussão sobre a “Teoria Q do Investimento” ao examinar os fatores determinantes do investimento empresarial durante os anos 80 e início dos </w:t>
      </w:r>
      <w:r w:rsidR="005B74C4" w:rsidRPr="002D7F08">
        <w:rPr>
          <w:rFonts w:ascii="Garamond" w:hAnsi="Garamond"/>
          <w:sz w:val="24"/>
          <w:szCs w:val="24"/>
          <w:lang w:val="pt-PT"/>
        </w:rPr>
        <w:t xml:space="preserve">anos </w:t>
      </w:r>
      <w:r w:rsidRPr="002D7F08">
        <w:rPr>
          <w:rFonts w:ascii="Garamond" w:hAnsi="Garamond"/>
          <w:sz w:val="24"/>
          <w:szCs w:val="24"/>
          <w:lang w:val="pt-PT"/>
        </w:rPr>
        <w:t>90. O autor explora como as expectativas das empresas, as condições de financiamento e as políticas governamentais influenciam os níveis de investimento, argumentando que o entendimento das decisões de investimento requer uma análise detalhada do ambiente económico e financeiro em que as empresas operam.</w:t>
      </w:r>
    </w:p>
    <w:p w14:paraId="644F244A" w14:textId="5CC8B976" w:rsidR="008E41E6" w:rsidRPr="002D7F08" w:rsidRDefault="006F5550" w:rsidP="00642608">
      <w:pPr>
        <w:spacing w:line="360" w:lineRule="auto"/>
        <w:jc w:val="both"/>
        <w:rPr>
          <w:rFonts w:ascii="Garamond" w:hAnsi="Garamond"/>
          <w:sz w:val="24"/>
          <w:szCs w:val="24"/>
          <w:lang w:val="pt-PT"/>
        </w:rPr>
      </w:pPr>
      <w:r w:rsidRPr="002D7F08">
        <w:rPr>
          <w:rFonts w:ascii="Garamond" w:hAnsi="Garamond"/>
          <w:sz w:val="24"/>
          <w:szCs w:val="24"/>
          <w:lang w:val="pt-PT"/>
        </w:rPr>
        <w:lastRenderedPageBreak/>
        <w:t>Estes artigos oferecem uma visão abrangente sobre a teoria do investimento, destacando a interação entre os mercados financeiros e a economia real. A “Teoria Q do Investimento” de Tobin</w:t>
      </w:r>
      <w:r w:rsidR="00D864B6" w:rsidRPr="002D7F08">
        <w:rPr>
          <w:rFonts w:ascii="Garamond" w:hAnsi="Garamond"/>
          <w:sz w:val="24"/>
          <w:szCs w:val="24"/>
          <w:lang w:val="pt-PT"/>
        </w:rPr>
        <w:t xml:space="preserve"> </w:t>
      </w:r>
      <w:r w:rsidRPr="002D7F08">
        <w:rPr>
          <w:rFonts w:ascii="Garamond" w:hAnsi="Garamond"/>
          <w:sz w:val="24"/>
          <w:szCs w:val="24"/>
          <w:lang w:val="pt-PT"/>
        </w:rPr>
        <w:t xml:space="preserve">(1969) fornece um quadro teórico para entender como os valores de mercado, influenciados por políticas monetárias e expectativas económicas, desempenham um papel central nas decisões de investimento, enquanto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enfatiza a necessidade de considerar uma variedade de fatores económicos e financeiros para uma análise completa do comportamento do investimento empresarial.</w:t>
      </w:r>
    </w:p>
    <w:p w14:paraId="51CEB7EA" w14:textId="4090FF7F" w:rsidR="00A619C3" w:rsidRPr="002D7F08" w:rsidRDefault="00A619C3" w:rsidP="00642608">
      <w:pPr>
        <w:pStyle w:val="Ttulo2SecundrioTese"/>
        <w:numPr>
          <w:ilvl w:val="2"/>
          <w:numId w:val="4"/>
        </w:numPr>
        <w:jc w:val="both"/>
      </w:pPr>
      <w:bookmarkStart w:id="26" w:name="_Toc176458044"/>
      <w:r w:rsidRPr="002D7F08">
        <w:t xml:space="preserve">Teoria dos Fundos Internos do Investimento (The </w:t>
      </w:r>
      <w:proofErr w:type="spellStart"/>
      <w:r w:rsidRPr="002D7F08">
        <w:t>Internal</w:t>
      </w:r>
      <w:proofErr w:type="spellEnd"/>
      <w:r w:rsidRPr="002D7F08">
        <w:t xml:space="preserve"> Funds </w:t>
      </w:r>
      <w:proofErr w:type="spellStart"/>
      <w:r w:rsidRPr="002D7F08">
        <w:t>Theory</w:t>
      </w:r>
      <w:proofErr w:type="spellEnd"/>
      <w:r w:rsidRPr="002D7F08">
        <w:t xml:space="preserve"> of Investment)</w:t>
      </w:r>
      <w:bookmarkEnd w:id="26"/>
    </w:p>
    <w:p w14:paraId="42EA8313" w14:textId="6956DFEC" w:rsidR="00AC3253" w:rsidRPr="002D7F08" w:rsidRDefault="00B26B2D" w:rsidP="00642608">
      <w:pPr>
        <w:spacing w:line="360" w:lineRule="auto"/>
        <w:jc w:val="both"/>
        <w:rPr>
          <w:rFonts w:ascii="Garamond" w:hAnsi="Garamond"/>
          <w:sz w:val="24"/>
          <w:szCs w:val="24"/>
          <w:lang w:val="pt-PT"/>
        </w:rPr>
      </w:pPr>
      <w:r w:rsidRPr="002D7F08">
        <w:rPr>
          <w:rFonts w:ascii="Garamond" w:hAnsi="Garamond"/>
          <w:sz w:val="24"/>
          <w:szCs w:val="24"/>
          <w:lang w:val="pt-PT"/>
        </w:rPr>
        <w:t>A</w:t>
      </w:r>
      <w:r w:rsidR="00AC3253" w:rsidRPr="002D7F08">
        <w:rPr>
          <w:rFonts w:ascii="Garamond" w:hAnsi="Garamond"/>
          <w:sz w:val="24"/>
          <w:szCs w:val="24"/>
          <w:lang w:val="pt-PT"/>
        </w:rPr>
        <w:t xml:space="preserve"> Teoria dos Fundos Internos do Investimento sugere que as decisões de investimento das empresas estão fortemente </w:t>
      </w:r>
      <w:r w:rsidR="00B573DE" w:rsidRPr="002D7F08">
        <w:rPr>
          <w:rFonts w:ascii="Garamond" w:hAnsi="Garamond"/>
          <w:sz w:val="24"/>
          <w:szCs w:val="24"/>
          <w:lang w:val="pt-PT"/>
        </w:rPr>
        <w:t>relacionadas</w:t>
      </w:r>
      <w:r w:rsidR="00AC3253" w:rsidRPr="002D7F08">
        <w:rPr>
          <w:rFonts w:ascii="Garamond" w:hAnsi="Garamond"/>
          <w:sz w:val="24"/>
          <w:szCs w:val="24"/>
          <w:lang w:val="pt-PT"/>
        </w:rPr>
        <w:t xml:space="preserve"> </w:t>
      </w:r>
      <w:r w:rsidR="00B573DE" w:rsidRPr="002D7F08">
        <w:rPr>
          <w:rFonts w:ascii="Garamond" w:hAnsi="Garamond"/>
          <w:sz w:val="24"/>
          <w:szCs w:val="24"/>
          <w:lang w:val="pt-PT"/>
        </w:rPr>
        <w:t>com a</w:t>
      </w:r>
      <w:r w:rsidR="00AC3253" w:rsidRPr="002D7F08">
        <w:rPr>
          <w:rFonts w:ascii="Garamond" w:hAnsi="Garamond"/>
          <w:sz w:val="24"/>
          <w:szCs w:val="24"/>
          <w:lang w:val="pt-PT"/>
        </w:rPr>
        <w:t xml:space="preserve"> disponibilidade de fundos internos, que são afetados </w:t>
      </w:r>
      <w:r w:rsidR="00C217A3" w:rsidRPr="002D7F08">
        <w:rPr>
          <w:rFonts w:ascii="Garamond" w:hAnsi="Garamond"/>
          <w:sz w:val="24"/>
          <w:szCs w:val="24"/>
          <w:lang w:val="pt-PT"/>
        </w:rPr>
        <w:t>pelo lucro</w:t>
      </w:r>
      <w:r w:rsidR="00AC3253" w:rsidRPr="002D7F08">
        <w:rPr>
          <w:rFonts w:ascii="Garamond" w:hAnsi="Garamond"/>
          <w:sz w:val="24"/>
          <w:szCs w:val="24"/>
          <w:lang w:val="pt-PT"/>
        </w:rPr>
        <w:t xml:space="preserve"> das empresas. Segundo esta teoria, as empresas preferem financiar novos investimentos a partir d</w:t>
      </w:r>
      <w:r w:rsidR="009730EF" w:rsidRPr="002D7F08">
        <w:rPr>
          <w:rFonts w:ascii="Garamond" w:hAnsi="Garamond"/>
          <w:sz w:val="24"/>
          <w:szCs w:val="24"/>
          <w:lang w:val="pt-PT"/>
        </w:rPr>
        <w:t>os</w:t>
      </w:r>
      <w:r w:rsidR="00AC3253" w:rsidRPr="002D7F08">
        <w:rPr>
          <w:rFonts w:ascii="Garamond" w:hAnsi="Garamond"/>
          <w:sz w:val="24"/>
          <w:szCs w:val="24"/>
          <w:lang w:val="pt-PT"/>
        </w:rPr>
        <w:t xml:space="preserve"> seus lucros retidos ou de outras fontes internas, como reservas de capital e fundos de depreciação, em vez de recorrer a financiamentos externos devido ao risco de perda de control</w:t>
      </w:r>
      <w:r w:rsidR="009730EF" w:rsidRPr="002D7F08">
        <w:rPr>
          <w:rFonts w:ascii="Garamond" w:hAnsi="Garamond"/>
          <w:sz w:val="24"/>
          <w:szCs w:val="24"/>
          <w:lang w:val="pt-PT"/>
        </w:rPr>
        <w:t>o</w:t>
      </w:r>
      <w:r w:rsidR="00AC3253" w:rsidRPr="002D7F08">
        <w:rPr>
          <w:rFonts w:ascii="Garamond" w:hAnsi="Garamond"/>
          <w:sz w:val="24"/>
          <w:szCs w:val="24"/>
          <w:lang w:val="pt-PT"/>
        </w:rPr>
        <w:t xml:space="preserve"> e ao aumento da probabilidade de falência (</w:t>
      </w:r>
      <w:proofErr w:type="spellStart"/>
      <w:r w:rsidR="00AC3253" w:rsidRPr="002D7F08">
        <w:rPr>
          <w:rFonts w:ascii="Garamond" w:hAnsi="Garamond"/>
          <w:sz w:val="24"/>
          <w:szCs w:val="24"/>
          <w:lang w:val="pt-PT"/>
        </w:rPr>
        <w:t>Tinbergen</w:t>
      </w:r>
      <w:proofErr w:type="spellEnd"/>
      <w:r w:rsidR="00AC3253" w:rsidRPr="002D7F08">
        <w:rPr>
          <w:rFonts w:ascii="Garamond" w:hAnsi="Garamond"/>
          <w:sz w:val="24"/>
          <w:szCs w:val="24"/>
          <w:lang w:val="pt-PT"/>
        </w:rPr>
        <w:t>, 1938).</w:t>
      </w:r>
    </w:p>
    <w:p w14:paraId="3087F405" w14:textId="5AE51BFE" w:rsidR="00AC3253" w:rsidRPr="002D7F08" w:rsidRDefault="00AC3253"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Ao discutir diferentes princípios que governam o investimento empresarial, o autor menciona implicitamente o conceito subjacente à Teoria dos Fundos Internos do Investimento, sugerindo que as flutuações nos lucros podem ser um motor importante para as decisões de investimento. Embora o artigo de </w:t>
      </w:r>
      <w:proofErr w:type="spellStart"/>
      <w:r w:rsidRPr="002D7F08">
        <w:rPr>
          <w:rFonts w:ascii="Garamond" w:hAnsi="Garamond"/>
          <w:sz w:val="24"/>
          <w:szCs w:val="24"/>
          <w:lang w:val="pt-PT"/>
        </w:rPr>
        <w:t>Tinbergen</w:t>
      </w:r>
      <w:proofErr w:type="spellEnd"/>
      <w:r w:rsidRPr="002D7F08">
        <w:rPr>
          <w:rFonts w:ascii="Garamond" w:hAnsi="Garamond"/>
          <w:sz w:val="24"/>
          <w:szCs w:val="24"/>
          <w:lang w:val="pt-PT"/>
        </w:rPr>
        <w:t xml:space="preserve"> </w:t>
      </w:r>
      <w:r w:rsidR="00B573DE" w:rsidRPr="002D7F08">
        <w:rPr>
          <w:rFonts w:ascii="Garamond" w:hAnsi="Garamond"/>
          <w:sz w:val="24"/>
          <w:szCs w:val="24"/>
          <w:lang w:val="pt-PT"/>
        </w:rPr>
        <w:t xml:space="preserve">(1938) </w:t>
      </w:r>
      <w:r w:rsidRPr="002D7F08">
        <w:rPr>
          <w:rFonts w:ascii="Garamond" w:hAnsi="Garamond"/>
          <w:sz w:val="24"/>
          <w:szCs w:val="24"/>
          <w:lang w:val="pt-PT"/>
        </w:rPr>
        <w:t xml:space="preserve">se concentre mais no princípio do acelerador, </w:t>
      </w:r>
      <w:r w:rsidR="009730EF" w:rsidRPr="002D7F08">
        <w:rPr>
          <w:rFonts w:ascii="Garamond" w:hAnsi="Garamond"/>
          <w:sz w:val="24"/>
          <w:szCs w:val="24"/>
          <w:lang w:val="pt-PT"/>
        </w:rPr>
        <w:t>o autor</w:t>
      </w:r>
      <w:r w:rsidRPr="002D7F08">
        <w:rPr>
          <w:rFonts w:ascii="Garamond" w:hAnsi="Garamond"/>
          <w:sz w:val="24"/>
          <w:szCs w:val="24"/>
          <w:lang w:val="pt-PT"/>
        </w:rPr>
        <w:t xml:space="preserve"> reconhece que as flutuações no investimento podem não ser totalmente explicadas por mudanças na </w:t>
      </w:r>
      <w:r w:rsidR="009730EF" w:rsidRPr="002D7F08">
        <w:rPr>
          <w:rFonts w:ascii="Garamond" w:hAnsi="Garamond"/>
          <w:sz w:val="24"/>
          <w:szCs w:val="24"/>
          <w:lang w:val="pt-PT"/>
        </w:rPr>
        <w:t>procura</w:t>
      </w:r>
      <w:r w:rsidRPr="002D7F08">
        <w:rPr>
          <w:rFonts w:ascii="Garamond" w:hAnsi="Garamond"/>
          <w:sz w:val="24"/>
          <w:szCs w:val="24"/>
          <w:lang w:val="pt-PT"/>
        </w:rPr>
        <w:t xml:space="preserve"> por bens de consumo. Em vez disso, sugere que as variações nos lucros (ou na capacidade de gerar fundos internos) também desempenham um papel crucial, fornecendo uma explicação alternativa que </w:t>
      </w:r>
      <w:r w:rsidR="00B573DE" w:rsidRPr="002D7F08">
        <w:rPr>
          <w:rFonts w:ascii="Garamond" w:hAnsi="Garamond"/>
          <w:sz w:val="24"/>
          <w:szCs w:val="24"/>
          <w:lang w:val="pt-PT"/>
        </w:rPr>
        <w:t>é alinhada</w:t>
      </w:r>
      <w:r w:rsidRPr="002D7F08">
        <w:rPr>
          <w:rFonts w:ascii="Garamond" w:hAnsi="Garamond"/>
          <w:sz w:val="24"/>
          <w:szCs w:val="24"/>
          <w:lang w:val="pt-PT"/>
        </w:rPr>
        <w:t xml:space="preserve"> com a Teoria dos Fundos Internos do Investimento.</w:t>
      </w:r>
    </w:p>
    <w:p w14:paraId="79AF27B3" w14:textId="1668C44F" w:rsidR="00AC3253" w:rsidRPr="002D7F08" w:rsidRDefault="00AC3253"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Essa teoria assume que a capacidade de uma empresa gerar lucros e reter ganhos é fundamental para sustentar e financiar investimentos em novos ativos físicos. Os lucros não apenas proporcionam os meios para o investimento, mas também servem como um indicador da viabilidade e desempenho futuro esperado da empresa, influenciando as decisões de investimento. Além disso, as empresas tendem a evitar o financiamento externo devido aos custos associados e ao potencial de </w:t>
      </w:r>
      <w:r w:rsidR="009730EF" w:rsidRPr="002D7F08">
        <w:rPr>
          <w:rFonts w:ascii="Garamond" w:hAnsi="Garamond"/>
          <w:sz w:val="24"/>
          <w:szCs w:val="24"/>
          <w:lang w:val="pt-PT"/>
        </w:rPr>
        <w:t>perda</w:t>
      </w:r>
      <w:r w:rsidRPr="002D7F08">
        <w:rPr>
          <w:rFonts w:ascii="Garamond" w:hAnsi="Garamond"/>
          <w:sz w:val="24"/>
          <w:szCs w:val="24"/>
          <w:lang w:val="pt-PT"/>
        </w:rPr>
        <w:t xml:space="preserve"> do controle.</w:t>
      </w:r>
    </w:p>
    <w:p w14:paraId="20029F09" w14:textId="3F81D9CE" w:rsidR="00A619C3" w:rsidRPr="002D7F08" w:rsidRDefault="00B573DE" w:rsidP="00642608">
      <w:pPr>
        <w:spacing w:line="360" w:lineRule="auto"/>
        <w:jc w:val="both"/>
        <w:rPr>
          <w:rFonts w:ascii="Garamond" w:hAnsi="Garamond"/>
          <w:sz w:val="24"/>
          <w:szCs w:val="24"/>
          <w:lang w:val="pt-PT"/>
        </w:rPr>
      </w:pPr>
      <w:r w:rsidRPr="002D7F08">
        <w:rPr>
          <w:rFonts w:ascii="Garamond" w:hAnsi="Garamond"/>
          <w:sz w:val="24"/>
          <w:szCs w:val="24"/>
          <w:lang w:val="pt-PT"/>
        </w:rPr>
        <w:lastRenderedPageBreak/>
        <w:t xml:space="preserve">Portanto, embora o artigo de </w:t>
      </w:r>
      <w:proofErr w:type="spellStart"/>
      <w:r w:rsidRPr="002D7F08">
        <w:rPr>
          <w:rFonts w:ascii="Garamond" w:hAnsi="Garamond"/>
          <w:sz w:val="24"/>
          <w:szCs w:val="24"/>
          <w:lang w:val="pt-PT"/>
        </w:rPr>
        <w:t>Tinbergen</w:t>
      </w:r>
      <w:proofErr w:type="spellEnd"/>
      <w:r w:rsidRPr="002D7F08">
        <w:rPr>
          <w:rFonts w:ascii="Garamond" w:hAnsi="Garamond"/>
          <w:sz w:val="24"/>
          <w:szCs w:val="24"/>
          <w:lang w:val="pt-PT"/>
        </w:rPr>
        <w:t xml:space="preserve"> esteja mais explicitamente relacionado com o princípio do acelerador, estabelece as bases para a compreensão da importância dos lucros e dos fundos internos nas decisões de investimento, um conceito que é central à Teoria dos Fundos Internos do Investimento. A abordagem de </w:t>
      </w:r>
      <w:proofErr w:type="spellStart"/>
      <w:r w:rsidRPr="002D7F08">
        <w:rPr>
          <w:rFonts w:ascii="Garamond" w:hAnsi="Garamond"/>
          <w:sz w:val="24"/>
          <w:szCs w:val="24"/>
          <w:lang w:val="pt-PT"/>
        </w:rPr>
        <w:t>Tinbergen</w:t>
      </w:r>
      <w:proofErr w:type="spellEnd"/>
      <w:r w:rsidRPr="002D7F08">
        <w:rPr>
          <w:rFonts w:ascii="Garamond" w:hAnsi="Garamond"/>
          <w:sz w:val="24"/>
          <w:szCs w:val="24"/>
          <w:lang w:val="pt-PT"/>
        </w:rPr>
        <w:t xml:space="preserve"> sugere uma visão holística das decisões de investimento, reconhecendo que tanto as mudanças externas na procura quanto a capacidade interna de gerar e utilizar fundos são cruciais para entender o comportamento do investimento das empresas.</w:t>
      </w:r>
    </w:p>
    <w:p w14:paraId="049AAB43" w14:textId="54FFBD71" w:rsidR="00751B0E" w:rsidRPr="002D7F08" w:rsidRDefault="00751B0E"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Explorando mais detalhadamente a "Teoria dos Fundos Internos do Investimento", torna-se relevante analisar estudos mais recentes. Nesse sentido, os estudos de </w:t>
      </w:r>
      <w:proofErr w:type="spellStart"/>
      <w:r w:rsidRPr="002D7F08">
        <w:rPr>
          <w:rFonts w:ascii="Garamond" w:hAnsi="Garamond"/>
          <w:sz w:val="24"/>
          <w:szCs w:val="24"/>
          <w:lang w:val="pt-PT"/>
        </w:rPr>
        <w:t>Guceri</w:t>
      </w:r>
      <w:proofErr w:type="spellEnd"/>
      <w:r w:rsidRPr="002D7F08">
        <w:rPr>
          <w:rFonts w:ascii="Garamond" w:hAnsi="Garamond"/>
          <w:sz w:val="24"/>
          <w:szCs w:val="24"/>
          <w:lang w:val="pt-PT"/>
        </w:rPr>
        <w:t xml:space="preserve"> e </w:t>
      </w:r>
      <w:proofErr w:type="spellStart"/>
      <w:r w:rsidRPr="002D7F08">
        <w:rPr>
          <w:rFonts w:ascii="Garamond" w:hAnsi="Garamond"/>
          <w:sz w:val="24"/>
          <w:szCs w:val="24"/>
          <w:lang w:val="pt-PT"/>
        </w:rPr>
        <w:t>Albinowski</w:t>
      </w:r>
      <w:proofErr w:type="spellEnd"/>
      <w:r w:rsidRPr="002D7F08">
        <w:rPr>
          <w:rFonts w:ascii="Garamond" w:hAnsi="Garamond"/>
          <w:sz w:val="24"/>
          <w:szCs w:val="24"/>
          <w:lang w:val="pt-PT"/>
        </w:rPr>
        <w:t xml:space="preserve"> (2021) complementam e expandem os princípios fundamentais discutidos anteriormente. Este estudo destaca como a incerteza macroeconómica </w:t>
      </w:r>
      <w:proofErr w:type="gramStart"/>
      <w:r w:rsidRPr="002D7F08">
        <w:rPr>
          <w:rFonts w:ascii="Garamond" w:hAnsi="Garamond"/>
          <w:sz w:val="24"/>
          <w:szCs w:val="24"/>
          <w:lang w:val="pt-PT"/>
        </w:rPr>
        <w:t>influencia</w:t>
      </w:r>
      <w:proofErr w:type="gramEnd"/>
      <w:r w:rsidRPr="002D7F08">
        <w:rPr>
          <w:rFonts w:ascii="Garamond" w:hAnsi="Garamond"/>
          <w:sz w:val="24"/>
          <w:szCs w:val="24"/>
          <w:lang w:val="pt-PT"/>
        </w:rPr>
        <w:t xml:space="preserve"> a eficácia dos incentivos fiscais n</w:t>
      </w:r>
      <w:r w:rsidR="000F6E4E" w:rsidRPr="002D7F08">
        <w:rPr>
          <w:rFonts w:ascii="Garamond" w:hAnsi="Garamond"/>
          <w:sz w:val="24"/>
          <w:szCs w:val="24"/>
          <w:lang w:val="pt-PT"/>
        </w:rPr>
        <w:t>as decisões de</w:t>
      </w:r>
      <w:r w:rsidRPr="002D7F08">
        <w:rPr>
          <w:rFonts w:ascii="Garamond" w:hAnsi="Garamond"/>
          <w:sz w:val="24"/>
          <w:szCs w:val="24"/>
          <w:lang w:val="pt-PT"/>
        </w:rPr>
        <w:t xml:space="preserve"> investimento. Observou-se que, em períodos de estabilidade econ</w:t>
      </w:r>
      <w:r w:rsidR="000F6E4E" w:rsidRPr="002D7F08">
        <w:rPr>
          <w:rFonts w:ascii="Garamond" w:hAnsi="Garamond"/>
          <w:sz w:val="24"/>
          <w:szCs w:val="24"/>
          <w:lang w:val="pt-PT"/>
        </w:rPr>
        <w:t>ó</w:t>
      </w:r>
      <w:r w:rsidRPr="002D7F08">
        <w:rPr>
          <w:rFonts w:ascii="Garamond" w:hAnsi="Garamond"/>
          <w:sz w:val="24"/>
          <w:szCs w:val="24"/>
          <w:lang w:val="pt-PT"/>
        </w:rPr>
        <w:t>mica, quando a incerteza é baixa, os incentivos fiscais são eficazes para estimular o investimento empresarial. Contudo, em tempos de alta incerteza, o impacto desses incentivos torna-se heterog</w:t>
      </w:r>
      <w:r w:rsidR="0024378E" w:rsidRPr="002D7F08">
        <w:rPr>
          <w:rFonts w:ascii="Garamond" w:hAnsi="Garamond"/>
          <w:sz w:val="24"/>
          <w:szCs w:val="24"/>
          <w:lang w:val="pt-PT"/>
        </w:rPr>
        <w:t>é</w:t>
      </w:r>
      <w:r w:rsidRPr="002D7F08">
        <w:rPr>
          <w:rFonts w:ascii="Garamond" w:hAnsi="Garamond"/>
          <w:sz w:val="24"/>
          <w:szCs w:val="24"/>
          <w:lang w:val="pt-PT"/>
        </w:rPr>
        <w:t>neo, variando significativamente entre empresas com diferentes níveis de exposição à incerteza. Tal fenómeno sugere que, além dos recursos internos disponíveis, o ambiente macroecon</w:t>
      </w:r>
      <w:r w:rsidR="000F6E4E" w:rsidRPr="002D7F08">
        <w:rPr>
          <w:rFonts w:ascii="Garamond" w:hAnsi="Garamond"/>
          <w:sz w:val="24"/>
          <w:szCs w:val="24"/>
          <w:lang w:val="pt-PT"/>
        </w:rPr>
        <w:t>ó</w:t>
      </w:r>
      <w:r w:rsidRPr="002D7F08">
        <w:rPr>
          <w:rFonts w:ascii="Garamond" w:hAnsi="Garamond"/>
          <w:sz w:val="24"/>
          <w:szCs w:val="24"/>
          <w:lang w:val="pt-PT"/>
        </w:rPr>
        <w:t>mico externo desempenha um papel crucial nas decisões de investimento.</w:t>
      </w:r>
    </w:p>
    <w:p w14:paraId="1CAE29E7" w14:textId="18001AD3" w:rsidR="002316E2" w:rsidRPr="002D7F08" w:rsidRDefault="00751B0E" w:rsidP="00642608">
      <w:pPr>
        <w:spacing w:line="360" w:lineRule="auto"/>
        <w:jc w:val="both"/>
        <w:rPr>
          <w:rFonts w:ascii="Garamond" w:hAnsi="Garamond"/>
          <w:sz w:val="24"/>
          <w:szCs w:val="24"/>
          <w:lang w:val="pt-PT"/>
        </w:rPr>
      </w:pPr>
      <w:r w:rsidRPr="002D7F08">
        <w:rPr>
          <w:rFonts w:ascii="Garamond" w:hAnsi="Garamond"/>
          <w:sz w:val="24"/>
          <w:szCs w:val="24"/>
          <w:lang w:val="pt-PT"/>
        </w:rPr>
        <w:t>Essas descobertas reforçam a importância de considerar fatores externos, como a estabilidade económica e a incerteza, na aplicação da “Teoria dos Fundos Internos do Investimento”. Os autores demonstram que, enquanto os fundos internos podem capacitar uma empresa a investir, as condições macroeconómicas em que essas empresas operam podem facilitar ou impedir o uso efetivo desses fundos no investimento. Deste modo, a interação entre os fundos internos e o contexto económico mais amplo deve ser cuidadosamente considerado para entender plenamente as dinâmicas de investimento empresarial e seu papel nos ciclos económicos.</w:t>
      </w:r>
    </w:p>
    <w:p w14:paraId="25CB9125" w14:textId="7D75A9B9" w:rsidR="000C3F40" w:rsidRPr="00D26C8A" w:rsidRDefault="000C3F40" w:rsidP="00642608">
      <w:pPr>
        <w:pStyle w:val="Ttulo2SecundrioTese"/>
        <w:numPr>
          <w:ilvl w:val="2"/>
          <w:numId w:val="4"/>
        </w:numPr>
        <w:jc w:val="both"/>
        <w:rPr>
          <w:lang w:val="en-US"/>
        </w:rPr>
      </w:pPr>
      <w:bookmarkStart w:id="27" w:name="_Toc176458045"/>
      <w:r w:rsidRPr="00D26C8A">
        <w:rPr>
          <w:lang w:val="en-US"/>
        </w:rPr>
        <w:t>Teoria do</w:t>
      </w:r>
      <w:r w:rsidR="0024378E" w:rsidRPr="00D26C8A">
        <w:rPr>
          <w:lang w:val="en-US"/>
        </w:rPr>
        <w:t>s</w:t>
      </w:r>
      <w:r w:rsidRPr="00D26C8A">
        <w:rPr>
          <w:lang w:val="en-US"/>
        </w:rPr>
        <w:t xml:space="preserve"> Free Cash Flow</w:t>
      </w:r>
      <w:r w:rsidR="0024378E" w:rsidRPr="00D26C8A">
        <w:rPr>
          <w:lang w:val="en-US"/>
        </w:rPr>
        <w:t>s</w:t>
      </w:r>
      <w:bookmarkEnd w:id="27"/>
    </w:p>
    <w:p w14:paraId="482374C9" w14:textId="13FF055C" w:rsidR="000C3F40" w:rsidRPr="002D7F08" w:rsidRDefault="000C3F40" w:rsidP="00642608">
      <w:pPr>
        <w:spacing w:line="360" w:lineRule="auto"/>
        <w:jc w:val="both"/>
        <w:rPr>
          <w:rFonts w:ascii="Garamond" w:hAnsi="Garamond"/>
          <w:sz w:val="24"/>
          <w:szCs w:val="24"/>
          <w:lang w:val="pt-PT"/>
        </w:rPr>
      </w:pPr>
      <w:r w:rsidRPr="002D7F08">
        <w:rPr>
          <w:rFonts w:ascii="Garamond" w:hAnsi="Garamond"/>
          <w:sz w:val="24"/>
          <w:szCs w:val="24"/>
          <w:lang w:val="pt-PT"/>
        </w:rPr>
        <w:t>A Teoria do</w:t>
      </w:r>
      <w:r w:rsidR="0024378E" w:rsidRPr="002D7F08">
        <w:rPr>
          <w:rFonts w:ascii="Garamond" w:hAnsi="Garamond"/>
          <w:sz w:val="24"/>
          <w:szCs w:val="24"/>
          <w:lang w:val="pt-PT"/>
        </w:rPr>
        <w:t>s</w:t>
      </w:r>
      <w:r w:rsidRPr="002D7F08">
        <w:rPr>
          <w:rFonts w:ascii="Garamond" w:hAnsi="Garamond"/>
          <w:sz w:val="24"/>
          <w:szCs w:val="24"/>
          <w:lang w:val="pt-PT"/>
        </w:rPr>
        <w:t xml:space="preserve"> </w:t>
      </w:r>
      <w:r w:rsidR="0024378E" w:rsidRPr="002D7F08">
        <w:rPr>
          <w:rFonts w:ascii="Garamond" w:hAnsi="Garamond"/>
          <w:sz w:val="24"/>
          <w:szCs w:val="24"/>
          <w:lang w:val="pt-PT"/>
        </w:rPr>
        <w:t xml:space="preserve">Free Cash </w:t>
      </w:r>
      <w:proofErr w:type="spellStart"/>
      <w:r w:rsidR="0024378E" w:rsidRPr="002D7F08">
        <w:rPr>
          <w:rFonts w:ascii="Garamond" w:hAnsi="Garamond"/>
          <w:sz w:val="24"/>
          <w:szCs w:val="24"/>
          <w:lang w:val="pt-PT"/>
        </w:rPr>
        <w:t>Flows</w:t>
      </w:r>
      <w:proofErr w:type="spellEnd"/>
      <w:r w:rsidRPr="002D7F08">
        <w:rPr>
          <w:rFonts w:ascii="Garamond" w:hAnsi="Garamond"/>
          <w:sz w:val="24"/>
          <w:szCs w:val="24"/>
          <w:lang w:val="pt-PT"/>
        </w:rPr>
        <w:t xml:space="preserve">, analisada por </w:t>
      </w:r>
      <w:proofErr w:type="spellStart"/>
      <w:r w:rsidRPr="002D7F08">
        <w:rPr>
          <w:rFonts w:ascii="Garamond" w:hAnsi="Garamond"/>
          <w:sz w:val="24"/>
          <w:szCs w:val="24"/>
          <w:lang w:val="pt-PT"/>
        </w:rPr>
        <w:t>Fazzari</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(1988) e </w:t>
      </w:r>
      <w:proofErr w:type="spellStart"/>
      <w:r w:rsidRPr="002D7F08">
        <w:rPr>
          <w:rFonts w:ascii="Garamond" w:hAnsi="Garamond"/>
          <w:sz w:val="24"/>
          <w:szCs w:val="24"/>
          <w:lang w:val="pt-PT"/>
        </w:rPr>
        <w:t>Fazzari</w:t>
      </w:r>
      <w:proofErr w:type="spellEnd"/>
      <w:r w:rsidRPr="002D7F08">
        <w:rPr>
          <w:rFonts w:ascii="Garamond" w:hAnsi="Garamond"/>
          <w:sz w:val="24"/>
          <w:szCs w:val="24"/>
          <w:lang w:val="pt-PT"/>
        </w:rPr>
        <w:t xml:space="preserve"> e Petersen (1993) e abordada</w:t>
      </w:r>
      <w:r w:rsidR="0024378E" w:rsidRPr="002D7F08">
        <w:rPr>
          <w:rFonts w:ascii="Garamond" w:hAnsi="Garamond"/>
          <w:sz w:val="24"/>
          <w:szCs w:val="24"/>
          <w:lang w:val="pt-PT"/>
        </w:rPr>
        <w:t>,</w:t>
      </w:r>
      <w:r w:rsidRPr="002D7F08">
        <w:rPr>
          <w:rFonts w:ascii="Garamond" w:hAnsi="Garamond"/>
          <w:sz w:val="24"/>
          <w:szCs w:val="24"/>
          <w:lang w:val="pt-PT"/>
        </w:rPr>
        <w:t xml:space="preserve"> por </w:t>
      </w:r>
      <w:r w:rsidR="0024378E" w:rsidRPr="002D7F08">
        <w:rPr>
          <w:rFonts w:ascii="Garamond" w:hAnsi="Garamond"/>
          <w:sz w:val="24"/>
          <w:szCs w:val="24"/>
          <w:lang w:val="pt-PT"/>
        </w:rPr>
        <w:t xml:space="preserve">exemplo, por </w:t>
      </w:r>
      <w:r w:rsidRPr="002D7F08">
        <w:rPr>
          <w:rFonts w:ascii="Garamond" w:hAnsi="Garamond"/>
          <w:sz w:val="24"/>
          <w:szCs w:val="24"/>
          <w:lang w:val="pt-PT"/>
        </w:rPr>
        <w:t xml:space="preserve">Mendes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 (2014)</w:t>
      </w:r>
      <w:r w:rsidR="0024378E" w:rsidRPr="002D7F08">
        <w:rPr>
          <w:rFonts w:ascii="Garamond" w:hAnsi="Garamond"/>
          <w:sz w:val="24"/>
          <w:szCs w:val="24"/>
          <w:lang w:val="pt-PT"/>
        </w:rPr>
        <w:t>,</w:t>
      </w:r>
      <w:r w:rsidRPr="002D7F08">
        <w:rPr>
          <w:rFonts w:ascii="Garamond" w:hAnsi="Garamond"/>
          <w:sz w:val="24"/>
          <w:szCs w:val="24"/>
          <w:lang w:val="pt-PT"/>
        </w:rPr>
        <w:t xml:space="preserve"> é essencial para entender a forma como as empresas gerem os seus investimentos, sobretudo nas PMEs. Esta teoria pressupõe que as decisões de investimento não são influenciadas apenas por fatores</w:t>
      </w:r>
      <w:r w:rsidR="008C340C">
        <w:rPr>
          <w:rFonts w:ascii="Garamond" w:hAnsi="Garamond"/>
          <w:sz w:val="24"/>
          <w:szCs w:val="24"/>
          <w:lang w:val="pt-PT"/>
        </w:rPr>
        <w:t xml:space="preserve"> </w:t>
      </w:r>
      <w:r w:rsidRPr="002D7F08">
        <w:rPr>
          <w:rFonts w:ascii="Garamond" w:hAnsi="Garamond"/>
          <w:sz w:val="24"/>
          <w:szCs w:val="24"/>
          <w:lang w:val="pt-PT"/>
        </w:rPr>
        <w:t xml:space="preserve">externos, como o </w:t>
      </w:r>
      <w:r w:rsidRPr="002D7F08">
        <w:rPr>
          <w:rFonts w:ascii="Garamond" w:hAnsi="Garamond"/>
          <w:sz w:val="24"/>
          <w:szCs w:val="24"/>
          <w:lang w:val="pt-PT"/>
        </w:rPr>
        <w:lastRenderedPageBreak/>
        <w:t>volume das vendas, mas também por elementos internos, com destaque para o fluxo de caixa disponível.</w:t>
      </w:r>
    </w:p>
    <w:p w14:paraId="178FBF51" w14:textId="3222D4D6" w:rsidR="000C3F40" w:rsidRPr="002D7F08" w:rsidRDefault="000C3F40" w:rsidP="00642608">
      <w:pPr>
        <w:spacing w:line="360" w:lineRule="auto"/>
        <w:jc w:val="both"/>
        <w:rPr>
          <w:rFonts w:ascii="Garamond" w:hAnsi="Garamond"/>
          <w:sz w:val="24"/>
          <w:szCs w:val="24"/>
          <w:lang w:val="pt-PT"/>
        </w:rPr>
      </w:pPr>
      <w:r w:rsidRPr="002D7F08">
        <w:rPr>
          <w:rFonts w:ascii="Garamond" w:hAnsi="Garamond"/>
          <w:sz w:val="24"/>
          <w:szCs w:val="24"/>
          <w:lang w:val="pt-PT"/>
        </w:rPr>
        <w:t>De acordo com esta teoria, o fluxo de caixa livre emerge como uma fonte essencial de financiamento, particularmente para empresas que lidam com restrições financeiras significativas. Tais restrições são muitas vezes agravadas pela assimetria de informação entre a gestão das empresas e os financiadores externos, tornando o financiamento externo mais oneroso e menos acessível do que o financiamento interno. Este contexto é especialmente pertinente para PMEs em fase inicial ou que apresentam níveis mais baixos de investimento, as quais podem encontrar maiores dificuldades no acesso a crédito externo e, consequentemente, dependem mais substancialmente do seu próprio fluxo de caixa para suportar os investimentos.</w:t>
      </w:r>
    </w:p>
    <w:p w14:paraId="5CA21E88" w14:textId="141FDEB9" w:rsidR="00F55729" w:rsidRPr="002D7F08" w:rsidRDefault="00F55729"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Edgerton</w:t>
      </w:r>
      <w:proofErr w:type="spellEnd"/>
      <w:r w:rsidRPr="002D7F08">
        <w:rPr>
          <w:rFonts w:ascii="Garamond" w:hAnsi="Garamond"/>
          <w:sz w:val="24"/>
          <w:szCs w:val="24"/>
          <w:lang w:val="pt-PT"/>
        </w:rPr>
        <w:t xml:space="preserve"> (2010) conclui no seu estudo que as empresas reagem consideravelmente melhor aos incentivos ao investimento quando o seu rácio de fluxos de caixa em relação aos ativos é elevado.</w:t>
      </w:r>
    </w:p>
    <w:p w14:paraId="0585FB62" w14:textId="570CC611" w:rsidR="00954A35" w:rsidRDefault="00365935"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Aggarwal</w:t>
      </w:r>
      <w:proofErr w:type="spellEnd"/>
      <w:r w:rsidRPr="002D7F08">
        <w:rPr>
          <w:rFonts w:ascii="Garamond" w:hAnsi="Garamond"/>
          <w:sz w:val="24"/>
          <w:szCs w:val="24"/>
          <w:lang w:val="pt-PT"/>
        </w:rPr>
        <w:t xml:space="preserve"> e </w:t>
      </w:r>
      <w:proofErr w:type="spellStart"/>
      <w:r w:rsidRPr="002D7F08">
        <w:rPr>
          <w:rFonts w:ascii="Garamond" w:hAnsi="Garamond"/>
          <w:sz w:val="24"/>
          <w:szCs w:val="24"/>
          <w:lang w:val="pt-PT"/>
        </w:rPr>
        <w:t>Zong</w:t>
      </w:r>
      <w:proofErr w:type="spellEnd"/>
      <w:r w:rsidRPr="002D7F08">
        <w:rPr>
          <w:rFonts w:ascii="Garamond" w:hAnsi="Garamond"/>
          <w:sz w:val="24"/>
          <w:szCs w:val="24"/>
          <w:lang w:val="pt-PT"/>
        </w:rPr>
        <w:t xml:space="preserve"> (2006) defendem que muita da literatura acerca das decisões de investimento empresarial frequentemente demonstra uma sensibilidade elevada aos fluxos de caixa internos, especialmente em empresas com maiores restrições financeiras, embora existam estudos que reportem observações contrárias. A sua investigação focou-se em analisar estas divergências através de um estudo sobre empresas nos Estados Unidos. </w:t>
      </w:r>
    </w:p>
    <w:p w14:paraId="18A2B8D1" w14:textId="201753A4" w:rsidR="00365935" w:rsidRDefault="00365935" w:rsidP="00642608">
      <w:pPr>
        <w:spacing w:line="360" w:lineRule="auto"/>
        <w:jc w:val="both"/>
        <w:rPr>
          <w:rFonts w:ascii="Garamond" w:hAnsi="Garamond"/>
          <w:sz w:val="24"/>
          <w:szCs w:val="24"/>
          <w:lang w:val="pt-PT"/>
        </w:rPr>
      </w:pPr>
      <w:r w:rsidRPr="002D7F08">
        <w:rPr>
          <w:rFonts w:ascii="Garamond" w:hAnsi="Garamond"/>
          <w:sz w:val="24"/>
          <w:szCs w:val="24"/>
          <w:lang w:val="pt-PT"/>
        </w:rPr>
        <w:t>Os</w:t>
      </w:r>
      <w:r w:rsidR="00954A35">
        <w:rPr>
          <w:rFonts w:ascii="Garamond" w:hAnsi="Garamond"/>
          <w:sz w:val="24"/>
          <w:szCs w:val="24"/>
          <w:lang w:val="pt-PT"/>
        </w:rPr>
        <w:t xml:space="preserve"> </w:t>
      </w:r>
      <w:r w:rsidR="00954A35" w:rsidRPr="00954A35">
        <w:rPr>
          <w:rFonts w:ascii="Garamond" w:hAnsi="Garamond"/>
          <w:sz w:val="24"/>
          <w:szCs w:val="24"/>
          <w:lang w:val="pt-PT"/>
        </w:rPr>
        <w:t>resultados obtidos indicaram que, em empresas com maiores restrições financeiras, o investimento tende a ser menos influenciado pelos fluxos de caixa internos comparativamente a empresas com menos restrições financeiras. No entanto, de uma forma geral, concluiu-se que existe uma relação positiva e significativa entre os fluxos de caixa internos e as decisões de investimento das empresas</w:t>
      </w:r>
      <w:r w:rsidRPr="002D7F08">
        <w:rPr>
          <w:rFonts w:ascii="Garamond" w:hAnsi="Garamond"/>
          <w:sz w:val="24"/>
          <w:szCs w:val="24"/>
          <w:lang w:val="pt-PT"/>
        </w:rPr>
        <w:t>.</w:t>
      </w:r>
    </w:p>
    <w:p w14:paraId="088F4A4F" w14:textId="77777777" w:rsidR="00DD4A1A" w:rsidRPr="002D7F08" w:rsidRDefault="00DD4A1A" w:rsidP="00642608">
      <w:pPr>
        <w:spacing w:line="360" w:lineRule="auto"/>
        <w:jc w:val="both"/>
        <w:rPr>
          <w:rFonts w:ascii="Garamond" w:hAnsi="Garamond"/>
          <w:sz w:val="24"/>
          <w:szCs w:val="24"/>
          <w:lang w:val="pt-PT"/>
        </w:rPr>
      </w:pPr>
    </w:p>
    <w:p w14:paraId="6F2C07CE" w14:textId="5C34DBB3" w:rsidR="00BF1543" w:rsidRPr="002D7F08" w:rsidRDefault="00910B56" w:rsidP="00642608">
      <w:pPr>
        <w:pStyle w:val="TtuloSecundrioTese"/>
        <w:jc w:val="both"/>
      </w:pPr>
      <w:bookmarkStart w:id="28" w:name="_Toc176458046"/>
      <w:r w:rsidRPr="002D7F08">
        <w:t>Modelos base de Investimento em Bens de Capital</w:t>
      </w:r>
      <w:bookmarkEnd w:id="28"/>
    </w:p>
    <w:p w14:paraId="3E398EA9" w14:textId="77777777" w:rsidR="004C69FF" w:rsidRPr="002D7F08" w:rsidRDefault="004C69FF"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Tendo em consideração o contexto desta investigação, em seguida é apresentado um resumo dos cinco modelos fundamentais para analisar o investimento em bens de capital usados por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no âmbito da sua análise do investimento realizado por produtores de </w:t>
      </w:r>
      <w:r w:rsidRPr="002D7F08">
        <w:rPr>
          <w:rFonts w:ascii="Garamond" w:hAnsi="Garamond"/>
          <w:sz w:val="24"/>
          <w:szCs w:val="24"/>
          <w:lang w:val="pt-PT"/>
        </w:rPr>
        <w:lastRenderedPageBreak/>
        <w:t>equipamentos entre 1962 e 1979, e por empresas do setor da construção não residencial entre 1962 e 1977.</w:t>
      </w:r>
    </w:p>
    <w:p w14:paraId="61CB40FB" w14:textId="4122C329" w:rsidR="00910B56" w:rsidRPr="002D7F08" w:rsidRDefault="004C69FF"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De acordo com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existem 5 modelos para a análise do investimento em bens de capital: “The </w:t>
      </w:r>
      <w:proofErr w:type="spellStart"/>
      <w:r w:rsidRPr="002D7F08">
        <w:rPr>
          <w:rFonts w:ascii="Garamond" w:hAnsi="Garamond"/>
          <w:sz w:val="24"/>
          <w:szCs w:val="24"/>
          <w:lang w:val="pt-PT"/>
        </w:rPr>
        <w:t>Accelarator</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 xml:space="preserve">”, “The </w:t>
      </w:r>
      <w:proofErr w:type="spellStart"/>
      <w:r w:rsidRPr="002D7F08">
        <w:rPr>
          <w:rFonts w:ascii="Garamond" w:hAnsi="Garamond"/>
          <w:sz w:val="24"/>
          <w:szCs w:val="24"/>
          <w:lang w:val="pt-PT"/>
        </w:rPr>
        <w:t>Neoclassical</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 xml:space="preserve">”, “The q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 xml:space="preserve">”, “The Cash-Flow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 xml:space="preserve">” e o “The </w:t>
      </w:r>
      <w:proofErr w:type="spellStart"/>
      <w:r w:rsidRPr="002D7F08">
        <w:rPr>
          <w:rFonts w:ascii="Garamond" w:hAnsi="Garamond"/>
          <w:sz w:val="24"/>
          <w:szCs w:val="24"/>
          <w:lang w:val="pt-PT"/>
        </w:rPr>
        <w:t>Autoregression</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w:t>
      </w:r>
    </w:p>
    <w:p w14:paraId="4E1FD877" w14:textId="7F77BFD5" w:rsidR="00910B56" w:rsidRPr="002D7F08" w:rsidRDefault="00910B56" w:rsidP="00642608">
      <w:pPr>
        <w:pStyle w:val="Ttulo2SecundrioTese"/>
        <w:numPr>
          <w:ilvl w:val="2"/>
          <w:numId w:val="4"/>
        </w:numPr>
        <w:jc w:val="both"/>
      </w:pPr>
      <w:bookmarkStart w:id="29" w:name="_Toc176458047"/>
      <w:r w:rsidRPr="002D7F08">
        <w:t xml:space="preserve">Modelo do Acelerador (The </w:t>
      </w:r>
      <w:proofErr w:type="spellStart"/>
      <w:r w:rsidRPr="002D7F08">
        <w:t>Accelerator</w:t>
      </w:r>
      <w:proofErr w:type="spellEnd"/>
      <w:r w:rsidRPr="002D7F08">
        <w:t xml:space="preserve"> </w:t>
      </w:r>
      <w:proofErr w:type="spellStart"/>
      <w:r w:rsidRPr="002D7F08">
        <w:t>Model</w:t>
      </w:r>
      <w:proofErr w:type="spellEnd"/>
      <w:r w:rsidRPr="002D7F08">
        <w:t>)</w:t>
      </w:r>
      <w:bookmarkEnd w:id="29"/>
    </w:p>
    <w:p w14:paraId="74D994A1" w14:textId="77777777" w:rsidR="00910B56" w:rsidRPr="002D7F08" w:rsidRDefault="00910B56" w:rsidP="00642608">
      <w:pPr>
        <w:spacing w:line="360" w:lineRule="auto"/>
        <w:jc w:val="both"/>
        <w:rPr>
          <w:rFonts w:ascii="Garamond" w:hAnsi="Garamond"/>
          <w:sz w:val="24"/>
          <w:szCs w:val="24"/>
          <w:lang w:val="pt-PT"/>
        </w:rPr>
      </w:pP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aprofunda a compreensão do Modelo Acelerador, reiterando a sua importância na análise das decisões de investimento empresarial face às flutuações da procura. Especificamente, o Modelo Acelerador baseia-se na premissa de que o investimento em bens de capital é diretamente influenciado pelas variações na produção ou vendas, sendo o investimento uma resposta à necessidade de ajustar a capacidade produtiva às alterações da procura.</w:t>
      </w:r>
    </w:p>
    <w:p w14:paraId="5A27DEC5"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O modelo pode ser apresentado da seguinte forma:</w:t>
      </w:r>
    </w:p>
    <w:p w14:paraId="469A1630" w14:textId="77777777" w:rsidR="00910B56" w:rsidRPr="002D7F08" w:rsidRDefault="00000000" w:rsidP="000942BF">
      <w:pPr>
        <w:pStyle w:val="ListParagraph"/>
        <w:spacing w:line="360" w:lineRule="auto"/>
        <w:ind w:left="360"/>
        <w:rPr>
          <w:rFonts w:ascii="Garamond" w:hAnsi="Garamond"/>
          <w:sz w:val="24"/>
          <w:szCs w:val="24"/>
          <w:lang w:val="pt-PT"/>
        </w:rPr>
      </w:pPr>
      <m:oMathPara>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r>
            <w:rPr>
              <w:rFonts w:ascii="Cambria Math" w:hAnsi="Cambria Math"/>
              <w:sz w:val="24"/>
              <w:szCs w:val="24"/>
              <w:lang w:val="pt-PT"/>
            </w:rPr>
            <m:t>=a+</m:t>
          </m:r>
          <m:nary>
            <m:naryPr>
              <m:chr m:val="∑"/>
              <m:limLoc m:val="undOvr"/>
              <m:ctrlPr>
                <w:rPr>
                  <w:rFonts w:ascii="Cambria Math" w:hAnsi="Cambria Math"/>
                  <w:i/>
                  <w:sz w:val="24"/>
                  <w:szCs w:val="24"/>
                  <w:lang w:val="pt-PT"/>
                </w:rPr>
              </m:ctrlPr>
            </m:naryPr>
            <m:sub>
              <m:r>
                <w:rPr>
                  <w:rFonts w:ascii="Cambria Math" w:hAnsi="Cambria Math"/>
                  <w:sz w:val="24"/>
                  <w:szCs w:val="24"/>
                  <w:lang w:val="pt-PT"/>
                </w:rPr>
                <m:t>i=0</m:t>
              </m:r>
            </m:sub>
            <m:sup>
              <m:r>
                <w:rPr>
                  <w:rFonts w:ascii="Cambria Math" w:hAnsi="Cambria Math"/>
                  <w:sz w:val="24"/>
                  <w:szCs w:val="24"/>
                  <w:lang w:val="pt-PT"/>
                </w:rPr>
                <m:t>n</m:t>
              </m:r>
            </m:sup>
            <m:e>
              <m:sSub>
                <m:sSubPr>
                  <m:ctrlPr>
                    <w:rPr>
                      <w:rFonts w:ascii="Cambria Math" w:hAnsi="Cambria Math"/>
                      <w:i/>
                      <w:sz w:val="24"/>
                      <w:szCs w:val="24"/>
                      <w:lang w:val="pt-PT"/>
                    </w:rPr>
                  </m:ctrlPr>
                </m:sSubPr>
                <m:e>
                  <m:r>
                    <w:rPr>
                      <w:rFonts w:ascii="Cambria Math" w:hAnsi="Cambria Math"/>
                      <w:sz w:val="24"/>
                      <w:szCs w:val="24"/>
                      <w:lang w:val="pt-PT"/>
                    </w:rPr>
                    <m:t>b</m:t>
                  </m:r>
                </m:e>
                <m:sub>
                  <m:r>
                    <w:rPr>
                      <w:rFonts w:ascii="Cambria Math" w:hAnsi="Cambria Math"/>
                      <w:sz w:val="24"/>
                      <w:szCs w:val="24"/>
                      <w:lang w:val="pt-PT"/>
                    </w:rPr>
                    <m:t>i</m:t>
                  </m:r>
                </m:sub>
              </m:sSub>
            </m:e>
          </m:nary>
          <m:sSub>
            <m:sSubPr>
              <m:ctrlPr>
                <w:rPr>
                  <w:rFonts w:ascii="Cambria Math" w:hAnsi="Cambria Math"/>
                  <w:i/>
                  <w:sz w:val="24"/>
                  <w:szCs w:val="24"/>
                  <w:lang w:val="pt-PT"/>
                </w:rPr>
              </m:ctrlPr>
            </m:sSubPr>
            <m:e>
              <m:r>
                <w:rPr>
                  <w:rFonts w:ascii="Cambria Math" w:hAnsi="Cambria Math"/>
                  <w:sz w:val="24"/>
                  <w:szCs w:val="24"/>
                  <w:lang w:val="pt-PT"/>
                </w:rPr>
                <m:t>Q</m:t>
              </m:r>
            </m:e>
            <m:sub>
              <m:r>
                <w:rPr>
                  <w:rFonts w:ascii="Cambria Math" w:hAnsi="Cambria Math"/>
                  <w:sz w:val="24"/>
                  <w:szCs w:val="24"/>
                  <w:lang w:val="pt-PT"/>
                </w:rPr>
                <m:t>t-i</m:t>
              </m:r>
            </m:sub>
          </m:sSub>
          <m:r>
            <w:rPr>
              <w:rFonts w:ascii="Cambria Math" w:hAnsi="Cambria Math"/>
              <w:sz w:val="24"/>
              <w:szCs w:val="24"/>
              <w:lang w:val="pt-PT"/>
            </w:rPr>
            <m:t>+c</m:t>
          </m:r>
          <m:sSub>
            <m:sSubPr>
              <m:ctrlPr>
                <w:rPr>
                  <w:rFonts w:ascii="Cambria Math" w:hAnsi="Cambria Math"/>
                  <w:i/>
                  <w:sz w:val="24"/>
                  <w:szCs w:val="24"/>
                  <w:lang w:val="pt-PT"/>
                </w:rPr>
              </m:ctrlPr>
            </m:sSubPr>
            <m:e>
              <m:r>
                <w:rPr>
                  <w:rFonts w:ascii="Cambria Math" w:hAnsi="Cambria Math"/>
                  <w:sz w:val="24"/>
                  <w:szCs w:val="24"/>
                  <w:lang w:val="pt-PT"/>
                </w:rPr>
                <m:t>K</m:t>
              </m:r>
            </m:e>
            <m:sub>
              <m:r>
                <w:rPr>
                  <w:rFonts w:ascii="Cambria Math" w:hAnsi="Cambria Math"/>
                  <w:sz w:val="24"/>
                  <w:szCs w:val="24"/>
                  <w:lang w:val="pt-PT"/>
                </w:rPr>
                <m:t>t-1</m:t>
              </m:r>
            </m:sub>
          </m:sSub>
        </m:oMath>
      </m:oMathPara>
    </w:p>
    <w:p w14:paraId="20521B7D"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que </w:t>
      </w:r>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oMath>
      <w:r w:rsidRPr="002D7F08">
        <w:rPr>
          <w:rFonts w:ascii="Garamond" w:hAnsi="Garamond"/>
          <w:sz w:val="24"/>
          <w:szCs w:val="24"/>
          <w:lang w:val="pt-PT"/>
        </w:rPr>
        <w:t xml:space="preserve"> = investimento real da empresa no período </w:t>
      </w:r>
      <m:oMath>
        <m:r>
          <w:rPr>
            <w:rFonts w:ascii="Cambria Math" w:hAnsi="Cambria Math"/>
            <w:sz w:val="24"/>
            <w:szCs w:val="24"/>
            <w:lang w:val="pt-PT"/>
          </w:rPr>
          <m:t>t</m:t>
        </m:r>
      </m:oMath>
      <w:r w:rsidRPr="002D7F08">
        <w:rPr>
          <w:rFonts w:ascii="Garamond" w:hAnsi="Garamond"/>
          <w:sz w:val="24"/>
          <w:szCs w:val="24"/>
          <w:lang w:val="pt-PT"/>
        </w:rPr>
        <w:t>; Q = produção real; K = saldo acumulado do investimento em bens de capital.</w:t>
      </w:r>
    </w:p>
    <w:p w14:paraId="08F53B0B"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O autor realça que, de acordo com este modelo, as decisões de investimento não reagem apenas ao nível atual da procura, mas sim à sua taxa de variação, implicando que o investimento é particularmente sensível às alterações na procura. A ideia central é que um aumento na procura leva a um incremento correspondente no investimento, de forma a expandir a capacidade produtiva e satisfazer a procura futura crescente.</w:t>
      </w:r>
    </w:p>
    <w:p w14:paraId="3276E32A" w14:textId="27B8C5BB" w:rsidR="00910B56"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No entanto, o Modelo Acelerador, segundo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adota uma abordagem relativamente simplificada, centrando-se primordialmente no stock de capital acumulado e num histórico breve de produção para determinar a procura por bens de capital. Esse modelo pressupõe uma relação quase mecânica e imediata entre as variações na procura e o investimento, não contemplando outros fatores potencialmente influentes, como expectativas futuras, condições de financiamento e políticas econ</w:t>
      </w:r>
      <w:r w:rsidR="00696CCB" w:rsidRPr="002D7F08">
        <w:rPr>
          <w:rFonts w:ascii="Garamond" w:hAnsi="Garamond"/>
          <w:sz w:val="24"/>
          <w:szCs w:val="24"/>
          <w:lang w:val="pt-PT"/>
        </w:rPr>
        <w:t>ó</w:t>
      </w:r>
      <w:r w:rsidRPr="002D7F08">
        <w:rPr>
          <w:rFonts w:ascii="Garamond" w:hAnsi="Garamond"/>
          <w:sz w:val="24"/>
          <w:szCs w:val="24"/>
          <w:lang w:val="pt-PT"/>
        </w:rPr>
        <w:t>micas.</w:t>
      </w:r>
    </w:p>
    <w:p w14:paraId="0184D9BB" w14:textId="77777777" w:rsidR="00161887" w:rsidRPr="002D7F08" w:rsidRDefault="00161887" w:rsidP="00642608">
      <w:pPr>
        <w:spacing w:line="360" w:lineRule="auto"/>
        <w:jc w:val="both"/>
        <w:rPr>
          <w:rFonts w:ascii="Garamond" w:hAnsi="Garamond"/>
          <w:sz w:val="24"/>
          <w:szCs w:val="24"/>
          <w:lang w:val="pt-PT"/>
        </w:rPr>
      </w:pPr>
    </w:p>
    <w:p w14:paraId="67D7BB3A" w14:textId="43B04A16" w:rsidR="00910B56" w:rsidRPr="002D7F08" w:rsidRDefault="00910B56" w:rsidP="00642608">
      <w:pPr>
        <w:pStyle w:val="Ttulo2SecundrioTese"/>
        <w:numPr>
          <w:ilvl w:val="2"/>
          <w:numId w:val="4"/>
        </w:numPr>
        <w:jc w:val="both"/>
        <w:rPr>
          <w:lang w:val="en-GB"/>
        </w:rPr>
      </w:pPr>
      <w:bookmarkStart w:id="30" w:name="_Toc176458048"/>
      <w:proofErr w:type="spellStart"/>
      <w:r w:rsidRPr="002D7F08">
        <w:rPr>
          <w:lang w:val="en-GB"/>
        </w:rPr>
        <w:lastRenderedPageBreak/>
        <w:t>Modelo</w:t>
      </w:r>
      <w:proofErr w:type="spellEnd"/>
      <w:r w:rsidRPr="002D7F08">
        <w:rPr>
          <w:lang w:val="en-GB"/>
        </w:rPr>
        <w:t xml:space="preserve"> Q (The Q Model)</w:t>
      </w:r>
      <w:bookmarkEnd w:id="30"/>
    </w:p>
    <w:p w14:paraId="6CF1F7D9"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De acordo com o autor, o Modelo Q (The Q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 pode ser apresentado da seguinte forma:</w:t>
      </w:r>
    </w:p>
    <w:p w14:paraId="19BE40B6" w14:textId="77777777" w:rsidR="00910B56" w:rsidRPr="002D7F08" w:rsidRDefault="00000000" w:rsidP="000942BF">
      <w:pPr>
        <w:pStyle w:val="ListParagraph"/>
        <w:spacing w:line="360" w:lineRule="auto"/>
        <w:ind w:left="360"/>
        <w:rPr>
          <w:rFonts w:ascii="Garamond" w:hAnsi="Garamond"/>
          <w:sz w:val="24"/>
          <w:szCs w:val="24"/>
          <w:lang w:val="pt-PT"/>
        </w:rPr>
      </w:pPr>
      <m:oMathPara>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r>
            <w:rPr>
              <w:rFonts w:ascii="Cambria Math" w:hAnsi="Cambria Math"/>
              <w:sz w:val="24"/>
              <w:szCs w:val="24"/>
              <w:lang w:val="pt-PT"/>
            </w:rPr>
            <m:t>=a+</m:t>
          </m:r>
          <m:nary>
            <m:naryPr>
              <m:chr m:val="∑"/>
              <m:limLoc m:val="undOvr"/>
              <m:ctrlPr>
                <w:rPr>
                  <w:rFonts w:ascii="Cambria Math" w:hAnsi="Cambria Math"/>
                  <w:i/>
                  <w:sz w:val="24"/>
                  <w:szCs w:val="24"/>
                  <w:lang w:val="pt-PT"/>
                </w:rPr>
              </m:ctrlPr>
            </m:naryPr>
            <m:sub>
              <m:r>
                <w:rPr>
                  <w:rFonts w:ascii="Cambria Math" w:hAnsi="Cambria Math"/>
                  <w:sz w:val="24"/>
                  <w:szCs w:val="24"/>
                  <w:lang w:val="pt-PT"/>
                </w:rPr>
                <m:t>i=0</m:t>
              </m:r>
            </m:sub>
            <m:sup>
              <m:r>
                <w:rPr>
                  <w:rFonts w:ascii="Cambria Math" w:hAnsi="Cambria Math"/>
                  <w:sz w:val="24"/>
                  <w:szCs w:val="24"/>
                  <w:lang w:val="pt-PT"/>
                </w:rPr>
                <m:t>n</m:t>
              </m:r>
            </m:sup>
            <m:e>
              <m:sSub>
                <m:sSubPr>
                  <m:ctrlPr>
                    <w:rPr>
                      <w:rFonts w:ascii="Cambria Math" w:hAnsi="Cambria Math"/>
                      <w:i/>
                      <w:sz w:val="24"/>
                      <w:szCs w:val="24"/>
                      <w:lang w:val="pt-PT"/>
                    </w:rPr>
                  </m:ctrlPr>
                </m:sSubPr>
                <m:e>
                  <m:r>
                    <w:rPr>
                      <w:rFonts w:ascii="Cambria Math" w:hAnsi="Cambria Math"/>
                      <w:sz w:val="24"/>
                      <w:szCs w:val="24"/>
                      <w:lang w:val="pt-PT"/>
                    </w:rPr>
                    <m:t>b</m:t>
                  </m:r>
                </m:e>
                <m:sub>
                  <m:r>
                    <w:rPr>
                      <w:rFonts w:ascii="Cambria Math" w:hAnsi="Cambria Math"/>
                      <w:sz w:val="24"/>
                      <w:szCs w:val="24"/>
                      <w:lang w:val="pt-PT"/>
                    </w:rPr>
                    <m:t>i</m:t>
                  </m:r>
                </m:sub>
              </m:sSub>
            </m:e>
          </m:nary>
          <m:r>
            <w:rPr>
              <w:rFonts w:ascii="Cambria Math" w:hAnsi="Cambria Math"/>
              <w:sz w:val="24"/>
              <w:szCs w:val="24"/>
              <w:lang w:val="pt-PT"/>
            </w:rPr>
            <m:t>[</m:t>
          </m:r>
          <m:d>
            <m:dPr>
              <m:endChr m:val="]"/>
              <m:ctrlPr>
                <w:rPr>
                  <w:rFonts w:ascii="Cambria Math" w:hAnsi="Cambria Math"/>
                  <w:i/>
                  <w:sz w:val="24"/>
                  <w:szCs w:val="24"/>
                  <w:lang w:val="pt-PT"/>
                </w:rPr>
              </m:ctrlPr>
            </m:dPr>
            <m:e>
              <m:sSub>
                <m:sSubPr>
                  <m:ctrlPr>
                    <w:rPr>
                      <w:rFonts w:ascii="Cambria Math" w:hAnsi="Cambria Math"/>
                      <w:i/>
                      <w:sz w:val="24"/>
                      <w:szCs w:val="24"/>
                      <w:lang w:val="pt-PT"/>
                    </w:rPr>
                  </m:ctrlPr>
                </m:sSubPr>
                <m:e>
                  <m:r>
                    <w:rPr>
                      <w:rFonts w:ascii="Cambria Math" w:hAnsi="Cambria Math"/>
                      <w:sz w:val="24"/>
                      <w:szCs w:val="24"/>
                      <w:lang w:val="pt-PT"/>
                    </w:rPr>
                    <m:t>q-1)</m:t>
                  </m:r>
                </m:e>
                <m:sub>
                  <m:r>
                    <w:rPr>
                      <w:rFonts w:ascii="Cambria Math" w:hAnsi="Cambria Math"/>
                      <w:sz w:val="24"/>
                      <w:szCs w:val="24"/>
                      <w:lang w:val="pt-PT"/>
                    </w:rPr>
                    <m:t>t-i</m:t>
                  </m:r>
                </m:sub>
              </m:sSub>
              <m:sSub>
                <m:sSubPr>
                  <m:ctrlPr>
                    <w:rPr>
                      <w:rFonts w:ascii="Cambria Math" w:hAnsi="Cambria Math"/>
                      <w:i/>
                      <w:sz w:val="24"/>
                      <w:szCs w:val="24"/>
                      <w:lang w:val="pt-PT"/>
                    </w:rPr>
                  </m:ctrlPr>
                </m:sSubPr>
                <m:e>
                  <m:r>
                    <w:rPr>
                      <w:rFonts w:ascii="Cambria Math" w:hAnsi="Cambria Math"/>
                      <w:sz w:val="24"/>
                      <w:szCs w:val="24"/>
                      <w:lang w:val="pt-PT"/>
                    </w:rPr>
                    <m:t>K</m:t>
                  </m:r>
                </m:e>
                <m:sub>
                  <m:r>
                    <w:rPr>
                      <w:rFonts w:ascii="Cambria Math" w:hAnsi="Cambria Math"/>
                      <w:sz w:val="24"/>
                      <w:szCs w:val="24"/>
                      <w:lang w:val="pt-PT"/>
                    </w:rPr>
                    <m:t>t-1-i</m:t>
                  </m:r>
                </m:sub>
              </m:sSub>
            </m:e>
          </m:d>
          <m:r>
            <w:rPr>
              <w:rFonts w:ascii="Cambria Math" w:hAnsi="Cambria Math"/>
              <w:sz w:val="24"/>
              <w:szCs w:val="24"/>
              <w:lang w:val="pt-PT"/>
            </w:rPr>
            <m:t>+c</m:t>
          </m:r>
          <m:sSub>
            <m:sSubPr>
              <m:ctrlPr>
                <w:rPr>
                  <w:rFonts w:ascii="Cambria Math" w:hAnsi="Cambria Math"/>
                  <w:i/>
                  <w:sz w:val="24"/>
                  <w:szCs w:val="24"/>
                  <w:lang w:val="pt-PT"/>
                </w:rPr>
              </m:ctrlPr>
            </m:sSubPr>
            <m:e>
              <m:r>
                <w:rPr>
                  <w:rFonts w:ascii="Cambria Math" w:hAnsi="Cambria Math"/>
                  <w:sz w:val="24"/>
                  <w:szCs w:val="24"/>
                  <w:lang w:val="pt-PT"/>
                </w:rPr>
                <m:t>K</m:t>
              </m:r>
            </m:e>
            <m:sub>
              <m:r>
                <w:rPr>
                  <w:rFonts w:ascii="Cambria Math" w:hAnsi="Cambria Math"/>
                  <w:sz w:val="24"/>
                  <w:szCs w:val="24"/>
                  <w:lang w:val="pt-PT"/>
                </w:rPr>
                <m:t>t-1</m:t>
              </m:r>
            </m:sub>
          </m:sSub>
        </m:oMath>
      </m:oMathPara>
    </w:p>
    <w:p w14:paraId="32C549C7"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que </w:t>
      </w:r>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oMath>
      <w:r w:rsidRPr="002D7F08">
        <w:rPr>
          <w:rFonts w:ascii="Garamond" w:hAnsi="Garamond"/>
          <w:sz w:val="24"/>
          <w:szCs w:val="24"/>
          <w:lang w:val="pt-PT"/>
        </w:rPr>
        <w:t xml:space="preserve"> = investimento real da empresa no período </w:t>
      </w:r>
      <m:oMath>
        <m:r>
          <w:rPr>
            <w:rFonts w:ascii="Cambria Math" w:hAnsi="Cambria Math"/>
            <w:sz w:val="24"/>
            <w:szCs w:val="24"/>
            <w:lang w:val="pt-PT"/>
          </w:rPr>
          <m:t>t</m:t>
        </m:r>
      </m:oMath>
      <w:r w:rsidRPr="002D7F08">
        <w:rPr>
          <w:rFonts w:ascii="Garamond" w:hAnsi="Garamond"/>
          <w:sz w:val="24"/>
          <w:szCs w:val="24"/>
          <w:lang w:val="pt-PT"/>
        </w:rPr>
        <w:t xml:space="preserve">; </w:t>
      </w:r>
      <m:oMath>
        <m:r>
          <w:rPr>
            <w:rFonts w:ascii="Cambria Math" w:hAnsi="Cambria Math"/>
            <w:sz w:val="24"/>
            <w:szCs w:val="24"/>
            <w:lang w:val="pt-PT"/>
          </w:rPr>
          <m:t>q</m:t>
        </m:r>
      </m:oMath>
      <w:r w:rsidRPr="002D7F08">
        <w:rPr>
          <w:rFonts w:ascii="Garamond" w:hAnsi="Garamond"/>
          <w:sz w:val="24"/>
          <w:szCs w:val="24"/>
          <w:lang w:val="pt-PT"/>
        </w:rPr>
        <w:t xml:space="preserve"> = rácio entre o valor de mercado dos ativos e o seu custo de reposição; K = saldo acumulado do investimento em bens de capital.</w:t>
      </w:r>
    </w:p>
    <w:p w14:paraId="1170D9BA" w14:textId="6DA5C698"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Esta formulação do modelo Q integra a dinâmica temporal, reconhecendo que as decisões de investimento podem ser afetadas por avaliações relativas do capital e pelo stock de capital existente em vários períodos anteriores. Incluindo </w:t>
      </w:r>
      <m:oMath>
        <m:r>
          <w:rPr>
            <w:rFonts w:ascii="Cambria Math" w:hAnsi="Cambria Math"/>
            <w:sz w:val="24"/>
            <w:szCs w:val="24"/>
            <w:lang w:val="pt-PT"/>
          </w:rPr>
          <m:t>q-1</m:t>
        </m:r>
      </m:oMath>
      <w:r w:rsidRPr="002D7F08">
        <w:rPr>
          <w:rFonts w:ascii="Garamond" w:hAnsi="Garamond"/>
          <w:sz w:val="24"/>
          <w:szCs w:val="24"/>
          <w:lang w:val="pt-PT"/>
        </w:rPr>
        <w:t xml:space="preserve">, o modelo realça como o investimento é impactado pela perceção de valorização ou subvalorização do capital da empresa em relação ao seu custo de reposição. Um </w:t>
      </w:r>
      <m:oMath>
        <m:r>
          <w:rPr>
            <w:rFonts w:ascii="Cambria Math" w:hAnsi="Cambria Math"/>
            <w:sz w:val="24"/>
            <w:szCs w:val="24"/>
            <w:lang w:val="pt-PT"/>
          </w:rPr>
          <m:t>q</m:t>
        </m:r>
      </m:oMath>
      <w:r w:rsidRPr="002D7F08">
        <w:rPr>
          <w:rFonts w:ascii="Garamond" w:hAnsi="Garamond"/>
          <w:sz w:val="24"/>
          <w:szCs w:val="24"/>
          <w:lang w:val="pt-PT"/>
        </w:rPr>
        <w:t xml:space="preserve"> superior a 1 indica que o valor de mercado dos ativos é maior do que o custo de reposição, incentivando assim o investimento, enquanto um </w:t>
      </w:r>
      <m:oMath>
        <m:r>
          <w:rPr>
            <w:rFonts w:ascii="Cambria Math" w:hAnsi="Cambria Math"/>
            <w:sz w:val="24"/>
            <w:szCs w:val="24"/>
            <w:lang w:val="pt-PT"/>
          </w:rPr>
          <m:t>q</m:t>
        </m:r>
      </m:oMath>
      <w:r w:rsidRPr="002D7F08">
        <w:rPr>
          <w:rFonts w:ascii="Garamond" w:hAnsi="Garamond"/>
          <w:sz w:val="24"/>
          <w:szCs w:val="24"/>
          <w:lang w:val="pt-PT"/>
        </w:rPr>
        <w:t xml:space="preserve"> inferior a 1 sinaliza o oposto. Esta abordagem permite analisar detalhadamente como as expectativas futuras e as condições económicas passadas influenciam as decisões de investimento atuais.</w:t>
      </w:r>
    </w:p>
    <w:p w14:paraId="21B39237" w14:textId="68993C26" w:rsidR="00910B56" w:rsidRPr="002D7F08" w:rsidRDefault="00910B56" w:rsidP="00642608">
      <w:pPr>
        <w:pStyle w:val="Ttulo2SecundrioTese"/>
        <w:numPr>
          <w:ilvl w:val="2"/>
          <w:numId w:val="4"/>
        </w:numPr>
        <w:jc w:val="both"/>
      </w:pPr>
      <w:bookmarkStart w:id="31" w:name="_Toc176458049"/>
      <w:r w:rsidRPr="002D7F08">
        <w:t xml:space="preserve">Modelo Neoclássico (The </w:t>
      </w:r>
      <w:proofErr w:type="spellStart"/>
      <w:r w:rsidRPr="002D7F08">
        <w:t>Neoclassic</w:t>
      </w:r>
      <w:proofErr w:type="spellEnd"/>
      <w:r w:rsidRPr="002D7F08">
        <w:t xml:space="preserve"> </w:t>
      </w:r>
      <w:proofErr w:type="spellStart"/>
      <w:r w:rsidRPr="002D7F08">
        <w:t>Model</w:t>
      </w:r>
      <w:proofErr w:type="spellEnd"/>
      <w:r w:rsidRPr="002D7F08">
        <w:t>)</w:t>
      </w:r>
      <w:bookmarkEnd w:id="31"/>
    </w:p>
    <w:p w14:paraId="1AA946F6"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De acordo com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o Modelo Neoclássico distingue-se pelo reconhecimento de que o rácio ótimo entre produção e o stock acumulado de bens de capital não é estático, mas sim varia de acordo com fatores económicos fundamentais como preços, taxas de juro e políticas fiscais. Ao utilizar uma função de produção, este modelo analisa meticulosamente como estes fatores influenciam o retorno líquido após impostos que as empresas obtêm ao expandir o seu saldo de capital. Este enquadramento pressupõe que as decisões de investimento das empresas são guiadas por uma avaliação criteriosa das vendas previsionais, da função da produção e do custo associado à aquisição de novos bens de capital.</w:t>
      </w:r>
    </w:p>
    <w:p w14:paraId="6B141219"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 aumento nas vendas ou no preço de produção serve como um catalisador para o investimento, enquanto condições como o aumento das taxas de juro ou a diminuição de incentivos fiscais atuam como desincentivos. O Modelo Neoclássico destaca-se por tentar isolar o retorno marginal sobre o investimento, uma variável crítica na maioria das teorias de investimento, proporcionando assim um alicerce teórico mais robusto em comparação com </w:t>
      </w:r>
      <w:r w:rsidRPr="002D7F08">
        <w:rPr>
          <w:rFonts w:ascii="Garamond" w:hAnsi="Garamond"/>
          <w:sz w:val="24"/>
          <w:szCs w:val="24"/>
          <w:lang w:val="pt-PT"/>
        </w:rPr>
        <w:lastRenderedPageBreak/>
        <w:t>outros modelos. A inclusão explícita tanto da produção quanto do custo do capital confere ao modelo uma relevância prática e teórica, facilitando a análise por parte de decisores e analistas económicos.</w:t>
      </w:r>
    </w:p>
    <w:p w14:paraId="7C0734E7"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O modelo é apresentado da seguinte forma:</w:t>
      </w:r>
    </w:p>
    <w:p w14:paraId="3B856A72" w14:textId="77777777" w:rsidR="00910B56" w:rsidRPr="002D7F08" w:rsidRDefault="00000000" w:rsidP="000942BF">
      <w:pPr>
        <w:pStyle w:val="ListParagraph"/>
        <w:spacing w:line="360" w:lineRule="auto"/>
        <w:ind w:left="360"/>
        <w:rPr>
          <w:rFonts w:ascii="Garamond" w:hAnsi="Garamond"/>
          <w:sz w:val="24"/>
          <w:szCs w:val="24"/>
          <w:lang w:val="pt-PT"/>
        </w:rPr>
      </w:pPr>
      <m:oMathPara>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r>
            <w:rPr>
              <w:rFonts w:ascii="Cambria Math" w:hAnsi="Cambria Math"/>
              <w:sz w:val="24"/>
              <w:szCs w:val="24"/>
              <w:lang w:val="pt-PT"/>
            </w:rPr>
            <m:t>=a+</m:t>
          </m:r>
          <m:nary>
            <m:naryPr>
              <m:chr m:val="∑"/>
              <m:limLoc m:val="undOvr"/>
              <m:ctrlPr>
                <w:rPr>
                  <w:rFonts w:ascii="Cambria Math" w:hAnsi="Cambria Math"/>
                  <w:i/>
                  <w:sz w:val="24"/>
                  <w:szCs w:val="24"/>
                  <w:lang w:val="pt-PT"/>
                </w:rPr>
              </m:ctrlPr>
            </m:naryPr>
            <m:sub>
              <m:r>
                <w:rPr>
                  <w:rFonts w:ascii="Cambria Math" w:hAnsi="Cambria Math"/>
                  <w:sz w:val="24"/>
                  <w:szCs w:val="24"/>
                  <w:lang w:val="pt-PT"/>
                </w:rPr>
                <m:t>i=0</m:t>
              </m:r>
            </m:sub>
            <m:sup>
              <m:r>
                <w:rPr>
                  <w:rFonts w:ascii="Cambria Math" w:hAnsi="Cambria Math"/>
                  <w:sz w:val="24"/>
                  <w:szCs w:val="24"/>
                  <w:lang w:val="pt-PT"/>
                </w:rPr>
                <m:t>n</m:t>
              </m:r>
            </m:sup>
            <m:e>
              <m:sSub>
                <m:sSubPr>
                  <m:ctrlPr>
                    <w:rPr>
                      <w:rFonts w:ascii="Cambria Math" w:hAnsi="Cambria Math"/>
                      <w:i/>
                      <w:sz w:val="24"/>
                      <w:szCs w:val="24"/>
                      <w:lang w:val="pt-PT"/>
                    </w:rPr>
                  </m:ctrlPr>
                </m:sSubPr>
                <m:e>
                  <m:r>
                    <w:rPr>
                      <w:rFonts w:ascii="Cambria Math" w:hAnsi="Cambria Math"/>
                      <w:sz w:val="24"/>
                      <w:szCs w:val="24"/>
                      <w:lang w:val="pt-PT"/>
                    </w:rPr>
                    <m:t>b</m:t>
                  </m:r>
                </m:e>
                <m:sub>
                  <m:r>
                    <w:rPr>
                      <w:rFonts w:ascii="Cambria Math" w:hAnsi="Cambria Math"/>
                      <w:sz w:val="24"/>
                      <w:szCs w:val="24"/>
                      <w:lang w:val="pt-PT"/>
                    </w:rPr>
                    <m:t>i</m:t>
                  </m:r>
                </m:sub>
              </m:sSub>
              <m:f>
                <m:fPr>
                  <m:ctrlPr>
                    <w:rPr>
                      <w:rFonts w:ascii="Cambria Math" w:hAnsi="Cambria Math"/>
                      <w:i/>
                      <w:sz w:val="24"/>
                      <w:szCs w:val="24"/>
                      <w:lang w:val="pt-PT"/>
                    </w:rPr>
                  </m:ctrlPr>
                </m:fPr>
                <m:num>
                  <m:sSub>
                    <m:sSubPr>
                      <m:ctrlPr>
                        <w:rPr>
                          <w:rFonts w:ascii="Cambria Math" w:hAnsi="Cambria Math"/>
                          <w:i/>
                          <w:sz w:val="24"/>
                          <w:szCs w:val="24"/>
                          <w:lang w:val="pt-PT"/>
                        </w:rPr>
                      </m:ctrlPr>
                    </m:sSubPr>
                    <m:e>
                      <m:r>
                        <w:rPr>
                          <w:rFonts w:ascii="Cambria Math" w:hAnsi="Cambria Math"/>
                          <w:sz w:val="24"/>
                          <w:szCs w:val="24"/>
                          <w:lang w:val="pt-PT"/>
                        </w:rPr>
                        <m:t>Q</m:t>
                      </m:r>
                    </m:e>
                    <m:sub>
                      <m:r>
                        <w:rPr>
                          <w:rFonts w:ascii="Cambria Math" w:hAnsi="Cambria Math"/>
                          <w:sz w:val="24"/>
                          <w:szCs w:val="24"/>
                          <w:lang w:val="pt-PT"/>
                        </w:rPr>
                        <m:t>t-i</m:t>
                      </m:r>
                    </m:sub>
                  </m:sSub>
                </m:num>
                <m:den>
                  <m:sSub>
                    <m:sSubPr>
                      <m:ctrlPr>
                        <w:rPr>
                          <w:rFonts w:ascii="Cambria Math" w:hAnsi="Cambria Math"/>
                          <w:i/>
                          <w:sz w:val="24"/>
                          <w:szCs w:val="24"/>
                          <w:lang w:val="pt-PT"/>
                        </w:rPr>
                      </m:ctrlPr>
                    </m:sSubPr>
                    <m:e>
                      <m:r>
                        <w:rPr>
                          <w:rFonts w:ascii="Cambria Math" w:hAnsi="Cambria Math"/>
                          <w:sz w:val="24"/>
                          <w:szCs w:val="24"/>
                          <w:lang w:val="pt-PT"/>
                        </w:rPr>
                        <m:t>UCC</m:t>
                      </m:r>
                    </m:e>
                    <m:sub>
                      <m:r>
                        <w:rPr>
                          <w:rFonts w:ascii="Cambria Math" w:hAnsi="Cambria Math"/>
                          <w:sz w:val="24"/>
                          <w:szCs w:val="24"/>
                          <w:lang w:val="pt-PT"/>
                        </w:rPr>
                        <m:t>t-i-1</m:t>
                      </m:r>
                    </m:sub>
                  </m:sSub>
                </m:den>
              </m:f>
            </m:e>
          </m:nary>
          <m:r>
            <w:rPr>
              <w:rFonts w:ascii="Cambria Math" w:hAnsi="Cambria Math"/>
              <w:sz w:val="24"/>
              <w:szCs w:val="24"/>
              <w:lang w:val="pt-PT"/>
            </w:rPr>
            <m:t>+</m:t>
          </m:r>
          <m:nary>
            <m:naryPr>
              <m:chr m:val="∑"/>
              <m:limLoc m:val="undOvr"/>
              <m:ctrlPr>
                <w:rPr>
                  <w:rFonts w:ascii="Cambria Math" w:hAnsi="Cambria Math"/>
                  <w:i/>
                  <w:sz w:val="24"/>
                  <w:szCs w:val="24"/>
                  <w:lang w:val="pt-PT"/>
                </w:rPr>
              </m:ctrlPr>
            </m:naryPr>
            <m:sub>
              <m:r>
                <w:rPr>
                  <w:rFonts w:ascii="Cambria Math" w:hAnsi="Cambria Math"/>
                  <w:sz w:val="24"/>
                  <w:szCs w:val="24"/>
                  <w:lang w:val="pt-PT"/>
                </w:rPr>
                <m:t>i=0</m:t>
              </m:r>
            </m:sub>
            <m:sup>
              <m:r>
                <w:rPr>
                  <w:rFonts w:ascii="Cambria Math" w:hAnsi="Cambria Math"/>
                  <w:sz w:val="24"/>
                  <w:szCs w:val="24"/>
                  <w:lang w:val="pt-PT"/>
                </w:rPr>
                <m:t>n</m:t>
              </m:r>
            </m:sup>
            <m:e>
              <m:sSub>
                <m:sSubPr>
                  <m:ctrlPr>
                    <w:rPr>
                      <w:rFonts w:ascii="Cambria Math" w:hAnsi="Cambria Math"/>
                      <w:i/>
                      <w:sz w:val="24"/>
                      <w:szCs w:val="24"/>
                      <w:lang w:val="pt-PT"/>
                    </w:rPr>
                  </m:ctrlPr>
                </m:sSubPr>
                <m:e>
                  <m:r>
                    <w:rPr>
                      <w:rFonts w:ascii="Cambria Math" w:hAnsi="Cambria Math"/>
                      <w:sz w:val="24"/>
                      <w:szCs w:val="24"/>
                      <w:lang w:val="pt-PT"/>
                    </w:rPr>
                    <m:t>c</m:t>
                  </m:r>
                </m:e>
                <m:sub>
                  <m:r>
                    <w:rPr>
                      <w:rFonts w:ascii="Cambria Math" w:hAnsi="Cambria Math"/>
                      <w:sz w:val="24"/>
                      <w:szCs w:val="24"/>
                      <w:lang w:val="pt-PT"/>
                    </w:rPr>
                    <m:t>i</m:t>
                  </m:r>
                </m:sub>
              </m:sSub>
              <m:f>
                <m:fPr>
                  <m:ctrlPr>
                    <w:rPr>
                      <w:rFonts w:ascii="Cambria Math" w:hAnsi="Cambria Math"/>
                      <w:i/>
                      <w:sz w:val="24"/>
                      <w:szCs w:val="24"/>
                      <w:lang w:val="pt-PT"/>
                    </w:rPr>
                  </m:ctrlPr>
                </m:fPr>
                <m:num>
                  <m:sSub>
                    <m:sSubPr>
                      <m:ctrlPr>
                        <w:rPr>
                          <w:rFonts w:ascii="Cambria Math" w:hAnsi="Cambria Math"/>
                          <w:i/>
                          <w:sz w:val="24"/>
                          <w:szCs w:val="24"/>
                          <w:lang w:val="pt-PT"/>
                        </w:rPr>
                      </m:ctrlPr>
                    </m:sSubPr>
                    <m:e>
                      <m:r>
                        <w:rPr>
                          <w:rFonts w:ascii="Cambria Math" w:hAnsi="Cambria Math"/>
                          <w:sz w:val="24"/>
                          <w:szCs w:val="24"/>
                          <w:lang w:val="pt-PT"/>
                        </w:rPr>
                        <m:t>Q</m:t>
                      </m:r>
                    </m:e>
                    <m:sub>
                      <m:r>
                        <w:rPr>
                          <w:rFonts w:ascii="Cambria Math" w:hAnsi="Cambria Math"/>
                          <w:sz w:val="24"/>
                          <w:szCs w:val="24"/>
                          <w:lang w:val="pt-PT"/>
                        </w:rPr>
                        <m:t>t-i</m:t>
                      </m:r>
                    </m:sub>
                  </m:sSub>
                </m:num>
                <m:den>
                  <m:sSub>
                    <m:sSubPr>
                      <m:ctrlPr>
                        <w:rPr>
                          <w:rFonts w:ascii="Cambria Math" w:hAnsi="Cambria Math"/>
                          <w:i/>
                          <w:sz w:val="24"/>
                          <w:szCs w:val="24"/>
                          <w:lang w:val="pt-PT"/>
                        </w:rPr>
                      </m:ctrlPr>
                    </m:sSubPr>
                    <m:e>
                      <m:r>
                        <w:rPr>
                          <w:rFonts w:ascii="Cambria Math" w:hAnsi="Cambria Math"/>
                          <w:sz w:val="24"/>
                          <w:szCs w:val="24"/>
                          <w:lang w:val="pt-PT"/>
                        </w:rPr>
                        <m:t>UCC</m:t>
                      </m:r>
                    </m:e>
                    <m:sub>
                      <m:r>
                        <w:rPr>
                          <w:rFonts w:ascii="Cambria Math" w:hAnsi="Cambria Math"/>
                          <w:sz w:val="24"/>
                          <w:szCs w:val="24"/>
                          <w:lang w:val="pt-PT"/>
                        </w:rPr>
                        <m:t>t-i</m:t>
                      </m:r>
                    </m:sub>
                  </m:sSub>
                </m:den>
              </m:f>
              <m:r>
                <w:rPr>
                  <w:rFonts w:ascii="Cambria Math" w:hAnsi="Cambria Math"/>
                  <w:sz w:val="24"/>
                  <w:szCs w:val="24"/>
                  <w:lang w:val="pt-PT"/>
                </w:rPr>
                <m:t>+</m:t>
              </m:r>
            </m:e>
          </m:nary>
          <m:r>
            <w:rPr>
              <w:rFonts w:ascii="Cambria Math" w:hAnsi="Cambria Math"/>
              <w:sz w:val="24"/>
              <w:szCs w:val="24"/>
              <w:lang w:val="pt-PT"/>
            </w:rPr>
            <m:t>d</m:t>
          </m:r>
          <m:sSub>
            <m:sSubPr>
              <m:ctrlPr>
                <w:rPr>
                  <w:rFonts w:ascii="Cambria Math" w:hAnsi="Cambria Math"/>
                  <w:i/>
                  <w:sz w:val="24"/>
                  <w:szCs w:val="24"/>
                  <w:lang w:val="pt-PT"/>
                </w:rPr>
              </m:ctrlPr>
            </m:sSubPr>
            <m:e>
              <m:r>
                <w:rPr>
                  <w:rFonts w:ascii="Cambria Math" w:hAnsi="Cambria Math"/>
                  <w:sz w:val="24"/>
                  <w:szCs w:val="24"/>
                  <w:lang w:val="pt-PT"/>
                </w:rPr>
                <m:t>K</m:t>
              </m:r>
            </m:e>
            <m:sub>
              <m:r>
                <w:rPr>
                  <w:rFonts w:ascii="Cambria Math" w:hAnsi="Cambria Math"/>
                  <w:sz w:val="24"/>
                  <w:szCs w:val="24"/>
                  <w:lang w:val="pt-PT"/>
                </w:rPr>
                <m:t>t-1</m:t>
              </m:r>
            </m:sub>
          </m:sSub>
        </m:oMath>
      </m:oMathPara>
    </w:p>
    <w:p w14:paraId="085159E1" w14:textId="77777777"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que </w:t>
      </w:r>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oMath>
      <w:r w:rsidRPr="002D7F08">
        <w:rPr>
          <w:rFonts w:ascii="Garamond" w:hAnsi="Garamond"/>
          <w:sz w:val="24"/>
          <w:szCs w:val="24"/>
          <w:lang w:val="pt-PT"/>
        </w:rPr>
        <w:t xml:space="preserve"> = investimento real da empresa no período </w:t>
      </w:r>
      <m:oMath>
        <m:r>
          <w:rPr>
            <w:rFonts w:ascii="Cambria Math" w:hAnsi="Cambria Math"/>
            <w:sz w:val="24"/>
            <w:szCs w:val="24"/>
            <w:lang w:val="pt-PT"/>
          </w:rPr>
          <m:t>t</m:t>
        </m:r>
      </m:oMath>
      <w:r w:rsidRPr="002D7F08">
        <w:rPr>
          <w:rFonts w:ascii="Garamond" w:hAnsi="Garamond"/>
          <w:sz w:val="24"/>
          <w:szCs w:val="24"/>
          <w:lang w:val="pt-PT"/>
        </w:rPr>
        <w:t xml:space="preserve">; </w:t>
      </w:r>
      <m:oMath>
        <m:r>
          <w:rPr>
            <w:rFonts w:ascii="Cambria Math" w:hAnsi="Cambria Math"/>
            <w:sz w:val="24"/>
            <w:szCs w:val="24"/>
            <w:lang w:val="pt-PT"/>
          </w:rPr>
          <m:t>Q</m:t>
        </m:r>
      </m:oMath>
      <w:r w:rsidRPr="002D7F08">
        <w:rPr>
          <w:rFonts w:ascii="Garamond" w:hAnsi="Garamond"/>
          <w:sz w:val="24"/>
          <w:szCs w:val="24"/>
          <w:lang w:val="pt-PT"/>
        </w:rPr>
        <w:t xml:space="preserve"> = produção real; UCC = custo de capital; K = saldo acumulado do investimento em bens de capital.</w:t>
      </w:r>
    </w:p>
    <w:p w14:paraId="5645D26F" w14:textId="0BC0B919" w:rsidR="00910B56" w:rsidRPr="002D7F08" w:rsidRDefault="00910B56" w:rsidP="00642608">
      <w:pPr>
        <w:spacing w:line="360" w:lineRule="auto"/>
        <w:jc w:val="both"/>
        <w:rPr>
          <w:rFonts w:ascii="Garamond" w:hAnsi="Garamond"/>
          <w:sz w:val="24"/>
          <w:szCs w:val="24"/>
          <w:lang w:val="pt-PT"/>
        </w:rPr>
      </w:pPr>
      <w:r w:rsidRPr="002D7F08">
        <w:rPr>
          <w:rFonts w:ascii="Garamond" w:hAnsi="Garamond"/>
          <w:sz w:val="24"/>
          <w:szCs w:val="24"/>
          <w:lang w:val="pt-PT"/>
        </w:rPr>
        <w:t>Adicionalmente, o modelo ajusta-se para considerar a temporalidade nas reações a mudanças na produção e no custo do capital, reconhecendo que as empresas podem ter diferentes velocidades de resposta a estes dois tipos de alterações. A inclusão de variáveis desfasadas na equação do modelo permite captar a natureza progressiva com que as decisões de investimento se ajustam às mudanças observadas tanto na atividade económica (produção e vendas) quanto nas condições financeiras (custo do capital).</w:t>
      </w:r>
    </w:p>
    <w:p w14:paraId="43F579A0" w14:textId="46B57622" w:rsidR="00910B56" w:rsidRPr="002D7F08" w:rsidRDefault="00910B56" w:rsidP="00642608">
      <w:pPr>
        <w:pStyle w:val="Ttulo2SecundrioTese"/>
        <w:numPr>
          <w:ilvl w:val="2"/>
          <w:numId w:val="4"/>
        </w:numPr>
        <w:jc w:val="both"/>
        <w:rPr>
          <w:lang w:val="en-GB"/>
        </w:rPr>
      </w:pPr>
      <w:bookmarkStart w:id="32" w:name="_Toc176458050"/>
      <w:proofErr w:type="spellStart"/>
      <w:r w:rsidRPr="002D7F08">
        <w:rPr>
          <w:lang w:val="en-GB"/>
        </w:rPr>
        <w:t>Modelo</w:t>
      </w:r>
      <w:proofErr w:type="spellEnd"/>
      <w:r w:rsidRPr="002D7F08">
        <w:rPr>
          <w:lang w:val="en-GB"/>
        </w:rPr>
        <w:t xml:space="preserve"> do Cash-Flow (The Cash-Flow Model)</w:t>
      </w:r>
      <w:bookmarkEnd w:id="32"/>
    </w:p>
    <w:p w14:paraId="2D22C53F" w14:textId="7F79E2F9" w:rsidR="00770C4E"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O modelo do Cash-Flow analisa as decisões de investimento das empresas, reconhecendo que elas dependem de três fontes de financiamento: o fluxo de caixa interno, empréstimos e emissões de dívida e venda de novo capital próprio.</w:t>
      </w:r>
    </w:p>
    <w:p w14:paraId="24A5E979" w14:textId="73073D91" w:rsidR="00770C4E"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O modelo é apresentado da seguinte forma:</w:t>
      </w:r>
    </w:p>
    <w:p w14:paraId="46F9C250" w14:textId="77777777" w:rsidR="004C69FF" w:rsidRPr="002D7F08" w:rsidRDefault="00000000" w:rsidP="000942BF">
      <w:pPr>
        <w:spacing w:line="360" w:lineRule="auto"/>
        <w:rPr>
          <w:rFonts w:ascii="Garamond" w:hAnsi="Garamond"/>
          <w:sz w:val="24"/>
          <w:szCs w:val="24"/>
        </w:rPr>
      </w:pPr>
      <m:oMathPara>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r>
            <w:rPr>
              <w:rFonts w:ascii="Cambria Math" w:hAnsi="Cambria Math"/>
              <w:sz w:val="24"/>
              <w:szCs w:val="24"/>
              <w:lang w:val="pt-PT"/>
            </w:rPr>
            <m:t>=a+</m:t>
          </m:r>
          <m:nary>
            <m:naryPr>
              <m:chr m:val="∑"/>
              <m:limLoc m:val="undOvr"/>
              <m:ctrlPr>
                <w:rPr>
                  <w:rFonts w:ascii="Cambria Math" w:hAnsi="Cambria Math"/>
                  <w:i/>
                  <w:sz w:val="24"/>
                  <w:szCs w:val="24"/>
                  <w:lang w:val="pt-PT"/>
                </w:rPr>
              </m:ctrlPr>
            </m:naryPr>
            <m:sub>
              <m:r>
                <w:rPr>
                  <w:rFonts w:ascii="Cambria Math" w:hAnsi="Cambria Math"/>
                  <w:sz w:val="24"/>
                  <w:szCs w:val="24"/>
                  <w:lang w:val="pt-PT"/>
                </w:rPr>
                <m:t>i=0</m:t>
              </m:r>
            </m:sub>
            <m:sup>
              <m:r>
                <w:rPr>
                  <w:rFonts w:ascii="Cambria Math" w:hAnsi="Cambria Math"/>
                  <w:sz w:val="24"/>
                  <w:szCs w:val="24"/>
                  <w:lang w:val="pt-PT"/>
                </w:rPr>
                <m:t>n</m:t>
              </m:r>
            </m:sup>
            <m:e>
              <m:sSub>
                <m:sSubPr>
                  <m:ctrlPr>
                    <w:rPr>
                      <w:rFonts w:ascii="Cambria Math" w:hAnsi="Cambria Math"/>
                      <w:i/>
                      <w:sz w:val="24"/>
                      <w:szCs w:val="24"/>
                      <w:lang w:val="pt-PT"/>
                    </w:rPr>
                  </m:ctrlPr>
                </m:sSubPr>
                <m:e>
                  <m:r>
                    <w:rPr>
                      <w:rFonts w:ascii="Cambria Math" w:hAnsi="Cambria Math"/>
                      <w:sz w:val="24"/>
                      <w:szCs w:val="24"/>
                      <w:lang w:val="pt-PT"/>
                    </w:rPr>
                    <m:t>b</m:t>
                  </m:r>
                </m:e>
                <m:sub>
                  <m:r>
                    <w:rPr>
                      <w:rFonts w:ascii="Cambria Math" w:hAnsi="Cambria Math"/>
                      <w:sz w:val="24"/>
                      <w:szCs w:val="24"/>
                      <w:lang w:val="pt-PT"/>
                    </w:rPr>
                    <m:t>i</m:t>
                  </m:r>
                </m:sub>
              </m:sSub>
            </m:e>
          </m:nary>
          <m:sSub>
            <m:sSubPr>
              <m:ctrlPr>
                <w:rPr>
                  <w:rFonts w:ascii="Cambria Math" w:hAnsi="Cambria Math"/>
                  <w:i/>
                  <w:sz w:val="24"/>
                  <w:szCs w:val="24"/>
                  <w:lang w:val="pt-PT"/>
                </w:rPr>
              </m:ctrlPr>
            </m:sSubPr>
            <m:e>
              <m:d>
                <m:dPr>
                  <m:ctrlPr>
                    <w:rPr>
                      <w:rFonts w:ascii="Cambria Math" w:hAnsi="Cambria Math"/>
                      <w:i/>
                      <w:sz w:val="24"/>
                      <w:szCs w:val="24"/>
                      <w:lang w:val="pt-PT"/>
                    </w:rPr>
                  </m:ctrlPr>
                </m:dPr>
                <m:e>
                  <m:f>
                    <m:fPr>
                      <m:ctrlPr>
                        <w:rPr>
                          <w:rFonts w:ascii="Cambria Math" w:hAnsi="Cambria Math"/>
                          <w:i/>
                          <w:sz w:val="24"/>
                          <w:szCs w:val="24"/>
                          <w:lang w:val="pt-PT"/>
                        </w:rPr>
                      </m:ctrlPr>
                    </m:fPr>
                    <m:num>
                      <m:r>
                        <w:rPr>
                          <w:rFonts w:ascii="Cambria Math" w:hAnsi="Cambria Math"/>
                          <w:sz w:val="24"/>
                          <w:szCs w:val="24"/>
                          <w:lang w:val="pt-PT"/>
                        </w:rPr>
                        <m:t>F</m:t>
                      </m:r>
                    </m:num>
                    <m:den>
                      <m:r>
                        <w:rPr>
                          <w:rFonts w:ascii="Cambria Math" w:hAnsi="Cambria Math"/>
                          <w:sz w:val="24"/>
                          <w:szCs w:val="24"/>
                          <w:lang w:val="pt-PT"/>
                        </w:rPr>
                        <m:t>C</m:t>
                      </m:r>
                    </m:den>
                  </m:f>
                </m:e>
              </m:d>
            </m:e>
            <m:sub>
              <m:r>
                <w:rPr>
                  <w:rFonts w:ascii="Cambria Math" w:hAnsi="Cambria Math"/>
                  <w:sz w:val="24"/>
                  <w:szCs w:val="24"/>
                  <w:lang w:val="pt-PT"/>
                </w:rPr>
                <m:t>t-1</m:t>
              </m:r>
            </m:sub>
          </m:sSub>
        </m:oMath>
      </m:oMathPara>
    </w:p>
    <w:p w14:paraId="76A04A88" w14:textId="77777777" w:rsidR="004C69FF" w:rsidRPr="002D7F08" w:rsidRDefault="004C69FF"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que </w:t>
      </w:r>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oMath>
      <w:r w:rsidRPr="002D7F08">
        <w:rPr>
          <w:rFonts w:ascii="Garamond" w:hAnsi="Garamond"/>
          <w:sz w:val="24"/>
          <w:szCs w:val="24"/>
          <w:lang w:val="pt-PT"/>
        </w:rPr>
        <w:t xml:space="preserve"> = investimento real da empresa no período </w:t>
      </w:r>
      <m:oMath>
        <m:r>
          <w:rPr>
            <w:rFonts w:ascii="Cambria Math" w:hAnsi="Cambria Math"/>
            <w:sz w:val="24"/>
            <w:szCs w:val="24"/>
            <w:lang w:val="pt-PT"/>
          </w:rPr>
          <m:t>t</m:t>
        </m:r>
      </m:oMath>
      <w:r w:rsidRPr="002D7F08">
        <w:rPr>
          <w:rFonts w:ascii="Garamond" w:hAnsi="Garamond"/>
          <w:sz w:val="24"/>
          <w:szCs w:val="24"/>
          <w:lang w:val="pt-PT"/>
        </w:rPr>
        <w:t xml:space="preserve">;  </w:t>
      </w:r>
      <m:oMath>
        <m:r>
          <w:rPr>
            <w:rFonts w:ascii="Cambria Math" w:hAnsi="Cambria Math"/>
            <w:sz w:val="24"/>
            <w:szCs w:val="24"/>
            <w:lang w:val="pt-PT"/>
          </w:rPr>
          <m:t>F</m:t>
        </m:r>
      </m:oMath>
      <w:r w:rsidRPr="002D7F08">
        <w:rPr>
          <w:rFonts w:ascii="Garamond" w:hAnsi="Garamond"/>
          <w:sz w:val="24"/>
          <w:szCs w:val="24"/>
          <w:lang w:val="pt-PT"/>
        </w:rPr>
        <w:t xml:space="preserve"> = Cash-flow; </w:t>
      </w:r>
      <m:oMath>
        <m:r>
          <w:rPr>
            <w:rFonts w:ascii="Cambria Math" w:hAnsi="Cambria Math"/>
            <w:sz w:val="24"/>
            <w:szCs w:val="24"/>
            <w:lang w:val="pt-PT"/>
          </w:rPr>
          <m:t>C</m:t>
        </m:r>
      </m:oMath>
      <w:r w:rsidRPr="002D7F08">
        <w:rPr>
          <w:rFonts w:ascii="Garamond" w:hAnsi="Garamond"/>
          <w:sz w:val="24"/>
          <w:szCs w:val="24"/>
          <w:lang w:val="pt-PT"/>
        </w:rPr>
        <w:t xml:space="preserve"> = Índice de preço dos bens de capital.</w:t>
      </w:r>
    </w:p>
    <w:p w14:paraId="5396FD33" w14:textId="13CB23DF" w:rsidR="00770C4E"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Esse modelo destaca que o fluxo de caixa interno (que consiste no lucro após impostos e depreciações menos </w:t>
      </w:r>
      <w:r w:rsidR="00C2593F" w:rsidRPr="002D7F08">
        <w:rPr>
          <w:rFonts w:ascii="Garamond" w:hAnsi="Garamond"/>
          <w:sz w:val="24"/>
          <w:szCs w:val="24"/>
          <w:lang w:val="pt-PT"/>
        </w:rPr>
        <w:t xml:space="preserve">dividendos pagos? </w:t>
      </w:r>
      <w:r w:rsidRPr="002D7F08">
        <w:rPr>
          <w:rFonts w:ascii="Garamond" w:hAnsi="Garamond"/>
          <w:sz w:val="24"/>
          <w:szCs w:val="24"/>
          <w:lang w:val="pt-PT"/>
        </w:rPr>
        <w:t xml:space="preserve">aos acionistas) é a principal fonte de financiamento para os orçamentos de capital das empresas. Em períodos em que os gastos de capital ultrapassam o fluxo de caixa, as empresas recorrem a financiamento externo, que inclui dívida e emissões de ações. O equilíbrio entre financiamento por dívida e capital próprio é essencial </w:t>
      </w:r>
      <w:r w:rsidRPr="002D7F08">
        <w:rPr>
          <w:rFonts w:ascii="Garamond" w:hAnsi="Garamond"/>
          <w:sz w:val="24"/>
          <w:szCs w:val="24"/>
          <w:lang w:val="pt-PT"/>
        </w:rPr>
        <w:lastRenderedPageBreak/>
        <w:t>para manter um custo médio de capital satisfatório, embora a emissão de novo capital seja geralmente mais cara devido à menor confiança dos novos acionistas.</w:t>
      </w:r>
    </w:p>
    <w:p w14:paraId="4B6F2AD6" w14:textId="627C65A4" w:rsidR="004C69FF"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A abordagem do modelo diferencia-se de outros modelos ao incorporar considerações financeiras na decisão de investimento. A disponibilidade de financiamento interno, empréstimos e emissões de ações desempenha um papel crítico na determinação da capacidade de uma empresa para realizar investimentos em capital. Este modelo também destaca a importância de equilibrar o uso de financiamento por dívida e capital próprio para otimizar o custo de capital.</w:t>
      </w:r>
    </w:p>
    <w:p w14:paraId="584C80CB" w14:textId="16F9ECB1" w:rsidR="004C69FF" w:rsidRPr="002D7F08" w:rsidRDefault="004C69FF" w:rsidP="00642608">
      <w:pPr>
        <w:pStyle w:val="Ttulo2SecundrioTese"/>
        <w:numPr>
          <w:ilvl w:val="2"/>
          <w:numId w:val="4"/>
        </w:numPr>
        <w:jc w:val="both"/>
      </w:pPr>
      <w:bookmarkStart w:id="33" w:name="_Toc176458051"/>
      <w:r w:rsidRPr="002D7F08">
        <w:t>Modelo d</w:t>
      </w:r>
      <w:r w:rsidR="00C2593F" w:rsidRPr="002D7F08">
        <w:t>e</w:t>
      </w:r>
      <w:r w:rsidRPr="002D7F08">
        <w:t xml:space="preserve"> Autoregressão (The </w:t>
      </w:r>
      <w:proofErr w:type="spellStart"/>
      <w:r w:rsidRPr="002D7F08">
        <w:t>Autoregression</w:t>
      </w:r>
      <w:proofErr w:type="spellEnd"/>
      <w:r w:rsidRPr="002D7F08">
        <w:t xml:space="preserve"> </w:t>
      </w:r>
      <w:proofErr w:type="spellStart"/>
      <w:r w:rsidRPr="002D7F08">
        <w:t>Model</w:t>
      </w:r>
      <w:proofErr w:type="spellEnd"/>
      <w:r w:rsidRPr="002D7F08">
        <w:t>)</w:t>
      </w:r>
      <w:bookmarkEnd w:id="33"/>
    </w:p>
    <w:p w14:paraId="46AAF524" w14:textId="77777777" w:rsidR="00770C4E"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O “</w:t>
      </w:r>
      <w:proofErr w:type="spellStart"/>
      <w:r w:rsidRPr="002D7F08">
        <w:rPr>
          <w:rFonts w:ascii="Garamond" w:hAnsi="Garamond"/>
          <w:sz w:val="24"/>
          <w:szCs w:val="24"/>
          <w:lang w:val="pt-PT"/>
        </w:rPr>
        <w:t>Autoregression</w:t>
      </w:r>
      <w:proofErr w:type="spellEnd"/>
      <w:r w:rsidRPr="002D7F08">
        <w:rPr>
          <w:rFonts w:ascii="Garamond" w:hAnsi="Garamond"/>
          <w:sz w:val="24"/>
          <w:szCs w:val="24"/>
          <w:lang w:val="pt-PT"/>
        </w:rPr>
        <w:t xml:space="preserve"> </w:t>
      </w:r>
      <w:proofErr w:type="spellStart"/>
      <w:r w:rsidRPr="002D7F08">
        <w:rPr>
          <w:rFonts w:ascii="Garamond" w:hAnsi="Garamond"/>
          <w:sz w:val="24"/>
          <w:szCs w:val="24"/>
          <w:lang w:val="pt-PT"/>
        </w:rPr>
        <w:t>Model</w:t>
      </w:r>
      <w:proofErr w:type="spellEnd"/>
      <w:r w:rsidRPr="002D7F08">
        <w:rPr>
          <w:rFonts w:ascii="Garamond" w:hAnsi="Garamond"/>
          <w:sz w:val="24"/>
          <w:szCs w:val="24"/>
          <w:lang w:val="pt-PT"/>
        </w:rPr>
        <w:t>”, ao contrário de outras abordagens discutidas anteriormente, não utiliza variáveis como produção, preços, lucros ou impostos para descrever os gastos de investimento. Em vez disso, os gastos de capital dependem apenas do seu histórico, com base nas tendências e dinâmicas cíclicas observadas recentemente, consideradas estáveis o suficiente para descrever o curso dos gastos no futuro. Este modelo pode ser considerado como uma abordagem independente ou como um padrão pelo qual modelos com mais variáveis podem ser avaliados.</w:t>
      </w:r>
    </w:p>
    <w:p w14:paraId="28635A95" w14:textId="5D88342F" w:rsidR="00770C4E"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O modelo é representado pela seguinte equação:</w:t>
      </w:r>
    </w:p>
    <w:p w14:paraId="2E309C22" w14:textId="2215BAEE" w:rsidR="00770C4E" w:rsidRPr="002D7F08" w:rsidRDefault="00000000" w:rsidP="000942BF">
      <w:pPr>
        <w:spacing w:line="360" w:lineRule="auto"/>
        <w:rPr>
          <w:rFonts w:ascii="Garamond" w:hAnsi="Garamond"/>
          <w:sz w:val="24"/>
          <w:szCs w:val="24"/>
          <w:lang w:val="pt-PT"/>
        </w:rPr>
      </w:pPr>
      <m:oMathPara>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r>
            <w:rPr>
              <w:rFonts w:ascii="Cambria Math" w:hAnsi="Cambria Math"/>
              <w:sz w:val="24"/>
              <w:szCs w:val="24"/>
              <w:lang w:val="pt-PT"/>
            </w:rPr>
            <m:t>=a+</m:t>
          </m:r>
          <m:nary>
            <m:naryPr>
              <m:chr m:val="∑"/>
              <m:limLoc m:val="undOvr"/>
              <m:ctrlPr>
                <w:rPr>
                  <w:rFonts w:ascii="Cambria Math" w:hAnsi="Cambria Math"/>
                  <w:i/>
                  <w:sz w:val="24"/>
                  <w:szCs w:val="24"/>
                  <w:lang w:val="pt-PT"/>
                </w:rPr>
              </m:ctrlPr>
            </m:naryPr>
            <m:sub>
              <m:r>
                <w:rPr>
                  <w:rFonts w:ascii="Cambria Math" w:hAnsi="Cambria Math"/>
                  <w:sz w:val="24"/>
                  <w:szCs w:val="24"/>
                  <w:lang w:val="pt-PT"/>
                </w:rPr>
                <m:t>i=0</m:t>
              </m:r>
            </m:sub>
            <m:sup>
              <m:r>
                <w:rPr>
                  <w:rFonts w:ascii="Cambria Math" w:hAnsi="Cambria Math"/>
                  <w:sz w:val="24"/>
                  <w:szCs w:val="24"/>
                  <w:lang w:val="pt-PT"/>
                </w:rPr>
                <m:t>n</m:t>
              </m:r>
            </m:sup>
            <m:e>
              <m:sSub>
                <m:sSubPr>
                  <m:ctrlPr>
                    <w:rPr>
                      <w:rFonts w:ascii="Cambria Math" w:hAnsi="Cambria Math"/>
                      <w:i/>
                      <w:sz w:val="24"/>
                      <w:szCs w:val="24"/>
                      <w:lang w:val="pt-PT"/>
                    </w:rPr>
                  </m:ctrlPr>
                </m:sSubPr>
                <m:e>
                  <m:r>
                    <w:rPr>
                      <w:rFonts w:ascii="Cambria Math" w:hAnsi="Cambria Math"/>
                      <w:sz w:val="24"/>
                      <w:szCs w:val="24"/>
                      <w:lang w:val="pt-PT"/>
                    </w:rPr>
                    <m:t>b</m:t>
                  </m:r>
                </m:e>
                <m:sub>
                  <m:r>
                    <w:rPr>
                      <w:rFonts w:ascii="Cambria Math" w:hAnsi="Cambria Math"/>
                      <w:sz w:val="24"/>
                      <w:szCs w:val="24"/>
                      <w:lang w:val="pt-PT"/>
                    </w:rPr>
                    <m:t>i</m:t>
                  </m:r>
                </m:sub>
              </m:sSub>
            </m:e>
          </m:nary>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t-i</m:t>
              </m:r>
            </m:sub>
          </m:sSub>
        </m:oMath>
      </m:oMathPara>
    </w:p>
    <w:p w14:paraId="2FCD2839" w14:textId="21DBED05" w:rsidR="00770C4E"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que que </w:t>
      </w:r>
      <m:oMath>
        <m:sSub>
          <m:sSubPr>
            <m:ctrlPr>
              <w:rPr>
                <w:rFonts w:ascii="Cambria Math" w:hAnsi="Cambria Math"/>
                <w:i/>
                <w:sz w:val="24"/>
                <w:szCs w:val="24"/>
                <w:lang w:val="pt-PT"/>
              </w:rPr>
            </m:ctrlPr>
          </m:sSubPr>
          <m:e>
            <m:r>
              <w:rPr>
                <w:rFonts w:ascii="Cambria Math" w:hAnsi="Cambria Math"/>
                <w:sz w:val="24"/>
                <w:szCs w:val="24"/>
                <w:lang w:val="pt-PT"/>
              </w:rPr>
              <m:t>I</m:t>
            </m:r>
          </m:e>
          <m:sub>
            <m:r>
              <w:rPr>
                <w:rFonts w:ascii="Cambria Math" w:hAnsi="Cambria Math"/>
                <w:sz w:val="24"/>
                <w:szCs w:val="24"/>
                <w:lang w:val="pt-PT"/>
              </w:rPr>
              <m:t>t</m:t>
            </m:r>
          </m:sub>
        </m:sSub>
      </m:oMath>
      <w:r w:rsidRPr="002D7F08">
        <w:rPr>
          <w:rFonts w:ascii="Garamond" w:hAnsi="Garamond"/>
          <w:sz w:val="24"/>
          <w:szCs w:val="24"/>
          <w:lang w:val="pt-PT"/>
        </w:rPr>
        <w:t xml:space="preserve"> = investimento real da empresa no período </w:t>
      </w:r>
      <m:oMath>
        <m:r>
          <w:rPr>
            <w:rFonts w:ascii="Cambria Math" w:hAnsi="Cambria Math"/>
            <w:sz w:val="24"/>
            <w:szCs w:val="24"/>
            <w:lang w:val="pt-PT"/>
          </w:rPr>
          <m:t>t</m:t>
        </m:r>
      </m:oMath>
      <w:r w:rsidRPr="002D7F08">
        <w:rPr>
          <w:rFonts w:ascii="Garamond" w:hAnsi="Garamond"/>
          <w:sz w:val="24"/>
          <w:szCs w:val="24"/>
          <w:lang w:val="pt-PT"/>
        </w:rPr>
        <w:t>.</w:t>
      </w:r>
    </w:p>
    <w:p w14:paraId="71EECE5E" w14:textId="5A6D52B1" w:rsidR="00910B56" w:rsidRPr="002D7F08" w:rsidRDefault="00770C4E"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Apesar de parecer um modelo simples, o Modelo de Autoregressão envolve raciocínio complexo. Os gastos de investimento podem depender de muitas variáveis económicas, todas incorporadas num modelo maior da economia. Se, de acordo com esse modelo, essas variáveis dependem mutuamente dos seus valores passados, então uma autoregressão pode representar os gastos de investimento. No entanto, os críticos argumentam que os modelos de autoregressão podem não ser tão úteis quanto outros, pois não permitem avaliar as consequências de mudanças nas condições de negócios ou de políticas na despesa de investimento. Esses modelos podem perder precisão quando novas políticas fiscais ou monetárias alteram as correlações entre variáveis exógenas. Enquanto os modelos de autoregressão fornecem previsões sobre o investimento, eles não fornecem uma narrativa </w:t>
      </w:r>
      <w:r w:rsidRPr="002D7F08">
        <w:rPr>
          <w:rFonts w:ascii="Garamond" w:hAnsi="Garamond"/>
          <w:sz w:val="24"/>
          <w:szCs w:val="24"/>
          <w:lang w:val="pt-PT"/>
        </w:rPr>
        <w:lastRenderedPageBreak/>
        <w:t>explicativa, o que pode ser crucial para avaliar o impacto de políticas ou entender as motivações dos investidores.</w:t>
      </w:r>
    </w:p>
    <w:p w14:paraId="49A76113" w14:textId="77777777" w:rsidR="00910B56" w:rsidRPr="002D7F08" w:rsidRDefault="00910B56" w:rsidP="000942BF">
      <w:pPr>
        <w:spacing w:line="360" w:lineRule="auto"/>
        <w:rPr>
          <w:rFonts w:ascii="Garamond" w:hAnsi="Garamond"/>
          <w:sz w:val="24"/>
          <w:szCs w:val="24"/>
          <w:lang w:val="pt-PT"/>
        </w:rPr>
      </w:pPr>
    </w:p>
    <w:p w14:paraId="4D47F153" w14:textId="01322E35" w:rsidR="00770C4E" w:rsidRPr="002D7F08" w:rsidRDefault="00345C3B" w:rsidP="000942BF">
      <w:pPr>
        <w:spacing w:line="360" w:lineRule="auto"/>
        <w:rPr>
          <w:rFonts w:ascii="Garamond" w:hAnsi="Garamond"/>
          <w:b/>
          <w:bCs/>
          <w:sz w:val="24"/>
          <w:szCs w:val="24"/>
          <w:lang w:val="pt-PT"/>
        </w:rPr>
      </w:pPr>
      <w:r w:rsidRPr="002D7F08">
        <w:rPr>
          <w:rFonts w:ascii="Garamond" w:hAnsi="Garamond"/>
          <w:b/>
          <w:bCs/>
          <w:sz w:val="24"/>
          <w:szCs w:val="24"/>
          <w:lang w:val="pt-PT"/>
        </w:rPr>
        <w:br w:type="page"/>
      </w:r>
    </w:p>
    <w:p w14:paraId="5041DA79" w14:textId="6FE4B74C" w:rsidR="00345C3B" w:rsidRPr="002D7F08" w:rsidRDefault="00C52504" w:rsidP="00425911">
      <w:pPr>
        <w:pStyle w:val="TtuloPrincipalTese"/>
      </w:pPr>
      <w:bookmarkStart w:id="34" w:name="_Toc176458052"/>
      <w:r>
        <w:lastRenderedPageBreak/>
        <w:t>Objetivo e Hipótese de Investigação</w:t>
      </w:r>
      <w:bookmarkEnd w:id="34"/>
    </w:p>
    <w:p w14:paraId="45579D29" w14:textId="207307B1" w:rsidR="00DD4A1A" w:rsidRPr="002D7F08" w:rsidRDefault="009D088E"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Tendo em conta a análise do benefício fiscal CFEI II, das determinantes do investimento presentes na revisão de literatura, bem como dos modelos econométricos tradicionalmente utilizados para explorar essas determinantes, </w:t>
      </w:r>
      <w:r w:rsidR="00347674" w:rsidRPr="002D7F08">
        <w:rPr>
          <w:rFonts w:ascii="Garamond" w:hAnsi="Garamond"/>
          <w:sz w:val="24"/>
          <w:szCs w:val="24"/>
          <w:lang w:val="pt-PT"/>
        </w:rPr>
        <w:t>iremos formular</w:t>
      </w:r>
      <w:r w:rsidRPr="002D7F08">
        <w:rPr>
          <w:rFonts w:ascii="Garamond" w:hAnsi="Garamond"/>
          <w:sz w:val="24"/>
          <w:szCs w:val="24"/>
          <w:lang w:val="pt-PT"/>
        </w:rPr>
        <w:t xml:space="preserve"> a hipótese de investigação.</w:t>
      </w:r>
      <w:r w:rsidR="00211D23" w:rsidRPr="002D7F08">
        <w:rPr>
          <w:rFonts w:ascii="Garamond" w:hAnsi="Garamond"/>
          <w:sz w:val="24"/>
          <w:szCs w:val="24"/>
          <w:lang w:val="pt-PT"/>
        </w:rPr>
        <w:t xml:space="preserve"> </w:t>
      </w:r>
    </w:p>
    <w:p w14:paraId="79F54080" w14:textId="66C5A8A2" w:rsidR="00A05F31" w:rsidRPr="00BC35C7" w:rsidRDefault="00A05F31" w:rsidP="00642608">
      <w:pPr>
        <w:spacing w:line="360" w:lineRule="auto"/>
        <w:jc w:val="both"/>
        <w:rPr>
          <w:rFonts w:ascii="Garamond" w:hAnsi="Garamond"/>
          <w:sz w:val="24"/>
          <w:szCs w:val="24"/>
          <w:lang w:val="pt-PT"/>
        </w:rPr>
      </w:pPr>
      <w:r w:rsidRPr="00BC35C7">
        <w:rPr>
          <w:rFonts w:ascii="Garamond" w:hAnsi="Garamond"/>
          <w:sz w:val="24"/>
          <w:szCs w:val="24"/>
          <w:lang w:val="pt-PT"/>
        </w:rPr>
        <w:t>Tal como mencionado anteriormente, esta dissertação tem como objetivo avaliar se a utilização do CFEI II conduziu as empresas a antecipar investimentos que já estavam planeados, de forma a beneficiarem das vantagens deste incentivo fiscal.</w:t>
      </w:r>
    </w:p>
    <w:p w14:paraId="50B875F8" w14:textId="298E8D33"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 principal propósito da introdução do CFEI II foi gerar um impacto significativo no nível de investimento empresarial. De acordo com </w:t>
      </w:r>
      <w:proofErr w:type="spellStart"/>
      <w:r w:rsidRPr="002D7F08">
        <w:rPr>
          <w:rFonts w:ascii="Garamond" w:hAnsi="Garamond"/>
          <w:sz w:val="24"/>
          <w:szCs w:val="24"/>
          <w:lang w:val="pt-PT"/>
        </w:rPr>
        <w:t>Klemm</w:t>
      </w:r>
      <w:proofErr w:type="spellEnd"/>
      <w:r w:rsidR="00D864B6" w:rsidRPr="002D7F08">
        <w:rPr>
          <w:rFonts w:ascii="Garamond" w:hAnsi="Garamond"/>
          <w:sz w:val="24"/>
          <w:szCs w:val="24"/>
          <w:lang w:val="pt-PT"/>
        </w:rPr>
        <w:t xml:space="preserve"> </w:t>
      </w:r>
      <w:r w:rsidRPr="002D7F08">
        <w:rPr>
          <w:rFonts w:ascii="Garamond" w:hAnsi="Garamond"/>
          <w:sz w:val="24"/>
          <w:szCs w:val="24"/>
          <w:lang w:val="pt-PT"/>
        </w:rPr>
        <w:t>(2010), uma das vantagens da utilização de benefícios fiscais é o incentivo ao investimento e ao crescimento económico.</w:t>
      </w:r>
    </w:p>
    <w:p w14:paraId="4F929484" w14:textId="717AA2C7"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Segundo </w:t>
      </w:r>
      <w:proofErr w:type="spellStart"/>
      <w:r w:rsidRPr="002D7F08">
        <w:rPr>
          <w:rFonts w:ascii="Garamond" w:hAnsi="Garamond"/>
          <w:sz w:val="24"/>
          <w:szCs w:val="24"/>
          <w:lang w:val="pt-PT"/>
        </w:rPr>
        <w:t>Klemm</w:t>
      </w:r>
      <w:proofErr w:type="spellEnd"/>
      <w:r w:rsidRPr="002D7F08">
        <w:rPr>
          <w:rFonts w:ascii="Garamond" w:hAnsi="Garamond"/>
          <w:sz w:val="24"/>
          <w:szCs w:val="24"/>
          <w:lang w:val="pt-PT"/>
        </w:rPr>
        <w:t xml:space="preserve"> (2012), a teoria neoclássica do investimento é utilizada para explicar a reação do investimento aos incentivos fiscais. De acordo com essa teoria, as empresas investem em capital quando os benefícios superam os custos. Portanto, se os incentivos fiscais reduzirem o custo do capital, o investimento aumenta. Estudos empíricos concluíram que os impostos têm efeitos significativos no investimento empresarial, embora outros fatores também sejam importantes, pelo que se espera que a utilização do CFEI II conduza ao aumento do investimento das empresas.</w:t>
      </w:r>
    </w:p>
    <w:p w14:paraId="45587B99" w14:textId="77777777"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Dadas as caraterísticas abrangentes e de fácil aplicação do benefício fiscal CFEI II, é possível que as empresas tenham a tendência de realizar investimentos antecipados apenas para beneficiarem deste incentivo fiscal. Assim, neste estudo, através da análise do comportamento do investimento das empresas, pretendemos identificar evidências empíricas que nos permitam testar a seguinte hipótese de investigação:</w:t>
      </w:r>
    </w:p>
    <w:p w14:paraId="3E5B5739" w14:textId="1C0B0A9C" w:rsidR="00437B9F" w:rsidRPr="002D7F08" w:rsidRDefault="00A05F31" w:rsidP="00642608">
      <w:pPr>
        <w:spacing w:line="360" w:lineRule="auto"/>
        <w:jc w:val="both"/>
        <w:rPr>
          <w:rFonts w:ascii="Garamond" w:hAnsi="Garamond"/>
          <w:b/>
          <w:bCs/>
          <w:sz w:val="24"/>
          <w:szCs w:val="24"/>
          <w:lang w:val="pt-PT"/>
        </w:rPr>
      </w:pPr>
      <w:r w:rsidRPr="002D7F08">
        <w:rPr>
          <w:rFonts w:ascii="Garamond" w:hAnsi="Garamond"/>
          <w:sz w:val="24"/>
          <w:szCs w:val="24"/>
          <w:lang w:val="pt-PT"/>
        </w:rPr>
        <w:t>Hipótese (H):</w:t>
      </w:r>
      <w:r w:rsidRPr="002D7F08">
        <w:rPr>
          <w:rFonts w:ascii="Garamond" w:hAnsi="Garamond"/>
          <w:b/>
          <w:bCs/>
          <w:sz w:val="24"/>
          <w:szCs w:val="24"/>
          <w:lang w:val="pt-PT"/>
        </w:rPr>
        <w:t xml:space="preserve"> O CFEI II conduziu as empresas a antecipar investimentos com o objetivo de beneficiarem d</w:t>
      </w:r>
      <w:r w:rsidR="00C2593F" w:rsidRPr="002D7F08">
        <w:rPr>
          <w:rFonts w:ascii="Garamond" w:hAnsi="Garamond"/>
          <w:b/>
          <w:bCs/>
          <w:sz w:val="24"/>
          <w:szCs w:val="24"/>
          <w:lang w:val="pt-PT"/>
        </w:rPr>
        <w:t>o</w:t>
      </w:r>
      <w:r w:rsidRPr="002D7F08">
        <w:rPr>
          <w:rFonts w:ascii="Garamond" w:hAnsi="Garamond"/>
          <w:b/>
          <w:bCs/>
          <w:sz w:val="24"/>
          <w:szCs w:val="24"/>
          <w:lang w:val="pt-PT"/>
        </w:rPr>
        <w:t xml:space="preserve"> incentivo fiscal.</w:t>
      </w:r>
    </w:p>
    <w:p w14:paraId="7C0797B0" w14:textId="77777777" w:rsidR="00C52504" w:rsidRDefault="00C52504" w:rsidP="00642608">
      <w:pPr>
        <w:spacing w:line="259" w:lineRule="auto"/>
        <w:jc w:val="both"/>
        <w:rPr>
          <w:rFonts w:ascii="Garamond" w:hAnsi="Garamond"/>
          <w:b/>
          <w:bCs/>
          <w:sz w:val="28"/>
          <w:szCs w:val="24"/>
          <w:lang w:val="pt-PT"/>
        </w:rPr>
      </w:pPr>
      <w:r w:rsidRPr="00665A5E">
        <w:rPr>
          <w:lang w:val="pt-PT"/>
        </w:rPr>
        <w:br w:type="page"/>
      </w:r>
    </w:p>
    <w:p w14:paraId="1A31365D" w14:textId="1FCE7907" w:rsidR="00345C3B" w:rsidRDefault="00345C3B" w:rsidP="00642608">
      <w:pPr>
        <w:pStyle w:val="TtuloPrincipalTese"/>
        <w:jc w:val="both"/>
      </w:pPr>
      <w:bookmarkStart w:id="35" w:name="_Toc176458053"/>
      <w:r w:rsidRPr="002D7F08">
        <w:lastRenderedPageBreak/>
        <w:t>Modelo</w:t>
      </w:r>
      <w:r w:rsidR="005455FB">
        <w:t>, Definição da Amostra e Estatísticas Descritivas</w:t>
      </w:r>
      <w:bookmarkEnd w:id="35"/>
    </w:p>
    <w:p w14:paraId="7721B99C" w14:textId="115157B5" w:rsidR="00C52504" w:rsidRDefault="00C52504" w:rsidP="00642608">
      <w:pPr>
        <w:spacing w:line="360" w:lineRule="auto"/>
        <w:jc w:val="both"/>
        <w:rPr>
          <w:rFonts w:ascii="Garamond" w:hAnsi="Garamond"/>
          <w:sz w:val="24"/>
          <w:szCs w:val="24"/>
          <w:lang w:val="pt-PT"/>
        </w:rPr>
      </w:pPr>
      <w:r>
        <w:rPr>
          <w:rFonts w:ascii="Garamond" w:hAnsi="Garamond"/>
          <w:sz w:val="24"/>
          <w:szCs w:val="24"/>
          <w:lang w:val="pt-PT"/>
        </w:rPr>
        <w:t>Neste capítulo</w:t>
      </w:r>
      <w:r w:rsidRPr="00C52504">
        <w:rPr>
          <w:rFonts w:ascii="Garamond" w:hAnsi="Garamond"/>
          <w:sz w:val="24"/>
          <w:szCs w:val="24"/>
          <w:lang w:val="pt-PT"/>
        </w:rPr>
        <w:t>, iremos descrever a metodologia de investigação adotada</w:t>
      </w:r>
      <w:r w:rsidR="005455FB">
        <w:rPr>
          <w:rFonts w:ascii="Garamond" w:hAnsi="Garamond"/>
          <w:sz w:val="24"/>
          <w:szCs w:val="24"/>
          <w:lang w:val="pt-PT"/>
        </w:rPr>
        <w:t>,</w:t>
      </w:r>
      <w:r w:rsidRPr="00C52504">
        <w:rPr>
          <w:rFonts w:ascii="Garamond" w:hAnsi="Garamond"/>
          <w:sz w:val="24"/>
          <w:szCs w:val="24"/>
          <w:lang w:val="pt-PT"/>
        </w:rPr>
        <w:t xml:space="preserve"> definir a amostra analisada</w:t>
      </w:r>
      <w:r w:rsidR="005455FB">
        <w:rPr>
          <w:rFonts w:ascii="Garamond" w:hAnsi="Garamond"/>
          <w:sz w:val="24"/>
          <w:szCs w:val="24"/>
          <w:lang w:val="pt-PT"/>
        </w:rPr>
        <w:t xml:space="preserve"> e analisar as estatísticas descritivas</w:t>
      </w:r>
      <w:r w:rsidRPr="00C52504">
        <w:rPr>
          <w:rFonts w:ascii="Garamond" w:hAnsi="Garamond"/>
          <w:sz w:val="24"/>
          <w:szCs w:val="24"/>
          <w:lang w:val="pt-PT"/>
        </w:rPr>
        <w:t>. Esta abordagem assegura uma estrutura lógica e metódica para a investigação, permitindo uma avaliação rigorosa e fundamentada das variáveis estudadas.</w:t>
      </w:r>
    </w:p>
    <w:p w14:paraId="01A2845A" w14:textId="77777777" w:rsidR="00C52504" w:rsidRPr="00C52504" w:rsidRDefault="00C52504" w:rsidP="00642608">
      <w:pPr>
        <w:jc w:val="both"/>
        <w:rPr>
          <w:rFonts w:ascii="Garamond" w:hAnsi="Garamond"/>
          <w:sz w:val="24"/>
          <w:szCs w:val="24"/>
          <w:lang w:val="pt-PT"/>
        </w:rPr>
      </w:pPr>
    </w:p>
    <w:p w14:paraId="2031BE18" w14:textId="6BA8F9C4" w:rsidR="00C52504" w:rsidRPr="002D7F08" w:rsidRDefault="00C52504" w:rsidP="00642608">
      <w:pPr>
        <w:pStyle w:val="TtuloSecundrioTese"/>
        <w:jc w:val="both"/>
      </w:pPr>
      <w:bookmarkStart w:id="36" w:name="_Toc176458054"/>
      <w:r>
        <w:t>Modelo de Análise</w:t>
      </w:r>
      <w:bookmarkEnd w:id="36"/>
    </w:p>
    <w:p w14:paraId="41706E33" w14:textId="723A4BD1" w:rsidR="00EA77AD" w:rsidRPr="002D7F08" w:rsidRDefault="00EA77AD" w:rsidP="00642608">
      <w:pPr>
        <w:spacing w:line="360" w:lineRule="auto"/>
        <w:jc w:val="both"/>
        <w:rPr>
          <w:rFonts w:ascii="Garamond" w:hAnsi="Garamond"/>
          <w:sz w:val="24"/>
          <w:szCs w:val="24"/>
          <w:lang w:val="pt-PT"/>
        </w:rPr>
      </w:pPr>
      <w:r w:rsidRPr="002D7F08">
        <w:rPr>
          <w:rFonts w:ascii="Garamond" w:hAnsi="Garamond"/>
          <w:sz w:val="24"/>
          <w:szCs w:val="24"/>
          <w:lang w:val="pt-PT"/>
        </w:rPr>
        <w:t>Da literatura analisada, foram propostas muitas variáveis como determinantes do investimento. Embora não seja possível incluir todas as variáveis disponíveis no nosso modelo, selecionámos algumas variáveis com base na sua força em estudos empíricos anteriores.</w:t>
      </w:r>
    </w:p>
    <w:p w14:paraId="6BD883A2" w14:textId="5334485A" w:rsidR="00337466" w:rsidRPr="002D7F08" w:rsidRDefault="0033746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 modelo base de regressão linear </w:t>
      </w:r>
      <w:r w:rsidR="00C82088">
        <w:rPr>
          <w:rFonts w:ascii="Garamond" w:hAnsi="Garamond"/>
          <w:sz w:val="24"/>
          <w:szCs w:val="24"/>
          <w:lang w:val="pt-PT"/>
        </w:rPr>
        <w:t xml:space="preserve">usado </w:t>
      </w:r>
      <w:r w:rsidRPr="002D7F08">
        <w:rPr>
          <w:rFonts w:ascii="Garamond" w:hAnsi="Garamond"/>
          <w:sz w:val="24"/>
          <w:szCs w:val="24"/>
          <w:lang w:val="pt-PT"/>
        </w:rPr>
        <w:t>é o seguinte:</w:t>
      </w:r>
    </w:p>
    <w:p w14:paraId="6C3EC51A" w14:textId="4B11DA5B" w:rsidR="00337466" w:rsidRPr="002D7F08" w:rsidRDefault="00337466" w:rsidP="000942BF">
      <w:pPr>
        <w:spacing w:line="360" w:lineRule="auto"/>
        <w:rPr>
          <w:rFonts w:ascii="Garamond" w:hAnsi="Garamond"/>
          <w:sz w:val="24"/>
          <w:szCs w:val="24"/>
          <w:lang w:val="pt-PT"/>
        </w:rPr>
      </w:pP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r>
          <m:rPr>
            <m:sty m:val="p"/>
          </m:rPr>
          <w:rPr>
            <w:rFonts w:ascii="Cambria Math" w:hAnsi="Cambria Math"/>
            <w:sz w:val="24"/>
            <w:szCs w:val="24"/>
            <w:lang w:val="pt-PT"/>
          </w:rPr>
          <m:t xml:space="preserve">= </m:t>
        </m:r>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0</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1</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Invi</m:t>
            </m:r>
          </m:e>
          <m:sub>
            <m:r>
              <w:rPr>
                <w:rFonts w:ascii="Cambria Math" w:hAnsi="Cambria Math"/>
                <w:sz w:val="24"/>
                <w:szCs w:val="24"/>
                <w:lang w:val="pt-PT"/>
              </w:rPr>
              <m:t>i,t</m:t>
            </m:r>
            <m:r>
              <m:rPr>
                <m:sty m:val="p"/>
              </m:rPr>
              <w:rPr>
                <w:rFonts w:ascii="Cambria Math" w:hAnsi="Cambria Math"/>
                <w:sz w:val="24"/>
                <w:szCs w:val="24"/>
                <w:lang w:val="pt-PT"/>
              </w:rPr>
              <m:t>-1</m:t>
            </m:r>
          </m:sub>
        </m:sSub>
        <m: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2</m:t>
            </m:r>
          </m:sub>
        </m:sSub>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m:t>
            </m:r>
            <m:r>
              <m:rPr>
                <m:sty m:val="p"/>
              </m:rPr>
              <w:rPr>
                <w:rFonts w:ascii="Cambria Math" w:hAnsi="Cambria Math"/>
                <w:sz w:val="24"/>
                <w:szCs w:val="24"/>
                <w:lang w:val="pt-PT"/>
              </w:rPr>
              <m:t>-1</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3</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4</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5</m:t>
            </m:r>
          </m:sub>
        </m:sSub>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β</m:t>
            </m:r>
          </m:e>
          <m:sub>
            <m:r>
              <w:rPr>
                <w:rFonts w:ascii="Cambria Math" w:hAnsi="Cambria Math"/>
                <w:sz w:val="24"/>
                <w:szCs w:val="24"/>
                <w:lang w:val="pt-PT"/>
              </w:rPr>
              <m:t>6</m:t>
            </m:r>
          </m:sub>
        </m:sSub>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r>
          <m:rPr>
            <m:sty m:val="p"/>
          </m:rPr>
          <w:rPr>
            <w:rFonts w:ascii="Cambria Math" w:hAnsi="Cambria Math"/>
            <w:sz w:val="24"/>
            <w:szCs w:val="24"/>
            <w:lang w:val="pt-PT"/>
          </w:rPr>
          <m:t xml:space="preserve">+ </m:t>
        </m:r>
        <m:sSub>
          <m:sSubPr>
            <m:ctrlPr>
              <w:rPr>
                <w:rFonts w:ascii="Cambria Math" w:hAnsi="Cambria Math"/>
                <w:sz w:val="24"/>
                <w:szCs w:val="24"/>
                <w:lang w:val="pt-PT"/>
              </w:rPr>
            </m:ctrlPr>
          </m:sSubPr>
          <m:e>
            <m:sSub>
              <m:sSubPr>
                <m:ctrlPr>
                  <w:rPr>
                    <w:rFonts w:ascii="Cambria Math" w:hAnsi="Cambria Math"/>
                    <w:sz w:val="24"/>
                    <w:szCs w:val="24"/>
                    <w:lang w:val="pt-PT"/>
                  </w:rPr>
                </m:ctrlPr>
              </m:sSubPr>
              <m:e>
                <m:r>
                  <w:rPr>
                    <w:rFonts w:ascii="Cambria Math" w:hAnsi="Cambria Math"/>
                    <w:sz w:val="24"/>
                    <w:szCs w:val="24"/>
                    <w:lang w:val="pt-PT"/>
                  </w:rPr>
                  <m:t>β</m:t>
                </m:r>
              </m:e>
              <m:sub>
                <m:r>
                  <w:rPr>
                    <w:rFonts w:ascii="Cambria Math" w:hAnsi="Cambria Math"/>
                    <w:sz w:val="24"/>
                    <w:szCs w:val="24"/>
                    <w:lang w:val="pt-PT"/>
                  </w:rPr>
                  <m:t>7</m:t>
                </m:r>
              </m:sub>
            </m:sSub>
            <m:r>
              <w:rPr>
                <w:rFonts w:ascii="Cambria Math" w:hAnsi="Cambria Math"/>
                <w:sz w:val="24"/>
                <w:szCs w:val="24"/>
                <w:lang w:val="pt-PT"/>
              </w:rPr>
              <m:t>Treatment</m:t>
            </m:r>
          </m:e>
          <m:sub>
            <m:r>
              <w:rPr>
                <w:rFonts w:ascii="Cambria Math" w:hAnsi="Cambria Math"/>
                <w:sz w:val="24"/>
                <w:szCs w:val="24"/>
                <w:lang w:val="pt-PT"/>
              </w:rPr>
              <m:t>it</m:t>
            </m:r>
          </m:sub>
        </m:sSub>
        <m:r>
          <w:rPr>
            <w:rFonts w:ascii="Cambria Math" w:hAnsi="Cambria Math"/>
            <w:sz w:val="24"/>
            <w:szCs w:val="24"/>
            <w:lang w:val="pt-PT"/>
          </w:rPr>
          <m:t>*</m:t>
        </m:r>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r>
          <w:rPr>
            <w:rFonts w:ascii="Cambria Math" w:hAnsi="Cambria Math"/>
            <w:sz w:val="24"/>
            <w:szCs w:val="24"/>
            <w:lang w:val="pt-PT"/>
          </w:rPr>
          <m:t xml:space="preserve">+ </m:t>
        </m:r>
        <m:sSub>
          <m:sSubPr>
            <m:ctrlPr>
              <w:rPr>
                <w:rFonts w:ascii="Cambria Math" w:hAnsi="Cambria Math"/>
                <w:sz w:val="24"/>
                <w:szCs w:val="24"/>
                <w:lang w:val="pt-PT"/>
              </w:rPr>
            </m:ctrlPr>
          </m:sSubPr>
          <m:e>
            <m:r>
              <w:rPr>
                <w:rFonts w:ascii="Cambria Math" w:hAnsi="Cambria Math"/>
                <w:sz w:val="24"/>
                <w:szCs w:val="24"/>
                <w:lang w:val="pt-PT"/>
              </w:rPr>
              <m:t>ε</m:t>
            </m:r>
          </m:e>
          <m:sub>
            <m:r>
              <w:rPr>
                <w:rFonts w:ascii="Cambria Math" w:hAnsi="Cambria Math"/>
                <w:sz w:val="24"/>
                <w:szCs w:val="24"/>
                <w:lang w:val="pt-PT"/>
              </w:rPr>
              <m:t>it</m:t>
            </m:r>
          </m:sub>
        </m:sSub>
      </m:oMath>
      <w:r w:rsidRPr="002D7F08">
        <w:rPr>
          <w:rFonts w:ascii="Garamond" w:hAnsi="Garamond"/>
          <w:sz w:val="24"/>
          <w:szCs w:val="24"/>
          <w:lang w:val="pt-PT"/>
        </w:rPr>
        <w:t xml:space="preserve"> </w:t>
      </w:r>
    </w:p>
    <w:p w14:paraId="3F1C5BF9" w14:textId="25C6EFDF" w:rsidR="00337466" w:rsidRPr="002D7F08" w:rsidRDefault="0033746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Onde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0</m:t>
            </m:r>
          </m:sub>
        </m:sSub>
      </m:oMath>
      <w:r w:rsidRPr="002D7F08">
        <w:rPr>
          <w:rFonts w:ascii="Garamond" w:hAnsi="Garamond"/>
          <w:sz w:val="24"/>
          <w:szCs w:val="24"/>
          <w:lang w:val="pt-PT"/>
        </w:rPr>
        <w:t xml:space="preserve"> é constante 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1</m:t>
            </m:r>
          </m:sub>
        </m:sSub>
      </m:oMath>
      <w:r w:rsidRPr="002D7F08">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2</m:t>
            </m:r>
          </m:sub>
        </m:sSub>
      </m:oMath>
      <w:r w:rsidRPr="002D7F08">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3</m:t>
            </m:r>
          </m:sub>
        </m:sSub>
      </m:oMath>
      <w:r w:rsidRPr="002D7F08">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4</m:t>
            </m:r>
          </m:sub>
        </m:sSub>
      </m:oMath>
      <w:r w:rsidRPr="002D7F08">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5</m:t>
            </m:r>
          </m:sub>
        </m:sSub>
      </m:oMath>
      <w:r w:rsidR="00E65BB9">
        <w:rPr>
          <w:rFonts w:ascii="Garamond" w:hAnsi="Garamond"/>
          <w:sz w:val="24"/>
          <w:szCs w:val="24"/>
          <w:lang w:val="pt-PT"/>
        </w:rPr>
        <w:t>,</w:t>
      </w:r>
      <w:r w:rsidRPr="002D7F08">
        <w:rPr>
          <w:rFonts w:ascii="Garamond" w:hAnsi="Garamond"/>
          <w:sz w:val="24"/>
          <w:szCs w:val="24"/>
          <w:lang w:val="pt-PT"/>
        </w:rPr>
        <w:t xml:space="preserve"> </w:t>
      </w:r>
      <w:bookmarkStart w:id="37" w:name="_Hlk176343846"/>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6</m:t>
            </m:r>
          </m:sub>
        </m:sSub>
      </m:oMath>
      <w:r w:rsidRPr="002D7F08">
        <w:rPr>
          <w:rFonts w:ascii="Garamond" w:hAnsi="Garamond"/>
          <w:sz w:val="24"/>
          <w:szCs w:val="24"/>
          <w:lang w:val="pt-PT"/>
        </w:rPr>
        <w:t xml:space="preserve"> </w:t>
      </w:r>
      <w:bookmarkEnd w:id="37"/>
      <w:r w:rsidR="00E65BB9">
        <w:rPr>
          <w:rFonts w:ascii="Garamond" w:hAnsi="Garamond"/>
          <w:sz w:val="24"/>
          <w:szCs w:val="24"/>
          <w:lang w:val="pt-PT"/>
        </w:rPr>
        <w:t xml:space="preserve">e </w:t>
      </w:r>
      <m:oMath>
        <m:sSub>
          <m:sSubPr>
            <m:ctrlPr>
              <w:rPr>
                <w:rFonts w:ascii="Cambria Math" w:hAnsi="Cambria Math"/>
                <w:sz w:val="24"/>
                <w:szCs w:val="24"/>
                <w:lang w:val="pt-PT"/>
              </w:rPr>
            </m:ctrlPr>
          </m:sSubPr>
          <m:e>
            <m:r>
              <w:rPr>
                <w:rFonts w:ascii="Cambria Math" w:hAnsi="Cambria Math"/>
                <w:sz w:val="24"/>
                <w:szCs w:val="24"/>
                <w:lang w:val="pt-PT"/>
              </w:rPr>
              <m:t>β</m:t>
            </m:r>
          </m:e>
          <m:sub>
            <m:r>
              <m:rPr>
                <m:sty m:val="p"/>
              </m:rPr>
              <w:rPr>
                <w:rFonts w:ascii="Cambria Math" w:hAnsi="Cambria Math"/>
                <w:sz w:val="24"/>
                <w:szCs w:val="24"/>
                <w:lang w:val="pt-PT"/>
              </w:rPr>
              <m:t>7</m:t>
            </m:r>
          </m:sub>
        </m:sSub>
      </m:oMath>
      <w:r w:rsidR="00E65BB9" w:rsidRPr="002D7F08">
        <w:rPr>
          <w:rFonts w:ascii="Garamond" w:hAnsi="Garamond"/>
          <w:sz w:val="24"/>
          <w:szCs w:val="24"/>
          <w:lang w:val="pt-PT"/>
        </w:rPr>
        <w:t xml:space="preserve"> </w:t>
      </w:r>
      <w:r w:rsidRPr="002D7F08">
        <w:rPr>
          <w:rFonts w:ascii="Garamond" w:hAnsi="Garamond"/>
          <w:sz w:val="24"/>
          <w:szCs w:val="24"/>
          <w:lang w:val="pt-PT"/>
        </w:rPr>
        <w:t xml:space="preserve">são os parâmetros do modelo econométrico, que descrevem a direção e a intensidade </w:t>
      </w:r>
      <w:r w:rsidR="00C2593F" w:rsidRPr="002D7F08">
        <w:rPr>
          <w:rFonts w:ascii="Garamond" w:hAnsi="Garamond"/>
          <w:sz w:val="24"/>
          <w:szCs w:val="24"/>
          <w:lang w:val="pt-PT"/>
        </w:rPr>
        <w:t>das respetivas variáveis no investimento</w:t>
      </w:r>
      <w:r w:rsidRPr="002D7F08">
        <w:rPr>
          <w:rFonts w:ascii="Garamond" w:hAnsi="Garamond"/>
          <w:sz w:val="24"/>
          <w:szCs w:val="24"/>
          <w:lang w:val="pt-PT"/>
        </w:rPr>
        <w:t>.</w:t>
      </w:r>
    </w:p>
    <w:p w14:paraId="3E013E18" w14:textId="20C04883" w:rsidR="00337466" w:rsidRPr="002D7F08" w:rsidRDefault="00337466"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 hipótese de investigação inclui a variável dependente “variação do investimento” em vez da variável de “investimento” pois pretende-se analisar o efeito do CFEI II no investimento das empresas num determinado </w:t>
      </w:r>
      <w:proofErr w:type="gramStart"/>
      <w:r w:rsidRPr="002D7F08">
        <w:rPr>
          <w:rFonts w:ascii="Garamond" w:hAnsi="Garamond"/>
          <w:sz w:val="24"/>
          <w:szCs w:val="24"/>
          <w:lang w:val="pt-PT"/>
        </w:rPr>
        <w:t>período de tempo</w:t>
      </w:r>
      <w:proofErr w:type="gramEnd"/>
      <w:r w:rsidR="00F31A58">
        <w:rPr>
          <w:rFonts w:ascii="Garamond" w:hAnsi="Garamond"/>
          <w:sz w:val="24"/>
          <w:szCs w:val="24"/>
          <w:lang w:val="pt-PT"/>
        </w:rPr>
        <w:t>.</w:t>
      </w:r>
    </w:p>
    <w:p w14:paraId="50B7E201" w14:textId="77777777" w:rsidR="00337466" w:rsidRPr="002D7F08" w:rsidRDefault="00337466" w:rsidP="00642608">
      <w:pPr>
        <w:spacing w:line="360" w:lineRule="auto"/>
        <w:jc w:val="both"/>
        <w:rPr>
          <w:rFonts w:ascii="Garamond" w:hAnsi="Garamond"/>
          <w:sz w:val="24"/>
          <w:szCs w:val="24"/>
          <w:lang w:val="pt-PT"/>
        </w:rPr>
      </w:pPr>
      <w:r w:rsidRPr="002D7F08">
        <w:rPr>
          <w:rFonts w:ascii="Garamond" w:hAnsi="Garamond"/>
          <w:sz w:val="24"/>
          <w:szCs w:val="24"/>
          <w:lang w:val="pt-PT"/>
        </w:rPr>
        <w:t>Com base nas determinantes do investimento discutidas na revisão de literatura, foram escolhidas variáveis independentes para investigar a hipótese formulada nesta dissertação e para compreender a variável dependente:</w:t>
      </w:r>
    </w:p>
    <w:p w14:paraId="5139DE15" w14:textId="21A33697" w:rsidR="000F40D6" w:rsidRPr="002D7F08" w:rsidRDefault="00337466" w:rsidP="00642608">
      <w:pPr>
        <w:numPr>
          <w:ilvl w:val="0"/>
          <w:numId w:val="5"/>
        </w:numPr>
        <w:spacing w:line="360" w:lineRule="auto"/>
        <w:jc w:val="both"/>
        <w:rPr>
          <w:rFonts w:ascii="Garamond" w:hAnsi="Garamond"/>
          <w:sz w:val="24"/>
          <w:szCs w:val="24"/>
          <w:lang w:val="pt-PT"/>
        </w:rPr>
      </w:pP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2D7F08">
        <w:rPr>
          <w:rFonts w:ascii="Garamond" w:hAnsi="Garamond"/>
          <w:sz w:val="24"/>
          <w:szCs w:val="24"/>
          <w:lang w:val="pt-PT"/>
        </w:rPr>
        <w:t xml:space="preserve"> corresponde à variação do investimento do ano anterior, que</w:t>
      </w:r>
      <w:r w:rsidR="00C82088">
        <w:rPr>
          <w:rFonts w:ascii="Garamond" w:hAnsi="Garamond"/>
          <w:sz w:val="24"/>
          <w:szCs w:val="24"/>
          <w:lang w:val="pt-PT"/>
        </w:rPr>
        <w:t xml:space="preserve"> por sua vez</w:t>
      </w:r>
      <w:r w:rsidRPr="002D7F08">
        <w:rPr>
          <w:rFonts w:ascii="Garamond" w:hAnsi="Garamond"/>
          <w:sz w:val="24"/>
          <w:szCs w:val="24"/>
          <w:lang w:val="pt-PT"/>
        </w:rPr>
        <w:t xml:space="preserve"> </w:t>
      </w:r>
      <w:r w:rsidR="00C82088">
        <w:rPr>
          <w:rFonts w:ascii="Garamond" w:hAnsi="Garamond"/>
          <w:sz w:val="24"/>
          <w:szCs w:val="24"/>
          <w:lang w:val="pt-PT"/>
        </w:rPr>
        <w:t xml:space="preserve">é a </w:t>
      </w:r>
      <w:r w:rsidRPr="002D7F08">
        <w:rPr>
          <w:rFonts w:ascii="Garamond" w:hAnsi="Garamond"/>
          <w:sz w:val="24"/>
          <w:szCs w:val="24"/>
          <w:lang w:val="pt-PT"/>
        </w:rPr>
        <w:t>diferença entre o valor do investimento em ativos não correntes no ano t</w:t>
      </w:r>
      <w:r w:rsidR="00157348">
        <w:rPr>
          <w:rFonts w:ascii="Garamond" w:hAnsi="Garamond"/>
          <w:sz w:val="24"/>
          <w:szCs w:val="24"/>
          <w:lang w:val="pt-PT"/>
        </w:rPr>
        <w:t>-1</w:t>
      </w:r>
      <w:r w:rsidRPr="002D7F08">
        <w:rPr>
          <w:rFonts w:ascii="Garamond" w:hAnsi="Garamond"/>
          <w:sz w:val="24"/>
          <w:szCs w:val="24"/>
          <w:lang w:val="pt-PT"/>
        </w:rPr>
        <w:t xml:space="preserve"> e o valor do investimento em ativos não correntes no ano t-</w:t>
      </w:r>
      <w:r w:rsidR="00157348">
        <w:rPr>
          <w:rFonts w:ascii="Garamond" w:hAnsi="Garamond"/>
          <w:sz w:val="24"/>
          <w:szCs w:val="24"/>
          <w:lang w:val="pt-PT"/>
        </w:rPr>
        <w:t>2</w:t>
      </w:r>
      <w:r w:rsidRPr="002D7F08">
        <w:rPr>
          <w:rFonts w:ascii="Garamond" w:hAnsi="Garamond"/>
          <w:sz w:val="24"/>
          <w:szCs w:val="24"/>
          <w:lang w:val="pt-PT"/>
        </w:rPr>
        <w:t xml:space="preserve">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1993)</w:t>
      </w:r>
      <w:r w:rsidR="009711D6">
        <w:rPr>
          <w:rFonts w:ascii="Garamond" w:hAnsi="Garamond"/>
          <w:sz w:val="24"/>
          <w:szCs w:val="24"/>
          <w:lang w:val="pt-PT"/>
        </w:rPr>
        <w:t>. A</w:t>
      </w:r>
      <w:r w:rsidR="009711D6" w:rsidRPr="009711D6">
        <w:rPr>
          <w:rFonts w:ascii="Garamond" w:hAnsi="Garamond"/>
          <w:sz w:val="24"/>
          <w:szCs w:val="24"/>
          <w:lang w:val="pt-PT"/>
        </w:rPr>
        <w:t xml:space="preserve"> relação entre 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9711D6" w:rsidRPr="009711D6">
        <w:rPr>
          <w:rFonts w:ascii="Garamond" w:hAnsi="Garamond"/>
          <w:sz w:val="24"/>
          <w:szCs w:val="24"/>
          <w:lang w:val="pt-PT"/>
        </w:rPr>
        <w:t xml:space="preserve"> e 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9711D6" w:rsidRPr="009711D6">
        <w:rPr>
          <w:rFonts w:ascii="Garamond" w:hAnsi="Garamond"/>
          <w:sz w:val="24"/>
          <w:szCs w:val="24"/>
          <w:lang w:val="pt-PT"/>
        </w:rPr>
        <w:t xml:space="preserve"> pode depender do contexto específico e da estratégia de investimento da empresa.</w:t>
      </w:r>
      <w:r w:rsidR="009711D6">
        <w:rPr>
          <w:rFonts w:ascii="Garamond" w:hAnsi="Garamond"/>
          <w:sz w:val="24"/>
          <w:szCs w:val="24"/>
          <w:lang w:val="pt-PT"/>
        </w:rPr>
        <w:t xml:space="preserve"> </w:t>
      </w:r>
      <w:r w:rsidR="009711D6" w:rsidRPr="009711D6">
        <w:rPr>
          <w:rFonts w:ascii="Garamond" w:hAnsi="Garamond"/>
          <w:sz w:val="24"/>
          <w:szCs w:val="24"/>
          <w:lang w:val="pt-PT"/>
        </w:rPr>
        <w:t xml:space="preserve">Se uma empresa aumentou o seu investimento em ativos não correntes no ano anterior, isso pode indicar um ciclo de expansão e </w:t>
      </w:r>
      <w:r w:rsidR="009711D6" w:rsidRPr="009711D6">
        <w:rPr>
          <w:rFonts w:ascii="Garamond" w:hAnsi="Garamond"/>
          <w:sz w:val="24"/>
          <w:szCs w:val="24"/>
          <w:lang w:val="pt-PT"/>
        </w:rPr>
        <w:lastRenderedPageBreak/>
        <w:t>desenvolvimento contínuo. Neste caso, é possível que a empresa continue a investir no ano atual para sustentar o crescimento, sugerindo uma relação positiva entre</w:t>
      </w:r>
      <w:r w:rsidR="009711D6">
        <w:rPr>
          <w:rFonts w:ascii="Garamond" w:hAnsi="Garamond"/>
          <w:sz w:val="24"/>
          <w:szCs w:val="24"/>
          <w:lang w:val="pt-PT"/>
        </w:rPr>
        <w:t xml:space="preserve"> as variáveis. No entanto,</w:t>
      </w:r>
      <w:r w:rsidR="009711D6" w:rsidRPr="009711D6">
        <w:rPr>
          <w:lang w:val="pt-PT"/>
        </w:rPr>
        <w:t xml:space="preserve"> </w:t>
      </w:r>
      <w:r w:rsidR="009711D6" w:rsidRPr="009711D6">
        <w:rPr>
          <w:rFonts w:ascii="Garamond" w:hAnsi="Garamond"/>
          <w:sz w:val="24"/>
          <w:szCs w:val="24"/>
          <w:lang w:val="pt-PT"/>
        </w:rPr>
        <w:t xml:space="preserve">se a empresa realizou um grande investimento no ano anterior, pode </w:t>
      </w:r>
      <w:r w:rsidR="009711D6">
        <w:rPr>
          <w:rFonts w:ascii="Garamond" w:hAnsi="Garamond"/>
          <w:sz w:val="24"/>
          <w:szCs w:val="24"/>
          <w:lang w:val="pt-PT"/>
        </w:rPr>
        <w:t>não necessitar de</w:t>
      </w:r>
      <w:r w:rsidR="009711D6" w:rsidRPr="009711D6">
        <w:rPr>
          <w:rFonts w:ascii="Garamond" w:hAnsi="Garamond"/>
          <w:sz w:val="24"/>
          <w:szCs w:val="24"/>
          <w:lang w:val="pt-PT"/>
        </w:rPr>
        <w:t xml:space="preserve"> fazer investimentos adicionais significativos no ano atual, optando por consolidar e integrar os ativos adquiridos</w:t>
      </w:r>
      <w:r w:rsidR="009711D6">
        <w:rPr>
          <w:rFonts w:ascii="Garamond" w:hAnsi="Garamond"/>
          <w:sz w:val="24"/>
          <w:szCs w:val="24"/>
          <w:lang w:val="pt-PT"/>
        </w:rPr>
        <w:t>, e nesse caso espera-se uma relação negativa entre as variáveis</w:t>
      </w:r>
      <w:r w:rsidRPr="002D7F08">
        <w:rPr>
          <w:rFonts w:ascii="Garamond" w:hAnsi="Garamond"/>
          <w:sz w:val="24"/>
          <w:szCs w:val="24"/>
          <w:lang w:val="pt-PT"/>
        </w:rPr>
        <w:t>;</w:t>
      </w:r>
    </w:p>
    <w:p w14:paraId="1DAEC710" w14:textId="50BD0B8F" w:rsidR="00337466" w:rsidRPr="002D7F08" w:rsidRDefault="00337466" w:rsidP="00642608">
      <w:pPr>
        <w:numPr>
          <w:ilvl w:val="0"/>
          <w:numId w:val="5"/>
        </w:numPr>
        <w:spacing w:line="360" w:lineRule="auto"/>
        <w:jc w:val="both"/>
        <w:rPr>
          <w:rFonts w:ascii="Garamond" w:hAnsi="Garamond"/>
          <w:sz w:val="24"/>
          <w:szCs w:val="24"/>
          <w:lang w:val="pt-PT"/>
        </w:rPr>
      </w:pPr>
      <w:r w:rsidRPr="002D7F08">
        <w:rPr>
          <w:rFonts w:ascii="Garamond" w:hAnsi="Garamond"/>
          <w:sz w:val="24"/>
          <w:szCs w:val="24"/>
          <w:lang w:val="pt-PT"/>
        </w:rPr>
        <w:t xml:space="preserve">A variável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2D7F08">
        <w:rPr>
          <w:rFonts w:ascii="Garamond" w:hAnsi="Garamond"/>
          <w:sz w:val="24"/>
          <w:szCs w:val="24"/>
          <w:lang w:val="pt-PT"/>
        </w:rPr>
        <w:t xml:space="preserve"> representa os meios financeiros líquidos do ano anterior, que são calculados através da soma do resultado líquido do período (RLP), das depreciações, das amortizações, das provisões, das perdas por imparidade e dos ajustamentos do ano t-1. </w:t>
      </w:r>
      <w:proofErr w:type="gramStart"/>
      <w:r w:rsidR="00F31A58" w:rsidRPr="002D7F08">
        <w:rPr>
          <w:rFonts w:ascii="Garamond" w:hAnsi="Garamond"/>
          <w:sz w:val="24"/>
          <w:szCs w:val="24"/>
          <w:lang w:val="pt-PT"/>
        </w:rPr>
        <w:t>A soma destas variáveis refletem</w:t>
      </w:r>
      <w:proofErr w:type="gramEnd"/>
      <w:r w:rsidRPr="002D7F08">
        <w:rPr>
          <w:rFonts w:ascii="Garamond" w:hAnsi="Garamond"/>
          <w:sz w:val="24"/>
          <w:szCs w:val="24"/>
          <w:lang w:val="pt-PT"/>
        </w:rPr>
        <w:t xml:space="preserve"> uma alternativa ao cash-flow utilizada em estudos como o de </w:t>
      </w:r>
      <w:proofErr w:type="spellStart"/>
      <w:r w:rsidRPr="002D7F08">
        <w:rPr>
          <w:rFonts w:ascii="Garamond" w:hAnsi="Garamond"/>
          <w:sz w:val="24"/>
          <w:szCs w:val="24"/>
          <w:lang w:val="pt-PT"/>
        </w:rPr>
        <w:t>Kopcke</w:t>
      </w:r>
      <w:proofErr w:type="spellEnd"/>
      <w:r w:rsidRPr="002D7F08">
        <w:rPr>
          <w:rFonts w:ascii="Garamond" w:hAnsi="Garamond"/>
          <w:sz w:val="24"/>
          <w:szCs w:val="24"/>
          <w:lang w:val="pt-PT"/>
        </w:rPr>
        <w:t xml:space="preserve"> (1993) e de Mendes </w:t>
      </w:r>
      <w:proofErr w:type="spellStart"/>
      <w:r w:rsidRPr="002D7F08">
        <w:rPr>
          <w:rFonts w:ascii="Garamond" w:hAnsi="Garamond"/>
          <w:sz w:val="24"/>
          <w:szCs w:val="24"/>
          <w:lang w:val="pt-PT"/>
        </w:rPr>
        <w:t>et</w:t>
      </w:r>
      <w:proofErr w:type="spellEnd"/>
      <w:r w:rsidRPr="002D7F08">
        <w:rPr>
          <w:rFonts w:ascii="Garamond" w:hAnsi="Garamond"/>
          <w:sz w:val="24"/>
          <w:szCs w:val="24"/>
          <w:lang w:val="pt-PT"/>
        </w:rPr>
        <w:t xml:space="preserve"> al</w:t>
      </w:r>
      <w:r w:rsidR="00D864B6" w:rsidRPr="002D7F08">
        <w:rPr>
          <w:rFonts w:ascii="Garamond" w:hAnsi="Garamond"/>
          <w:sz w:val="24"/>
          <w:szCs w:val="24"/>
          <w:lang w:val="pt-PT"/>
        </w:rPr>
        <w:t>.</w:t>
      </w:r>
      <w:r w:rsidRPr="002D7F08">
        <w:rPr>
          <w:rFonts w:ascii="Garamond" w:hAnsi="Garamond"/>
          <w:sz w:val="24"/>
          <w:szCs w:val="24"/>
          <w:lang w:val="pt-PT"/>
        </w:rPr>
        <w:t xml:space="preserve"> (2014). De acordo com </w:t>
      </w:r>
      <w:proofErr w:type="spellStart"/>
      <w:r w:rsidRPr="002D7F08">
        <w:rPr>
          <w:rFonts w:ascii="Garamond" w:hAnsi="Garamond"/>
          <w:sz w:val="24"/>
          <w:szCs w:val="24"/>
          <w:lang w:val="pt-PT"/>
        </w:rPr>
        <w:t>Edgerton</w:t>
      </w:r>
      <w:proofErr w:type="spellEnd"/>
      <w:r w:rsidR="00D864B6" w:rsidRPr="002D7F08">
        <w:rPr>
          <w:rFonts w:ascii="Garamond" w:hAnsi="Garamond"/>
          <w:sz w:val="24"/>
          <w:szCs w:val="24"/>
          <w:lang w:val="pt-PT"/>
        </w:rPr>
        <w:t xml:space="preserve"> </w:t>
      </w:r>
      <w:r w:rsidRPr="002D7F08">
        <w:rPr>
          <w:rFonts w:ascii="Garamond" w:hAnsi="Garamond"/>
          <w:sz w:val="24"/>
          <w:szCs w:val="24"/>
          <w:lang w:val="pt-PT"/>
        </w:rPr>
        <w:t xml:space="preserve">(2010), as empresas são mais recetivas aos incentivos fiscais ao investimento quando os seus cash-flows são elevados. </w:t>
      </w:r>
      <w:r w:rsidR="003012A0">
        <w:rPr>
          <w:rFonts w:ascii="Garamond" w:hAnsi="Garamond"/>
          <w:sz w:val="24"/>
          <w:szCs w:val="24"/>
          <w:lang w:val="pt-PT"/>
        </w:rPr>
        <w:t xml:space="preserve">Assim, espera-se uma relação positiva entre a variável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m:t>
            </m:r>
            <m:r>
              <m:rPr>
                <m:sty m:val="p"/>
              </m:rPr>
              <w:rPr>
                <w:rFonts w:ascii="Cambria Math" w:hAnsi="Cambria Math"/>
                <w:sz w:val="24"/>
                <w:szCs w:val="24"/>
                <w:lang w:val="pt-PT"/>
              </w:rPr>
              <m:t>-1</m:t>
            </m:r>
          </m:sub>
        </m:sSub>
      </m:oMath>
      <w:r w:rsidR="003012A0">
        <w:rPr>
          <w:rFonts w:ascii="Garamond" w:hAnsi="Garamond"/>
          <w:sz w:val="24"/>
          <w:szCs w:val="24"/>
          <w:lang w:val="pt-PT"/>
        </w:rPr>
        <w:t xml:space="preserve"> e 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275E97">
        <w:rPr>
          <w:rFonts w:ascii="Garamond" w:hAnsi="Garamond"/>
          <w:sz w:val="24"/>
          <w:szCs w:val="24"/>
          <w:lang w:val="pt-PT"/>
        </w:rPr>
        <w:t>;</w:t>
      </w:r>
    </w:p>
    <w:p w14:paraId="5517815C" w14:textId="1A07F334" w:rsidR="00337466" w:rsidRPr="002D7F08" w:rsidRDefault="0090622E" w:rsidP="00642608">
      <w:pPr>
        <w:numPr>
          <w:ilvl w:val="0"/>
          <w:numId w:val="5"/>
        </w:numPr>
        <w:spacing w:line="360" w:lineRule="auto"/>
        <w:jc w:val="both"/>
        <w:rPr>
          <w:rFonts w:ascii="Garamond" w:hAnsi="Garamond"/>
          <w:sz w:val="24"/>
          <w:szCs w:val="24"/>
          <w:lang w:val="pt-PT"/>
        </w:rPr>
      </w:pPr>
      <w:r>
        <w:rPr>
          <w:rFonts w:ascii="Garamond" w:hAnsi="Garamond"/>
          <w:sz w:val="24"/>
          <w:szCs w:val="24"/>
          <w:lang w:val="pt-PT"/>
        </w:rPr>
        <w:t xml:space="preserve">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157348">
        <w:rPr>
          <w:rFonts w:ascii="Garamond" w:hAnsi="Garamond"/>
          <w:sz w:val="24"/>
          <w:szCs w:val="24"/>
          <w:lang w:val="pt-PT"/>
        </w:rPr>
        <w:t xml:space="preserve"> </w:t>
      </w:r>
      <w:r w:rsidR="00157348" w:rsidRPr="00157348">
        <w:rPr>
          <w:rFonts w:ascii="Garamond" w:hAnsi="Garamond"/>
          <w:sz w:val="24"/>
          <w:szCs w:val="24"/>
          <w:lang w:val="pt-PT"/>
        </w:rPr>
        <w:t>reflete a variação do endividamento</w:t>
      </w:r>
      <w:r w:rsidR="000D398A">
        <w:rPr>
          <w:rFonts w:ascii="Garamond" w:hAnsi="Garamond"/>
          <w:sz w:val="24"/>
          <w:szCs w:val="24"/>
          <w:lang w:val="pt-PT"/>
        </w:rPr>
        <w:t xml:space="preserve"> do ano anterior</w:t>
      </w:r>
      <w:r w:rsidR="00157348" w:rsidRPr="00157348">
        <w:rPr>
          <w:rFonts w:ascii="Garamond" w:hAnsi="Garamond"/>
          <w:sz w:val="24"/>
          <w:szCs w:val="24"/>
          <w:lang w:val="pt-PT"/>
        </w:rPr>
        <w:t>, que é calculada como a diferença entre o quociente do total do passivo pelo total do ativo no ano t-1 e o quociente do total do passivo pelo total do ativo no ano t-2</w:t>
      </w:r>
      <w:r w:rsidR="00157348">
        <w:rPr>
          <w:rFonts w:ascii="Garamond" w:hAnsi="Garamond"/>
          <w:sz w:val="24"/>
          <w:szCs w:val="24"/>
          <w:lang w:val="pt-PT"/>
        </w:rPr>
        <w:t xml:space="preserve">. </w:t>
      </w:r>
      <w:r w:rsidR="00337466" w:rsidRPr="002D7F08">
        <w:rPr>
          <w:rFonts w:ascii="Garamond" w:hAnsi="Garamond"/>
          <w:sz w:val="24"/>
          <w:szCs w:val="24"/>
          <w:lang w:val="pt-PT"/>
        </w:rPr>
        <w:t xml:space="preserve">De acordo com Mendes </w:t>
      </w:r>
      <w:proofErr w:type="spellStart"/>
      <w:r w:rsidR="00337466" w:rsidRPr="002D7F08">
        <w:rPr>
          <w:rFonts w:ascii="Garamond" w:hAnsi="Garamond"/>
          <w:sz w:val="24"/>
          <w:szCs w:val="24"/>
          <w:lang w:val="pt-PT"/>
        </w:rPr>
        <w:t>et</w:t>
      </w:r>
      <w:proofErr w:type="spellEnd"/>
      <w:r w:rsidR="00337466" w:rsidRPr="002D7F08">
        <w:rPr>
          <w:rFonts w:ascii="Garamond" w:hAnsi="Garamond"/>
          <w:sz w:val="24"/>
          <w:szCs w:val="24"/>
          <w:lang w:val="pt-PT"/>
        </w:rPr>
        <w:t xml:space="preserve"> al</w:t>
      </w:r>
      <w:r w:rsidR="00D864B6" w:rsidRPr="002D7F08">
        <w:rPr>
          <w:rFonts w:ascii="Garamond" w:hAnsi="Garamond"/>
          <w:sz w:val="24"/>
          <w:szCs w:val="24"/>
          <w:lang w:val="pt-PT"/>
        </w:rPr>
        <w:t>.</w:t>
      </w:r>
      <w:r w:rsidR="00337466" w:rsidRPr="002D7F08">
        <w:rPr>
          <w:rFonts w:ascii="Garamond" w:hAnsi="Garamond"/>
          <w:sz w:val="24"/>
          <w:szCs w:val="24"/>
          <w:lang w:val="pt-PT"/>
        </w:rPr>
        <w:t xml:space="preserve"> (2014), o nível do endividamento pode ser um importante determinante para a explicação do investimento das empresas</w:t>
      </w:r>
      <w:r w:rsidR="00275E97">
        <w:rPr>
          <w:rFonts w:ascii="Garamond" w:hAnsi="Garamond"/>
          <w:sz w:val="24"/>
          <w:szCs w:val="24"/>
          <w:lang w:val="pt-PT"/>
        </w:rPr>
        <w:t xml:space="preserve">. Tendo em conta que o endividamento corresponde ao rácio entre o total do passivo sobre o total do ativo, espera-se uma relação negativa entre esta variável </w:t>
      </w:r>
      <w:r w:rsidR="000D398A">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0D398A">
        <w:rPr>
          <w:rFonts w:ascii="Garamond" w:hAnsi="Garamond"/>
          <w:sz w:val="24"/>
          <w:szCs w:val="24"/>
          <w:lang w:val="pt-PT"/>
        </w:rPr>
        <w:t xml:space="preserve"> </w:t>
      </w:r>
      <w:r w:rsidR="00275E97">
        <w:rPr>
          <w:rFonts w:ascii="Garamond" w:hAnsi="Garamond"/>
          <w:sz w:val="24"/>
          <w:szCs w:val="24"/>
          <w:lang w:val="pt-PT"/>
        </w:rPr>
        <w:t xml:space="preserve">e 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337466" w:rsidRPr="002D7F08">
        <w:rPr>
          <w:rFonts w:ascii="Garamond" w:hAnsi="Garamond"/>
          <w:sz w:val="24"/>
          <w:szCs w:val="24"/>
          <w:lang w:val="pt-PT"/>
        </w:rPr>
        <w:t>;</w:t>
      </w:r>
    </w:p>
    <w:p w14:paraId="01CA8A61" w14:textId="3A24047B" w:rsidR="00337466" w:rsidRPr="002D7F08" w:rsidRDefault="0090622E" w:rsidP="00642608">
      <w:pPr>
        <w:numPr>
          <w:ilvl w:val="0"/>
          <w:numId w:val="5"/>
        </w:numPr>
        <w:spacing w:line="360" w:lineRule="auto"/>
        <w:jc w:val="both"/>
        <w:rPr>
          <w:rFonts w:ascii="Garamond" w:hAnsi="Garamond"/>
          <w:sz w:val="24"/>
          <w:szCs w:val="24"/>
          <w:lang w:val="pt-PT"/>
        </w:rPr>
      </w:pPr>
      <w:r>
        <w:rPr>
          <w:rFonts w:ascii="Garamond" w:hAnsi="Garamond"/>
          <w:sz w:val="24"/>
          <w:szCs w:val="24"/>
          <w:lang w:val="pt-PT"/>
        </w:rPr>
        <w:t xml:space="preserve">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00337466" w:rsidRPr="002D7F08">
        <w:rPr>
          <w:rFonts w:ascii="Garamond" w:hAnsi="Garamond"/>
          <w:sz w:val="24"/>
          <w:szCs w:val="24"/>
          <w:lang w:val="pt-PT"/>
        </w:rPr>
        <w:t xml:space="preserve"> </w:t>
      </w:r>
      <w:r>
        <w:rPr>
          <w:rFonts w:ascii="Garamond" w:hAnsi="Garamond"/>
          <w:sz w:val="24"/>
          <w:szCs w:val="24"/>
          <w:lang w:val="pt-PT"/>
        </w:rPr>
        <w:t>(</w:t>
      </w:r>
      <w:r w:rsidR="00337466" w:rsidRPr="002D7F08">
        <w:rPr>
          <w:rFonts w:ascii="Garamond" w:hAnsi="Garamond"/>
          <w:sz w:val="24"/>
          <w:szCs w:val="24"/>
          <w:lang w:val="pt-PT"/>
        </w:rPr>
        <w:t>variação da produção</w:t>
      </w:r>
      <w:r>
        <w:rPr>
          <w:rFonts w:ascii="Garamond" w:hAnsi="Garamond"/>
          <w:sz w:val="24"/>
          <w:szCs w:val="24"/>
          <w:lang w:val="pt-PT"/>
        </w:rPr>
        <w:t xml:space="preserve"> do ano t-1)</w:t>
      </w:r>
      <w:r w:rsidR="00337466" w:rsidRPr="002D7F08">
        <w:rPr>
          <w:rFonts w:ascii="Garamond" w:hAnsi="Garamond"/>
          <w:sz w:val="24"/>
          <w:szCs w:val="24"/>
          <w:lang w:val="pt-PT"/>
        </w:rPr>
        <w:t xml:space="preserve"> é calculada através da diferença entre a soma das vendas e prestação de serviços, variação nos inventários de produção, subsídios à exploração e trabalhos para a própria entidade no ano t</w:t>
      </w:r>
      <w:r w:rsidR="00787450">
        <w:rPr>
          <w:rFonts w:ascii="Garamond" w:hAnsi="Garamond"/>
          <w:sz w:val="24"/>
          <w:szCs w:val="24"/>
          <w:lang w:val="pt-PT"/>
        </w:rPr>
        <w:t>-1</w:t>
      </w:r>
      <w:r w:rsidR="00337466" w:rsidRPr="002D7F08">
        <w:rPr>
          <w:rFonts w:ascii="Garamond" w:hAnsi="Garamond"/>
          <w:sz w:val="24"/>
          <w:szCs w:val="24"/>
          <w:lang w:val="pt-PT"/>
        </w:rPr>
        <w:t xml:space="preserve">, e a soma correspondente </w:t>
      </w:r>
      <w:r w:rsidR="00446A32">
        <w:rPr>
          <w:rFonts w:ascii="Garamond" w:hAnsi="Garamond"/>
          <w:sz w:val="24"/>
          <w:szCs w:val="24"/>
          <w:lang w:val="pt-PT"/>
        </w:rPr>
        <w:t>relativa ao</w:t>
      </w:r>
      <w:r w:rsidR="00337466" w:rsidRPr="002D7F08">
        <w:rPr>
          <w:rFonts w:ascii="Garamond" w:hAnsi="Garamond"/>
          <w:sz w:val="24"/>
          <w:szCs w:val="24"/>
          <w:lang w:val="pt-PT"/>
        </w:rPr>
        <w:t xml:space="preserve"> ano t</w:t>
      </w:r>
      <w:r w:rsidR="00787450">
        <w:rPr>
          <w:rFonts w:ascii="Garamond" w:hAnsi="Garamond"/>
          <w:sz w:val="24"/>
          <w:szCs w:val="24"/>
          <w:lang w:val="pt-PT"/>
        </w:rPr>
        <w:t>-2</w:t>
      </w:r>
      <w:r w:rsidR="00520BC7">
        <w:rPr>
          <w:rFonts w:ascii="Garamond" w:hAnsi="Garamond"/>
          <w:sz w:val="24"/>
          <w:szCs w:val="24"/>
          <w:lang w:val="pt-PT"/>
        </w:rPr>
        <w:t>. Estudos como o de</w:t>
      </w:r>
      <w:r w:rsidR="00337466" w:rsidRPr="002D7F08">
        <w:rPr>
          <w:rFonts w:ascii="Garamond" w:hAnsi="Garamond"/>
          <w:sz w:val="24"/>
          <w:szCs w:val="24"/>
          <w:lang w:val="pt-PT"/>
        </w:rPr>
        <w:t xml:space="preserve"> </w:t>
      </w:r>
      <w:proofErr w:type="spellStart"/>
      <w:r w:rsidR="00337466" w:rsidRPr="002D7F08">
        <w:rPr>
          <w:rFonts w:ascii="Garamond" w:hAnsi="Garamond"/>
          <w:sz w:val="24"/>
          <w:szCs w:val="24"/>
          <w:lang w:val="pt-PT"/>
        </w:rPr>
        <w:t>Kopcke</w:t>
      </w:r>
      <w:proofErr w:type="spellEnd"/>
      <w:r w:rsidR="00337466" w:rsidRPr="002D7F08">
        <w:rPr>
          <w:rFonts w:ascii="Garamond" w:hAnsi="Garamond"/>
          <w:sz w:val="24"/>
          <w:szCs w:val="24"/>
          <w:lang w:val="pt-PT"/>
        </w:rPr>
        <w:t xml:space="preserve"> </w:t>
      </w:r>
      <w:r w:rsidR="00520BC7">
        <w:rPr>
          <w:rFonts w:ascii="Garamond" w:hAnsi="Garamond"/>
          <w:sz w:val="24"/>
          <w:szCs w:val="24"/>
          <w:lang w:val="pt-PT"/>
        </w:rPr>
        <w:t>(</w:t>
      </w:r>
      <w:r w:rsidR="00337466" w:rsidRPr="002D7F08">
        <w:rPr>
          <w:rFonts w:ascii="Garamond" w:hAnsi="Garamond"/>
          <w:sz w:val="24"/>
          <w:szCs w:val="24"/>
          <w:lang w:val="pt-PT"/>
        </w:rPr>
        <w:t>1993</w:t>
      </w:r>
      <w:r w:rsidR="00B22E01" w:rsidRPr="002D7F08">
        <w:rPr>
          <w:rFonts w:ascii="Garamond" w:hAnsi="Garamond"/>
          <w:sz w:val="24"/>
          <w:szCs w:val="24"/>
          <w:lang w:val="pt-PT"/>
        </w:rPr>
        <w:t>)</w:t>
      </w:r>
      <w:r w:rsidR="00520BC7">
        <w:rPr>
          <w:rFonts w:ascii="Garamond" w:hAnsi="Garamond"/>
          <w:sz w:val="24"/>
          <w:szCs w:val="24"/>
          <w:lang w:val="pt-PT"/>
        </w:rPr>
        <w:t xml:space="preserve"> </w:t>
      </w:r>
      <w:r w:rsidR="00520BC7" w:rsidRPr="00520BC7">
        <w:rPr>
          <w:rFonts w:ascii="Garamond" w:hAnsi="Garamond"/>
          <w:sz w:val="24"/>
          <w:szCs w:val="24"/>
          <w:lang w:val="pt-PT"/>
        </w:rPr>
        <w:t>têm utilizado a variação da produção como uma variável explicativa para o investimento e geralmente encontram uma relação positiva. Isso significa que quando a produção aumenta</w:t>
      </w:r>
      <w:r w:rsidR="00275E97">
        <w:rPr>
          <w:rFonts w:ascii="Garamond" w:hAnsi="Garamond"/>
          <w:sz w:val="24"/>
          <w:szCs w:val="24"/>
          <w:lang w:val="pt-PT"/>
        </w:rPr>
        <w:t xml:space="preserve"> no ano t-1</w:t>
      </w:r>
      <w:r w:rsidR="00520BC7" w:rsidRPr="00520BC7">
        <w:rPr>
          <w:rFonts w:ascii="Garamond" w:hAnsi="Garamond"/>
          <w:sz w:val="24"/>
          <w:szCs w:val="24"/>
          <w:lang w:val="pt-PT"/>
        </w:rPr>
        <w:t>, o investimento</w:t>
      </w:r>
      <w:r w:rsidR="00275E97">
        <w:rPr>
          <w:rFonts w:ascii="Garamond" w:hAnsi="Garamond"/>
          <w:sz w:val="24"/>
          <w:szCs w:val="24"/>
          <w:lang w:val="pt-PT"/>
        </w:rPr>
        <w:t xml:space="preserve"> no ano t</w:t>
      </w:r>
      <w:r w:rsidR="00520BC7" w:rsidRPr="00520BC7">
        <w:rPr>
          <w:rFonts w:ascii="Garamond" w:hAnsi="Garamond"/>
          <w:sz w:val="24"/>
          <w:szCs w:val="24"/>
          <w:lang w:val="pt-PT"/>
        </w:rPr>
        <w:t xml:space="preserve"> tende a aumentar</w:t>
      </w:r>
      <w:r w:rsidR="00275E97">
        <w:rPr>
          <w:rFonts w:ascii="Garamond" w:hAnsi="Garamond"/>
          <w:sz w:val="24"/>
          <w:szCs w:val="24"/>
          <w:lang w:val="pt-PT"/>
        </w:rPr>
        <w:t>, pelo que se espera uma relação positiva entre as variáveis</w:t>
      </w:r>
      <w:r w:rsidR="00BC31B6">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00BC31B6">
        <w:rPr>
          <w:rFonts w:ascii="Garamond" w:hAnsi="Garamond"/>
          <w:sz w:val="24"/>
          <w:szCs w:val="24"/>
          <w:lang w:val="pt-PT"/>
        </w:rPr>
        <w:t xml:space="preserve"> 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B22E01" w:rsidRPr="002D7F08">
        <w:rPr>
          <w:rFonts w:ascii="Garamond" w:hAnsi="Garamond"/>
          <w:sz w:val="24"/>
          <w:szCs w:val="24"/>
          <w:lang w:val="pt-PT"/>
        </w:rPr>
        <w:t>;</w:t>
      </w:r>
      <w:r w:rsidR="00820E74">
        <w:rPr>
          <w:rFonts w:ascii="Garamond" w:hAnsi="Garamond"/>
          <w:sz w:val="24"/>
          <w:szCs w:val="24"/>
          <w:lang w:val="pt-PT"/>
        </w:rPr>
        <w:t xml:space="preserve"> </w:t>
      </w:r>
    </w:p>
    <w:p w14:paraId="522B6A8D" w14:textId="4B82CE91" w:rsidR="00337466" w:rsidRPr="002D7F08" w:rsidRDefault="00000000" w:rsidP="00642608">
      <w:pPr>
        <w:numPr>
          <w:ilvl w:val="0"/>
          <w:numId w:val="5"/>
        </w:numPr>
        <w:spacing w:line="360" w:lineRule="auto"/>
        <w:jc w:val="both"/>
        <w:rPr>
          <w:rFonts w:ascii="Garamond" w:hAnsi="Garamond"/>
          <w:sz w:val="24"/>
          <w:szCs w:val="24"/>
          <w:lang w:val="pt-PT"/>
        </w:rPr>
      </w:pP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337466" w:rsidRPr="002D7F08">
        <w:rPr>
          <w:rFonts w:ascii="Garamond" w:hAnsi="Garamond"/>
          <w:sz w:val="24"/>
          <w:szCs w:val="24"/>
          <w:lang w:val="pt-PT"/>
        </w:rPr>
        <w:t xml:space="preserve"> corresponde à autonomia financeira, que é calculada através do quociente entre o capital próprio e o total dos ativos</w:t>
      </w:r>
      <w:r w:rsidR="00914D93">
        <w:rPr>
          <w:rFonts w:ascii="Garamond" w:hAnsi="Garamond"/>
          <w:sz w:val="24"/>
          <w:szCs w:val="24"/>
          <w:lang w:val="pt-PT"/>
        </w:rPr>
        <w:t xml:space="preserve">. </w:t>
      </w:r>
      <w:r w:rsidR="00914D93" w:rsidRPr="00914D93">
        <w:rPr>
          <w:rFonts w:ascii="Garamond" w:hAnsi="Garamond"/>
          <w:sz w:val="24"/>
          <w:szCs w:val="24"/>
          <w:lang w:val="pt-PT"/>
        </w:rPr>
        <w:t xml:space="preserve">Uma maior autonomia financeira indica uma </w:t>
      </w:r>
      <w:r w:rsidR="00914D93" w:rsidRPr="00914D93">
        <w:rPr>
          <w:rFonts w:ascii="Garamond" w:hAnsi="Garamond"/>
          <w:sz w:val="24"/>
          <w:szCs w:val="24"/>
          <w:lang w:val="pt-PT"/>
        </w:rPr>
        <w:lastRenderedPageBreak/>
        <w:t>maior estabilidade financeira e uma menor dependência de financiamento extern</w:t>
      </w:r>
      <w:r w:rsidR="00914D93">
        <w:rPr>
          <w:rFonts w:ascii="Garamond" w:hAnsi="Garamond"/>
          <w:sz w:val="24"/>
          <w:szCs w:val="24"/>
          <w:lang w:val="pt-PT"/>
        </w:rPr>
        <w:t xml:space="preserve">o, pelo que se espera uma relação positiva entre esta variável e 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337466" w:rsidRPr="002D7F08">
        <w:rPr>
          <w:rFonts w:ascii="Garamond" w:hAnsi="Garamond"/>
          <w:sz w:val="24"/>
          <w:szCs w:val="24"/>
          <w:lang w:val="pt-PT"/>
        </w:rPr>
        <w:t>;</w:t>
      </w:r>
    </w:p>
    <w:p w14:paraId="66A38FB8" w14:textId="0DA075A7" w:rsidR="00337466" w:rsidRDefault="00000000" w:rsidP="00642608">
      <w:pPr>
        <w:numPr>
          <w:ilvl w:val="0"/>
          <w:numId w:val="5"/>
        </w:numPr>
        <w:spacing w:line="360" w:lineRule="auto"/>
        <w:jc w:val="both"/>
        <w:rPr>
          <w:rFonts w:ascii="Garamond" w:hAnsi="Garamond"/>
          <w:sz w:val="24"/>
          <w:szCs w:val="24"/>
          <w:lang w:val="pt-PT"/>
        </w:rPr>
      </w:pP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337466" w:rsidRPr="002D7F08">
        <w:rPr>
          <w:rFonts w:ascii="Garamond" w:hAnsi="Garamond"/>
          <w:sz w:val="24"/>
          <w:szCs w:val="24"/>
          <w:lang w:val="pt-PT"/>
        </w:rPr>
        <w:t xml:space="preserve"> é uma variável </w:t>
      </w:r>
      <w:r w:rsidR="00337466" w:rsidRPr="008846EB">
        <w:rPr>
          <w:rFonts w:ascii="Garamond" w:hAnsi="Garamond"/>
          <w:i/>
          <w:iCs/>
          <w:sz w:val="24"/>
          <w:szCs w:val="24"/>
          <w:lang w:val="pt-PT"/>
        </w:rPr>
        <w:t>dummy</w:t>
      </w:r>
      <w:r w:rsidR="00337466" w:rsidRPr="002D7F08">
        <w:rPr>
          <w:rFonts w:ascii="Garamond" w:hAnsi="Garamond"/>
          <w:sz w:val="24"/>
          <w:szCs w:val="24"/>
          <w:lang w:val="pt-PT"/>
        </w:rPr>
        <w:t>, que assume o valor 1 se a empresa beneficiou do CFEI II</w:t>
      </w:r>
      <w:r w:rsidR="00930C90">
        <w:rPr>
          <w:rFonts w:ascii="Garamond" w:hAnsi="Garamond"/>
          <w:sz w:val="24"/>
          <w:szCs w:val="24"/>
          <w:lang w:val="pt-PT"/>
        </w:rPr>
        <w:t xml:space="preserve"> </w:t>
      </w:r>
      <w:r w:rsidR="00EC06AF">
        <w:rPr>
          <w:rFonts w:ascii="Garamond" w:hAnsi="Garamond"/>
          <w:sz w:val="24"/>
          <w:szCs w:val="24"/>
          <w:lang w:val="pt-PT"/>
        </w:rPr>
        <w:t>num</w:t>
      </w:r>
      <w:r w:rsidR="00930C90">
        <w:rPr>
          <w:rFonts w:ascii="Garamond" w:hAnsi="Garamond"/>
          <w:sz w:val="24"/>
          <w:szCs w:val="24"/>
          <w:lang w:val="pt-PT"/>
        </w:rPr>
        <w:t xml:space="preserve"> determinado ano</w:t>
      </w:r>
      <w:r w:rsidR="00337466" w:rsidRPr="002D7F08">
        <w:rPr>
          <w:rFonts w:ascii="Garamond" w:hAnsi="Garamond"/>
          <w:sz w:val="24"/>
          <w:szCs w:val="24"/>
          <w:lang w:val="pt-PT"/>
        </w:rPr>
        <w:t>, e 0 caso contrário;</w:t>
      </w:r>
    </w:p>
    <w:p w14:paraId="5BA21F21" w14:textId="44939F88" w:rsidR="00757A0B" w:rsidRPr="002D7F08" w:rsidRDefault="00757A0B" w:rsidP="00642608">
      <w:pPr>
        <w:numPr>
          <w:ilvl w:val="0"/>
          <w:numId w:val="5"/>
        </w:numPr>
        <w:spacing w:line="360" w:lineRule="auto"/>
        <w:jc w:val="both"/>
        <w:rPr>
          <w:rFonts w:ascii="Garamond" w:hAnsi="Garamond"/>
          <w:sz w:val="24"/>
          <w:szCs w:val="24"/>
          <w:lang w:val="pt-PT"/>
        </w:rPr>
      </w:pPr>
      <w:r>
        <w:rPr>
          <w:rFonts w:ascii="Garamond" w:hAnsi="Garamond"/>
          <w:sz w:val="24"/>
          <w:szCs w:val="24"/>
          <w:lang w:val="pt-PT"/>
        </w:rPr>
        <w:t>A</w:t>
      </w:r>
      <w:r w:rsidRPr="00757A0B">
        <w:rPr>
          <w:rFonts w:ascii="Garamond" w:hAnsi="Garamond"/>
          <w:sz w:val="24"/>
          <w:szCs w:val="24"/>
          <w:lang w:val="pt-PT"/>
        </w:rPr>
        <w:t xml:space="preserve"> variável multiplicativa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r>
          <w:rPr>
            <w:rFonts w:ascii="Cambria Math" w:hAnsi="Cambria Math"/>
            <w:sz w:val="24"/>
            <w:szCs w:val="24"/>
            <w:lang w:val="pt-PT"/>
          </w:rPr>
          <m:t>*</m:t>
        </m:r>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Pr>
          <w:rFonts w:ascii="Garamond" w:hAnsi="Garamond"/>
          <w:sz w:val="24"/>
          <w:szCs w:val="24"/>
          <w:lang w:val="pt-PT"/>
        </w:rPr>
        <w:t xml:space="preserve"> </w:t>
      </w:r>
      <w:r w:rsidRPr="00757A0B">
        <w:rPr>
          <w:rFonts w:ascii="Garamond" w:hAnsi="Garamond"/>
          <w:sz w:val="24"/>
          <w:szCs w:val="24"/>
          <w:lang w:val="pt-PT"/>
        </w:rPr>
        <w:t>visa identificar possíveis diferenças no comportamento da variável</w:t>
      </w:r>
      <w:r>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757A0B">
        <w:rPr>
          <w:rFonts w:ascii="Garamond" w:hAnsi="Garamond"/>
          <w:sz w:val="24"/>
          <w:szCs w:val="24"/>
          <w:lang w:val="pt-PT"/>
        </w:rPr>
        <w:t xml:space="preserve"> entre as empresas que beneficiaram do CFEI II e aquelas que não beneficiaram, num determinado ano.</w:t>
      </w:r>
    </w:p>
    <w:p w14:paraId="2BCD7749" w14:textId="469589AC" w:rsidR="00337466" w:rsidRPr="002D7F08" w:rsidRDefault="00337466" w:rsidP="00642608">
      <w:pPr>
        <w:numPr>
          <w:ilvl w:val="0"/>
          <w:numId w:val="5"/>
        </w:numPr>
        <w:spacing w:line="360" w:lineRule="auto"/>
        <w:jc w:val="both"/>
        <w:rPr>
          <w:rFonts w:ascii="Garamond" w:hAnsi="Garamond"/>
          <w:sz w:val="24"/>
          <w:szCs w:val="24"/>
          <w:lang w:val="pt-PT"/>
        </w:rPr>
      </w:pPr>
      <w:r w:rsidRPr="002D7F08">
        <w:rPr>
          <w:rFonts w:ascii="Garamond" w:hAnsi="Garamond"/>
          <w:sz w:val="24"/>
          <w:szCs w:val="24"/>
          <w:lang w:val="pt-PT"/>
        </w:rPr>
        <w:t xml:space="preserve">O </w:t>
      </w:r>
      <m:oMath>
        <m:sSub>
          <m:sSubPr>
            <m:ctrlPr>
              <w:rPr>
                <w:rFonts w:ascii="Cambria Math" w:hAnsi="Cambria Math"/>
                <w:sz w:val="24"/>
                <w:szCs w:val="24"/>
                <w:lang w:val="pt-PT"/>
              </w:rPr>
            </m:ctrlPr>
          </m:sSubPr>
          <m:e>
            <m:r>
              <w:rPr>
                <w:rFonts w:ascii="Cambria Math" w:hAnsi="Cambria Math"/>
                <w:sz w:val="24"/>
                <w:szCs w:val="24"/>
                <w:lang w:val="pt-PT"/>
              </w:rPr>
              <m:t>ε</m:t>
            </m:r>
          </m:e>
          <m:sub>
            <m:r>
              <w:rPr>
                <w:rFonts w:ascii="Cambria Math" w:hAnsi="Cambria Math"/>
                <w:sz w:val="24"/>
                <w:szCs w:val="24"/>
                <w:lang w:val="pt-PT"/>
              </w:rPr>
              <m:t>it</m:t>
            </m:r>
          </m:sub>
        </m:sSub>
      </m:oMath>
      <w:r w:rsidRPr="002D7F08">
        <w:rPr>
          <w:rFonts w:ascii="Garamond" w:hAnsi="Garamond"/>
          <w:sz w:val="24"/>
          <w:szCs w:val="24"/>
          <w:lang w:val="pt-PT"/>
        </w:rPr>
        <w:t xml:space="preserve"> </w:t>
      </w:r>
      <w:r w:rsidR="00C82088">
        <w:rPr>
          <w:rFonts w:ascii="Garamond" w:hAnsi="Garamond"/>
          <w:sz w:val="24"/>
          <w:szCs w:val="24"/>
          <w:lang w:val="pt-PT"/>
        </w:rPr>
        <w:t xml:space="preserve">é o </w:t>
      </w:r>
      <w:r w:rsidR="00E240EA">
        <w:rPr>
          <w:rFonts w:ascii="Garamond" w:hAnsi="Garamond"/>
          <w:sz w:val="24"/>
          <w:szCs w:val="24"/>
          <w:lang w:val="pt-PT"/>
        </w:rPr>
        <w:t xml:space="preserve">termo </w:t>
      </w:r>
      <w:r w:rsidR="00C82088">
        <w:rPr>
          <w:rFonts w:ascii="Garamond" w:hAnsi="Garamond"/>
          <w:sz w:val="24"/>
          <w:szCs w:val="24"/>
          <w:lang w:val="pt-PT"/>
        </w:rPr>
        <w:t>erro</w:t>
      </w:r>
      <w:r w:rsidRPr="002D7F08">
        <w:rPr>
          <w:rFonts w:ascii="Garamond" w:hAnsi="Garamond"/>
          <w:sz w:val="24"/>
          <w:szCs w:val="24"/>
          <w:lang w:val="pt-PT"/>
        </w:rPr>
        <w:t>.</w:t>
      </w:r>
    </w:p>
    <w:p w14:paraId="7BAE343D" w14:textId="4B3BFFF1" w:rsidR="00F520C5" w:rsidRDefault="00337466" w:rsidP="00642608">
      <w:pPr>
        <w:spacing w:line="360" w:lineRule="auto"/>
        <w:jc w:val="both"/>
        <w:rPr>
          <w:rFonts w:ascii="Garamond" w:hAnsi="Garamond"/>
          <w:sz w:val="24"/>
          <w:szCs w:val="24"/>
          <w:lang w:val="pt-PT"/>
        </w:rPr>
      </w:pPr>
      <w:r w:rsidRPr="002D7F08">
        <w:rPr>
          <w:rFonts w:ascii="Garamond" w:hAnsi="Garamond"/>
          <w:sz w:val="24"/>
          <w:szCs w:val="24"/>
          <w:lang w:val="pt-PT"/>
        </w:rPr>
        <w:t>Para efeitos deste estudo empírico, os ativos não correntes correspondem à soma do saldo das rubricas de ativo fixo tangível e de ativo intangível, desconsiderando as depreciações e amortizações acumuladas e as perdas por imparidade acumuladas.</w:t>
      </w:r>
    </w:p>
    <w:p w14:paraId="2A21CF05" w14:textId="364DBA05" w:rsidR="0064755D" w:rsidRDefault="00F31A58" w:rsidP="00642608">
      <w:pPr>
        <w:spacing w:line="360" w:lineRule="auto"/>
        <w:jc w:val="both"/>
        <w:rPr>
          <w:rFonts w:ascii="Garamond" w:hAnsi="Garamond"/>
          <w:sz w:val="24"/>
          <w:szCs w:val="24"/>
          <w:lang w:val="pt-PT"/>
        </w:rPr>
      </w:pPr>
      <w:r w:rsidRPr="00F31A58">
        <w:rPr>
          <w:rFonts w:ascii="Garamond" w:hAnsi="Garamond"/>
          <w:sz w:val="24"/>
          <w:szCs w:val="24"/>
          <w:lang w:val="pt-PT"/>
        </w:rPr>
        <w:t>Opt</w:t>
      </w:r>
      <w:r>
        <w:rPr>
          <w:rFonts w:ascii="Garamond" w:hAnsi="Garamond"/>
          <w:sz w:val="24"/>
          <w:szCs w:val="24"/>
          <w:lang w:val="pt-PT"/>
        </w:rPr>
        <w:t>amos</w:t>
      </w:r>
      <w:r w:rsidRPr="00F31A58">
        <w:rPr>
          <w:rFonts w:ascii="Garamond" w:hAnsi="Garamond"/>
          <w:sz w:val="24"/>
          <w:szCs w:val="24"/>
          <w:lang w:val="pt-PT"/>
        </w:rPr>
        <w:t xml:space="preserve"> por utilizar variáveis desfasadas de um </w:t>
      </w:r>
      <w:proofErr w:type="gramStart"/>
      <w:r w:rsidRPr="00F31A58">
        <w:rPr>
          <w:rFonts w:ascii="Garamond" w:hAnsi="Garamond"/>
          <w:sz w:val="24"/>
          <w:szCs w:val="24"/>
          <w:lang w:val="pt-PT"/>
        </w:rPr>
        <w:t>período</w:t>
      </w:r>
      <w:r w:rsidR="0064755D">
        <w:rPr>
          <w:rFonts w:ascii="Garamond" w:hAnsi="Garamond"/>
          <w:sz w:val="24"/>
          <w:szCs w:val="24"/>
          <w:lang w:val="pt-PT"/>
        </w:rPr>
        <w:t xml:space="preserve"> de tempo</w:t>
      </w:r>
      <w:proofErr w:type="gramEnd"/>
      <w:r w:rsidRPr="00F31A58">
        <w:rPr>
          <w:rFonts w:ascii="Garamond" w:hAnsi="Garamond"/>
          <w:sz w:val="24"/>
          <w:szCs w:val="24"/>
          <w:lang w:val="pt-PT"/>
        </w:rPr>
        <w:t xml:space="preserve">, pois estas permitem observar a reação do investimento e o seu ajustamento gradual às mudanças nas variáveis explicativas. Este método segue a abordagem utilizada por </w:t>
      </w:r>
      <w:proofErr w:type="spellStart"/>
      <w:r w:rsidRPr="00F31A58">
        <w:rPr>
          <w:rFonts w:ascii="Garamond" w:hAnsi="Garamond"/>
          <w:sz w:val="24"/>
          <w:szCs w:val="24"/>
          <w:lang w:val="pt-PT"/>
        </w:rPr>
        <w:t>Kopcke</w:t>
      </w:r>
      <w:proofErr w:type="spellEnd"/>
      <w:r w:rsidRPr="00F31A58">
        <w:rPr>
          <w:rFonts w:ascii="Garamond" w:hAnsi="Garamond"/>
          <w:sz w:val="24"/>
          <w:szCs w:val="24"/>
          <w:lang w:val="pt-PT"/>
        </w:rPr>
        <w:t xml:space="preserve"> (2013) nos modelos </w:t>
      </w:r>
      <w:r>
        <w:rPr>
          <w:rFonts w:ascii="Garamond" w:hAnsi="Garamond"/>
          <w:sz w:val="24"/>
          <w:szCs w:val="24"/>
          <w:lang w:val="pt-PT"/>
        </w:rPr>
        <w:t xml:space="preserve">do </w:t>
      </w:r>
      <w:r w:rsidRPr="00F31A58">
        <w:rPr>
          <w:rFonts w:ascii="Garamond" w:hAnsi="Garamond"/>
          <w:sz w:val="24"/>
          <w:szCs w:val="24"/>
          <w:lang w:val="pt-PT"/>
        </w:rPr>
        <w:t xml:space="preserve">"Acelerador", "Neoclássico" e </w:t>
      </w:r>
      <w:r>
        <w:rPr>
          <w:rFonts w:ascii="Garamond" w:hAnsi="Garamond"/>
          <w:sz w:val="24"/>
          <w:szCs w:val="24"/>
          <w:lang w:val="pt-PT"/>
        </w:rPr>
        <w:t xml:space="preserve">do </w:t>
      </w:r>
      <w:r w:rsidRPr="00F31A58">
        <w:rPr>
          <w:rFonts w:ascii="Garamond" w:hAnsi="Garamond"/>
          <w:sz w:val="24"/>
          <w:szCs w:val="24"/>
          <w:lang w:val="pt-PT"/>
        </w:rPr>
        <w:t>"Cash-Flow".</w:t>
      </w:r>
      <w:r w:rsidR="0064755D">
        <w:rPr>
          <w:rFonts w:ascii="Garamond" w:hAnsi="Garamond"/>
          <w:sz w:val="24"/>
          <w:szCs w:val="24"/>
          <w:lang w:val="pt-PT"/>
        </w:rPr>
        <w:t xml:space="preserve"> Adicionalmente, </w:t>
      </w:r>
      <w:r w:rsidR="0064755D" w:rsidRPr="0064755D">
        <w:rPr>
          <w:rFonts w:ascii="Garamond" w:hAnsi="Garamond"/>
          <w:sz w:val="24"/>
          <w:szCs w:val="24"/>
          <w:lang w:val="pt-PT"/>
        </w:rPr>
        <w:t xml:space="preserve">é relevante destacar que as variáveis explicativas expressas em unidades monetárias foram </w:t>
      </w:r>
      <w:r w:rsidR="0064755D">
        <w:rPr>
          <w:rFonts w:ascii="Garamond" w:hAnsi="Garamond"/>
          <w:sz w:val="24"/>
          <w:szCs w:val="24"/>
          <w:lang w:val="pt-PT"/>
        </w:rPr>
        <w:t>deflacionadas</w:t>
      </w:r>
      <w:r w:rsidR="0064755D" w:rsidRPr="0064755D">
        <w:rPr>
          <w:rFonts w:ascii="Garamond" w:hAnsi="Garamond"/>
          <w:sz w:val="24"/>
          <w:szCs w:val="24"/>
          <w:lang w:val="pt-PT"/>
        </w:rPr>
        <w:t xml:space="preserve"> pelo total do ativo no período t, com o objetivo de </w:t>
      </w:r>
      <w:r w:rsidR="0064755D">
        <w:rPr>
          <w:rFonts w:ascii="Garamond" w:hAnsi="Garamond"/>
          <w:sz w:val="24"/>
          <w:szCs w:val="24"/>
          <w:lang w:val="pt-PT"/>
        </w:rPr>
        <w:t>evitar</w:t>
      </w:r>
      <w:r w:rsidR="0064755D" w:rsidRPr="0064755D">
        <w:rPr>
          <w:rFonts w:ascii="Garamond" w:hAnsi="Garamond"/>
          <w:sz w:val="24"/>
          <w:szCs w:val="24"/>
          <w:lang w:val="pt-PT"/>
        </w:rPr>
        <w:t xml:space="preserve"> potenciais problemas de heterocedasticidade na regressão do modelo. As restantes variáveis</w:t>
      </w:r>
      <w:r w:rsidR="0064755D">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64755D">
        <w:rPr>
          <w:rFonts w:ascii="Garamond" w:hAnsi="Garamond"/>
          <w:sz w:val="24"/>
          <w:szCs w:val="24"/>
          <w:lang w:val="pt-PT"/>
        </w:rPr>
        <w:t xml:space="preserve"> e </w:t>
      </w: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64755D">
        <w:rPr>
          <w:rFonts w:ascii="Garamond" w:hAnsi="Garamond"/>
          <w:sz w:val="24"/>
          <w:szCs w:val="24"/>
          <w:lang w:val="pt-PT"/>
        </w:rPr>
        <w:t xml:space="preserve"> não foram deflacionadas pois </w:t>
      </w:r>
      <w:r w:rsidR="00634FE2">
        <w:rPr>
          <w:rFonts w:ascii="Garamond" w:hAnsi="Garamond"/>
          <w:sz w:val="24"/>
          <w:szCs w:val="24"/>
          <w:lang w:val="pt-PT"/>
        </w:rPr>
        <w:t xml:space="preserve">estas </w:t>
      </w:r>
      <w:r w:rsidR="000C725E">
        <w:rPr>
          <w:rFonts w:ascii="Garamond" w:hAnsi="Garamond"/>
          <w:sz w:val="24"/>
          <w:szCs w:val="24"/>
          <w:lang w:val="pt-PT"/>
        </w:rPr>
        <w:t xml:space="preserve">já </w:t>
      </w:r>
      <w:r w:rsidR="0064755D">
        <w:rPr>
          <w:rFonts w:ascii="Garamond" w:hAnsi="Garamond"/>
          <w:sz w:val="24"/>
          <w:szCs w:val="24"/>
          <w:lang w:val="pt-PT"/>
        </w:rPr>
        <w:t>são definidas em termos de rácios.</w:t>
      </w:r>
      <w:r w:rsidR="00DB1928">
        <w:rPr>
          <w:rFonts w:ascii="Garamond" w:hAnsi="Garamond"/>
          <w:sz w:val="24"/>
          <w:szCs w:val="24"/>
          <w:lang w:val="pt-PT"/>
        </w:rPr>
        <w:t xml:space="preserve"> A variável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DB1928">
        <w:rPr>
          <w:rFonts w:ascii="Garamond" w:hAnsi="Garamond"/>
          <w:sz w:val="24"/>
          <w:szCs w:val="24"/>
          <w:lang w:val="pt-PT"/>
        </w:rPr>
        <w:t xml:space="preserve"> também não, pois trata-se de uma variável </w:t>
      </w:r>
      <w:r w:rsidR="00DB1928" w:rsidRPr="00DB1928">
        <w:rPr>
          <w:rFonts w:ascii="Garamond" w:hAnsi="Garamond"/>
          <w:i/>
          <w:iCs/>
          <w:sz w:val="24"/>
          <w:szCs w:val="24"/>
          <w:lang w:val="pt-PT"/>
        </w:rPr>
        <w:t>dummy</w:t>
      </w:r>
      <w:r w:rsidR="00DB1928">
        <w:rPr>
          <w:rFonts w:ascii="Garamond" w:hAnsi="Garamond"/>
          <w:sz w:val="24"/>
          <w:szCs w:val="24"/>
          <w:lang w:val="pt-PT"/>
        </w:rPr>
        <w:t>.</w:t>
      </w:r>
    </w:p>
    <w:p w14:paraId="326B7AAA" w14:textId="77777777" w:rsidR="00C52504" w:rsidRPr="002D7F08" w:rsidRDefault="00C52504" w:rsidP="000942BF">
      <w:pPr>
        <w:spacing w:line="360" w:lineRule="auto"/>
        <w:rPr>
          <w:rFonts w:ascii="Garamond" w:hAnsi="Garamond"/>
          <w:sz w:val="24"/>
          <w:szCs w:val="24"/>
          <w:lang w:val="pt-PT"/>
        </w:rPr>
      </w:pPr>
    </w:p>
    <w:p w14:paraId="37BE13F1" w14:textId="7C8D8B6D" w:rsidR="00345C3B" w:rsidRPr="002D7F08" w:rsidRDefault="00345C3B" w:rsidP="00642608">
      <w:pPr>
        <w:pStyle w:val="TtuloSecundrioTese"/>
        <w:jc w:val="both"/>
      </w:pPr>
      <w:bookmarkStart w:id="38" w:name="_Toc176458055"/>
      <w:r w:rsidRPr="002D7F08">
        <w:t>Dados e Definição da Amostra</w:t>
      </w:r>
      <w:bookmarkEnd w:id="38"/>
    </w:p>
    <w:p w14:paraId="46F9A143" w14:textId="6A9BCE1F" w:rsidR="00260760" w:rsidRPr="002D7F08" w:rsidRDefault="008A2C67" w:rsidP="00642608">
      <w:pPr>
        <w:spacing w:line="360" w:lineRule="auto"/>
        <w:jc w:val="both"/>
        <w:rPr>
          <w:rFonts w:ascii="Garamond" w:hAnsi="Garamond"/>
          <w:sz w:val="24"/>
          <w:szCs w:val="24"/>
          <w:lang w:val="pt-PT"/>
        </w:rPr>
      </w:pPr>
      <w:r>
        <w:rPr>
          <w:rFonts w:ascii="Garamond" w:hAnsi="Garamond"/>
          <w:sz w:val="24"/>
          <w:szCs w:val="24"/>
          <w:lang w:val="pt-PT"/>
        </w:rPr>
        <w:t>Para a realização desta análise, f</w:t>
      </w:r>
      <w:r w:rsidRPr="008A2C67">
        <w:rPr>
          <w:rFonts w:ascii="Garamond" w:hAnsi="Garamond"/>
          <w:sz w:val="24"/>
          <w:szCs w:val="24"/>
          <w:lang w:val="pt-PT"/>
        </w:rPr>
        <w:t>oram selecionadas duas subamostras de empresas. A primeira subamostra inclui empresas que beneficiaram do CFEI II, enquanto a segunda subamostra</w:t>
      </w:r>
      <w:r>
        <w:rPr>
          <w:rFonts w:ascii="Garamond" w:hAnsi="Garamond"/>
          <w:sz w:val="24"/>
          <w:szCs w:val="24"/>
          <w:lang w:val="pt-PT"/>
        </w:rPr>
        <w:t xml:space="preserve"> (de controlo) é</w:t>
      </w:r>
      <w:r w:rsidRPr="008A2C67">
        <w:rPr>
          <w:rFonts w:ascii="Garamond" w:hAnsi="Garamond"/>
          <w:sz w:val="24"/>
          <w:szCs w:val="24"/>
          <w:lang w:val="pt-PT"/>
        </w:rPr>
        <w:t xml:space="preserve"> composta por empresas que não beneficiaram do CFEI II. A combinação dessas duas subamostras </w:t>
      </w:r>
      <w:r>
        <w:rPr>
          <w:rFonts w:ascii="Garamond" w:hAnsi="Garamond"/>
          <w:sz w:val="24"/>
          <w:szCs w:val="24"/>
          <w:lang w:val="pt-PT"/>
        </w:rPr>
        <w:t>compõe</w:t>
      </w:r>
      <w:r w:rsidRPr="008A2C67">
        <w:rPr>
          <w:rFonts w:ascii="Garamond" w:hAnsi="Garamond"/>
          <w:sz w:val="24"/>
          <w:szCs w:val="24"/>
          <w:lang w:val="pt-PT"/>
        </w:rPr>
        <w:t xml:space="preserve"> a "amostra global"</w:t>
      </w:r>
      <w:r w:rsidR="007F3404">
        <w:rPr>
          <w:rFonts w:ascii="Garamond" w:hAnsi="Garamond"/>
          <w:sz w:val="24"/>
          <w:szCs w:val="24"/>
          <w:lang w:val="pt-PT"/>
        </w:rPr>
        <w:t>.</w:t>
      </w:r>
    </w:p>
    <w:p w14:paraId="4D397F5A" w14:textId="462DE9CE"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Os dados necessários para conduzir a análise foram obtidos a partir da base de dados SABI e do Portal da Autoridade Tributária e Aduaneira. Da base de dados SABI, foram retiradas informações contabilísticas e financeiras das empresas selecionadas em cada uma das </w:t>
      </w:r>
      <w:r w:rsidRPr="002D7F08">
        <w:rPr>
          <w:rFonts w:ascii="Garamond" w:hAnsi="Garamond"/>
          <w:sz w:val="24"/>
          <w:szCs w:val="24"/>
          <w:lang w:val="pt-PT"/>
        </w:rPr>
        <w:lastRenderedPageBreak/>
        <w:t>subamostras, referentes ao período de 201</w:t>
      </w:r>
      <w:r w:rsidR="00EC6376">
        <w:rPr>
          <w:rFonts w:ascii="Garamond" w:hAnsi="Garamond"/>
          <w:sz w:val="24"/>
          <w:szCs w:val="24"/>
          <w:lang w:val="pt-PT"/>
        </w:rPr>
        <w:t>8</w:t>
      </w:r>
      <w:r w:rsidRPr="002D7F08">
        <w:rPr>
          <w:rFonts w:ascii="Garamond" w:hAnsi="Garamond"/>
          <w:sz w:val="24"/>
          <w:szCs w:val="24"/>
          <w:lang w:val="pt-PT"/>
        </w:rPr>
        <w:t xml:space="preserve"> a 2022. Essas informações englobam investimentos, recursos financeiros disponíveis, produção, endividamento, índice de autonomia financeira e ativos totais.</w:t>
      </w:r>
    </w:p>
    <w:p w14:paraId="31D77723" w14:textId="77777777"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No que diz respeito à informação relacionada com o CFEI II, esta foi retirada da lista de contribuintes com benefícios fiscais dos anos de 2020, 2021 e 2022, publicada no Portal da Autoridade Tributária e Aduaneira.</w:t>
      </w:r>
    </w:p>
    <w:p w14:paraId="1335A68B" w14:textId="3830A2D9" w:rsidR="009F1BB3"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Com base nas informações extraídas desse portal, foram selecionadas duas subamostras de empresas, com critérios de seleção a serem apresentados em seguida.</w:t>
      </w:r>
      <w:r w:rsidR="009F1BB3">
        <w:rPr>
          <w:rFonts w:ascii="Garamond" w:hAnsi="Garamond"/>
          <w:sz w:val="24"/>
          <w:szCs w:val="24"/>
          <w:lang w:val="pt-PT"/>
        </w:rPr>
        <w:t xml:space="preserve"> </w:t>
      </w:r>
    </w:p>
    <w:p w14:paraId="445A4471" w14:textId="4F97F242" w:rsidR="00DF49E6"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A </w:t>
      </w:r>
      <w:r w:rsidR="000019F0">
        <w:rPr>
          <w:rFonts w:ascii="Garamond" w:hAnsi="Garamond"/>
          <w:sz w:val="24"/>
          <w:szCs w:val="24"/>
          <w:lang w:val="pt-PT"/>
        </w:rPr>
        <w:t>amostra</w:t>
      </w:r>
      <w:r w:rsidRPr="002D7F08">
        <w:rPr>
          <w:rFonts w:ascii="Garamond" w:hAnsi="Garamond"/>
          <w:sz w:val="24"/>
          <w:szCs w:val="24"/>
          <w:lang w:val="pt-PT"/>
        </w:rPr>
        <w:t xml:space="preserve"> </w:t>
      </w:r>
      <w:r w:rsidR="00CC6697">
        <w:rPr>
          <w:rFonts w:ascii="Garamond" w:hAnsi="Garamond"/>
          <w:sz w:val="24"/>
          <w:szCs w:val="24"/>
          <w:lang w:val="pt-PT"/>
        </w:rPr>
        <w:t xml:space="preserve">global </w:t>
      </w:r>
      <w:r w:rsidRPr="002D7F08">
        <w:rPr>
          <w:rFonts w:ascii="Garamond" w:hAnsi="Garamond"/>
          <w:sz w:val="24"/>
          <w:szCs w:val="24"/>
          <w:lang w:val="pt-PT"/>
        </w:rPr>
        <w:t>é constituída p</w:t>
      </w:r>
      <w:r w:rsidR="00DF49E6" w:rsidRPr="002D7F08">
        <w:rPr>
          <w:rFonts w:ascii="Garamond" w:hAnsi="Garamond"/>
          <w:sz w:val="24"/>
          <w:szCs w:val="24"/>
          <w:lang w:val="pt-PT"/>
        </w:rPr>
        <w:t>or empresas que cumprem os seguintes critérios:</w:t>
      </w:r>
    </w:p>
    <w:p w14:paraId="408D955A" w14:textId="30735432" w:rsidR="00385031" w:rsidRPr="00385031" w:rsidRDefault="00385031" w:rsidP="00385031">
      <w:pPr>
        <w:pStyle w:val="Caption"/>
        <w:keepNext/>
        <w:rPr>
          <w:rFonts w:ascii="Garamond" w:hAnsi="Garamond"/>
          <w:i w:val="0"/>
          <w:iCs w:val="0"/>
          <w:color w:val="auto"/>
          <w:lang w:val="pt-PT"/>
        </w:rPr>
      </w:pPr>
      <w:bookmarkStart w:id="39" w:name="_Toc176855913"/>
      <w:r w:rsidRPr="00385031">
        <w:rPr>
          <w:rFonts w:ascii="Garamond" w:hAnsi="Garamond"/>
          <w:b/>
          <w:bCs/>
          <w:i w:val="0"/>
          <w:iCs w:val="0"/>
          <w:color w:val="auto"/>
          <w:lang w:val="pt-PT"/>
        </w:rPr>
        <w:t xml:space="preserve">Tabela </w:t>
      </w:r>
      <w:r w:rsidRPr="00385031">
        <w:rPr>
          <w:rFonts w:ascii="Garamond" w:hAnsi="Garamond"/>
          <w:b/>
          <w:bCs/>
          <w:i w:val="0"/>
          <w:iCs w:val="0"/>
          <w:color w:val="auto"/>
        </w:rPr>
        <w:fldChar w:fldCharType="begin"/>
      </w:r>
      <w:r w:rsidRPr="00385031">
        <w:rPr>
          <w:rFonts w:ascii="Garamond" w:hAnsi="Garamond"/>
          <w:b/>
          <w:bCs/>
          <w:i w:val="0"/>
          <w:iCs w:val="0"/>
          <w:color w:val="auto"/>
          <w:lang w:val="pt-PT"/>
        </w:rPr>
        <w:instrText xml:space="preserve"> SEQ Tabela \* ARABIC </w:instrText>
      </w:r>
      <w:r w:rsidRPr="00385031">
        <w:rPr>
          <w:rFonts w:ascii="Garamond" w:hAnsi="Garamond"/>
          <w:b/>
          <w:bCs/>
          <w:i w:val="0"/>
          <w:iCs w:val="0"/>
          <w:color w:val="auto"/>
        </w:rPr>
        <w:fldChar w:fldCharType="separate"/>
      </w:r>
      <w:r w:rsidR="00C01B43">
        <w:rPr>
          <w:rFonts w:ascii="Garamond" w:hAnsi="Garamond"/>
          <w:b/>
          <w:bCs/>
          <w:i w:val="0"/>
          <w:iCs w:val="0"/>
          <w:noProof/>
          <w:color w:val="auto"/>
          <w:lang w:val="pt-PT"/>
        </w:rPr>
        <w:t>1</w:t>
      </w:r>
      <w:r w:rsidRPr="00385031">
        <w:rPr>
          <w:rFonts w:ascii="Garamond" w:hAnsi="Garamond"/>
          <w:b/>
          <w:bCs/>
          <w:i w:val="0"/>
          <w:iCs w:val="0"/>
          <w:color w:val="auto"/>
        </w:rPr>
        <w:fldChar w:fldCharType="end"/>
      </w:r>
      <w:r w:rsidRPr="00385031">
        <w:rPr>
          <w:rFonts w:ascii="Garamond" w:hAnsi="Garamond"/>
          <w:i w:val="0"/>
          <w:iCs w:val="0"/>
          <w:color w:val="auto"/>
          <w:lang w:val="pt-PT"/>
        </w:rPr>
        <w:t xml:space="preserve"> - Critérios de seleção da amostra global</w:t>
      </w:r>
      <w:bookmarkEnd w:id="39"/>
    </w:p>
    <w:tbl>
      <w:tblPr>
        <w:tblStyle w:val="TableGrid"/>
        <w:tblW w:w="5000" w:type="pct"/>
        <w:tblLook w:val="04A0" w:firstRow="1" w:lastRow="0" w:firstColumn="1" w:lastColumn="0" w:noHBand="0" w:noVBand="1"/>
      </w:tblPr>
      <w:tblGrid>
        <w:gridCol w:w="5367"/>
        <w:gridCol w:w="1470"/>
        <w:gridCol w:w="1666"/>
      </w:tblGrid>
      <w:tr w:rsidR="00C93AC6" w:rsidRPr="00E43A80" w14:paraId="013F4AA3" w14:textId="77777777" w:rsidTr="006B48E9">
        <w:trPr>
          <w:trHeight w:val="401"/>
        </w:trPr>
        <w:tc>
          <w:tcPr>
            <w:tcW w:w="2783" w:type="pct"/>
            <w:tcBorders>
              <w:left w:val="nil"/>
            </w:tcBorders>
            <w:noWrap/>
            <w:hideMark/>
          </w:tcPr>
          <w:p w14:paraId="34C2D7CB" w14:textId="77777777" w:rsidR="00E43A80" w:rsidRPr="005F1B2F" w:rsidRDefault="00E43A80" w:rsidP="00E43A80">
            <w:pPr>
              <w:spacing w:line="360" w:lineRule="auto"/>
              <w:rPr>
                <w:rFonts w:ascii="Garamond" w:hAnsi="Garamond"/>
                <w:b/>
                <w:bCs/>
                <w:sz w:val="24"/>
                <w:szCs w:val="24"/>
              </w:rPr>
            </w:pPr>
            <w:proofErr w:type="spellStart"/>
            <w:r w:rsidRPr="005F1B2F">
              <w:rPr>
                <w:rFonts w:ascii="Garamond" w:hAnsi="Garamond"/>
                <w:b/>
                <w:bCs/>
                <w:sz w:val="24"/>
                <w:szCs w:val="24"/>
              </w:rPr>
              <w:t>Critério</w:t>
            </w:r>
            <w:proofErr w:type="spellEnd"/>
          </w:p>
        </w:tc>
        <w:tc>
          <w:tcPr>
            <w:tcW w:w="773" w:type="pct"/>
            <w:noWrap/>
            <w:hideMark/>
          </w:tcPr>
          <w:p w14:paraId="31DD43D0" w14:textId="77777777" w:rsidR="00E43A80" w:rsidRPr="005F1B2F" w:rsidRDefault="00E43A80" w:rsidP="00E43A80">
            <w:pPr>
              <w:spacing w:line="360" w:lineRule="auto"/>
              <w:rPr>
                <w:rFonts w:ascii="Garamond" w:hAnsi="Garamond"/>
                <w:b/>
                <w:bCs/>
                <w:sz w:val="24"/>
                <w:szCs w:val="24"/>
              </w:rPr>
            </w:pPr>
            <w:proofErr w:type="spellStart"/>
            <w:r w:rsidRPr="005F1B2F">
              <w:rPr>
                <w:rFonts w:ascii="Garamond" w:hAnsi="Garamond"/>
                <w:b/>
                <w:bCs/>
                <w:sz w:val="24"/>
                <w:szCs w:val="24"/>
              </w:rPr>
              <w:t>Resultado</w:t>
            </w:r>
            <w:proofErr w:type="spellEnd"/>
            <w:r w:rsidRPr="005F1B2F">
              <w:rPr>
                <w:rFonts w:ascii="Garamond" w:hAnsi="Garamond"/>
                <w:b/>
                <w:bCs/>
                <w:sz w:val="24"/>
                <w:szCs w:val="24"/>
              </w:rPr>
              <w:t xml:space="preserve"> do </w:t>
            </w:r>
            <w:proofErr w:type="spellStart"/>
            <w:r w:rsidRPr="005F1B2F">
              <w:rPr>
                <w:rFonts w:ascii="Garamond" w:hAnsi="Garamond"/>
                <w:b/>
                <w:bCs/>
                <w:sz w:val="24"/>
                <w:szCs w:val="24"/>
              </w:rPr>
              <w:t>Passo</w:t>
            </w:r>
            <w:proofErr w:type="spellEnd"/>
          </w:p>
        </w:tc>
        <w:tc>
          <w:tcPr>
            <w:tcW w:w="1444" w:type="pct"/>
            <w:tcBorders>
              <w:right w:val="nil"/>
            </w:tcBorders>
            <w:noWrap/>
            <w:hideMark/>
          </w:tcPr>
          <w:p w14:paraId="107F5DD4" w14:textId="77777777" w:rsidR="00E43A80" w:rsidRPr="005F1B2F" w:rsidRDefault="00E43A80" w:rsidP="00E43A80">
            <w:pPr>
              <w:spacing w:line="360" w:lineRule="auto"/>
              <w:rPr>
                <w:rFonts w:ascii="Garamond" w:hAnsi="Garamond"/>
                <w:b/>
                <w:bCs/>
                <w:sz w:val="24"/>
                <w:szCs w:val="24"/>
              </w:rPr>
            </w:pPr>
            <w:proofErr w:type="spellStart"/>
            <w:r w:rsidRPr="005F1B2F">
              <w:rPr>
                <w:rFonts w:ascii="Garamond" w:hAnsi="Garamond"/>
                <w:b/>
                <w:bCs/>
                <w:sz w:val="24"/>
                <w:szCs w:val="24"/>
              </w:rPr>
              <w:t>Resultado</w:t>
            </w:r>
            <w:proofErr w:type="spellEnd"/>
            <w:r w:rsidRPr="005F1B2F">
              <w:rPr>
                <w:rFonts w:ascii="Garamond" w:hAnsi="Garamond"/>
                <w:b/>
                <w:bCs/>
                <w:sz w:val="24"/>
                <w:szCs w:val="24"/>
              </w:rPr>
              <w:t xml:space="preserve"> da </w:t>
            </w:r>
            <w:proofErr w:type="spellStart"/>
            <w:r w:rsidRPr="005F1B2F">
              <w:rPr>
                <w:rFonts w:ascii="Garamond" w:hAnsi="Garamond"/>
                <w:b/>
                <w:bCs/>
                <w:sz w:val="24"/>
                <w:szCs w:val="24"/>
              </w:rPr>
              <w:t>Pesquisa</w:t>
            </w:r>
            <w:proofErr w:type="spellEnd"/>
          </w:p>
        </w:tc>
      </w:tr>
      <w:tr w:rsidR="00C93AC6" w:rsidRPr="00E43A80" w14:paraId="0176A78B" w14:textId="77777777" w:rsidTr="006B48E9">
        <w:trPr>
          <w:trHeight w:val="231"/>
        </w:trPr>
        <w:tc>
          <w:tcPr>
            <w:tcW w:w="2783" w:type="pct"/>
            <w:tcBorders>
              <w:left w:val="nil"/>
              <w:bottom w:val="dashSmallGap" w:sz="12" w:space="0" w:color="auto"/>
            </w:tcBorders>
            <w:noWrap/>
            <w:hideMark/>
          </w:tcPr>
          <w:p w14:paraId="741F00AA"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 xml:space="preserve">Estado (Portugal): </w:t>
            </w:r>
            <w:proofErr w:type="spellStart"/>
            <w:r w:rsidRPr="005F1B2F">
              <w:rPr>
                <w:rFonts w:ascii="Garamond" w:hAnsi="Garamond"/>
                <w:sz w:val="24"/>
                <w:szCs w:val="24"/>
              </w:rPr>
              <w:t>Ativa</w:t>
            </w:r>
            <w:proofErr w:type="spellEnd"/>
          </w:p>
        </w:tc>
        <w:tc>
          <w:tcPr>
            <w:tcW w:w="773" w:type="pct"/>
            <w:tcBorders>
              <w:bottom w:val="dashSmallGap" w:sz="12" w:space="0" w:color="auto"/>
            </w:tcBorders>
            <w:noWrap/>
            <w:hideMark/>
          </w:tcPr>
          <w:p w14:paraId="64697577"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423 138</w:t>
            </w:r>
          </w:p>
        </w:tc>
        <w:tc>
          <w:tcPr>
            <w:tcW w:w="1444" w:type="pct"/>
            <w:tcBorders>
              <w:bottom w:val="dashSmallGap" w:sz="12" w:space="0" w:color="auto"/>
              <w:right w:val="nil"/>
            </w:tcBorders>
            <w:noWrap/>
            <w:hideMark/>
          </w:tcPr>
          <w:p w14:paraId="3CCC376A"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423 138</w:t>
            </w:r>
          </w:p>
        </w:tc>
      </w:tr>
      <w:tr w:rsidR="00C93AC6" w:rsidRPr="00E43A80" w14:paraId="10CB16B7" w14:textId="77777777" w:rsidTr="006B48E9">
        <w:trPr>
          <w:trHeight w:val="427"/>
        </w:trPr>
        <w:tc>
          <w:tcPr>
            <w:tcW w:w="2783" w:type="pct"/>
            <w:tcBorders>
              <w:top w:val="dashSmallGap" w:sz="12" w:space="0" w:color="auto"/>
              <w:left w:val="nil"/>
              <w:bottom w:val="dashSmallGap" w:sz="12" w:space="0" w:color="auto"/>
            </w:tcBorders>
            <w:noWrap/>
            <w:hideMark/>
          </w:tcPr>
          <w:p w14:paraId="40061E4B" w14:textId="77777777" w:rsidR="00E43A80" w:rsidRPr="005F1B2F" w:rsidRDefault="00E43A80" w:rsidP="00E43A80">
            <w:pPr>
              <w:spacing w:line="360" w:lineRule="auto"/>
              <w:rPr>
                <w:rFonts w:ascii="Garamond" w:hAnsi="Garamond"/>
                <w:sz w:val="24"/>
                <w:szCs w:val="24"/>
                <w:lang w:val="pt-PT"/>
              </w:rPr>
            </w:pPr>
            <w:r w:rsidRPr="005F1B2F">
              <w:rPr>
                <w:rFonts w:ascii="Garamond" w:hAnsi="Garamond"/>
                <w:sz w:val="24"/>
                <w:szCs w:val="24"/>
                <w:lang w:val="pt-PT"/>
              </w:rPr>
              <w:t>País/Região: Norte Portugal, Centro Portugal, Lisboa e Vale do Tejo, Alentejo, Algarve</w:t>
            </w:r>
          </w:p>
        </w:tc>
        <w:tc>
          <w:tcPr>
            <w:tcW w:w="773" w:type="pct"/>
            <w:tcBorders>
              <w:top w:val="dashSmallGap" w:sz="12" w:space="0" w:color="auto"/>
              <w:bottom w:val="dashSmallGap" w:sz="12" w:space="0" w:color="auto"/>
            </w:tcBorders>
            <w:noWrap/>
            <w:hideMark/>
          </w:tcPr>
          <w:p w14:paraId="45C4EFD3"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809 958</w:t>
            </w:r>
          </w:p>
        </w:tc>
        <w:tc>
          <w:tcPr>
            <w:tcW w:w="1444" w:type="pct"/>
            <w:tcBorders>
              <w:top w:val="dashSmallGap" w:sz="12" w:space="0" w:color="auto"/>
              <w:bottom w:val="dashSmallGap" w:sz="12" w:space="0" w:color="auto"/>
              <w:right w:val="nil"/>
            </w:tcBorders>
            <w:noWrap/>
            <w:hideMark/>
          </w:tcPr>
          <w:p w14:paraId="2F314905" w14:textId="77777777" w:rsidR="00E43A80" w:rsidRPr="005F1B2F" w:rsidRDefault="00E43A80" w:rsidP="009F1BB3">
            <w:pPr>
              <w:spacing w:line="360" w:lineRule="auto"/>
              <w:jc w:val="both"/>
              <w:rPr>
                <w:rFonts w:ascii="Garamond" w:hAnsi="Garamond"/>
                <w:sz w:val="24"/>
                <w:szCs w:val="24"/>
              </w:rPr>
            </w:pPr>
            <w:r w:rsidRPr="005F1B2F">
              <w:rPr>
                <w:rFonts w:ascii="Garamond" w:hAnsi="Garamond"/>
                <w:sz w:val="24"/>
                <w:szCs w:val="24"/>
              </w:rPr>
              <w:t>407 407</w:t>
            </w:r>
          </w:p>
        </w:tc>
      </w:tr>
      <w:tr w:rsidR="00C93AC6" w:rsidRPr="00E43A80" w14:paraId="39E4C0E4" w14:textId="77777777" w:rsidTr="006B48E9">
        <w:trPr>
          <w:trHeight w:val="4266"/>
        </w:trPr>
        <w:tc>
          <w:tcPr>
            <w:tcW w:w="2783" w:type="pct"/>
            <w:tcBorders>
              <w:top w:val="dashSmallGap" w:sz="12" w:space="0" w:color="auto"/>
              <w:left w:val="nil"/>
              <w:bottom w:val="dashSmallGap" w:sz="12" w:space="0" w:color="auto"/>
            </w:tcBorders>
            <w:hideMark/>
          </w:tcPr>
          <w:p w14:paraId="5A333269" w14:textId="77777777" w:rsidR="00E43A80" w:rsidRPr="005F1B2F" w:rsidRDefault="00E43A80" w:rsidP="00E43A80">
            <w:pPr>
              <w:spacing w:line="360" w:lineRule="auto"/>
              <w:rPr>
                <w:rFonts w:ascii="Garamond" w:hAnsi="Garamond"/>
                <w:sz w:val="24"/>
                <w:szCs w:val="24"/>
                <w:lang w:val="pt-PT"/>
              </w:rPr>
            </w:pPr>
            <w:r w:rsidRPr="005F1B2F">
              <w:rPr>
                <w:rFonts w:ascii="Garamond" w:hAnsi="Garamond"/>
                <w:sz w:val="24"/>
                <w:szCs w:val="24"/>
                <w:lang w:val="pt-PT"/>
              </w:rPr>
              <w:t>Não estejam incluídas nas seguintes indústrias:</w:t>
            </w:r>
            <w:r w:rsidRPr="005F1B2F">
              <w:rPr>
                <w:rFonts w:ascii="Garamond" w:hAnsi="Garamond"/>
                <w:sz w:val="24"/>
                <w:szCs w:val="24"/>
                <w:lang w:val="pt-PT"/>
              </w:rPr>
              <w:br/>
              <w:t>- Atividades de organizações e organismos extraterritoriais;</w:t>
            </w:r>
            <w:r w:rsidRPr="005F1B2F">
              <w:rPr>
                <w:rFonts w:ascii="Garamond" w:hAnsi="Garamond"/>
                <w:sz w:val="24"/>
                <w:szCs w:val="24"/>
                <w:lang w:val="pt-PT"/>
              </w:rPr>
              <w:br/>
              <w:t>- Atividades das organizações associativas;</w:t>
            </w:r>
            <w:r w:rsidRPr="005F1B2F">
              <w:rPr>
                <w:rFonts w:ascii="Garamond" w:hAnsi="Garamond"/>
                <w:sz w:val="24"/>
                <w:szCs w:val="24"/>
                <w:lang w:val="pt-PT"/>
              </w:rPr>
              <w:br/>
              <w:t>- Administração pública e defesa; segurança social obrigatória;</w:t>
            </w:r>
            <w:r w:rsidRPr="005F1B2F">
              <w:rPr>
                <w:rFonts w:ascii="Garamond" w:hAnsi="Garamond"/>
                <w:sz w:val="24"/>
                <w:szCs w:val="24"/>
                <w:lang w:val="pt-PT"/>
              </w:rPr>
              <w:br/>
              <w:t>- Atividades auxiliares de serviços financeiros e atividades de seguros;</w:t>
            </w:r>
            <w:r w:rsidRPr="005F1B2F">
              <w:rPr>
                <w:rFonts w:ascii="Garamond" w:hAnsi="Garamond"/>
                <w:sz w:val="24"/>
                <w:szCs w:val="24"/>
                <w:lang w:val="pt-PT"/>
              </w:rPr>
              <w:br/>
              <w:t>- Seguros, resseguros e fundos de pensões, exceto segurança social obrigatória;</w:t>
            </w:r>
            <w:r w:rsidRPr="005F1B2F">
              <w:rPr>
                <w:rFonts w:ascii="Garamond" w:hAnsi="Garamond"/>
                <w:sz w:val="24"/>
                <w:szCs w:val="24"/>
                <w:lang w:val="pt-PT"/>
              </w:rPr>
              <w:br/>
              <w:t>- Atividades de serviços financeiros, exceto seguros e fundos de pensões.</w:t>
            </w:r>
          </w:p>
        </w:tc>
        <w:tc>
          <w:tcPr>
            <w:tcW w:w="773" w:type="pct"/>
            <w:tcBorders>
              <w:top w:val="dashSmallGap" w:sz="12" w:space="0" w:color="auto"/>
              <w:bottom w:val="dashSmallGap" w:sz="12" w:space="0" w:color="auto"/>
            </w:tcBorders>
            <w:hideMark/>
          </w:tcPr>
          <w:p w14:paraId="7921CE5E"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833 719</w:t>
            </w:r>
          </w:p>
        </w:tc>
        <w:tc>
          <w:tcPr>
            <w:tcW w:w="1444" w:type="pct"/>
            <w:tcBorders>
              <w:top w:val="dashSmallGap" w:sz="12" w:space="0" w:color="auto"/>
              <w:bottom w:val="dashSmallGap" w:sz="12" w:space="0" w:color="auto"/>
              <w:right w:val="nil"/>
            </w:tcBorders>
            <w:hideMark/>
          </w:tcPr>
          <w:p w14:paraId="20F6DF64"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400 653</w:t>
            </w:r>
          </w:p>
        </w:tc>
      </w:tr>
      <w:tr w:rsidR="00C93AC6" w:rsidRPr="00E43A80" w14:paraId="56D9543F" w14:textId="77777777" w:rsidTr="006B48E9">
        <w:trPr>
          <w:trHeight w:val="631"/>
        </w:trPr>
        <w:tc>
          <w:tcPr>
            <w:tcW w:w="2783" w:type="pct"/>
            <w:tcBorders>
              <w:top w:val="dashSmallGap" w:sz="12" w:space="0" w:color="auto"/>
              <w:left w:val="nil"/>
              <w:bottom w:val="dashSmallGap" w:sz="12" w:space="0" w:color="auto"/>
            </w:tcBorders>
            <w:noWrap/>
            <w:hideMark/>
          </w:tcPr>
          <w:p w14:paraId="17C8C233" w14:textId="77777777" w:rsidR="00E43A80" w:rsidRPr="005F1B2F" w:rsidRDefault="00E43A80" w:rsidP="00E43A80">
            <w:pPr>
              <w:spacing w:line="360" w:lineRule="auto"/>
              <w:rPr>
                <w:rFonts w:ascii="Garamond" w:hAnsi="Garamond"/>
                <w:sz w:val="24"/>
                <w:szCs w:val="24"/>
                <w:lang w:val="pt-PT"/>
              </w:rPr>
            </w:pPr>
            <w:r w:rsidRPr="005F1B2F">
              <w:rPr>
                <w:rFonts w:ascii="Garamond" w:hAnsi="Garamond"/>
                <w:sz w:val="24"/>
                <w:szCs w:val="24"/>
                <w:lang w:val="pt-PT"/>
              </w:rPr>
              <w:t>Tenham um valor conhecido de ativos fixos tangíveis em 2018, 2019, 2020, 2021 e 2022</w:t>
            </w:r>
          </w:p>
        </w:tc>
        <w:tc>
          <w:tcPr>
            <w:tcW w:w="773" w:type="pct"/>
            <w:tcBorders>
              <w:top w:val="dashSmallGap" w:sz="12" w:space="0" w:color="auto"/>
              <w:bottom w:val="dashSmallGap" w:sz="12" w:space="0" w:color="auto"/>
            </w:tcBorders>
            <w:noWrap/>
            <w:hideMark/>
          </w:tcPr>
          <w:p w14:paraId="0BCECA10"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316 595</w:t>
            </w:r>
          </w:p>
        </w:tc>
        <w:tc>
          <w:tcPr>
            <w:tcW w:w="1444" w:type="pct"/>
            <w:tcBorders>
              <w:top w:val="dashSmallGap" w:sz="12" w:space="0" w:color="auto"/>
              <w:bottom w:val="dashSmallGap" w:sz="12" w:space="0" w:color="auto"/>
              <w:right w:val="nil"/>
            </w:tcBorders>
            <w:noWrap/>
            <w:hideMark/>
          </w:tcPr>
          <w:p w14:paraId="172A8FBF" w14:textId="3A45F6AA" w:rsidR="00E43A80" w:rsidRPr="005F1B2F" w:rsidRDefault="006B48E9" w:rsidP="00E43A80">
            <w:pPr>
              <w:spacing w:line="360" w:lineRule="auto"/>
              <w:rPr>
                <w:rFonts w:ascii="Garamond" w:hAnsi="Garamond"/>
                <w:sz w:val="24"/>
                <w:szCs w:val="24"/>
              </w:rPr>
            </w:pPr>
            <w:r>
              <w:rPr>
                <w:rFonts w:ascii="Garamond" w:hAnsi="Garamond"/>
                <w:sz w:val="24"/>
                <w:szCs w:val="24"/>
              </w:rPr>
              <w:t>270 965</w:t>
            </w:r>
          </w:p>
        </w:tc>
      </w:tr>
      <w:tr w:rsidR="00C93AC6" w:rsidRPr="00E43A80" w14:paraId="4D93C9F8" w14:textId="77777777" w:rsidTr="006B48E9">
        <w:trPr>
          <w:trHeight w:val="204"/>
        </w:trPr>
        <w:tc>
          <w:tcPr>
            <w:tcW w:w="2783" w:type="pct"/>
            <w:tcBorders>
              <w:top w:val="dashSmallGap" w:sz="12" w:space="0" w:color="auto"/>
              <w:left w:val="nil"/>
              <w:bottom w:val="dashSmallGap" w:sz="12" w:space="0" w:color="auto"/>
            </w:tcBorders>
            <w:noWrap/>
            <w:hideMark/>
          </w:tcPr>
          <w:p w14:paraId="6A81E820" w14:textId="77777777" w:rsidR="00E43A80" w:rsidRPr="005F1B2F" w:rsidRDefault="00E43A80" w:rsidP="007C34B0">
            <w:pPr>
              <w:spacing w:line="360" w:lineRule="auto"/>
              <w:rPr>
                <w:rFonts w:ascii="Garamond" w:hAnsi="Garamond"/>
                <w:sz w:val="24"/>
                <w:szCs w:val="24"/>
                <w:lang w:val="pt-PT"/>
              </w:rPr>
            </w:pPr>
            <w:r w:rsidRPr="005F1B2F">
              <w:rPr>
                <w:rFonts w:ascii="Garamond" w:hAnsi="Garamond"/>
                <w:sz w:val="24"/>
                <w:szCs w:val="24"/>
                <w:lang w:val="pt-PT"/>
              </w:rPr>
              <w:t>Tenham um valor conhecido do das vendas em 2018, 2019, 2020, 2021 e 2022</w:t>
            </w:r>
          </w:p>
        </w:tc>
        <w:tc>
          <w:tcPr>
            <w:tcW w:w="773" w:type="pct"/>
            <w:tcBorders>
              <w:top w:val="dashSmallGap" w:sz="12" w:space="0" w:color="auto"/>
              <w:bottom w:val="dashSmallGap" w:sz="12" w:space="0" w:color="auto"/>
            </w:tcBorders>
            <w:noWrap/>
            <w:vAlign w:val="center"/>
            <w:hideMark/>
          </w:tcPr>
          <w:p w14:paraId="14B2FB67" w14:textId="77777777" w:rsidR="00E43A80" w:rsidRPr="005F1B2F" w:rsidRDefault="00E43A80" w:rsidP="00C4777C">
            <w:pPr>
              <w:spacing w:line="360" w:lineRule="auto"/>
              <w:rPr>
                <w:rFonts w:ascii="Garamond" w:hAnsi="Garamond"/>
                <w:sz w:val="24"/>
                <w:szCs w:val="24"/>
              </w:rPr>
            </w:pPr>
            <w:r w:rsidRPr="005F1B2F">
              <w:rPr>
                <w:rFonts w:ascii="Garamond" w:hAnsi="Garamond"/>
                <w:sz w:val="24"/>
                <w:szCs w:val="24"/>
              </w:rPr>
              <w:t>316 595</w:t>
            </w:r>
          </w:p>
        </w:tc>
        <w:tc>
          <w:tcPr>
            <w:tcW w:w="1444" w:type="pct"/>
            <w:tcBorders>
              <w:top w:val="dashSmallGap" w:sz="12" w:space="0" w:color="auto"/>
              <w:bottom w:val="dashSmallGap" w:sz="12" w:space="0" w:color="auto"/>
              <w:right w:val="nil"/>
            </w:tcBorders>
            <w:noWrap/>
            <w:vAlign w:val="center"/>
            <w:hideMark/>
          </w:tcPr>
          <w:p w14:paraId="316367D9" w14:textId="0F60970E" w:rsidR="00E43A80" w:rsidRPr="005F1B2F" w:rsidRDefault="006B48E9" w:rsidP="00E91940">
            <w:pPr>
              <w:spacing w:line="360" w:lineRule="auto"/>
              <w:rPr>
                <w:rFonts w:ascii="Garamond" w:hAnsi="Garamond"/>
                <w:sz w:val="24"/>
                <w:szCs w:val="24"/>
              </w:rPr>
            </w:pPr>
            <w:r>
              <w:rPr>
                <w:rFonts w:ascii="Garamond" w:hAnsi="Garamond"/>
                <w:sz w:val="24"/>
                <w:szCs w:val="24"/>
              </w:rPr>
              <w:t>270 965</w:t>
            </w:r>
          </w:p>
        </w:tc>
      </w:tr>
      <w:tr w:rsidR="00C93AC6" w:rsidRPr="00E43A80" w14:paraId="32238599" w14:textId="77777777" w:rsidTr="006B48E9">
        <w:trPr>
          <w:trHeight w:val="204"/>
        </w:trPr>
        <w:tc>
          <w:tcPr>
            <w:tcW w:w="2783" w:type="pct"/>
            <w:tcBorders>
              <w:top w:val="dashSmallGap" w:sz="12" w:space="0" w:color="auto"/>
              <w:left w:val="nil"/>
            </w:tcBorders>
            <w:noWrap/>
            <w:hideMark/>
          </w:tcPr>
          <w:p w14:paraId="39B81CA4" w14:textId="77777777" w:rsidR="00E43A80" w:rsidRPr="005F1B2F" w:rsidRDefault="00E43A80" w:rsidP="00E43A80">
            <w:pPr>
              <w:spacing w:line="360" w:lineRule="auto"/>
              <w:rPr>
                <w:rFonts w:ascii="Garamond" w:hAnsi="Garamond"/>
                <w:sz w:val="24"/>
                <w:szCs w:val="24"/>
                <w:lang w:val="pt-PT"/>
              </w:rPr>
            </w:pPr>
            <w:r w:rsidRPr="005F1B2F">
              <w:rPr>
                <w:rFonts w:ascii="Garamond" w:hAnsi="Garamond"/>
                <w:sz w:val="24"/>
                <w:szCs w:val="24"/>
                <w:lang w:val="pt-PT"/>
              </w:rPr>
              <w:lastRenderedPageBreak/>
              <w:t>O total do ativo seja igual ou superior a 500 000€.</w:t>
            </w:r>
          </w:p>
        </w:tc>
        <w:tc>
          <w:tcPr>
            <w:tcW w:w="773" w:type="pct"/>
            <w:tcBorders>
              <w:top w:val="dashSmallGap" w:sz="12" w:space="0" w:color="auto"/>
            </w:tcBorders>
            <w:noWrap/>
            <w:hideMark/>
          </w:tcPr>
          <w:p w14:paraId="672F887B"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70 996</w:t>
            </w:r>
          </w:p>
        </w:tc>
        <w:tc>
          <w:tcPr>
            <w:tcW w:w="1444" w:type="pct"/>
            <w:tcBorders>
              <w:top w:val="dashSmallGap" w:sz="12" w:space="0" w:color="auto"/>
              <w:right w:val="nil"/>
            </w:tcBorders>
            <w:noWrap/>
            <w:hideMark/>
          </w:tcPr>
          <w:p w14:paraId="2593CCC6" w14:textId="77777777" w:rsidR="00E43A80" w:rsidRPr="005F1B2F" w:rsidRDefault="00E43A80" w:rsidP="00E43A80">
            <w:pPr>
              <w:spacing w:line="360" w:lineRule="auto"/>
              <w:rPr>
                <w:rFonts w:ascii="Garamond" w:hAnsi="Garamond"/>
                <w:sz w:val="24"/>
                <w:szCs w:val="24"/>
              </w:rPr>
            </w:pPr>
            <w:r w:rsidRPr="005F1B2F">
              <w:rPr>
                <w:rFonts w:ascii="Garamond" w:hAnsi="Garamond"/>
                <w:sz w:val="24"/>
                <w:szCs w:val="24"/>
              </w:rPr>
              <w:t>62 637</w:t>
            </w:r>
          </w:p>
        </w:tc>
      </w:tr>
      <w:tr w:rsidR="005F1B2F" w:rsidRPr="00E43A80" w14:paraId="4D6ACE54" w14:textId="77777777" w:rsidTr="006B48E9">
        <w:trPr>
          <w:trHeight w:val="278"/>
        </w:trPr>
        <w:tc>
          <w:tcPr>
            <w:tcW w:w="2783" w:type="pct"/>
            <w:tcBorders>
              <w:left w:val="nil"/>
            </w:tcBorders>
            <w:noWrap/>
          </w:tcPr>
          <w:p w14:paraId="3B9CBCE4" w14:textId="128B8422" w:rsidR="00E43A80" w:rsidRPr="005F1B2F" w:rsidRDefault="00E43A80" w:rsidP="00E43A80">
            <w:pPr>
              <w:spacing w:line="360" w:lineRule="auto"/>
              <w:rPr>
                <w:rFonts w:ascii="Garamond" w:hAnsi="Garamond"/>
                <w:b/>
                <w:bCs/>
                <w:sz w:val="24"/>
                <w:szCs w:val="24"/>
                <w:lang w:val="pt-PT"/>
              </w:rPr>
            </w:pPr>
            <w:r w:rsidRPr="005F1B2F">
              <w:rPr>
                <w:rFonts w:ascii="Garamond" w:hAnsi="Garamond"/>
                <w:b/>
                <w:bCs/>
                <w:sz w:val="24"/>
                <w:szCs w:val="24"/>
                <w:lang w:val="pt-PT"/>
              </w:rPr>
              <w:t>Total</w:t>
            </w:r>
          </w:p>
        </w:tc>
        <w:tc>
          <w:tcPr>
            <w:tcW w:w="2217" w:type="pct"/>
            <w:gridSpan w:val="2"/>
            <w:tcBorders>
              <w:right w:val="nil"/>
            </w:tcBorders>
            <w:noWrap/>
          </w:tcPr>
          <w:p w14:paraId="3FE4F3D3" w14:textId="1FE98385" w:rsidR="00E43A80" w:rsidRPr="005F1B2F" w:rsidRDefault="00E43A80" w:rsidP="00E43A80">
            <w:pPr>
              <w:spacing w:line="360" w:lineRule="auto"/>
              <w:jc w:val="both"/>
              <w:rPr>
                <w:rFonts w:ascii="Garamond" w:hAnsi="Garamond"/>
                <w:b/>
                <w:bCs/>
                <w:sz w:val="24"/>
                <w:szCs w:val="24"/>
              </w:rPr>
            </w:pPr>
            <w:r w:rsidRPr="005F1B2F">
              <w:rPr>
                <w:rFonts w:ascii="Garamond" w:hAnsi="Garamond"/>
                <w:b/>
                <w:bCs/>
                <w:sz w:val="24"/>
                <w:szCs w:val="24"/>
              </w:rPr>
              <w:t>62 637</w:t>
            </w:r>
          </w:p>
        </w:tc>
      </w:tr>
      <w:tr w:rsidR="006B48E9" w:rsidRPr="00293549" w14:paraId="236E1B63" w14:textId="77777777" w:rsidTr="001277BA">
        <w:trPr>
          <w:trHeight w:val="278"/>
        </w:trPr>
        <w:tc>
          <w:tcPr>
            <w:tcW w:w="5000" w:type="pct"/>
            <w:gridSpan w:val="3"/>
            <w:tcBorders>
              <w:left w:val="nil"/>
              <w:right w:val="nil"/>
            </w:tcBorders>
            <w:noWrap/>
          </w:tcPr>
          <w:p w14:paraId="2F300CED" w14:textId="791CFC52" w:rsidR="006B48E9" w:rsidRDefault="006B48E9" w:rsidP="001277BA">
            <w:pPr>
              <w:spacing w:line="240" w:lineRule="auto"/>
              <w:jc w:val="both"/>
              <w:rPr>
                <w:rFonts w:ascii="Garamond" w:hAnsi="Garamond"/>
                <w:sz w:val="20"/>
                <w:szCs w:val="20"/>
                <w:lang w:val="pt-PT"/>
              </w:rPr>
            </w:pPr>
            <w:r w:rsidRPr="006B48E9">
              <w:rPr>
                <w:rFonts w:ascii="Garamond" w:hAnsi="Garamond"/>
                <w:sz w:val="20"/>
                <w:szCs w:val="20"/>
                <w:lang w:val="pt-PT"/>
              </w:rPr>
              <w:t xml:space="preserve">A coluna </w:t>
            </w:r>
            <w:r w:rsidR="001277BA">
              <w:rPr>
                <w:rFonts w:ascii="Garamond" w:hAnsi="Garamond"/>
                <w:sz w:val="20"/>
                <w:szCs w:val="20"/>
                <w:lang w:val="pt-PT"/>
              </w:rPr>
              <w:t>“R</w:t>
            </w:r>
            <w:r w:rsidRPr="006B48E9">
              <w:rPr>
                <w:rFonts w:ascii="Garamond" w:hAnsi="Garamond"/>
                <w:sz w:val="20"/>
                <w:szCs w:val="20"/>
                <w:lang w:val="pt-PT"/>
              </w:rPr>
              <w:t xml:space="preserve">esultado do </w:t>
            </w:r>
            <w:r w:rsidR="001277BA">
              <w:rPr>
                <w:rFonts w:ascii="Garamond" w:hAnsi="Garamond"/>
                <w:sz w:val="20"/>
                <w:szCs w:val="20"/>
                <w:lang w:val="pt-PT"/>
              </w:rPr>
              <w:t>P</w:t>
            </w:r>
            <w:r>
              <w:rPr>
                <w:rFonts w:ascii="Garamond" w:hAnsi="Garamond"/>
                <w:sz w:val="20"/>
                <w:szCs w:val="20"/>
                <w:lang w:val="pt-PT"/>
              </w:rPr>
              <w:t>asso</w:t>
            </w:r>
            <w:r w:rsidR="001277BA">
              <w:rPr>
                <w:rFonts w:ascii="Garamond" w:hAnsi="Garamond"/>
                <w:sz w:val="20"/>
                <w:szCs w:val="20"/>
                <w:lang w:val="pt-PT"/>
              </w:rPr>
              <w:t xml:space="preserve">” </w:t>
            </w:r>
            <w:r w:rsidR="001277BA" w:rsidRPr="001277BA">
              <w:rPr>
                <w:rFonts w:ascii="Garamond" w:hAnsi="Garamond"/>
                <w:sz w:val="20"/>
                <w:szCs w:val="20"/>
                <w:lang w:val="pt-PT"/>
              </w:rPr>
              <w:t>indica o número de empresas que atendem a um critério de filtragem específico em cada etapa do processo</w:t>
            </w:r>
            <w:r w:rsidR="001277BA">
              <w:rPr>
                <w:rFonts w:ascii="Garamond" w:hAnsi="Garamond"/>
                <w:sz w:val="20"/>
                <w:szCs w:val="20"/>
                <w:lang w:val="pt-PT"/>
              </w:rPr>
              <w:t>;</w:t>
            </w:r>
          </w:p>
          <w:p w14:paraId="144B2F9B" w14:textId="3EA1BA9C" w:rsidR="001277BA" w:rsidRPr="006B48E9" w:rsidRDefault="001277BA" w:rsidP="001277BA">
            <w:pPr>
              <w:spacing w:line="240" w:lineRule="auto"/>
              <w:jc w:val="both"/>
              <w:rPr>
                <w:rFonts w:ascii="Garamond" w:hAnsi="Garamond"/>
                <w:sz w:val="20"/>
                <w:szCs w:val="20"/>
                <w:lang w:val="pt-PT"/>
              </w:rPr>
            </w:pPr>
            <w:r>
              <w:rPr>
                <w:rFonts w:ascii="Garamond" w:hAnsi="Garamond"/>
                <w:sz w:val="20"/>
                <w:szCs w:val="20"/>
                <w:lang w:val="pt-PT"/>
              </w:rPr>
              <w:t>A coluna “Resultado da Pesquisa”</w:t>
            </w:r>
            <w:r w:rsidRPr="001277BA">
              <w:rPr>
                <w:lang w:val="pt-PT"/>
              </w:rPr>
              <w:t xml:space="preserve"> </w:t>
            </w:r>
            <w:r w:rsidRPr="001277BA">
              <w:rPr>
                <w:rFonts w:ascii="Garamond" w:hAnsi="Garamond"/>
                <w:sz w:val="20"/>
                <w:szCs w:val="20"/>
                <w:lang w:val="pt-PT"/>
              </w:rPr>
              <w:t xml:space="preserve">reflete o número final de empresas que atendem a todos os critérios de filtragem aplicados até </w:t>
            </w:r>
            <w:r w:rsidR="006E41C7" w:rsidRPr="001277BA">
              <w:rPr>
                <w:rFonts w:ascii="Garamond" w:hAnsi="Garamond"/>
                <w:sz w:val="20"/>
                <w:szCs w:val="20"/>
                <w:lang w:val="pt-PT"/>
              </w:rPr>
              <w:t>a</w:t>
            </w:r>
            <w:r w:rsidR="006E41C7">
              <w:rPr>
                <w:rFonts w:ascii="Garamond" w:hAnsi="Garamond"/>
                <w:sz w:val="20"/>
                <w:szCs w:val="20"/>
                <w:lang w:val="pt-PT"/>
              </w:rPr>
              <w:t>o momento</w:t>
            </w:r>
            <w:r>
              <w:rPr>
                <w:rFonts w:ascii="Garamond" w:hAnsi="Garamond"/>
                <w:sz w:val="20"/>
                <w:szCs w:val="20"/>
                <w:lang w:val="pt-PT"/>
              </w:rPr>
              <w:t>.</w:t>
            </w:r>
          </w:p>
        </w:tc>
      </w:tr>
    </w:tbl>
    <w:p w14:paraId="6F4C3D8C" w14:textId="77777777" w:rsidR="00E43A80" w:rsidRPr="002D7F08" w:rsidRDefault="00E43A80" w:rsidP="00642608">
      <w:pPr>
        <w:spacing w:line="360" w:lineRule="auto"/>
        <w:jc w:val="both"/>
        <w:rPr>
          <w:rFonts w:ascii="Garamond" w:hAnsi="Garamond"/>
          <w:sz w:val="24"/>
          <w:szCs w:val="24"/>
          <w:lang w:val="pt-PT"/>
        </w:rPr>
      </w:pPr>
    </w:p>
    <w:p w14:paraId="54B69CC9" w14:textId="3A001C38" w:rsidR="00A05F31" w:rsidRPr="002D7F08" w:rsidRDefault="000019F0" w:rsidP="00642608">
      <w:pPr>
        <w:spacing w:line="360" w:lineRule="auto"/>
        <w:jc w:val="both"/>
        <w:rPr>
          <w:rFonts w:ascii="Garamond" w:hAnsi="Garamond"/>
          <w:sz w:val="24"/>
          <w:szCs w:val="24"/>
          <w:lang w:val="pt-PT"/>
        </w:rPr>
      </w:pPr>
      <w:r>
        <w:rPr>
          <w:rFonts w:ascii="Garamond" w:hAnsi="Garamond"/>
          <w:sz w:val="24"/>
          <w:szCs w:val="24"/>
          <w:lang w:val="pt-PT"/>
        </w:rPr>
        <w:t>D</w:t>
      </w:r>
      <w:r w:rsidR="007B42C9">
        <w:rPr>
          <w:rFonts w:ascii="Garamond" w:hAnsi="Garamond"/>
          <w:sz w:val="24"/>
          <w:szCs w:val="24"/>
          <w:lang w:val="pt-PT"/>
        </w:rPr>
        <w:t xml:space="preserve">estas </w:t>
      </w:r>
      <w:r w:rsidR="007B42C9" w:rsidRPr="0017108D">
        <w:rPr>
          <w:rFonts w:ascii="Garamond" w:hAnsi="Garamond"/>
          <w:sz w:val="24"/>
          <w:szCs w:val="24"/>
          <w:lang w:val="pt-PT"/>
        </w:rPr>
        <w:t>62 63</w:t>
      </w:r>
      <w:r w:rsidR="0017108D" w:rsidRPr="0017108D">
        <w:rPr>
          <w:rFonts w:ascii="Garamond" w:hAnsi="Garamond"/>
          <w:sz w:val="24"/>
          <w:szCs w:val="24"/>
          <w:lang w:val="pt-PT"/>
        </w:rPr>
        <w:t>7</w:t>
      </w:r>
      <w:r w:rsidR="007B42C9">
        <w:rPr>
          <w:rFonts w:ascii="Garamond" w:hAnsi="Garamond"/>
          <w:sz w:val="24"/>
          <w:szCs w:val="24"/>
          <w:lang w:val="pt-PT"/>
        </w:rPr>
        <w:t xml:space="preserve">, </w:t>
      </w:r>
      <w:r>
        <w:rPr>
          <w:rFonts w:ascii="Garamond" w:hAnsi="Garamond"/>
          <w:sz w:val="24"/>
          <w:szCs w:val="24"/>
          <w:lang w:val="pt-PT"/>
        </w:rPr>
        <w:t xml:space="preserve">para a nossa subamostra principal </w:t>
      </w:r>
      <w:r w:rsidR="007B42C9">
        <w:rPr>
          <w:rFonts w:ascii="Garamond" w:hAnsi="Garamond"/>
          <w:sz w:val="24"/>
          <w:szCs w:val="24"/>
          <w:lang w:val="pt-PT"/>
        </w:rPr>
        <w:t>selecionamos as empresas que b</w:t>
      </w:r>
      <w:r w:rsidR="007B42C9" w:rsidRPr="002D7F08">
        <w:rPr>
          <w:rFonts w:ascii="Garamond" w:hAnsi="Garamond"/>
          <w:sz w:val="24"/>
          <w:szCs w:val="24"/>
          <w:lang w:val="pt-PT"/>
        </w:rPr>
        <w:t>eneficiaram do CFEI II em 2020 e/ou em 2021 e/ou 2022</w:t>
      </w:r>
      <w:r w:rsidR="007B42C9">
        <w:rPr>
          <w:rFonts w:ascii="Garamond" w:hAnsi="Garamond"/>
          <w:sz w:val="24"/>
          <w:szCs w:val="24"/>
          <w:lang w:val="pt-PT"/>
        </w:rPr>
        <w:t>.</w:t>
      </w:r>
      <w:r>
        <w:rPr>
          <w:rFonts w:ascii="Garamond" w:hAnsi="Garamond"/>
          <w:sz w:val="24"/>
          <w:szCs w:val="24"/>
          <w:lang w:val="pt-PT"/>
        </w:rPr>
        <w:t xml:space="preserve"> </w:t>
      </w:r>
      <w:r w:rsidR="000155FE">
        <w:rPr>
          <w:rFonts w:ascii="Garamond" w:hAnsi="Garamond"/>
          <w:sz w:val="24"/>
          <w:szCs w:val="24"/>
          <w:lang w:val="pt-PT"/>
        </w:rPr>
        <w:t>A</w:t>
      </w:r>
      <w:r w:rsidR="00A05F31" w:rsidRPr="002D7F08">
        <w:rPr>
          <w:rFonts w:ascii="Garamond" w:hAnsi="Garamond"/>
          <w:sz w:val="24"/>
          <w:szCs w:val="24"/>
          <w:lang w:val="pt-PT"/>
        </w:rPr>
        <w:t xml:space="preserve"> seleção restringe-se às empresas que realmente obtiveram os benefícios fiscais do CFEI II em 2020 e/ou em 2021 e/ou 2022</w:t>
      </w:r>
      <w:r w:rsidR="00293549">
        <w:rPr>
          <w:rFonts w:ascii="Garamond" w:hAnsi="Garamond"/>
          <w:sz w:val="24"/>
          <w:szCs w:val="24"/>
          <w:lang w:val="pt-PT"/>
        </w:rPr>
        <w:t xml:space="preserve">, </w:t>
      </w:r>
      <w:r w:rsidR="00A05F31" w:rsidRPr="002D7F08">
        <w:rPr>
          <w:rFonts w:ascii="Garamond" w:hAnsi="Garamond"/>
          <w:sz w:val="24"/>
          <w:szCs w:val="24"/>
          <w:lang w:val="pt-PT"/>
        </w:rPr>
        <w:t>excluindo aquelas que não puderam usufruir do CFEI II devido à insuficiência de coleta de IRC. Desta forma assegurou-se que na subamostra principal estejam apenas empresas que efetivamente beneficiaram do CFEI II. Por outro lado, a escolha de empresas que não estão abrangidas pelo RETGS exclui aquelas que investiram, obtiveram e utilizaram o CFEI II, mas estão sujeitas a IRC sob esse regime. Essa escolha visa evitar a seleção de empresas que beneficiaram do CFEI II apenas porque integram um grupo fiscal específico (que aproveita os benefícios fiscais apurados por todas as empresas do grupo).</w:t>
      </w:r>
    </w:p>
    <w:p w14:paraId="7CA9BABC" w14:textId="08D55EF5"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Em resumo, os critérios de seleção utilizados asseguram que a subamostra principal é composta por empresas que efetivamente beneficiaram do CFEI II.</w:t>
      </w:r>
      <w:r w:rsidR="00260760" w:rsidRPr="002D7F08">
        <w:rPr>
          <w:rFonts w:ascii="Garamond" w:hAnsi="Garamond"/>
          <w:sz w:val="24"/>
          <w:szCs w:val="24"/>
          <w:lang w:val="pt-PT"/>
        </w:rPr>
        <w:t xml:space="preserve"> O n</w:t>
      </w:r>
      <w:r w:rsidR="00E20B6B" w:rsidRPr="002D7F08">
        <w:rPr>
          <w:rFonts w:ascii="Garamond" w:hAnsi="Garamond"/>
          <w:sz w:val="24"/>
          <w:szCs w:val="24"/>
          <w:lang w:val="pt-PT"/>
        </w:rPr>
        <w:t>ú</w:t>
      </w:r>
      <w:r w:rsidR="00260760" w:rsidRPr="002D7F08">
        <w:rPr>
          <w:rFonts w:ascii="Garamond" w:hAnsi="Garamond"/>
          <w:sz w:val="24"/>
          <w:szCs w:val="24"/>
          <w:lang w:val="pt-PT"/>
        </w:rPr>
        <w:t>mero</w:t>
      </w:r>
      <w:r w:rsidR="00285574">
        <w:rPr>
          <w:rFonts w:ascii="Garamond" w:hAnsi="Garamond"/>
          <w:sz w:val="24"/>
          <w:szCs w:val="24"/>
          <w:lang w:val="pt-PT"/>
        </w:rPr>
        <w:t xml:space="preserve"> final</w:t>
      </w:r>
      <w:r w:rsidR="00260760" w:rsidRPr="002D7F08">
        <w:rPr>
          <w:rFonts w:ascii="Garamond" w:hAnsi="Garamond"/>
          <w:sz w:val="24"/>
          <w:szCs w:val="24"/>
          <w:lang w:val="pt-PT"/>
        </w:rPr>
        <w:t xml:space="preserve"> de empresas </w:t>
      </w:r>
      <w:r w:rsidR="00285574">
        <w:rPr>
          <w:rFonts w:ascii="Garamond" w:hAnsi="Garamond"/>
          <w:sz w:val="24"/>
          <w:szCs w:val="24"/>
          <w:lang w:val="pt-PT"/>
        </w:rPr>
        <w:t xml:space="preserve">que compõem a amostra de teste </w:t>
      </w:r>
      <w:r w:rsidR="00260760" w:rsidRPr="002D7F08">
        <w:rPr>
          <w:rFonts w:ascii="Garamond" w:hAnsi="Garamond"/>
          <w:sz w:val="24"/>
          <w:szCs w:val="24"/>
          <w:lang w:val="pt-PT"/>
        </w:rPr>
        <w:t>é de</w:t>
      </w:r>
      <w:r w:rsidR="008A2C67">
        <w:rPr>
          <w:rFonts w:ascii="Garamond" w:hAnsi="Garamond"/>
          <w:sz w:val="24"/>
          <w:szCs w:val="24"/>
          <w:lang w:val="pt-PT"/>
        </w:rPr>
        <w:t xml:space="preserve"> </w:t>
      </w:r>
      <w:r w:rsidR="002E0999" w:rsidRPr="0017108D">
        <w:rPr>
          <w:rFonts w:ascii="Garamond" w:hAnsi="Garamond"/>
          <w:sz w:val="24"/>
          <w:szCs w:val="24"/>
          <w:lang w:val="pt-PT"/>
        </w:rPr>
        <w:t>7 389</w:t>
      </w:r>
      <w:r w:rsidR="008A2C67" w:rsidRPr="0017108D">
        <w:rPr>
          <w:rFonts w:ascii="Garamond" w:hAnsi="Garamond"/>
          <w:sz w:val="24"/>
          <w:szCs w:val="24"/>
          <w:lang w:val="pt-PT"/>
        </w:rPr>
        <w:t>.</w:t>
      </w:r>
    </w:p>
    <w:p w14:paraId="166DB7D5" w14:textId="441AF897" w:rsidR="00A05F31" w:rsidRPr="002D7F08"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A seleção de uma subamostra de controlo teve como objetivo permitir uma análise comparativa entre o comportamento das empresas que compõem a subamostra principal</w:t>
      </w:r>
      <w:r w:rsidR="00A35BC4">
        <w:rPr>
          <w:rFonts w:ascii="Garamond" w:hAnsi="Garamond"/>
          <w:sz w:val="24"/>
          <w:szCs w:val="24"/>
          <w:lang w:val="pt-PT"/>
        </w:rPr>
        <w:t xml:space="preserve"> </w:t>
      </w:r>
      <w:r w:rsidRPr="002D7F08">
        <w:rPr>
          <w:rFonts w:ascii="Garamond" w:hAnsi="Garamond"/>
          <w:sz w:val="24"/>
          <w:szCs w:val="24"/>
          <w:lang w:val="pt-PT"/>
        </w:rPr>
        <w:t xml:space="preserve">e as empresas que integram a subamostra de controlo. A subamostra de controlo é constituída por todas as empresas que não beneficiaram do CFEI II em 2020, 2021 e 2022 e que </w:t>
      </w:r>
      <w:r w:rsidR="006C4170" w:rsidRPr="002D7F08">
        <w:rPr>
          <w:rFonts w:ascii="Garamond" w:hAnsi="Garamond"/>
          <w:sz w:val="24"/>
          <w:szCs w:val="24"/>
          <w:lang w:val="pt-PT"/>
        </w:rPr>
        <w:t>cumpram os mesmos critérios da subamostra principal</w:t>
      </w:r>
      <w:r w:rsidRPr="002D7F08">
        <w:rPr>
          <w:rFonts w:ascii="Garamond" w:hAnsi="Garamond"/>
          <w:sz w:val="24"/>
          <w:szCs w:val="24"/>
          <w:lang w:val="pt-PT"/>
        </w:rPr>
        <w:t xml:space="preserve">. </w:t>
      </w:r>
    </w:p>
    <w:p w14:paraId="555CEF56" w14:textId="1D25C217" w:rsidR="00102BE0" w:rsidRDefault="00A05F31" w:rsidP="00642608">
      <w:pPr>
        <w:spacing w:line="360" w:lineRule="auto"/>
        <w:jc w:val="both"/>
        <w:rPr>
          <w:rFonts w:ascii="Garamond" w:hAnsi="Garamond"/>
          <w:sz w:val="24"/>
          <w:szCs w:val="24"/>
          <w:lang w:val="pt-PT"/>
        </w:rPr>
      </w:pPr>
      <w:r w:rsidRPr="002D7F08">
        <w:rPr>
          <w:rFonts w:ascii="Garamond" w:hAnsi="Garamond"/>
          <w:sz w:val="24"/>
          <w:szCs w:val="24"/>
          <w:lang w:val="pt-PT"/>
        </w:rPr>
        <w:t xml:space="preserve">Em relação à subamostra de controlo, é importante observar que a seleção se limita às empresas que não beneficiaram do CFEI II em 2020, </w:t>
      </w:r>
      <w:r w:rsidR="0031198B">
        <w:rPr>
          <w:rFonts w:ascii="Garamond" w:hAnsi="Garamond"/>
          <w:sz w:val="24"/>
          <w:szCs w:val="24"/>
          <w:lang w:val="pt-PT"/>
        </w:rPr>
        <w:t xml:space="preserve">e/ou </w:t>
      </w:r>
      <w:r w:rsidRPr="002D7F08">
        <w:rPr>
          <w:rFonts w:ascii="Garamond" w:hAnsi="Garamond"/>
          <w:sz w:val="24"/>
          <w:szCs w:val="24"/>
          <w:lang w:val="pt-PT"/>
        </w:rPr>
        <w:t>2021 e</w:t>
      </w:r>
      <w:r w:rsidR="0031198B">
        <w:rPr>
          <w:rFonts w:ascii="Garamond" w:hAnsi="Garamond"/>
          <w:sz w:val="24"/>
          <w:szCs w:val="24"/>
          <w:lang w:val="pt-PT"/>
        </w:rPr>
        <w:t>/ou</w:t>
      </w:r>
      <w:r w:rsidRPr="002D7F08">
        <w:rPr>
          <w:rFonts w:ascii="Garamond" w:hAnsi="Garamond"/>
          <w:sz w:val="24"/>
          <w:szCs w:val="24"/>
          <w:lang w:val="pt-PT"/>
        </w:rPr>
        <w:t xml:space="preserve"> 2022. </w:t>
      </w:r>
      <w:r w:rsidR="00260760" w:rsidRPr="002D7F08">
        <w:rPr>
          <w:rFonts w:ascii="Garamond" w:hAnsi="Garamond"/>
          <w:sz w:val="24"/>
          <w:szCs w:val="24"/>
          <w:lang w:val="pt-PT"/>
        </w:rPr>
        <w:t xml:space="preserve">O número de empresas </w:t>
      </w:r>
      <w:r w:rsidR="00285574">
        <w:rPr>
          <w:rFonts w:ascii="Garamond" w:hAnsi="Garamond"/>
          <w:sz w:val="24"/>
          <w:szCs w:val="24"/>
          <w:lang w:val="pt-PT"/>
        </w:rPr>
        <w:t xml:space="preserve">que integram a amostra </w:t>
      </w:r>
      <w:r w:rsidR="00260760" w:rsidRPr="002D7F08">
        <w:rPr>
          <w:rFonts w:ascii="Garamond" w:hAnsi="Garamond"/>
          <w:sz w:val="24"/>
          <w:szCs w:val="24"/>
          <w:lang w:val="pt-PT"/>
        </w:rPr>
        <w:t>de controlo é</w:t>
      </w:r>
      <w:r w:rsidR="0091140A">
        <w:rPr>
          <w:rFonts w:ascii="Garamond" w:hAnsi="Garamond"/>
          <w:sz w:val="24"/>
          <w:szCs w:val="24"/>
          <w:lang w:val="pt-PT"/>
        </w:rPr>
        <w:t xml:space="preserve"> </w:t>
      </w:r>
      <w:r w:rsidR="00260760" w:rsidRPr="0017108D">
        <w:rPr>
          <w:rFonts w:ascii="Garamond" w:hAnsi="Garamond"/>
          <w:sz w:val="24"/>
          <w:szCs w:val="24"/>
          <w:lang w:val="pt-PT"/>
        </w:rPr>
        <w:t>de</w:t>
      </w:r>
      <w:r w:rsidR="0091140A" w:rsidRPr="0017108D">
        <w:rPr>
          <w:rFonts w:ascii="Garamond" w:hAnsi="Garamond"/>
          <w:sz w:val="24"/>
          <w:szCs w:val="24"/>
          <w:lang w:val="pt-PT"/>
        </w:rPr>
        <w:t xml:space="preserve"> 55</w:t>
      </w:r>
      <w:r w:rsidR="00382F30">
        <w:rPr>
          <w:rFonts w:ascii="Garamond" w:hAnsi="Garamond"/>
          <w:sz w:val="24"/>
          <w:szCs w:val="24"/>
          <w:lang w:val="pt-PT"/>
        </w:rPr>
        <w:t> </w:t>
      </w:r>
      <w:r w:rsidR="0091140A" w:rsidRPr="0017108D">
        <w:rPr>
          <w:rFonts w:ascii="Garamond" w:hAnsi="Garamond"/>
          <w:sz w:val="24"/>
          <w:szCs w:val="24"/>
          <w:lang w:val="pt-PT"/>
        </w:rPr>
        <w:t>24</w:t>
      </w:r>
      <w:r w:rsidR="0017108D" w:rsidRPr="0017108D">
        <w:rPr>
          <w:rFonts w:ascii="Garamond" w:hAnsi="Garamond"/>
          <w:sz w:val="24"/>
          <w:szCs w:val="24"/>
          <w:lang w:val="pt-PT"/>
        </w:rPr>
        <w:t>8</w:t>
      </w:r>
      <w:r w:rsidR="0017108D">
        <w:rPr>
          <w:rFonts w:ascii="Garamond" w:hAnsi="Garamond"/>
          <w:sz w:val="24"/>
          <w:szCs w:val="24"/>
          <w:lang w:val="pt-PT"/>
        </w:rPr>
        <w:t>.</w:t>
      </w:r>
    </w:p>
    <w:p w14:paraId="66B6E31A" w14:textId="77777777" w:rsidR="00382F30" w:rsidRDefault="00382F30" w:rsidP="00642608">
      <w:pPr>
        <w:spacing w:line="360" w:lineRule="auto"/>
        <w:jc w:val="both"/>
        <w:rPr>
          <w:rFonts w:ascii="Garamond" w:hAnsi="Garamond"/>
          <w:sz w:val="24"/>
          <w:szCs w:val="24"/>
          <w:lang w:val="pt-PT"/>
        </w:rPr>
      </w:pPr>
    </w:p>
    <w:p w14:paraId="0999D5D5" w14:textId="77777777" w:rsidR="00293549" w:rsidRDefault="00293549" w:rsidP="00642608">
      <w:pPr>
        <w:spacing w:line="360" w:lineRule="auto"/>
        <w:jc w:val="both"/>
        <w:rPr>
          <w:rFonts w:ascii="Garamond" w:hAnsi="Garamond"/>
          <w:sz w:val="24"/>
          <w:szCs w:val="24"/>
          <w:lang w:val="pt-PT"/>
        </w:rPr>
      </w:pPr>
    </w:p>
    <w:p w14:paraId="55EBE59C" w14:textId="77777777" w:rsidR="00293549" w:rsidRPr="002D7F08" w:rsidRDefault="00293549" w:rsidP="00642608">
      <w:pPr>
        <w:spacing w:line="360" w:lineRule="auto"/>
        <w:jc w:val="both"/>
        <w:rPr>
          <w:rFonts w:ascii="Garamond" w:hAnsi="Garamond"/>
          <w:sz w:val="24"/>
          <w:szCs w:val="24"/>
          <w:lang w:val="pt-PT"/>
        </w:rPr>
      </w:pPr>
    </w:p>
    <w:p w14:paraId="6552B569" w14:textId="439FA079" w:rsidR="00345C3B" w:rsidRPr="002D7F08" w:rsidRDefault="00345C3B" w:rsidP="00642608">
      <w:pPr>
        <w:pStyle w:val="TtuloSecundrioTese"/>
        <w:jc w:val="both"/>
      </w:pPr>
      <w:bookmarkStart w:id="40" w:name="_Toc176458056"/>
      <w:r w:rsidRPr="002D7F08">
        <w:lastRenderedPageBreak/>
        <w:t>Estatísticas Descritivas</w:t>
      </w:r>
      <w:bookmarkEnd w:id="40"/>
    </w:p>
    <w:p w14:paraId="059A0407" w14:textId="55AAA49A" w:rsidR="00B535B0" w:rsidRDefault="00621150" w:rsidP="00642608">
      <w:pPr>
        <w:spacing w:line="360" w:lineRule="auto"/>
        <w:jc w:val="both"/>
        <w:rPr>
          <w:rFonts w:ascii="Garamond" w:hAnsi="Garamond"/>
          <w:sz w:val="24"/>
          <w:szCs w:val="24"/>
          <w:lang w:val="pt-PT"/>
        </w:rPr>
      </w:pPr>
      <w:r>
        <w:rPr>
          <w:rFonts w:ascii="Garamond" w:hAnsi="Garamond"/>
          <w:sz w:val="24"/>
          <w:szCs w:val="24"/>
          <w:lang w:val="pt-PT"/>
        </w:rPr>
        <w:t>Inicialmente foi efetuada uma</w:t>
      </w:r>
      <w:r w:rsidR="00101287" w:rsidRPr="00101287">
        <w:rPr>
          <w:rFonts w:ascii="Garamond" w:hAnsi="Garamond"/>
          <w:sz w:val="24"/>
          <w:szCs w:val="24"/>
          <w:lang w:val="pt-PT"/>
        </w:rPr>
        <w:t xml:space="preserve"> análise dos dados em painel utilizando um conjunto de dados fortemente balanceado, onde a variável do painel é o código NIF (NIF_Code) e a variável temporal é o ano (Ano), abrangendo o período de 2020 a 2022. Este conjunto de dados foi configurado para capturar as variações ao longo do tempo das entidades individuais representadas pelos códigos NIF.</w:t>
      </w:r>
      <w:r w:rsidR="00BE2E01">
        <w:rPr>
          <w:rFonts w:ascii="Garamond" w:hAnsi="Garamond"/>
          <w:sz w:val="24"/>
          <w:szCs w:val="24"/>
          <w:lang w:val="pt-PT"/>
        </w:rPr>
        <w:t xml:space="preserve"> </w:t>
      </w:r>
      <w:r w:rsidR="00BE2E01" w:rsidRPr="00BE2E01">
        <w:rPr>
          <w:rFonts w:ascii="Garamond" w:hAnsi="Garamond"/>
          <w:sz w:val="24"/>
          <w:szCs w:val="24"/>
          <w:lang w:val="pt-PT"/>
        </w:rPr>
        <w:t>Es</w:t>
      </w:r>
      <w:r w:rsidR="00BE2E01">
        <w:rPr>
          <w:rFonts w:ascii="Garamond" w:hAnsi="Garamond"/>
          <w:sz w:val="24"/>
          <w:szCs w:val="24"/>
          <w:lang w:val="pt-PT"/>
        </w:rPr>
        <w:t>te</w:t>
      </w:r>
      <w:r w:rsidR="00BE2E01" w:rsidRPr="00BE2E01">
        <w:rPr>
          <w:rFonts w:ascii="Garamond" w:hAnsi="Garamond"/>
          <w:sz w:val="24"/>
          <w:szCs w:val="24"/>
          <w:lang w:val="pt-PT"/>
        </w:rPr>
        <w:t xml:space="preserve"> passo </w:t>
      </w:r>
      <w:r w:rsidR="00BE2E01">
        <w:rPr>
          <w:rFonts w:ascii="Garamond" w:hAnsi="Garamond"/>
          <w:sz w:val="24"/>
          <w:szCs w:val="24"/>
          <w:lang w:val="pt-PT"/>
        </w:rPr>
        <w:t>foi</w:t>
      </w:r>
      <w:r w:rsidR="00BE2E01" w:rsidRPr="00BE2E01">
        <w:rPr>
          <w:rFonts w:ascii="Garamond" w:hAnsi="Garamond"/>
          <w:sz w:val="24"/>
          <w:szCs w:val="24"/>
          <w:lang w:val="pt-PT"/>
        </w:rPr>
        <w:t xml:space="preserve"> fundamenta</w:t>
      </w:r>
      <w:r w:rsidR="00BE2E01">
        <w:rPr>
          <w:rFonts w:ascii="Garamond" w:hAnsi="Garamond"/>
          <w:sz w:val="24"/>
          <w:szCs w:val="24"/>
          <w:lang w:val="pt-PT"/>
        </w:rPr>
        <w:t>l</w:t>
      </w:r>
      <w:r w:rsidR="00BE2E01" w:rsidRPr="00BE2E01">
        <w:rPr>
          <w:rFonts w:ascii="Garamond" w:hAnsi="Garamond"/>
          <w:sz w:val="24"/>
          <w:szCs w:val="24"/>
          <w:lang w:val="pt-PT"/>
        </w:rPr>
        <w:t xml:space="preserve"> para garantir a integridade dos dados e a correta especificação do modelo em painel.</w:t>
      </w:r>
    </w:p>
    <w:p w14:paraId="4CA993BE" w14:textId="4826C550" w:rsidR="00AC6E48" w:rsidRDefault="00AC6E48" w:rsidP="00642608">
      <w:pPr>
        <w:spacing w:line="360" w:lineRule="auto"/>
        <w:jc w:val="both"/>
        <w:rPr>
          <w:rFonts w:ascii="Garamond" w:hAnsi="Garamond"/>
          <w:sz w:val="24"/>
          <w:szCs w:val="24"/>
          <w:lang w:val="pt-PT"/>
        </w:rPr>
      </w:pPr>
      <w:r>
        <w:rPr>
          <w:rFonts w:ascii="Garamond" w:hAnsi="Garamond"/>
          <w:sz w:val="24"/>
          <w:szCs w:val="24"/>
          <w:lang w:val="pt-PT"/>
        </w:rPr>
        <w:t>Posteriormente, com</w:t>
      </w:r>
      <w:r w:rsidRPr="00AC6E48">
        <w:rPr>
          <w:rFonts w:ascii="Garamond" w:hAnsi="Garamond"/>
          <w:sz w:val="24"/>
          <w:szCs w:val="24"/>
          <w:lang w:val="pt-PT"/>
        </w:rPr>
        <w:t xml:space="preserve"> o objetivo de examinar a evolução do investimento </w:t>
      </w:r>
      <w:r>
        <w:rPr>
          <w:rFonts w:ascii="Garamond" w:hAnsi="Garamond"/>
          <w:sz w:val="24"/>
          <w:szCs w:val="24"/>
          <w:lang w:val="pt-PT"/>
        </w:rPr>
        <w:t>das</w:t>
      </w:r>
      <w:r w:rsidRPr="00AC6E48">
        <w:rPr>
          <w:rFonts w:ascii="Garamond" w:hAnsi="Garamond"/>
          <w:sz w:val="24"/>
          <w:szCs w:val="24"/>
          <w:lang w:val="pt-PT"/>
        </w:rPr>
        <w:t xml:space="preserve"> empresas que u</w:t>
      </w:r>
      <w:r>
        <w:rPr>
          <w:rFonts w:ascii="Garamond" w:hAnsi="Garamond"/>
          <w:sz w:val="24"/>
          <w:szCs w:val="24"/>
          <w:lang w:val="pt-PT"/>
        </w:rPr>
        <w:t>sufruíram</w:t>
      </w:r>
      <w:r w:rsidRPr="00AC6E48">
        <w:rPr>
          <w:rFonts w:ascii="Garamond" w:hAnsi="Garamond"/>
          <w:sz w:val="24"/>
          <w:szCs w:val="24"/>
          <w:lang w:val="pt-PT"/>
        </w:rPr>
        <w:t xml:space="preserve"> </w:t>
      </w:r>
      <w:r>
        <w:rPr>
          <w:rFonts w:ascii="Garamond" w:hAnsi="Garamond"/>
          <w:sz w:val="24"/>
          <w:szCs w:val="24"/>
          <w:lang w:val="pt-PT"/>
        </w:rPr>
        <w:t>d</w:t>
      </w:r>
      <w:r w:rsidRPr="00AC6E48">
        <w:rPr>
          <w:rFonts w:ascii="Garamond" w:hAnsi="Garamond"/>
          <w:sz w:val="24"/>
          <w:szCs w:val="24"/>
          <w:lang w:val="pt-PT"/>
        </w:rPr>
        <w:t>o CFEI</w:t>
      </w:r>
      <w:r>
        <w:rPr>
          <w:rFonts w:ascii="Garamond" w:hAnsi="Garamond"/>
          <w:sz w:val="24"/>
          <w:szCs w:val="24"/>
          <w:lang w:val="pt-PT"/>
        </w:rPr>
        <w:t xml:space="preserve"> II</w:t>
      </w:r>
      <w:r w:rsidRPr="00AC6E48">
        <w:rPr>
          <w:rFonts w:ascii="Garamond" w:hAnsi="Garamond"/>
          <w:sz w:val="24"/>
          <w:szCs w:val="24"/>
          <w:lang w:val="pt-PT"/>
        </w:rPr>
        <w:t xml:space="preserve"> e compará-lo com as empresas que não</w:t>
      </w:r>
      <w:r>
        <w:rPr>
          <w:rFonts w:ascii="Garamond" w:hAnsi="Garamond"/>
          <w:sz w:val="24"/>
          <w:szCs w:val="24"/>
          <w:lang w:val="pt-PT"/>
        </w:rPr>
        <w:t xml:space="preserve"> beneficiaram</w:t>
      </w:r>
      <w:r w:rsidRPr="00AC6E48">
        <w:rPr>
          <w:rFonts w:ascii="Garamond" w:hAnsi="Garamond"/>
          <w:sz w:val="24"/>
          <w:szCs w:val="24"/>
          <w:lang w:val="pt-PT"/>
        </w:rPr>
        <w:t xml:space="preserve"> </w:t>
      </w:r>
      <w:r>
        <w:rPr>
          <w:rFonts w:ascii="Garamond" w:hAnsi="Garamond"/>
          <w:sz w:val="24"/>
          <w:szCs w:val="24"/>
          <w:lang w:val="pt-PT"/>
        </w:rPr>
        <w:t>d</w:t>
      </w:r>
      <w:r w:rsidRPr="00AC6E48">
        <w:rPr>
          <w:rFonts w:ascii="Garamond" w:hAnsi="Garamond"/>
          <w:sz w:val="24"/>
          <w:szCs w:val="24"/>
          <w:lang w:val="pt-PT"/>
        </w:rPr>
        <w:t xml:space="preserve">esse </w:t>
      </w:r>
      <w:r>
        <w:rPr>
          <w:rFonts w:ascii="Garamond" w:hAnsi="Garamond"/>
          <w:sz w:val="24"/>
          <w:szCs w:val="24"/>
          <w:lang w:val="pt-PT"/>
        </w:rPr>
        <w:t>incentivo</w:t>
      </w:r>
      <w:r w:rsidRPr="00AC6E48">
        <w:rPr>
          <w:rFonts w:ascii="Garamond" w:hAnsi="Garamond"/>
          <w:sz w:val="24"/>
          <w:szCs w:val="24"/>
          <w:lang w:val="pt-PT"/>
        </w:rPr>
        <w:t xml:space="preserve">, foram calculadas e analisadas estatísticas descritivas para as subamostras principal e de controlo das variáveis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t</m:t>
            </m:r>
          </m:sub>
        </m:sSub>
      </m:oMath>
      <w:r>
        <w:rPr>
          <w:rFonts w:ascii="Garamond" w:hAnsi="Garamond"/>
          <w:sz w:val="24"/>
          <w:szCs w:val="24"/>
          <w:lang w:val="pt-PT"/>
        </w:rPr>
        <w:t xml:space="preserve"> </w:t>
      </w:r>
      <w:r w:rsidRPr="00AC6E48">
        <w:rPr>
          <w:rFonts w:ascii="Garamond" w:hAnsi="Garamond"/>
          <w:sz w:val="24"/>
          <w:szCs w:val="24"/>
          <w:lang w:val="pt-PT"/>
        </w:rPr>
        <w:t>e</w:t>
      </w:r>
      <w:r>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t-1</m:t>
            </m:r>
          </m:sub>
        </m:sSub>
      </m:oMath>
      <w:r w:rsidRPr="00AC6E48">
        <w:rPr>
          <w:rFonts w:ascii="Garamond" w:hAnsi="Garamond"/>
          <w:sz w:val="24"/>
          <w:szCs w:val="24"/>
          <w:lang w:val="pt-PT"/>
        </w:rPr>
        <w:t>, referentes ao</w:t>
      </w:r>
      <w:r>
        <w:rPr>
          <w:rFonts w:ascii="Garamond" w:hAnsi="Garamond"/>
          <w:sz w:val="24"/>
          <w:szCs w:val="24"/>
          <w:lang w:val="pt-PT"/>
        </w:rPr>
        <w:t xml:space="preserve"> período</w:t>
      </w:r>
      <w:r w:rsidRPr="00AC6E48">
        <w:rPr>
          <w:rFonts w:ascii="Garamond" w:hAnsi="Garamond"/>
          <w:sz w:val="24"/>
          <w:szCs w:val="24"/>
          <w:lang w:val="pt-PT"/>
        </w:rPr>
        <w:t xml:space="preserve"> de 20</w:t>
      </w:r>
      <w:r>
        <w:rPr>
          <w:rFonts w:ascii="Garamond" w:hAnsi="Garamond"/>
          <w:sz w:val="24"/>
          <w:szCs w:val="24"/>
          <w:lang w:val="pt-PT"/>
        </w:rPr>
        <w:t>20</w:t>
      </w:r>
      <w:r w:rsidRPr="00AC6E48">
        <w:rPr>
          <w:rFonts w:ascii="Garamond" w:hAnsi="Garamond"/>
          <w:sz w:val="24"/>
          <w:szCs w:val="24"/>
          <w:lang w:val="pt-PT"/>
        </w:rPr>
        <w:t xml:space="preserve"> </w:t>
      </w:r>
      <w:r>
        <w:rPr>
          <w:rFonts w:ascii="Garamond" w:hAnsi="Garamond"/>
          <w:sz w:val="24"/>
          <w:szCs w:val="24"/>
          <w:lang w:val="pt-PT"/>
        </w:rPr>
        <w:t>a</w:t>
      </w:r>
      <w:r w:rsidRPr="00AC6E48">
        <w:rPr>
          <w:rFonts w:ascii="Garamond" w:hAnsi="Garamond"/>
          <w:sz w:val="24"/>
          <w:szCs w:val="24"/>
          <w:lang w:val="pt-PT"/>
        </w:rPr>
        <w:t xml:space="preserve"> 20</w:t>
      </w:r>
      <w:r>
        <w:rPr>
          <w:rFonts w:ascii="Garamond" w:hAnsi="Garamond"/>
          <w:sz w:val="24"/>
          <w:szCs w:val="24"/>
          <w:lang w:val="pt-PT"/>
        </w:rPr>
        <w:t>22</w:t>
      </w:r>
      <w:r w:rsidRPr="00AC6E48">
        <w:rPr>
          <w:rFonts w:ascii="Garamond" w:hAnsi="Garamond"/>
          <w:sz w:val="24"/>
          <w:szCs w:val="24"/>
          <w:lang w:val="pt-PT"/>
        </w:rPr>
        <w:t>.</w:t>
      </w:r>
    </w:p>
    <w:p w14:paraId="618D951A" w14:textId="1600CECA" w:rsidR="00AC6E48" w:rsidRDefault="00452ED8" w:rsidP="00642608">
      <w:pPr>
        <w:spacing w:line="360" w:lineRule="auto"/>
        <w:jc w:val="both"/>
        <w:rPr>
          <w:rFonts w:ascii="Garamond" w:hAnsi="Garamond"/>
          <w:sz w:val="24"/>
          <w:szCs w:val="24"/>
          <w:lang w:val="pt-PT"/>
        </w:rPr>
      </w:pPr>
      <w:r w:rsidRPr="00697ACC">
        <w:rPr>
          <w:rFonts w:ascii="Garamond" w:hAnsi="Garamond"/>
          <w:sz w:val="24"/>
          <w:szCs w:val="24"/>
          <w:lang w:val="pt-PT"/>
        </w:rPr>
        <w:t>O período selecionado abrange os anos cruciais para nossa análise: 201</w:t>
      </w:r>
      <w:r w:rsidR="0012125C" w:rsidRPr="00697ACC">
        <w:rPr>
          <w:rFonts w:ascii="Garamond" w:hAnsi="Garamond"/>
          <w:sz w:val="24"/>
          <w:szCs w:val="24"/>
          <w:lang w:val="pt-PT"/>
        </w:rPr>
        <w:t>9</w:t>
      </w:r>
      <w:r w:rsidRPr="00697ACC">
        <w:rPr>
          <w:rFonts w:ascii="Garamond" w:hAnsi="Garamond"/>
          <w:sz w:val="24"/>
          <w:szCs w:val="24"/>
          <w:lang w:val="pt-PT"/>
        </w:rPr>
        <w:t>, o ano anterior ao benefício; 20</w:t>
      </w:r>
      <w:r w:rsidR="0012125C" w:rsidRPr="00697ACC">
        <w:rPr>
          <w:rFonts w:ascii="Garamond" w:hAnsi="Garamond"/>
          <w:sz w:val="24"/>
          <w:szCs w:val="24"/>
          <w:lang w:val="pt-PT"/>
        </w:rPr>
        <w:t>20 e 2021</w:t>
      </w:r>
      <w:r w:rsidRPr="00697ACC">
        <w:rPr>
          <w:rFonts w:ascii="Garamond" w:hAnsi="Garamond"/>
          <w:sz w:val="24"/>
          <w:szCs w:val="24"/>
          <w:lang w:val="pt-PT"/>
        </w:rPr>
        <w:t>, o</w:t>
      </w:r>
      <w:r w:rsidR="0012125C" w:rsidRPr="00697ACC">
        <w:rPr>
          <w:rFonts w:ascii="Garamond" w:hAnsi="Garamond"/>
          <w:sz w:val="24"/>
          <w:szCs w:val="24"/>
          <w:lang w:val="pt-PT"/>
        </w:rPr>
        <w:t>s</w:t>
      </w:r>
      <w:r w:rsidRPr="00697ACC">
        <w:rPr>
          <w:rFonts w:ascii="Garamond" w:hAnsi="Garamond"/>
          <w:sz w:val="24"/>
          <w:szCs w:val="24"/>
          <w:lang w:val="pt-PT"/>
        </w:rPr>
        <w:t xml:space="preserve"> ano</w:t>
      </w:r>
      <w:r w:rsidR="0012125C" w:rsidRPr="00697ACC">
        <w:rPr>
          <w:rFonts w:ascii="Garamond" w:hAnsi="Garamond"/>
          <w:sz w:val="24"/>
          <w:szCs w:val="24"/>
          <w:lang w:val="pt-PT"/>
        </w:rPr>
        <w:t>s</w:t>
      </w:r>
      <w:r w:rsidRPr="00697ACC">
        <w:rPr>
          <w:rFonts w:ascii="Garamond" w:hAnsi="Garamond"/>
          <w:sz w:val="24"/>
          <w:szCs w:val="24"/>
          <w:lang w:val="pt-PT"/>
        </w:rPr>
        <w:t xml:space="preserve"> em que o investimento se qualifica para o incentivo fiscal; e 20</w:t>
      </w:r>
      <w:r w:rsidR="0012125C" w:rsidRPr="00697ACC">
        <w:rPr>
          <w:rFonts w:ascii="Garamond" w:hAnsi="Garamond"/>
          <w:sz w:val="24"/>
          <w:szCs w:val="24"/>
          <w:lang w:val="pt-PT"/>
        </w:rPr>
        <w:t>22</w:t>
      </w:r>
      <w:r w:rsidRPr="00697ACC">
        <w:rPr>
          <w:rFonts w:ascii="Garamond" w:hAnsi="Garamond"/>
          <w:sz w:val="24"/>
          <w:szCs w:val="24"/>
          <w:lang w:val="pt-PT"/>
        </w:rPr>
        <w:t>, o ano em que se espera que o investimento tenha sido antecipado.</w:t>
      </w:r>
    </w:p>
    <w:p w14:paraId="0A8B63F3" w14:textId="068F7FF9" w:rsidR="00452ED8" w:rsidRDefault="0012125C" w:rsidP="00642608">
      <w:pPr>
        <w:spacing w:line="360" w:lineRule="auto"/>
        <w:jc w:val="both"/>
        <w:rPr>
          <w:rFonts w:ascii="Garamond" w:hAnsi="Garamond"/>
          <w:sz w:val="24"/>
          <w:szCs w:val="24"/>
          <w:lang w:val="pt-PT"/>
        </w:rPr>
      </w:pPr>
      <w:r>
        <w:rPr>
          <w:rFonts w:ascii="Garamond" w:hAnsi="Garamond"/>
          <w:sz w:val="24"/>
          <w:szCs w:val="24"/>
          <w:lang w:val="pt-PT"/>
        </w:rPr>
        <w:t>De seguida, será apresentado um quadro resumo com as estatísticas descritivas das restantes variáveis explicativas, relativas ao período de 2018 a 2022 para a amostra global.</w:t>
      </w:r>
    </w:p>
    <w:p w14:paraId="1B8B22FD" w14:textId="530FD5EA" w:rsidR="00FE7482" w:rsidRPr="00FE7482" w:rsidRDefault="00FE7482" w:rsidP="00642608">
      <w:pPr>
        <w:pStyle w:val="ListParagraph"/>
        <w:numPr>
          <w:ilvl w:val="0"/>
          <w:numId w:val="10"/>
        </w:numPr>
        <w:spacing w:line="360" w:lineRule="auto"/>
        <w:jc w:val="both"/>
        <w:rPr>
          <w:rFonts w:ascii="Garamond" w:hAnsi="Garamond"/>
          <w:i/>
          <w:iCs/>
          <w:sz w:val="24"/>
          <w:szCs w:val="24"/>
          <w:lang w:val="pt-PT"/>
        </w:rPr>
      </w:pPr>
      <w:r w:rsidRPr="00FE7482">
        <w:rPr>
          <w:rFonts w:ascii="Garamond" w:hAnsi="Garamond"/>
          <w:i/>
          <w:iCs/>
          <w:sz w:val="24"/>
          <w:szCs w:val="24"/>
          <w:lang w:val="pt-PT"/>
        </w:rPr>
        <w:t xml:space="preserve">Subamostra principal </w:t>
      </w:r>
      <w:proofErr w:type="spellStart"/>
      <w:r w:rsidRPr="00FE7482">
        <w:rPr>
          <w:rFonts w:ascii="Garamond" w:hAnsi="Garamond"/>
          <w:i/>
          <w:iCs/>
          <w:sz w:val="24"/>
          <w:szCs w:val="24"/>
          <w:lang w:val="pt-PT"/>
        </w:rPr>
        <w:t>vs</w:t>
      </w:r>
      <w:proofErr w:type="spellEnd"/>
      <w:r w:rsidRPr="00FE7482">
        <w:rPr>
          <w:rFonts w:ascii="Garamond" w:hAnsi="Garamond"/>
          <w:i/>
          <w:iCs/>
          <w:sz w:val="24"/>
          <w:szCs w:val="24"/>
          <w:lang w:val="pt-PT"/>
        </w:rPr>
        <w:t xml:space="preserve"> subamostra de controlo: variação do investimento de 2019 para 2020 </w:t>
      </w:r>
      <w:proofErr w:type="spellStart"/>
      <w:r w:rsidRPr="00FE7482">
        <w:rPr>
          <w:rFonts w:ascii="Garamond" w:hAnsi="Garamond"/>
          <w:i/>
          <w:iCs/>
          <w:sz w:val="24"/>
          <w:szCs w:val="24"/>
          <w:lang w:val="pt-PT"/>
        </w:rPr>
        <w:t>vs</w:t>
      </w:r>
      <w:proofErr w:type="spellEnd"/>
      <w:r w:rsidRPr="00FE7482">
        <w:rPr>
          <w:rFonts w:ascii="Garamond" w:hAnsi="Garamond"/>
          <w:i/>
          <w:iCs/>
          <w:sz w:val="24"/>
          <w:szCs w:val="24"/>
          <w:lang w:val="pt-PT"/>
        </w:rPr>
        <w:t xml:space="preserve"> variação do investimento de 2020 para 2021 </w:t>
      </w:r>
      <w:proofErr w:type="spellStart"/>
      <w:r w:rsidRPr="00FE7482">
        <w:rPr>
          <w:rFonts w:ascii="Garamond" w:hAnsi="Garamond"/>
          <w:i/>
          <w:iCs/>
          <w:sz w:val="24"/>
          <w:szCs w:val="24"/>
          <w:lang w:val="pt-PT"/>
        </w:rPr>
        <w:t>vs</w:t>
      </w:r>
      <w:proofErr w:type="spellEnd"/>
      <w:r w:rsidRPr="00FE7482">
        <w:rPr>
          <w:rFonts w:ascii="Garamond" w:hAnsi="Garamond"/>
          <w:i/>
          <w:iCs/>
          <w:sz w:val="24"/>
          <w:szCs w:val="24"/>
          <w:lang w:val="pt-PT"/>
        </w:rPr>
        <w:t xml:space="preserve"> variação do investimento de 2021 para 2022</w:t>
      </w:r>
    </w:p>
    <w:p w14:paraId="01D3C00A" w14:textId="78D2E71B" w:rsidR="002C3AEA" w:rsidRDefault="0012125C" w:rsidP="00642608">
      <w:pPr>
        <w:spacing w:line="360" w:lineRule="auto"/>
        <w:jc w:val="both"/>
        <w:rPr>
          <w:rFonts w:ascii="Garamond" w:hAnsi="Garamond"/>
          <w:sz w:val="24"/>
          <w:szCs w:val="24"/>
          <w:lang w:val="pt-PT"/>
        </w:rPr>
      </w:pPr>
      <w:r w:rsidRPr="0012125C">
        <w:rPr>
          <w:rFonts w:ascii="Garamond" w:hAnsi="Garamond"/>
          <w:sz w:val="24"/>
          <w:szCs w:val="24"/>
          <w:lang w:val="pt-PT"/>
        </w:rPr>
        <w:t xml:space="preserve">O objetivo da análise das estatísticas descritivas apresentadas na Tabela </w:t>
      </w:r>
      <w:r w:rsidR="00974A9D">
        <w:rPr>
          <w:rFonts w:ascii="Garamond" w:hAnsi="Garamond"/>
          <w:sz w:val="24"/>
          <w:szCs w:val="24"/>
          <w:lang w:val="pt-PT"/>
        </w:rPr>
        <w:t>2</w:t>
      </w:r>
      <w:r w:rsidRPr="0012125C">
        <w:rPr>
          <w:rFonts w:ascii="Garamond" w:hAnsi="Garamond"/>
          <w:sz w:val="24"/>
          <w:szCs w:val="24"/>
          <w:lang w:val="pt-PT"/>
        </w:rPr>
        <w:t xml:space="preserve"> é comparar o comportamento das </w:t>
      </w:r>
      <w:r w:rsidRPr="00AC6E48">
        <w:rPr>
          <w:rFonts w:ascii="Garamond" w:hAnsi="Garamond"/>
          <w:sz w:val="24"/>
          <w:szCs w:val="24"/>
          <w:lang w:val="pt-PT"/>
        </w:rPr>
        <w:t xml:space="preserve">variáveis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Pr>
          <w:rFonts w:ascii="Garamond" w:hAnsi="Garamond"/>
          <w:sz w:val="24"/>
          <w:szCs w:val="24"/>
          <w:lang w:val="pt-PT"/>
        </w:rPr>
        <w:t xml:space="preserve"> </w:t>
      </w:r>
      <w:r w:rsidRPr="00AC6E48">
        <w:rPr>
          <w:rFonts w:ascii="Garamond" w:hAnsi="Garamond"/>
          <w:sz w:val="24"/>
          <w:szCs w:val="24"/>
          <w:lang w:val="pt-PT"/>
        </w:rPr>
        <w:t>e</w:t>
      </w:r>
      <w:r>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i,t-1</m:t>
            </m:r>
          </m:sub>
        </m:sSub>
      </m:oMath>
      <w:r w:rsidRPr="00AC6E48">
        <w:rPr>
          <w:rFonts w:ascii="Garamond" w:hAnsi="Garamond"/>
          <w:sz w:val="24"/>
          <w:szCs w:val="24"/>
          <w:lang w:val="pt-PT"/>
        </w:rPr>
        <w:t xml:space="preserve">, </w:t>
      </w:r>
      <w:r w:rsidRPr="0012125C">
        <w:rPr>
          <w:rFonts w:ascii="Garamond" w:hAnsi="Garamond"/>
          <w:sz w:val="24"/>
          <w:szCs w:val="24"/>
          <w:lang w:val="pt-PT"/>
        </w:rPr>
        <w:t>entre a subamostra principal e a subamostra de controlo nos períodos de 20</w:t>
      </w:r>
      <w:r>
        <w:rPr>
          <w:rFonts w:ascii="Garamond" w:hAnsi="Garamond"/>
          <w:sz w:val="24"/>
          <w:szCs w:val="24"/>
          <w:lang w:val="pt-PT"/>
        </w:rPr>
        <w:t>20, 2021</w:t>
      </w:r>
      <w:r w:rsidRPr="0012125C">
        <w:rPr>
          <w:rFonts w:ascii="Garamond" w:hAnsi="Garamond"/>
          <w:sz w:val="24"/>
          <w:szCs w:val="24"/>
          <w:lang w:val="pt-PT"/>
        </w:rPr>
        <w:t xml:space="preserve"> e 20</w:t>
      </w:r>
      <w:r>
        <w:rPr>
          <w:rFonts w:ascii="Garamond" w:hAnsi="Garamond"/>
          <w:sz w:val="24"/>
          <w:szCs w:val="24"/>
          <w:lang w:val="pt-PT"/>
        </w:rPr>
        <w:t>22</w:t>
      </w:r>
      <w:r w:rsidRPr="0012125C">
        <w:rPr>
          <w:rFonts w:ascii="Garamond" w:hAnsi="Garamond"/>
          <w:sz w:val="24"/>
          <w:szCs w:val="24"/>
          <w:lang w:val="pt-PT"/>
        </w:rPr>
        <w:t>.</w:t>
      </w:r>
    </w:p>
    <w:p w14:paraId="7E1E1A25" w14:textId="77777777" w:rsidR="003A608C" w:rsidRDefault="003A608C" w:rsidP="00642608">
      <w:pPr>
        <w:spacing w:line="360" w:lineRule="auto"/>
        <w:jc w:val="both"/>
        <w:rPr>
          <w:rFonts w:ascii="Garamond" w:hAnsi="Garamond"/>
          <w:sz w:val="24"/>
          <w:szCs w:val="24"/>
          <w:lang w:val="pt-PT"/>
        </w:rPr>
      </w:pPr>
    </w:p>
    <w:p w14:paraId="73DE7E22" w14:textId="77777777" w:rsidR="001277BA" w:rsidRDefault="001277BA" w:rsidP="00642608">
      <w:pPr>
        <w:spacing w:line="360" w:lineRule="auto"/>
        <w:jc w:val="both"/>
        <w:rPr>
          <w:rFonts w:ascii="Garamond" w:hAnsi="Garamond"/>
          <w:sz w:val="24"/>
          <w:szCs w:val="24"/>
          <w:lang w:val="pt-PT"/>
        </w:rPr>
      </w:pPr>
    </w:p>
    <w:p w14:paraId="5D6671A4" w14:textId="77777777" w:rsidR="001277BA" w:rsidRDefault="001277BA" w:rsidP="00642608">
      <w:pPr>
        <w:spacing w:line="360" w:lineRule="auto"/>
        <w:jc w:val="both"/>
        <w:rPr>
          <w:rFonts w:ascii="Garamond" w:hAnsi="Garamond"/>
          <w:sz w:val="24"/>
          <w:szCs w:val="24"/>
          <w:lang w:val="pt-PT"/>
        </w:rPr>
      </w:pPr>
    </w:p>
    <w:p w14:paraId="2FB21B66" w14:textId="77777777" w:rsidR="001277BA" w:rsidRDefault="001277BA" w:rsidP="00642608">
      <w:pPr>
        <w:spacing w:line="360" w:lineRule="auto"/>
        <w:jc w:val="both"/>
        <w:rPr>
          <w:rFonts w:ascii="Garamond" w:hAnsi="Garamond"/>
          <w:sz w:val="24"/>
          <w:szCs w:val="24"/>
          <w:lang w:val="pt-PT"/>
        </w:rPr>
      </w:pPr>
    </w:p>
    <w:p w14:paraId="1A2AC4D8" w14:textId="77777777" w:rsidR="00293549" w:rsidRDefault="00293549" w:rsidP="00642608">
      <w:pPr>
        <w:spacing w:line="360" w:lineRule="auto"/>
        <w:jc w:val="both"/>
        <w:rPr>
          <w:rFonts w:ascii="Garamond" w:hAnsi="Garamond"/>
          <w:sz w:val="24"/>
          <w:szCs w:val="24"/>
          <w:lang w:val="pt-PT"/>
        </w:rPr>
      </w:pPr>
    </w:p>
    <w:p w14:paraId="2FCD5CE2" w14:textId="39CDD0AD" w:rsidR="00D87F0B" w:rsidRPr="00D87F0B" w:rsidRDefault="00D87F0B" w:rsidP="00D87F0B">
      <w:pPr>
        <w:pStyle w:val="Caption"/>
        <w:keepNext/>
        <w:rPr>
          <w:rFonts w:ascii="Garamond" w:hAnsi="Garamond"/>
          <w:i w:val="0"/>
          <w:iCs w:val="0"/>
          <w:color w:val="auto"/>
          <w:lang w:val="pt-PT"/>
        </w:rPr>
      </w:pPr>
      <w:bookmarkStart w:id="41" w:name="_Toc176855914"/>
      <w:r w:rsidRPr="00D87F0B">
        <w:rPr>
          <w:rFonts w:ascii="Garamond" w:hAnsi="Garamond"/>
          <w:b/>
          <w:bCs/>
          <w:i w:val="0"/>
          <w:iCs w:val="0"/>
          <w:color w:val="auto"/>
          <w:lang w:val="pt-PT"/>
        </w:rPr>
        <w:lastRenderedPageBreak/>
        <w:t xml:space="preserve">Tabela </w:t>
      </w:r>
      <w:r w:rsidRPr="00D87F0B">
        <w:rPr>
          <w:rFonts w:ascii="Garamond" w:hAnsi="Garamond"/>
          <w:b/>
          <w:bCs/>
          <w:i w:val="0"/>
          <w:iCs w:val="0"/>
          <w:color w:val="auto"/>
        </w:rPr>
        <w:fldChar w:fldCharType="begin"/>
      </w:r>
      <w:r w:rsidRPr="00D87F0B">
        <w:rPr>
          <w:rFonts w:ascii="Garamond" w:hAnsi="Garamond"/>
          <w:b/>
          <w:bCs/>
          <w:i w:val="0"/>
          <w:iCs w:val="0"/>
          <w:color w:val="auto"/>
          <w:lang w:val="pt-PT"/>
        </w:rPr>
        <w:instrText xml:space="preserve"> SEQ Tabela \* ARABIC </w:instrText>
      </w:r>
      <w:r w:rsidRPr="00D87F0B">
        <w:rPr>
          <w:rFonts w:ascii="Garamond" w:hAnsi="Garamond"/>
          <w:b/>
          <w:bCs/>
          <w:i w:val="0"/>
          <w:iCs w:val="0"/>
          <w:color w:val="auto"/>
        </w:rPr>
        <w:fldChar w:fldCharType="separate"/>
      </w:r>
      <w:r w:rsidR="00C01B43">
        <w:rPr>
          <w:rFonts w:ascii="Garamond" w:hAnsi="Garamond"/>
          <w:b/>
          <w:bCs/>
          <w:i w:val="0"/>
          <w:iCs w:val="0"/>
          <w:noProof/>
          <w:color w:val="auto"/>
          <w:lang w:val="pt-PT"/>
        </w:rPr>
        <w:t>2</w:t>
      </w:r>
      <w:r w:rsidRPr="00D87F0B">
        <w:rPr>
          <w:rFonts w:ascii="Garamond" w:hAnsi="Garamond"/>
          <w:b/>
          <w:bCs/>
          <w:i w:val="0"/>
          <w:iCs w:val="0"/>
          <w:color w:val="auto"/>
        </w:rPr>
        <w:fldChar w:fldCharType="end"/>
      </w:r>
      <w:r w:rsidRPr="00D87F0B">
        <w:rPr>
          <w:rFonts w:ascii="Garamond" w:hAnsi="Garamond"/>
          <w:i w:val="0"/>
          <w:iCs w:val="0"/>
          <w:color w:val="auto"/>
          <w:lang w:val="pt-PT"/>
        </w:rPr>
        <w:t xml:space="preserve"> - Estatísticas descritivas e teste de igualdade das médias da variável </w:t>
      </w:r>
      <m:oMath>
        <m:r>
          <w:rPr>
            <w:rFonts w:ascii="Cambria Math" w:hAnsi="Cambria Math"/>
            <w:color w:val="auto"/>
            <w:lang w:val="pt-PT"/>
          </w:rPr>
          <m:t>∆</m:t>
        </m:r>
        <m:sSub>
          <m:sSubPr>
            <m:ctrlPr>
              <w:rPr>
                <w:rFonts w:ascii="Cambria Math" w:hAnsi="Cambria Math"/>
                <w:i w:val="0"/>
                <w:iCs w:val="0"/>
                <w:color w:val="auto"/>
              </w:rPr>
            </m:ctrlPr>
          </m:sSubPr>
          <m:e>
            <m:r>
              <w:rPr>
                <w:rFonts w:ascii="Cambria Math" w:hAnsi="Cambria Math"/>
                <w:color w:val="auto"/>
                <w:lang w:val="pt-PT"/>
              </w:rPr>
              <m:t>Inv</m:t>
            </m:r>
          </m:e>
          <m:sub>
            <m:r>
              <w:rPr>
                <w:rFonts w:ascii="Cambria Math" w:hAnsi="Cambria Math"/>
                <w:color w:val="auto"/>
                <w:lang w:val="pt-PT"/>
              </w:rPr>
              <m:t>t</m:t>
            </m:r>
          </m:sub>
        </m:sSub>
      </m:oMath>
      <w:r w:rsidRPr="00D87F0B">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i w:val="0"/>
                <w:iCs w:val="0"/>
                <w:color w:val="auto"/>
              </w:rPr>
            </m:ctrlPr>
          </m:sSubPr>
          <m:e>
            <m:r>
              <w:rPr>
                <w:rFonts w:ascii="Cambria Math" w:hAnsi="Cambria Math"/>
                <w:color w:val="auto"/>
                <w:lang w:val="pt-PT"/>
              </w:rPr>
              <m:t>Inv</m:t>
            </m:r>
          </m:e>
          <m:sub>
            <m:r>
              <w:rPr>
                <w:rFonts w:ascii="Cambria Math" w:hAnsi="Cambria Math"/>
                <w:color w:val="auto"/>
                <w:lang w:val="pt-PT"/>
              </w:rPr>
              <m:t>t-1</m:t>
            </m:r>
          </m:sub>
        </m:sSub>
      </m:oMath>
      <w:bookmarkEnd w:id="41"/>
    </w:p>
    <w:tbl>
      <w:tblPr>
        <w:tblStyle w:val="TableGrid"/>
        <w:tblW w:w="8498" w:type="dxa"/>
        <w:tblInd w:w="5" w:type="dxa"/>
        <w:tblLook w:val="04A0" w:firstRow="1" w:lastRow="0" w:firstColumn="1" w:lastColumn="0" w:noHBand="0" w:noVBand="1"/>
      </w:tblPr>
      <w:tblGrid>
        <w:gridCol w:w="1418"/>
        <w:gridCol w:w="1180"/>
        <w:gridCol w:w="1180"/>
        <w:gridCol w:w="1180"/>
        <w:gridCol w:w="1180"/>
        <w:gridCol w:w="1180"/>
        <w:gridCol w:w="1180"/>
      </w:tblGrid>
      <w:tr w:rsidR="00B87372" w14:paraId="5F3A5BFF" w14:textId="77777777" w:rsidTr="00D62757">
        <w:trPr>
          <w:trHeight w:val="822"/>
        </w:trPr>
        <w:tc>
          <w:tcPr>
            <w:tcW w:w="1418" w:type="dxa"/>
            <w:vMerge w:val="restart"/>
            <w:tcBorders>
              <w:left w:val="nil"/>
            </w:tcBorders>
            <w:hideMark/>
          </w:tcPr>
          <w:p w14:paraId="09773FCB" w14:textId="77777777" w:rsidR="00E67323" w:rsidRPr="0002603F" w:rsidRDefault="00E67323" w:rsidP="003704CB">
            <w:pPr>
              <w:spacing w:after="160"/>
              <w:rPr>
                <w:rFonts w:ascii="Garamond" w:hAnsi="Garamond"/>
                <w:sz w:val="24"/>
                <w:szCs w:val="24"/>
              </w:rPr>
            </w:pPr>
            <w:r w:rsidRPr="0002603F">
              <w:rPr>
                <w:rFonts w:ascii="Garamond" w:hAnsi="Garamond"/>
                <w:b/>
                <w:bCs/>
                <w:sz w:val="24"/>
                <w:szCs w:val="24"/>
                <w:lang w:val="pt-PT"/>
              </w:rPr>
              <w:t>Painel A / Subamostra Principal</w:t>
            </w:r>
          </w:p>
        </w:tc>
        <w:tc>
          <w:tcPr>
            <w:tcW w:w="2546" w:type="dxa"/>
            <w:gridSpan w:val="2"/>
            <w:vAlign w:val="center"/>
            <w:hideMark/>
          </w:tcPr>
          <w:p w14:paraId="3ED70CF0" w14:textId="77777777" w:rsidR="00E67323" w:rsidRPr="00641432" w:rsidRDefault="00E67323" w:rsidP="003704CB">
            <w:pPr>
              <w:jc w:val="center"/>
              <w:rPr>
                <w:rFonts w:ascii="Garamond" w:hAnsi="Garamond"/>
                <w:b/>
                <w:bCs/>
                <w:sz w:val="24"/>
                <w:szCs w:val="24"/>
              </w:rPr>
            </w:pPr>
            <w:r w:rsidRPr="00641432">
              <w:rPr>
                <w:rFonts w:ascii="Garamond" w:hAnsi="Garamond"/>
                <w:b/>
                <w:bCs/>
                <w:sz w:val="24"/>
                <w:szCs w:val="24"/>
                <w:lang w:val="pt-PT"/>
              </w:rPr>
              <w:t>2020</w:t>
            </w:r>
          </w:p>
        </w:tc>
        <w:tc>
          <w:tcPr>
            <w:tcW w:w="2174" w:type="dxa"/>
            <w:gridSpan w:val="2"/>
            <w:vAlign w:val="center"/>
            <w:hideMark/>
          </w:tcPr>
          <w:p w14:paraId="5B1823E2" w14:textId="77777777" w:rsidR="00E67323" w:rsidRPr="00641432" w:rsidRDefault="00E67323" w:rsidP="003704CB">
            <w:pPr>
              <w:jc w:val="center"/>
              <w:rPr>
                <w:rFonts w:ascii="Garamond" w:hAnsi="Garamond"/>
                <w:b/>
                <w:bCs/>
                <w:sz w:val="24"/>
                <w:szCs w:val="24"/>
              </w:rPr>
            </w:pPr>
            <w:r w:rsidRPr="00641432">
              <w:rPr>
                <w:rFonts w:ascii="Garamond" w:hAnsi="Garamond"/>
                <w:b/>
                <w:bCs/>
                <w:sz w:val="24"/>
                <w:szCs w:val="24"/>
                <w:lang w:val="pt-PT"/>
              </w:rPr>
              <w:t>2021</w:t>
            </w:r>
          </w:p>
        </w:tc>
        <w:tc>
          <w:tcPr>
            <w:tcW w:w="2360" w:type="dxa"/>
            <w:gridSpan w:val="2"/>
            <w:tcBorders>
              <w:right w:val="nil"/>
            </w:tcBorders>
          </w:tcPr>
          <w:p w14:paraId="482586FE" w14:textId="77777777" w:rsidR="00E67323" w:rsidRPr="00641432" w:rsidRDefault="00E67323" w:rsidP="003704CB">
            <w:pPr>
              <w:jc w:val="center"/>
              <w:rPr>
                <w:rFonts w:ascii="Garamond" w:hAnsi="Garamond"/>
                <w:b/>
                <w:bCs/>
                <w:sz w:val="24"/>
                <w:szCs w:val="24"/>
                <w:lang w:val="pt-PT"/>
              </w:rPr>
            </w:pPr>
          </w:p>
          <w:p w14:paraId="62B89BB5" w14:textId="77777777" w:rsidR="00E67323" w:rsidRPr="00641432" w:rsidRDefault="00E67323" w:rsidP="003704CB">
            <w:pPr>
              <w:jc w:val="center"/>
              <w:rPr>
                <w:rFonts w:ascii="Garamond" w:hAnsi="Garamond"/>
                <w:b/>
                <w:bCs/>
                <w:sz w:val="24"/>
                <w:szCs w:val="24"/>
                <w:lang w:val="pt-PT"/>
              </w:rPr>
            </w:pPr>
            <w:r w:rsidRPr="00641432">
              <w:rPr>
                <w:rFonts w:ascii="Garamond" w:hAnsi="Garamond"/>
                <w:b/>
                <w:bCs/>
                <w:sz w:val="24"/>
                <w:szCs w:val="24"/>
                <w:lang w:val="pt-PT"/>
              </w:rPr>
              <w:t>2022</w:t>
            </w:r>
          </w:p>
        </w:tc>
      </w:tr>
      <w:tr w:rsidR="000F6DA0" w:rsidRPr="0002603F" w14:paraId="17F77360" w14:textId="77777777" w:rsidTr="00D62757">
        <w:trPr>
          <w:trHeight w:val="532"/>
        </w:trPr>
        <w:tc>
          <w:tcPr>
            <w:tcW w:w="1418" w:type="dxa"/>
            <w:vMerge/>
            <w:tcBorders>
              <w:left w:val="nil"/>
            </w:tcBorders>
            <w:vAlign w:val="center"/>
            <w:hideMark/>
          </w:tcPr>
          <w:p w14:paraId="5CE83F65" w14:textId="77777777" w:rsidR="00E67323" w:rsidRPr="0002603F" w:rsidRDefault="00E67323" w:rsidP="003704CB">
            <w:pPr>
              <w:rPr>
                <w:rFonts w:ascii="Garamond" w:hAnsi="Garamond"/>
                <w:sz w:val="24"/>
                <w:szCs w:val="24"/>
              </w:rPr>
            </w:pPr>
          </w:p>
        </w:tc>
        <w:tc>
          <w:tcPr>
            <w:tcW w:w="1180" w:type="dxa"/>
            <w:tcBorders>
              <w:bottom w:val="dashSmallGap" w:sz="12" w:space="0" w:color="auto"/>
            </w:tcBorders>
            <w:vAlign w:val="center"/>
            <w:hideMark/>
          </w:tcPr>
          <w:p w14:paraId="54D4E5E6" w14:textId="00F80E01" w:rsidR="00E67323"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2020</m:t>
                    </m:r>
                  </m:sub>
                </m:sSub>
              </m:oMath>
            </m:oMathPara>
          </w:p>
          <w:p w14:paraId="06848B17" w14:textId="77777777" w:rsidR="00E67323" w:rsidRPr="00641432" w:rsidRDefault="00E67323" w:rsidP="003704CB">
            <w:pPr>
              <w:jc w:val="center"/>
              <w:rPr>
                <w:rFonts w:ascii="Garamond" w:hAnsi="Garamond"/>
                <w:b/>
                <w:bCs/>
                <w:sz w:val="24"/>
                <w:szCs w:val="24"/>
              </w:rPr>
            </w:pPr>
            <w:r w:rsidRPr="00641432">
              <w:rPr>
                <w:rFonts w:ascii="Garamond" w:hAnsi="Garamond"/>
                <w:b/>
                <w:bCs/>
                <w:sz w:val="24"/>
                <w:szCs w:val="24"/>
                <w:lang w:val="pt-PT"/>
              </w:rPr>
              <w:t>(1)</w:t>
            </w:r>
          </w:p>
        </w:tc>
        <w:tc>
          <w:tcPr>
            <w:tcW w:w="1366" w:type="dxa"/>
            <w:tcBorders>
              <w:bottom w:val="dashSmallGap" w:sz="12" w:space="0" w:color="auto"/>
              <w:right w:val="dashSmallGap" w:sz="12" w:space="0" w:color="auto"/>
            </w:tcBorders>
            <w:vAlign w:val="center"/>
            <w:hideMark/>
          </w:tcPr>
          <w:p w14:paraId="25D89F5D" w14:textId="5BE3F2B8" w:rsidR="00E67323"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2019</m:t>
                    </m:r>
                  </m:sub>
                </m:sSub>
              </m:oMath>
            </m:oMathPara>
          </w:p>
          <w:p w14:paraId="02667A7F" w14:textId="77777777" w:rsidR="00E67323" w:rsidRPr="00641432" w:rsidRDefault="00E67323" w:rsidP="003704CB">
            <w:pPr>
              <w:jc w:val="center"/>
              <w:rPr>
                <w:rFonts w:ascii="Garamond" w:hAnsi="Garamond"/>
                <w:b/>
                <w:bCs/>
                <w:sz w:val="24"/>
                <w:szCs w:val="24"/>
              </w:rPr>
            </w:pPr>
            <w:r w:rsidRPr="00641432">
              <w:rPr>
                <w:rFonts w:ascii="Garamond" w:hAnsi="Garamond"/>
                <w:b/>
                <w:bCs/>
                <w:sz w:val="24"/>
                <w:szCs w:val="24"/>
                <w:lang w:val="pt-PT"/>
              </w:rPr>
              <w:t>(2)</w:t>
            </w:r>
          </w:p>
        </w:tc>
        <w:tc>
          <w:tcPr>
            <w:tcW w:w="994" w:type="dxa"/>
            <w:tcBorders>
              <w:left w:val="dashSmallGap" w:sz="12" w:space="0" w:color="auto"/>
              <w:bottom w:val="dashSmallGap" w:sz="12" w:space="0" w:color="auto"/>
            </w:tcBorders>
            <w:vAlign w:val="center"/>
            <w:hideMark/>
          </w:tcPr>
          <w:p w14:paraId="30760718" w14:textId="0247EA5D" w:rsidR="00E67323"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2021</m:t>
                    </m:r>
                  </m:sub>
                </m:sSub>
              </m:oMath>
            </m:oMathPara>
          </w:p>
          <w:p w14:paraId="3AFAFCF6" w14:textId="77777777" w:rsidR="00E67323" w:rsidRPr="00641432" w:rsidRDefault="00E67323" w:rsidP="003704CB">
            <w:pPr>
              <w:jc w:val="center"/>
              <w:rPr>
                <w:rFonts w:ascii="Garamond" w:hAnsi="Garamond"/>
                <w:b/>
                <w:bCs/>
                <w:sz w:val="24"/>
                <w:szCs w:val="24"/>
              </w:rPr>
            </w:pPr>
            <w:r w:rsidRPr="00641432">
              <w:rPr>
                <w:rFonts w:ascii="Garamond" w:hAnsi="Garamond"/>
                <w:b/>
                <w:bCs/>
                <w:sz w:val="24"/>
                <w:szCs w:val="24"/>
                <w:lang w:val="pt-PT"/>
              </w:rPr>
              <w:t>(3)</w:t>
            </w:r>
          </w:p>
        </w:tc>
        <w:tc>
          <w:tcPr>
            <w:tcW w:w="1180" w:type="dxa"/>
            <w:tcBorders>
              <w:bottom w:val="dashSmallGap" w:sz="12" w:space="0" w:color="auto"/>
              <w:right w:val="dashSmallGap" w:sz="12" w:space="0" w:color="auto"/>
            </w:tcBorders>
            <w:vAlign w:val="center"/>
            <w:hideMark/>
          </w:tcPr>
          <w:p w14:paraId="49C740A9" w14:textId="6AEFCA1A" w:rsidR="00E67323"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2020</m:t>
                    </m:r>
                  </m:sub>
                </m:sSub>
              </m:oMath>
            </m:oMathPara>
          </w:p>
          <w:p w14:paraId="7C085E52" w14:textId="77777777" w:rsidR="00E67323" w:rsidRPr="00641432" w:rsidRDefault="00E67323" w:rsidP="003704CB">
            <w:pPr>
              <w:jc w:val="center"/>
              <w:rPr>
                <w:rFonts w:ascii="Garamond" w:hAnsi="Garamond"/>
                <w:b/>
                <w:bCs/>
                <w:sz w:val="24"/>
                <w:szCs w:val="24"/>
              </w:rPr>
            </w:pPr>
            <w:r w:rsidRPr="00641432">
              <w:rPr>
                <w:rFonts w:ascii="Garamond" w:hAnsi="Garamond"/>
                <w:b/>
                <w:bCs/>
                <w:sz w:val="24"/>
                <w:szCs w:val="24"/>
                <w:lang w:val="pt-PT"/>
              </w:rPr>
              <w:t>(4)</w:t>
            </w:r>
          </w:p>
        </w:tc>
        <w:tc>
          <w:tcPr>
            <w:tcW w:w="1180" w:type="dxa"/>
            <w:tcBorders>
              <w:left w:val="dashSmallGap" w:sz="12" w:space="0" w:color="auto"/>
              <w:bottom w:val="dashSmallGap" w:sz="12" w:space="0" w:color="auto"/>
            </w:tcBorders>
          </w:tcPr>
          <w:p w14:paraId="68176234" w14:textId="04A842CB" w:rsidR="00E67323"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2022</m:t>
                    </m:r>
                  </m:sub>
                </m:sSub>
              </m:oMath>
            </m:oMathPara>
          </w:p>
          <w:p w14:paraId="641F4CD0" w14:textId="77777777" w:rsidR="00E67323" w:rsidRPr="00641432" w:rsidRDefault="00E67323" w:rsidP="003704CB">
            <w:pPr>
              <w:jc w:val="center"/>
              <w:rPr>
                <w:rFonts w:ascii="Garamond" w:eastAsia="Times New Roman" w:hAnsi="Garamond" w:cs="Gill Sans"/>
                <w:b/>
                <w:bCs/>
                <w:sz w:val="24"/>
                <w:szCs w:val="24"/>
                <w:lang w:val="pt-PT"/>
              </w:rPr>
            </w:pPr>
            <w:r w:rsidRPr="00641432">
              <w:rPr>
                <w:rFonts w:ascii="Garamond" w:hAnsi="Garamond"/>
                <w:b/>
                <w:bCs/>
                <w:sz w:val="24"/>
                <w:szCs w:val="24"/>
                <w:lang w:val="pt-PT"/>
              </w:rPr>
              <w:t>(5)</w:t>
            </w:r>
          </w:p>
        </w:tc>
        <w:tc>
          <w:tcPr>
            <w:tcW w:w="1180" w:type="dxa"/>
            <w:tcBorders>
              <w:bottom w:val="dashSmallGap" w:sz="12" w:space="0" w:color="auto"/>
              <w:right w:val="nil"/>
            </w:tcBorders>
          </w:tcPr>
          <w:p w14:paraId="1FD2C54B" w14:textId="00B99F87" w:rsidR="00E67323"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2021</m:t>
                    </m:r>
                  </m:sub>
                </m:sSub>
              </m:oMath>
            </m:oMathPara>
          </w:p>
          <w:p w14:paraId="73E7A024" w14:textId="77777777" w:rsidR="00E67323" w:rsidRPr="00641432" w:rsidRDefault="00E67323" w:rsidP="003704CB">
            <w:pPr>
              <w:jc w:val="center"/>
              <w:rPr>
                <w:rFonts w:ascii="Garamond" w:eastAsia="Times New Roman" w:hAnsi="Garamond" w:cs="Gill Sans"/>
                <w:b/>
                <w:bCs/>
                <w:sz w:val="24"/>
                <w:szCs w:val="24"/>
                <w:lang w:val="pt-PT"/>
              </w:rPr>
            </w:pPr>
            <w:r w:rsidRPr="00641432">
              <w:rPr>
                <w:rFonts w:ascii="Garamond" w:hAnsi="Garamond"/>
                <w:b/>
                <w:bCs/>
                <w:sz w:val="24"/>
                <w:szCs w:val="24"/>
                <w:lang w:val="pt-PT"/>
              </w:rPr>
              <w:t>(3)</w:t>
            </w:r>
          </w:p>
        </w:tc>
      </w:tr>
      <w:tr w:rsidR="000F6DA0" w:rsidRPr="0002603F" w14:paraId="2877CD07" w14:textId="77777777" w:rsidTr="00D62757">
        <w:trPr>
          <w:trHeight w:val="350"/>
        </w:trPr>
        <w:tc>
          <w:tcPr>
            <w:tcW w:w="1418" w:type="dxa"/>
            <w:tcBorders>
              <w:left w:val="nil"/>
            </w:tcBorders>
            <w:vAlign w:val="center"/>
            <w:hideMark/>
          </w:tcPr>
          <w:p w14:paraId="0B11EBBE" w14:textId="77777777" w:rsidR="00E67323" w:rsidRPr="0002603F" w:rsidRDefault="00E67323" w:rsidP="003704CB">
            <w:pPr>
              <w:rPr>
                <w:rFonts w:ascii="Garamond" w:hAnsi="Garamond"/>
                <w:sz w:val="24"/>
                <w:szCs w:val="24"/>
              </w:rPr>
            </w:pPr>
            <w:r w:rsidRPr="0002603F">
              <w:rPr>
                <w:rFonts w:ascii="Garamond" w:hAnsi="Garamond"/>
                <w:b/>
                <w:bCs/>
                <w:sz w:val="24"/>
                <w:szCs w:val="24"/>
                <w:lang w:val="pt-PT"/>
              </w:rPr>
              <w:t>Média</w:t>
            </w:r>
          </w:p>
        </w:tc>
        <w:tc>
          <w:tcPr>
            <w:tcW w:w="1180" w:type="dxa"/>
            <w:tcBorders>
              <w:top w:val="dashSmallGap" w:sz="12" w:space="0" w:color="auto"/>
              <w:bottom w:val="dashSmallGap" w:sz="12" w:space="0" w:color="auto"/>
            </w:tcBorders>
            <w:vAlign w:val="center"/>
            <w:hideMark/>
          </w:tcPr>
          <w:p w14:paraId="498D7E89" w14:textId="77777777" w:rsidR="00E67323" w:rsidRPr="0002603F" w:rsidRDefault="00E67323" w:rsidP="00641432">
            <w:pPr>
              <w:jc w:val="right"/>
              <w:rPr>
                <w:rFonts w:ascii="Garamond" w:hAnsi="Garamond"/>
                <w:sz w:val="24"/>
                <w:szCs w:val="24"/>
              </w:rPr>
            </w:pPr>
            <w:r w:rsidRPr="002F33C6">
              <w:rPr>
                <w:rFonts w:ascii="Garamond" w:hAnsi="Garamond"/>
                <w:sz w:val="24"/>
                <w:szCs w:val="24"/>
              </w:rPr>
              <w:t>-.0016252</w:t>
            </w:r>
          </w:p>
        </w:tc>
        <w:tc>
          <w:tcPr>
            <w:tcW w:w="1366" w:type="dxa"/>
            <w:tcBorders>
              <w:top w:val="dashSmallGap" w:sz="12" w:space="0" w:color="auto"/>
              <w:bottom w:val="dashSmallGap" w:sz="12" w:space="0" w:color="auto"/>
              <w:right w:val="dashSmallGap" w:sz="12" w:space="0" w:color="auto"/>
            </w:tcBorders>
            <w:vAlign w:val="center"/>
            <w:hideMark/>
          </w:tcPr>
          <w:p w14:paraId="543C358B" w14:textId="77777777" w:rsidR="00E67323" w:rsidRPr="0002603F" w:rsidRDefault="00E67323" w:rsidP="00641432">
            <w:pPr>
              <w:jc w:val="right"/>
              <w:rPr>
                <w:rFonts w:ascii="Garamond" w:hAnsi="Garamond"/>
                <w:sz w:val="24"/>
                <w:szCs w:val="24"/>
              </w:rPr>
            </w:pPr>
            <w:r w:rsidRPr="002F33C6">
              <w:rPr>
                <w:rFonts w:ascii="Garamond" w:hAnsi="Garamond"/>
                <w:sz w:val="24"/>
                <w:szCs w:val="24"/>
              </w:rPr>
              <w:t>.0063785</w:t>
            </w:r>
          </w:p>
        </w:tc>
        <w:tc>
          <w:tcPr>
            <w:tcW w:w="994" w:type="dxa"/>
            <w:tcBorders>
              <w:top w:val="dashSmallGap" w:sz="12" w:space="0" w:color="auto"/>
              <w:left w:val="dashSmallGap" w:sz="12" w:space="0" w:color="auto"/>
              <w:bottom w:val="dashSmallGap" w:sz="12" w:space="0" w:color="auto"/>
            </w:tcBorders>
            <w:vAlign w:val="center"/>
            <w:hideMark/>
          </w:tcPr>
          <w:p w14:paraId="24DF054B" w14:textId="77777777" w:rsidR="00E67323" w:rsidRPr="0002603F" w:rsidRDefault="00E67323" w:rsidP="00641432">
            <w:pPr>
              <w:jc w:val="right"/>
              <w:rPr>
                <w:rFonts w:ascii="Garamond" w:hAnsi="Garamond"/>
                <w:sz w:val="24"/>
                <w:szCs w:val="24"/>
              </w:rPr>
            </w:pPr>
            <w:r w:rsidRPr="002F33C6">
              <w:rPr>
                <w:rFonts w:ascii="Garamond" w:hAnsi="Garamond"/>
                <w:sz w:val="24"/>
                <w:szCs w:val="24"/>
              </w:rPr>
              <w:t>-.0015474</w:t>
            </w:r>
          </w:p>
        </w:tc>
        <w:tc>
          <w:tcPr>
            <w:tcW w:w="1180" w:type="dxa"/>
            <w:tcBorders>
              <w:top w:val="dashSmallGap" w:sz="12" w:space="0" w:color="auto"/>
              <w:bottom w:val="dashSmallGap" w:sz="12" w:space="0" w:color="auto"/>
              <w:right w:val="dashSmallGap" w:sz="12" w:space="0" w:color="auto"/>
            </w:tcBorders>
            <w:vAlign w:val="center"/>
            <w:hideMark/>
          </w:tcPr>
          <w:p w14:paraId="1ADAC206" w14:textId="77777777" w:rsidR="00E67323" w:rsidRPr="0002603F" w:rsidRDefault="00E67323" w:rsidP="00641432">
            <w:pPr>
              <w:jc w:val="right"/>
              <w:rPr>
                <w:rFonts w:ascii="Garamond" w:hAnsi="Garamond"/>
                <w:sz w:val="24"/>
                <w:szCs w:val="24"/>
              </w:rPr>
            </w:pPr>
            <w:r w:rsidRPr="002F33C6">
              <w:rPr>
                <w:rFonts w:ascii="Garamond" w:hAnsi="Garamond"/>
                <w:sz w:val="24"/>
                <w:szCs w:val="24"/>
              </w:rPr>
              <w:t>-.0024623</w:t>
            </w:r>
          </w:p>
        </w:tc>
        <w:tc>
          <w:tcPr>
            <w:tcW w:w="1180" w:type="dxa"/>
            <w:tcBorders>
              <w:top w:val="dashSmallGap" w:sz="12" w:space="0" w:color="auto"/>
              <w:left w:val="dashSmallGap" w:sz="12" w:space="0" w:color="auto"/>
              <w:bottom w:val="dashSmallGap" w:sz="12" w:space="0" w:color="auto"/>
            </w:tcBorders>
            <w:vAlign w:val="center"/>
          </w:tcPr>
          <w:p w14:paraId="5552275C" w14:textId="77777777" w:rsidR="00E67323" w:rsidRPr="0002603F" w:rsidRDefault="00E67323" w:rsidP="00641432">
            <w:pPr>
              <w:jc w:val="right"/>
              <w:rPr>
                <w:rFonts w:ascii="Garamond" w:hAnsi="Garamond"/>
                <w:sz w:val="24"/>
                <w:szCs w:val="24"/>
                <w:lang w:val="pt-PT"/>
              </w:rPr>
            </w:pPr>
            <w:r w:rsidRPr="002F33C6">
              <w:rPr>
                <w:rFonts w:ascii="Garamond" w:hAnsi="Garamond"/>
                <w:sz w:val="24"/>
                <w:szCs w:val="24"/>
                <w:lang w:val="pt-PT"/>
              </w:rPr>
              <w:t>-.0090899</w:t>
            </w:r>
          </w:p>
        </w:tc>
        <w:tc>
          <w:tcPr>
            <w:tcW w:w="1180" w:type="dxa"/>
            <w:tcBorders>
              <w:top w:val="dashSmallGap" w:sz="12" w:space="0" w:color="auto"/>
              <w:bottom w:val="dashSmallGap" w:sz="12" w:space="0" w:color="auto"/>
              <w:right w:val="nil"/>
            </w:tcBorders>
            <w:vAlign w:val="center"/>
          </w:tcPr>
          <w:p w14:paraId="4BBCE3B1" w14:textId="77777777" w:rsidR="00E67323" w:rsidRPr="0002603F" w:rsidRDefault="00E67323" w:rsidP="00641432">
            <w:pPr>
              <w:jc w:val="right"/>
              <w:rPr>
                <w:rFonts w:ascii="Garamond" w:hAnsi="Garamond"/>
                <w:sz w:val="24"/>
                <w:szCs w:val="24"/>
                <w:lang w:val="pt-PT"/>
              </w:rPr>
            </w:pPr>
            <w:r w:rsidRPr="002F33C6">
              <w:rPr>
                <w:rFonts w:ascii="Garamond" w:hAnsi="Garamond"/>
                <w:sz w:val="24"/>
                <w:szCs w:val="24"/>
                <w:lang w:val="pt-PT"/>
              </w:rPr>
              <w:t>-.0026392</w:t>
            </w:r>
          </w:p>
        </w:tc>
      </w:tr>
      <w:tr w:rsidR="000F6DA0" w:rsidRPr="0002603F" w14:paraId="4D76435C" w14:textId="77777777" w:rsidTr="00D62757">
        <w:trPr>
          <w:trHeight w:val="242"/>
        </w:trPr>
        <w:tc>
          <w:tcPr>
            <w:tcW w:w="1418" w:type="dxa"/>
            <w:tcBorders>
              <w:left w:val="nil"/>
            </w:tcBorders>
            <w:vAlign w:val="center"/>
            <w:hideMark/>
          </w:tcPr>
          <w:p w14:paraId="17014336" w14:textId="77777777" w:rsidR="00E67323" w:rsidRPr="0002603F" w:rsidRDefault="00E67323" w:rsidP="003704CB">
            <w:pPr>
              <w:rPr>
                <w:rFonts w:ascii="Garamond" w:hAnsi="Garamond"/>
                <w:sz w:val="24"/>
                <w:szCs w:val="24"/>
              </w:rPr>
            </w:pPr>
            <w:r w:rsidRPr="0002603F">
              <w:rPr>
                <w:rFonts w:ascii="Garamond" w:hAnsi="Garamond"/>
                <w:b/>
                <w:bCs/>
                <w:sz w:val="24"/>
                <w:szCs w:val="24"/>
                <w:lang w:val="pt-PT"/>
              </w:rPr>
              <w:t>Mediana</w:t>
            </w:r>
          </w:p>
        </w:tc>
        <w:tc>
          <w:tcPr>
            <w:tcW w:w="1180" w:type="dxa"/>
            <w:tcBorders>
              <w:top w:val="dashSmallGap" w:sz="12" w:space="0" w:color="auto"/>
              <w:bottom w:val="dashSmallGap" w:sz="12" w:space="0" w:color="auto"/>
            </w:tcBorders>
            <w:vAlign w:val="center"/>
            <w:hideMark/>
          </w:tcPr>
          <w:p w14:paraId="267C34E7" w14:textId="77777777" w:rsidR="00E67323" w:rsidRPr="0002603F" w:rsidRDefault="00E67323" w:rsidP="00641432">
            <w:pPr>
              <w:jc w:val="right"/>
              <w:rPr>
                <w:rFonts w:ascii="Garamond" w:hAnsi="Garamond"/>
                <w:sz w:val="24"/>
                <w:szCs w:val="24"/>
              </w:rPr>
            </w:pPr>
            <w:r w:rsidRPr="00116233">
              <w:rPr>
                <w:rFonts w:ascii="Garamond" w:hAnsi="Garamond"/>
                <w:sz w:val="24"/>
                <w:szCs w:val="24"/>
              </w:rPr>
              <w:t>-.0113955</w:t>
            </w:r>
          </w:p>
        </w:tc>
        <w:tc>
          <w:tcPr>
            <w:tcW w:w="1366" w:type="dxa"/>
            <w:tcBorders>
              <w:top w:val="dashSmallGap" w:sz="12" w:space="0" w:color="auto"/>
              <w:bottom w:val="dashSmallGap" w:sz="12" w:space="0" w:color="auto"/>
              <w:right w:val="dashSmallGap" w:sz="12" w:space="0" w:color="auto"/>
            </w:tcBorders>
            <w:vAlign w:val="center"/>
            <w:hideMark/>
          </w:tcPr>
          <w:p w14:paraId="060643EF" w14:textId="77777777" w:rsidR="00E67323" w:rsidRPr="0002603F" w:rsidRDefault="00E67323" w:rsidP="00641432">
            <w:pPr>
              <w:jc w:val="right"/>
              <w:rPr>
                <w:rFonts w:ascii="Garamond" w:hAnsi="Garamond"/>
                <w:sz w:val="24"/>
                <w:szCs w:val="24"/>
              </w:rPr>
            </w:pPr>
            <w:r w:rsidRPr="00116233">
              <w:rPr>
                <w:rFonts w:ascii="Garamond" w:hAnsi="Garamond"/>
                <w:sz w:val="24"/>
                <w:szCs w:val="24"/>
              </w:rPr>
              <w:t>-.0087244</w:t>
            </w:r>
          </w:p>
        </w:tc>
        <w:tc>
          <w:tcPr>
            <w:tcW w:w="994" w:type="dxa"/>
            <w:tcBorders>
              <w:top w:val="dashSmallGap" w:sz="12" w:space="0" w:color="auto"/>
              <w:left w:val="dashSmallGap" w:sz="12" w:space="0" w:color="auto"/>
              <w:bottom w:val="dashSmallGap" w:sz="12" w:space="0" w:color="auto"/>
            </w:tcBorders>
            <w:vAlign w:val="center"/>
            <w:hideMark/>
          </w:tcPr>
          <w:p w14:paraId="3968DC46" w14:textId="77777777" w:rsidR="00E67323" w:rsidRPr="0002603F" w:rsidRDefault="00E67323" w:rsidP="00641432">
            <w:pPr>
              <w:jc w:val="right"/>
              <w:rPr>
                <w:rFonts w:ascii="Garamond" w:hAnsi="Garamond"/>
                <w:sz w:val="24"/>
                <w:szCs w:val="24"/>
              </w:rPr>
            </w:pPr>
            <w:r w:rsidRPr="00451A3A">
              <w:rPr>
                <w:rFonts w:ascii="Garamond" w:hAnsi="Garamond"/>
                <w:sz w:val="24"/>
                <w:szCs w:val="24"/>
              </w:rPr>
              <w:t>-.0104001</w:t>
            </w:r>
          </w:p>
        </w:tc>
        <w:tc>
          <w:tcPr>
            <w:tcW w:w="1180" w:type="dxa"/>
            <w:tcBorders>
              <w:top w:val="dashSmallGap" w:sz="12" w:space="0" w:color="auto"/>
              <w:bottom w:val="dashSmallGap" w:sz="12" w:space="0" w:color="auto"/>
              <w:right w:val="dashSmallGap" w:sz="12" w:space="0" w:color="auto"/>
            </w:tcBorders>
            <w:vAlign w:val="center"/>
            <w:hideMark/>
          </w:tcPr>
          <w:p w14:paraId="06D748F8" w14:textId="77777777" w:rsidR="00E67323" w:rsidRPr="0002603F" w:rsidRDefault="00E67323" w:rsidP="00641432">
            <w:pPr>
              <w:jc w:val="right"/>
              <w:rPr>
                <w:rFonts w:ascii="Garamond" w:hAnsi="Garamond"/>
                <w:sz w:val="24"/>
                <w:szCs w:val="24"/>
              </w:rPr>
            </w:pPr>
            <w:r w:rsidRPr="00451A3A">
              <w:rPr>
                <w:rFonts w:ascii="Garamond" w:hAnsi="Garamond"/>
                <w:sz w:val="24"/>
                <w:szCs w:val="24"/>
              </w:rPr>
              <w:t xml:space="preserve">-.0101347  </w:t>
            </w:r>
          </w:p>
        </w:tc>
        <w:tc>
          <w:tcPr>
            <w:tcW w:w="1180" w:type="dxa"/>
            <w:tcBorders>
              <w:top w:val="dashSmallGap" w:sz="12" w:space="0" w:color="auto"/>
              <w:left w:val="dashSmallGap" w:sz="12" w:space="0" w:color="auto"/>
              <w:bottom w:val="dashSmallGap" w:sz="12" w:space="0" w:color="auto"/>
            </w:tcBorders>
            <w:vAlign w:val="center"/>
          </w:tcPr>
          <w:p w14:paraId="0C16F5EA" w14:textId="77777777" w:rsidR="00E67323" w:rsidRPr="0002603F" w:rsidRDefault="00E67323" w:rsidP="00641432">
            <w:pPr>
              <w:jc w:val="right"/>
              <w:rPr>
                <w:rFonts w:ascii="Garamond" w:hAnsi="Garamond"/>
                <w:sz w:val="24"/>
                <w:szCs w:val="24"/>
                <w:lang w:val="pt-PT"/>
              </w:rPr>
            </w:pPr>
            <w:r w:rsidRPr="00451A3A">
              <w:rPr>
                <w:rFonts w:ascii="Garamond" w:hAnsi="Garamond"/>
                <w:sz w:val="24"/>
                <w:szCs w:val="24"/>
                <w:lang w:val="pt-PT"/>
              </w:rPr>
              <w:t>-.0160259</w:t>
            </w:r>
          </w:p>
        </w:tc>
        <w:tc>
          <w:tcPr>
            <w:tcW w:w="1180" w:type="dxa"/>
            <w:tcBorders>
              <w:top w:val="dashSmallGap" w:sz="12" w:space="0" w:color="auto"/>
              <w:bottom w:val="dashSmallGap" w:sz="12" w:space="0" w:color="auto"/>
              <w:right w:val="nil"/>
            </w:tcBorders>
            <w:vAlign w:val="center"/>
          </w:tcPr>
          <w:p w14:paraId="67E4BEBD" w14:textId="77777777" w:rsidR="00E67323" w:rsidRPr="0002603F" w:rsidRDefault="00E67323" w:rsidP="00641432">
            <w:pPr>
              <w:jc w:val="right"/>
              <w:rPr>
                <w:rFonts w:ascii="Garamond" w:hAnsi="Garamond"/>
                <w:sz w:val="24"/>
                <w:szCs w:val="24"/>
                <w:lang w:val="pt-PT"/>
              </w:rPr>
            </w:pPr>
            <w:r w:rsidRPr="00451A3A">
              <w:rPr>
                <w:rFonts w:ascii="Garamond" w:hAnsi="Garamond"/>
                <w:sz w:val="24"/>
                <w:szCs w:val="24"/>
                <w:lang w:val="pt-PT"/>
              </w:rPr>
              <w:t>-.0096088</w:t>
            </w:r>
          </w:p>
        </w:tc>
      </w:tr>
      <w:tr w:rsidR="00B87372" w:rsidRPr="00F32F39" w14:paraId="55BF8374" w14:textId="77777777" w:rsidTr="00D62757">
        <w:trPr>
          <w:trHeight w:val="167"/>
        </w:trPr>
        <w:tc>
          <w:tcPr>
            <w:tcW w:w="1418" w:type="dxa"/>
            <w:tcBorders>
              <w:left w:val="nil"/>
            </w:tcBorders>
            <w:vAlign w:val="center"/>
            <w:hideMark/>
          </w:tcPr>
          <w:p w14:paraId="4D02ED13" w14:textId="77777777" w:rsidR="00E67323" w:rsidRPr="0002603F" w:rsidRDefault="00E67323" w:rsidP="003704CB">
            <w:pPr>
              <w:rPr>
                <w:rFonts w:ascii="Garamond" w:hAnsi="Garamond"/>
                <w:sz w:val="24"/>
                <w:szCs w:val="24"/>
              </w:rPr>
            </w:pPr>
            <w:r w:rsidRPr="0002603F">
              <w:rPr>
                <w:rFonts w:ascii="Garamond" w:hAnsi="Garamond"/>
                <w:b/>
                <w:bCs/>
                <w:sz w:val="24"/>
                <w:szCs w:val="24"/>
                <w:lang w:val="pt-PT"/>
              </w:rPr>
              <w:t>Obs</w:t>
            </w:r>
          </w:p>
        </w:tc>
        <w:tc>
          <w:tcPr>
            <w:tcW w:w="2546" w:type="dxa"/>
            <w:gridSpan w:val="2"/>
            <w:tcBorders>
              <w:top w:val="dashSmallGap" w:sz="12" w:space="0" w:color="auto"/>
            </w:tcBorders>
            <w:vAlign w:val="center"/>
            <w:hideMark/>
          </w:tcPr>
          <w:p w14:paraId="044DC4C7" w14:textId="77777777" w:rsidR="00E67323" w:rsidRPr="00F32F39" w:rsidRDefault="00E67323" w:rsidP="00641432">
            <w:pPr>
              <w:jc w:val="right"/>
              <w:rPr>
                <w:rFonts w:ascii="Garamond" w:hAnsi="Garamond"/>
                <w:sz w:val="24"/>
                <w:szCs w:val="24"/>
              </w:rPr>
            </w:pPr>
            <w:r w:rsidRPr="00F32F39">
              <w:rPr>
                <w:rFonts w:ascii="Garamond" w:hAnsi="Garamond"/>
                <w:sz w:val="24"/>
                <w:szCs w:val="24"/>
              </w:rPr>
              <w:t>7 389</w:t>
            </w:r>
          </w:p>
        </w:tc>
        <w:tc>
          <w:tcPr>
            <w:tcW w:w="2174" w:type="dxa"/>
            <w:gridSpan w:val="2"/>
            <w:tcBorders>
              <w:top w:val="dashSmallGap" w:sz="12" w:space="0" w:color="auto"/>
            </w:tcBorders>
            <w:vAlign w:val="center"/>
            <w:hideMark/>
          </w:tcPr>
          <w:p w14:paraId="3682B5B9" w14:textId="77777777" w:rsidR="00E67323" w:rsidRPr="00F32F39" w:rsidRDefault="00E67323" w:rsidP="00641432">
            <w:pPr>
              <w:jc w:val="right"/>
              <w:rPr>
                <w:rFonts w:ascii="Garamond" w:hAnsi="Garamond"/>
                <w:sz w:val="24"/>
                <w:szCs w:val="24"/>
              </w:rPr>
            </w:pPr>
            <w:r w:rsidRPr="00F32F39">
              <w:rPr>
                <w:rFonts w:ascii="Garamond" w:hAnsi="Garamond"/>
                <w:sz w:val="24"/>
                <w:szCs w:val="24"/>
              </w:rPr>
              <w:t>7 389</w:t>
            </w:r>
          </w:p>
        </w:tc>
        <w:tc>
          <w:tcPr>
            <w:tcW w:w="2360" w:type="dxa"/>
            <w:gridSpan w:val="2"/>
            <w:tcBorders>
              <w:top w:val="dashSmallGap" w:sz="12" w:space="0" w:color="auto"/>
              <w:right w:val="nil"/>
            </w:tcBorders>
            <w:vAlign w:val="center"/>
          </w:tcPr>
          <w:p w14:paraId="4F825339" w14:textId="77777777" w:rsidR="00E67323" w:rsidRPr="00F32F39" w:rsidRDefault="00E67323" w:rsidP="00641432">
            <w:pPr>
              <w:jc w:val="right"/>
              <w:rPr>
                <w:rFonts w:ascii="Garamond" w:hAnsi="Garamond"/>
                <w:sz w:val="24"/>
                <w:szCs w:val="24"/>
                <w:lang w:val="pt-PT"/>
              </w:rPr>
            </w:pPr>
            <w:r w:rsidRPr="00F32F39">
              <w:rPr>
                <w:rFonts w:ascii="Garamond" w:hAnsi="Garamond"/>
                <w:sz w:val="24"/>
                <w:szCs w:val="24"/>
                <w:lang w:val="pt-PT"/>
              </w:rPr>
              <w:t>7 389</w:t>
            </w:r>
          </w:p>
        </w:tc>
      </w:tr>
      <w:tr w:rsidR="00E67323" w:rsidRPr="0002603F" w14:paraId="490D3CE5" w14:textId="77777777" w:rsidTr="00641432">
        <w:trPr>
          <w:trHeight w:val="142"/>
        </w:trPr>
        <w:tc>
          <w:tcPr>
            <w:tcW w:w="8498" w:type="dxa"/>
            <w:gridSpan w:val="7"/>
            <w:tcBorders>
              <w:left w:val="nil"/>
              <w:right w:val="nil"/>
            </w:tcBorders>
          </w:tcPr>
          <w:p w14:paraId="6CB0788A" w14:textId="77777777" w:rsidR="00E67323" w:rsidRDefault="00E67323" w:rsidP="003704CB">
            <w:pPr>
              <w:jc w:val="center"/>
              <w:rPr>
                <w:rFonts w:ascii="Garamond" w:hAnsi="Garamond"/>
                <w:b/>
                <w:bCs/>
                <w:sz w:val="24"/>
                <w:szCs w:val="24"/>
                <w:lang w:val="pt-PT"/>
              </w:rPr>
            </w:pPr>
          </w:p>
        </w:tc>
      </w:tr>
      <w:tr w:rsidR="00B87372" w:rsidRPr="0002603F" w14:paraId="21D36075" w14:textId="77777777" w:rsidTr="00D62757">
        <w:trPr>
          <w:trHeight w:val="822"/>
        </w:trPr>
        <w:tc>
          <w:tcPr>
            <w:tcW w:w="1418" w:type="dxa"/>
            <w:vMerge w:val="restart"/>
            <w:tcBorders>
              <w:left w:val="nil"/>
            </w:tcBorders>
            <w:hideMark/>
          </w:tcPr>
          <w:p w14:paraId="110DAC39" w14:textId="1ACC0DB7" w:rsidR="0002603F" w:rsidRPr="0002603F" w:rsidRDefault="0002603F" w:rsidP="003704CB">
            <w:pPr>
              <w:spacing w:after="160"/>
              <w:rPr>
                <w:rFonts w:ascii="Garamond" w:hAnsi="Garamond"/>
                <w:sz w:val="24"/>
                <w:szCs w:val="24"/>
                <w:lang w:val="pt-PT"/>
              </w:rPr>
            </w:pPr>
            <w:r w:rsidRPr="0002603F">
              <w:rPr>
                <w:rFonts w:ascii="Garamond" w:hAnsi="Garamond"/>
                <w:b/>
                <w:bCs/>
                <w:sz w:val="24"/>
                <w:szCs w:val="24"/>
                <w:lang w:val="pt-PT"/>
              </w:rPr>
              <w:t xml:space="preserve">Painel </w:t>
            </w:r>
            <w:r>
              <w:rPr>
                <w:rFonts w:ascii="Garamond" w:hAnsi="Garamond"/>
                <w:b/>
                <w:bCs/>
                <w:sz w:val="24"/>
                <w:szCs w:val="24"/>
                <w:lang w:val="pt-PT"/>
              </w:rPr>
              <w:t>B</w:t>
            </w:r>
            <w:r w:rsidRPr="0002603F">
              <w:rPr>
                <w:rFonts w:ascii="Garamond" w:hAnsi="Garamond"/>
                <w:b/>
                <w:bCs/>
                <w:sz w:val="24"/>
                <w:szCs w:val="24"/>
                <w:lang w:val="pt-PT"/>
              </w:rPr>
              <w:t>/</w:t>
            </w:r>
            <w:r w:rsidR="00B87372">
              <w:rPr>
                <w:rFonts w:ascii="Garamond" w:hAnsi="Garamond"/>
                <w:b/>
                <w:bCs/>
                <w:sz w:val="24"/>
                <w:szCs w:val="24"/>
                <w:lang w:val="pt-PT"/>
              </w:rPr>
              <w:t xml:space="preserve"> </w:t>
            </w:r>
            <w:r w:rsidRPr="0002603F">
              <w:rPr>
                <w:rFonts w:ascii="Garamond" w:hAnsi="Garamond"/>
                <w:b/>
                <w:bCs/>
                <w:sz w:val="24"/>
                <w:szCs w:val="24"/>
                <w:lang w:val="pt-PT"/>
              </w:rPr>
              <w:t xml:space="preserve">Subamostra </w:t>
            </w:r>
            <w:r>
              <w:rPr>
                <w:rFonts w:ascii="Garamond" w:hAnsi="Garamond"/>
                <w:b/>
                <w:bCs/>
                <w:sz w:val="24"/>
                <w:szCs w:val="24"/>
                <w:lang w:val="pt-PT"/>
              </w:rPr>
              <w:t>de Controlo</w:t>
            </w:r>
          </w:p>
        </w:tc>
        <w:tc>
          <w:tcPr>
            <w:tcW w:w="2546" w:type="dxa"/>
            <w:gridSpan w:val="2"/>
            <w:vAlign w:val="center"/>
            <w:hideMark/>
          </w:tcPr>
          <w:p w14:paraId="5494B563" w14:textId="77777777" w:rsidR="0002603F" w:rsidRPr="00641432" w:rsidRDefault="0002603F" w:rsidP="003704CB">
            <w:pPr>
              <w:jc w:val="center"/>
              <w:rPr>
                <w:rFonts w:ascii="Garamond" w:hAnsi="Garamond"/>
                <w:b/>
                <w:bCs/>
                <w:sz w:val="24"/>
                <w:szCs w:val="24"/>
              </w:rPr>
            </w:pPr>
            <w:r w:rsidRPr="00641432">
              <w:rPr>
                <w:rFonts w:ascii="Garamond" w:hAnsi="Garamond"/>
                <w:b/>
                <w:bCs/>
                <w:sz w:val="24"/>
                <w:szCs w:val="24"/>
                <w:lang w:val="pt-PT"/>
              </w:rPr>
              <w:t>2020</w:t>
            </w:r>
          </w:p>
        </w:tc>
        <w:tc>
          <w:tcPr>
            <w:tcW w:w="2174" w:type="dxa"/>
            <w:gridSpan w:val="2"/>
            <w:vAlign w:val="center"/>
            <w:hideMark/>
          </w:tcPr>
          <w:p w14:paraId="67FF7705" w14:textId="77777777" w:rsidR="0002603F" w:rsidRPr="00641432" w:rsidRDefault="0002603F" w:rsidP="003704CB">
            <w:pPr>
              <w:jc w:val="center"/>
              <w:rPr>
                <w:rFonts w:ascii="Garamond" w:hAnsi="Garamond"/>
                <w:b/>
                <w:bCs/>
                <w:sz w:val="24"/>
                <w:szCs w:val="24"/>
              </w:rPr>
            </w:pPr>
            <w:r w:rsidRPr="00641432">
              <w:rPr>
                <w:rFonts w:ascii="Garamond" w:hAnsi="Garamond"/>
                <w:b/>
                <w:bCs/>
                <w:sz w:val="24"/>
                <w:szCs w:val="24"/>
                <w:lang w:val="pt-PT"/>
              </w:rPr>
              <w:t>2021</w:t>
            </w:r>
          </w:p>
        </w:tc>
        <w:tc>
          <w:tcPr>
            <w:tcW w:w="2360" w:type="dxa"/>
            <w:gridSpan w:val="2"/>
            <w:tcBorders>
              <w:right w:val="nil"/>
            </w:tcBorders>
          </w:tcPr>
          <w:p w14:paraId="4E85F5C6" w14:textId="77777777" w:rsidR="0002603F" w:rsidRPr="00641432" w:rsidRDefault="0002603F" w:rsidP="003704CB">
            <w:pPr>
              <w:jc w:val="center"/>
              <w:rPr>
                <w:rFonts w:ascii="Garamond" w:hAnsi="Garamond"/>
                <w:b/>
                <w:bCs/>
                <w:sz w:val="24"/>
                <w:szCs w:val="24"/>
                <w:lang w:val="pt-PT"/>
              </w:rPr>
            </w:pPr>
          </w:p>
          <w:p w14:paraId="0432898C" w14:textId="77777777" w:rsidR="0002603F" w:rsidRPr="00641432" w:rsidRDefault="0002603F" w:rsidP="003704CB">
            <w:pPr>
              <w:jc w:val="center"/>
              <w:rPr>
                <w:rFonts w:ascii="Garamond" w:hAnsi="Garamond"/>
                <w:b/>
                <w:bCs/>
                <w:sz w:val="24"/>
                <w:szCs w:val="24"/>
                <w:lang w:val="pt-PT"/>
              </w:rPr>
            </w:pPr>
            <w:r w:rsidRPr="00641432">
              <w:rPr>
                <w:rFonts w:ascii="Garamond" w:hAnsi="Garamond"/>
                <w:b/>
                <w:bCs/>
                <w:sz w:val="24"/>
                <w:szCs w:val="24"/>
                <w:lang w:val="pt-PT"/>
              </w:rPr>
              <w:t>2022</w:t>
            </w:r>
          </w:p>
        </w:tc>
      </w:tr>
      <w:tr w:rsidR="000F6DA0" w:rsidRPr="0002603F" w14:paraId="0B209F0C" w14:textId="77777777" w:rsidTr="00D62757">
        <w:trPr>
          <w:trHeight w:val="532"/>
        </w:trPr>
        <w:tc>
          <w:tcPr>
            <w:tcW w:w="1418" w:type="dxa"/>
            <w:vMerge/>
            <w:tcBorders>
              <w:left w:val="nil"/>
            </w:tcBorders>
            <w:vAlign w:val="center"/>
            <w:hideMark/>
          </w:tcPr>
          <w:p w14:paraId="45281C81" w14:textId="77777777" w:rsidR="0002603F" w:rsidRPr="0002603F" w:rsidRDefault="0002603F" w:rsidP="003704CB">
            <w:pPr>
              <w:rPr>
                <w:rFonts w:ascii="Garamond" w:hAnsi="Garamond"/>
                <w:sz w:val="24"/>
                <w:szCs w:val="24"/>
              </w:rPr>
            </w:pPr>
          </w:p>
        </w:tc>
        <w:tc>
          <w:tcPr>
            <w:tcW w:w="1180" w:type="dxa"/>
            <w:tcBorders>
              <w:bottom w:val="dashSmallGap" w:sz="12" w:space="0" w:color="auto"/>
            </w:tcBorders>
            <w:vAlign w:val="center"/>
            <w:hideMark/>
          </w:tcPr>
          <w:p w14:paraId="2EDA5CF4" w14:textId="36396822" w:rsidR="0002603F"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2020</m:t>
                    </m:r>
                  </m:sub>
                </m:sSub>
              </m:oMath>
            </m:oMathPara>
          </w:p>
          <w:p w14:paraId="0A2CB930" w14:textId="632C4DFB" w:rsidR="0002603F" w:rsidRPr="00641432" w:rsidRDefault="0002603F" w:rsidP="003704CB">
            <w:pPr>
              <w:jc w:val="center"/>
              <w:rPr>
                <w:rFonts w:ascii="Garamond" w:hAnsi="Garamond"/>
                <w:b/>
                <w:bCs/>
                <w:sz w:val="24"/>
                <w:szCs w:val="24"/>
              </w:rPr>
            </w:pPr>
            <w:r w:rsidRPr="00641432">
              <w:rPr>
                <w:rFonts w:ascii="Garamond" w:hAnsi="Garamond"/>
                <w:b/>
                <w:bCs/>
                <w:sz w:val="24"/>
                <w:szCs w:val="24"/>
                <w:lang w:val="pt-PT"/>
              </w:rPr>
              <w:t>(7)</w:t>
            </w:r>
          </w:p>
        </w:tc>
        <w:tc>
          <w:tcPr>
            <w:tcW w:w="1366" w:type="dxa"/>
            <w:tcBorders>
              <w:bottom w:val="dashSmallGap" w:sz="12" w:space="0" w:color="auto"/>
              <w:right w:val="dashSmallGap" w:sz="12" w:space="0" w:color="auto"/>
            </w:tcBorders>
            <w:vAlign w:val="center"/>
            <w:hideMark/>
          </w:tcPr>
          <w:p w14:paraId="70C910EB" w14:textId="5016B922" w:rsidR="0002603F"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2019</m:t>
                    </m:r>
                  </m:sub>
                </m:sSub>
              </m:oMath>
            </m:oMathPara>
          </w:p>
          <w:p w14:paraId="6C9B0732" w14:textId="0365DD0C" w:rsidR="0002603F" w:rsidRPr="00641432" w:rsidRDefault="0002603F" w:rsidP="003704CB">
            <w:pPr>
              <w:jc w:val="center"/>
              <w:rPr>
                <w:rFonts w:ascii="Garamond" w:hAnsi="Garamond"/>
                <w:b/>
                <w:bCs/>
                <w:sz w:val="24"/>
                <w:szCs w:val="24"/>
              </w:rPr>
            </w:pPr>
            <w:r w:rsidRPr="00641432">
              <w:rPr>
                <w:rFonts w:ascii="Garamond" w:hAnsi="Garamond"/>
                <w:b/>
                <w:bCs/>
                <w:sz w:val="24"/>
                <w:szCs w:val="24"/>
                <w:lang w:val="pt-PT"/>
              </w:rPr>
              <w:t>(8)</w:t>
            </w:r>
          </w:p>
        </w:tc>
        <w:tc>
          <w:tcPr>
            <w:tcW w:w="994" w:type="dxa"/>
            <w:tcBorders>
              <w:left w:val="dashSmallGap" w:sz="12" w:space="0" w:color="auto"/>
              <w:bottom w:val="dashSmallGap" w:sz="12" w:space="0" w:color="auto"/>
            </w:tcBorders>
            <w:vAlign w:val="center"/>
            <w:hideMark/>
          </w:tcPr>
          <w:p w14:paraId="127004E0" w14:textId="0EAB3972" w:rsidR="0002603F"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2021</m:t>
                    </m:r>
                  </m:sub>
                </m:sSub>
              </m:oMath>
            </m:oMathPara>
          </w:p>
          <w:p w14:paraId="6E77B4A7" w14:textId="5AE9CED5" w:rsidR="0002603F" w:rsidRPr="00641432" w:rsidRDefault="0002603F" w:rsidP="003704CB">
            <w:pPr>
              <w:jc w:val="center"/>
              <w:rPr>
                <w:rFonts w:ascii="Garamond" w:hAnsi="Garamond"/>
                <w:b/>
                <w:bCs/>
                <w:sz w:val="24"/>
                <w:szCs w:val="24"/>
              </w:rPr>
            </w:pPr>
            <w:r w:rsidRPr="00641432">
              <w:rPr>
                <w:rFonts w:ascii="Garamond" w:hAnsi="Garamond"/>
                <w:b/>
                <w:bCs/>
                <w:sz w:val="24"/>
                <w:szCs w:val="24"/>
                <w:lang w:val="pt-PT"/>
              </w:rPr>
              <w:t>(9)</w:t>
            </w:r>
          </w:p>
        </w:tc>
        <w:tc>
          <w:tcPr>
            <w:tcW w:w="1180" w:type="dxa"/>
            <w:tcBorders>
              <w:bottom w:val="dashSmallGap" w:sz="12" w:space="0" w:color="auto"/>
              <w:right w:val="dashSmallGap" w:sz="12" w:space="0" w:color="auto"/>
            </w:tcBorders>
            <w:vAlign w:val="center"/>
            <w:hideMark/>
          </w:tcPr>
          <w:p w14:paraId="015A5C1D" w14:textId="1B90137F" w:rsidR="0002603F"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2020</m:t>
                    </m:r>
                  </m:sub>
                </m:sSub>
              </m:oMath>
            </m:oMathPara>
          </w:p>
          <w:p w14:paraId="028C7851" w14:textId="5313B5D9" w:rsidR="0002603F" w:rsidRPr="00641432" w:rsidRDefault="0002603F" w:rsidP="003704CB">
            <w:pPr>
              <w:jc w:val="center"/>
              <w:rPr>
                <w:rFonts w:ascii="Garamond" w:hAnsi="Garamond"/>
                <w:b/>
                <w:bCs/>
                <w:sz w:val="24"/>
                <w:szCs w:val="24"/>
              </w:rPr>
            </w:pPr>
            <w:r w:rsidRPr="00641432">
              <w:rPr>
                <w:rFonts w:ascii="Garamond" w:hAnsi="Garamond"/>
                <w:b/>
                <w:bCs/>
                <w:sz w:val="24"/>
                <w:szCs w:val="24"/>
                <w:lang w:val="pt-PT"/>
              </w:rPr>
              <w:t>(10)</w:t>
            </w:r>
          </w:p>
        </w:tc>
        <w:tc>
          <w:tcPr>
            <w:tcW w:w="1180" w:type="dxa"/>
            <w:tcBorders>
              <w:left w:val="dashSmallGap" w:sz="12" w:space="0" w:color="auto"/>
              <w:bottom w:val="dashSmallGap" w:sz="12" w:space="0" w:color="auto"/>
            </w:tcBorders>
          </w:tcPr>
          <w:p w14:paraId="61F05C3E" w14:textId="4B209218" w:rsidR="0002603F"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2022</m:t>
                    </m:r>
                  </m:sub>
                </m:sSub>
              </m:oMath>
            </m:oMathPara>
          </w:p>
          <w:p w14:paraId="5D0FB14A" w14:textId="3C0A3BE0" w:rsidR="0002603F" w:rsidRPr="00641432" w:rsidRDefault="0002603F" w:rsidP="003704CB">
            <w:pPr>
              <w:jc w:val="center"/>
              <w:rPr>
                <w:rFonts w:ascii="Garamond" w:eastAsia="Times New Roman" w:hAnsi="Garamond" w:cs="Gill Sans"/>
                <w:b/>
                <w:bCs/>
                <w:sz w:val="24"/>
                <w:szCs w:val="24"/>
                <w:lang w:val="pt-PT"/>
              </w:rPr>
            </w:pPr>
            <w:r w:rsidRPr="00641432">
              <w:rPr>
                <w:rFonts w:ascii="Garamond" w:hAnsi="Garamond"/>
                <w:b/>
                <w:bCs/>
                <w:sz w:val="24"/>
                <w:szCs w:val="24"/>
                <w:lang w:val="pt-PT"/>
              </w:rPr>
              <w:t>(11)</w:t>
            </w:r>
          </w:p>
        </w:tc>
        <w:tc>
          <w:tcPr>
            <w:tcW w:w="1180" w:type="dxa"/>
            <w:tcBorders>
              <w:bottom w:val="dashSmallGap" w:sz="12" w:space="0" w:color="auto"/>
              <w:right w:val="nil"/>
            </w:tcBorders>
          </w:tcPr>
          <w:p w14:paraId="3E1151A7" w14:textId="7B9CC40B" w:rsidR="0002603F" w:rsidRPr="00641432" w:rsidRDefault="00641432" w:rsidP="003704CB">
            <w:pPr>
              <w:jc w:val="center"/>
              <w:rPr>
                <w:rFonts w:ascii="Garamond" w:hAnsi="Garamond"/>
                <w:b/>
                <w:bCs/>
                <w:sz w:val="24"/>
                <w:szCs w:val="24"/>
              </w:rPr>
            </w:pPr>
            <m:oMathPara>
              <m:oMathParaPr>
                <m:jc m:val="centerGroup"/>
              </m:oMathParaPr>
              <m:oMath>
                <m:r>
                  <m:rPr>
                    <m:sty m:val="b"/>
                  </m:rPr>
                  <w:rPr>
                    <w:rFonts w:ascii="Cambria Math" w:hAnsi="Cambria Math"/>
                    <w:sz w:val="24"/>
                    <w:szCs w:val="24"/>
                    <w:lang w:val="pt-PT"/>
                  </w:rPr>
                  <m:t>∆</m:t>
                </m:r>
                <m:sSub>
                  <m:sSubPr>
                    <m:ctrlPr>
                      <w:rPr>
                        <w:rFonts w:ascii="Cambria Math" w:hAnsi="Cambria Math"/>
                        <w:b/>
                        <w:bCs/>
                        <w:i/>
                        <w:iCs/>
                        <w:sz w:val="24"/>
                        <w:szCs w:val="24"/>
                      </w:rPr>
                    </m:ctrlPr>
                  </m:sSubPr>
                  <m:e>
                    <m:r>
                      <m:rPr>
                        <m:sty m:val="bi"/>
                      </m:rPr>
                      <w:rPr>
                        <w:rFonts w:ascii="Cambria Math" w:hAnsi="Cambria Math"/>
                        <w:sz w:val="24"/>
                        <w:szCs w:val="24"/>
                        <w:lang w:val="pt-PT"/>
                      </w:rPr>
                      <m:t>Inv</m:t>
                    </m:r>
                  </m:e>
                  <m:sub>
                    <m:r>
                      <m:rPr>
                        <m:sty m:val="b"/>
                      </m:rPr>
                      <w:rPr>
                        <w:rFonts w:ascii="Cambria Math" w:hAnsi="Cambria Math"/>
                        <w:sz w:val="24"/>
                        <w:szCs w:val="24"/>
                        <w:lang w:val="pt-PT"/>
                      </w:rPr>
                      <m:t>2021</m:t>
                    </m:r>
                  </m:sub>
                </m:sSub>
              </m:oMath>
            </m:oMathPara>
          </w:p>
          <w:p w14:paraId="3976517B" w14:textId="62FE88C3" w:rsidR="0002603F" w:rsidRPr="00641432" w:rsidRDefault="0002603F" w:rsidP="003704CB">
            <w:pPr>
              <w:jc w:val="center"/>
              <w:rPr>
                <w:rFonts w:ascii="Garamond" w:eastAsia="Times New Roman" w:hAnsi="Garamond" w:cs="Gill Sans"/>
                <w:b/>
                <w:bCs/>
                <w:sz w:val="24"/>
                <w:szCs w:val="24"/>
                <w:lang w:val="pt-PT"/>
              </w:rPr>
            </w:pPr>
            <w:r w:rsidRPr="00641432">
              <w:rPr>
                <w:rFonts w:ascii="Garamond" w:hAnsi="Garamond"/>
                <w:b/>
                <w:bCs/>
                <w:sz w:val="24"/>
                <w:szCs w:val="24"/>
                <w:lang w:val="pt-PT"/>
              </w:rPr>
              <w:t>(12)</w:t>
            </w:r>
          </w:p>
        </w:tc>
      </w:tr>
      <w:tr w:rsidR="000F6DA0" w:rsidRPr="0002603F" w14:paraId="17E4F542" w14:textId="77777777" w:rsidTr="00D62757">
        <w:trPr>
          <w:trHeight w:val="177"/>
        </w:trPr>
        <w:tc>
          <w:tcPr>
            <w:tcW w:w="1418" w:type="dxa"/>
            <w:tcBorders>
              <w:left w:val="nil"/>
            </w:tcBorders>
            <w:vAlign w:val="center"/>
            <w:hideMark/>
          </w:tcPr>
          <w:p w14:paraId="7D824E25" w14:textId="77777777" w:rsidR="0002603F" w:rsidRPr="0002603F" w:rsidRDefault="0002603F" w:rsidP="003704CB">
            <w:pPr>
              <w:rPr>
                <w:rFonts w:ascii="Garamond" w:hAnsi="Garamond"/>
                <w:sz w:val="24"/>
                <w:szCs w:val="24"/>
              </w:rPr>
            </w:pPr>
            <w:r w:rsidRPr="0002603F">
              <w:rPr>
                <w:rFonts w:ascii="Garamond" w:hAnsi="Garamond"/>
                <w:b/>
                <w:bCs/>
                <w:sz w:val="24"/>
                <w:szCs w:val="24"/>
                <w:lang w:val="pt-PT"/>
              </w:rPr>
              <w:t>Média</w:t>
            </w:r>
          </w:p>
        </w:tc>
        <w:tc>
          <w:tcPr>
            <w:tcW w:w="1180" w:type="dxa"/>
            <w:tcBorders>
              <w:top w:val="dashSmallGap" w:sz="12" w:space="0" w:color="auto"/>
              <w:bottom w:val="dashSmallGap" w:sz="12" w:space="0" w:color="auto"/>
            </w:tcBorders>
            <w:vAlign w:val="center"/>
            <w:hideMark/>
          </w:tcPr>
          <w:p w14:paraId="0AFCE9E4" w14:textId="03E66D78" w:rsidR="0002603F" w:rsidRPr="0002603F" w:rsidRDefault="00CE090D" w:rsidP="00641432">
            <w:pPr>
              <w:jc w:val="right"/>
              <w:rPr>
                <w:rFonts w:ascii="Garamond" w:hAnsi="Garamond"/>
                <w:sz w:val="24"/>
                <w:szCs w:val="24"/>
              </w:rPr>
            </w:pPr>
            <w:r w:rsidRPr="00CE090D">
              <w:rPr>
                <w:rFonts w:ascii="Garamond" w:hAnsi="Garamond"/>
                <w:sz w:val="24"/>
                <w:szCs w:val="24"/>
              </w:rPr>
              <w:t>-.0053622</w:t>
            </w:r>
          </w:p>
        </w:tc>
        <w:tc>
          <w:tcPr>
            <w:tcW w:w="1366" w:type="dxa"/>
            <w:tcBorders>
              <w:top w:val="dashSmallGap" w:sz="12" w:space="0" w:color="auto"/>
              <w:bottom w:val="dashSmallGap" w:sz="12" w:space="0" w:color="auto"/>
              <w:right w:val="dashSmallGap" w:sz="12" w:space="0" w:color="auto"/>
            </w:tcBorders>
            <w:vAlign w:val="center"/>
            <w:hideMark/>
          </w:tcPr>
          <w:p w14:paraId="23A57A77" w14:textId="53CB61E4" w:rsidR="0002603F" w:rsidRPr="0002603F" w:rsidRDefault="00CE090D" w:rsidP="00641432">
            <w:pPr>
              <w:jc w:val="right"/>
              <w:rPr>
                <w:rFonts w:ascii="Garamond" w:hAnsi="Garamond"/>
                <w:sz w:val="24"/>
                <w:szCs w:val="24"/>
              </w:rPr>
            </w:pPr>
            <w:r w:rsidRPr="00CE090D">
              <w:rPr>
                <w:rFonts w:ascii="Garamond" w:hAnsi="Garamond"/>
                <w:sz w:val="24"/>
                <w:szCs w:val="24"/>
              </w:rPr>
              <w:t>.0181811</w:t>
            </w:r>
          </w:p>
        </w:tc>
        <w:tc>
          <w:tcPr>
            <w:tcW w:w="994" w:type="dxa"/>
            <w:tcBorders>
              <w:top w:val="dashSmallGap" w:sz="12" w:space="0" w:color="auto"/>
              <w:left w:val="dashSmallGap" w:sz="12" w:space="0" w:color="auto"/>
              <w:bottom w:val="dashSmallGap" w:sz="12" w:space="0" w:color="auto"/>
            </w:tcBorders>
            <w:vAlign w:val="center"/>
            <w:hideMark/>
          </w:tcPr>
          <w:p w14:paraId="1E57E845" w14:textId="6D6FAB9B" w:rsidR="0002603F" w:rsidRPr="0002603F" w:rsidRDefault="00CE090D" w:rsidP="00641432">
            <w:pPr>
              <w:jc w:val="right"/>
              <w:rPr>
                <w:rFonts w:ascii="Garamond" w:hAnsi="Garamond"/>
                <w:sz w:val="24"/>
                <w:szCs w:val="24"/>
              </w:rPr>
            </w:pPr>
            <w:r w:rsidRPr="00CE090D">
              <w:rPr>
                <w:rFonts w:ascii="Garamond" w:hAnsi="Garamond"/>
                <w:sz w:val="24"/>
                <w:szCs w:val="24"/>
              </w:rPr>
              <w:t>-.0080849</w:t>
            </w:r>
          </w:p>
        </w:tc>
        <w:tc>
          <w:tcPr>
            <w:tcW w:w="1180" w:type="dxa"/>
            <w:tcBorders>
              <w:top w:val="dashSmallGap" w:sz="12" w:space="0" w:color="auto"/>
              <w:bottom w:val="dashSmallGap" w:sz="12" w:space="0" w:color="auto"/>
              <w:right w:val="dashSmallGap" w:sz="12" w:space="0" w:color="auto"/>
            </w:tcBorders>
            <w:vAlign w:val="center"/>
            <w:hideMark/>
          </w:tcPr>
          <w:p w14:paraId="2D766C05" w14:textId="0AED9010" w:rsidR="0002603F" w:rsidRPr="0002603F" w:rsidRDefault="00CE090D" w:rsidP="00641432">
            <w:pPr>
              <w:jc w:val="right"/>
              <w:rPr>
                <w:rFonts w:ascii="Garamond" w:hAnsi="Garamond"/>
                <w:sz w:val="24"/>
                <w:szCs w:val="24"/>
              </w:rPr>
            </w:pPr>
            <w:r w:rsidRPr="00CE090D">
              <w:rPr>
                <w:rFonts w:ascii="Garamond" w:hAnsi="Garamond"/>
                <w:sz w:val="24"/>
                <w:szCs w:val="24"/>
              </w:rPr>
              <w:t>-.0069816</w:t>
            </w:r>
          </w:p>
        </w:tc>
        <w:tc>
          <w:tcPr>
            <w:tcW w:w="1180" w:type="dxa"/>
            <w:tcBorders>
              <w:top w:val="dashSmallGap" w:sz="12" w:space="0" w:color="auto"/>
              <w:left w:val="dashSmallGap" w:sz="12" w:space="0" w:color="auto"/>
              <w:bottom w:val="dashSmallGap" w:sz="12" w:space="0" w:color="auto"/>
            </w:tcBorders>
            <w:vAlign w:val="center"/>
          </w:tcPr>
          <w:p w14:paraId="331AC433" w14:textId="67EFD772" w:rsidR="0002603F" w:rsidRPr="0002603F" w:rsidRDefault="00CE090D" w:rsidP="00641432">
            <w:pPr>
              <w:jc w:val="right"/>
              <w:rPr>
                <w:rFonts w:ascii="Garamond" w:hAnsi="Garamond"/>
                <w:sz w:val="24"/>
                <w:szCs w:val="24"/>
                <w:lang w:val="pt-PT"/>
              </w:rPr>
            </w:pPr>
            <w:r w:rsidRPr="00CE090D">
              <w:rPr>
                <w:rFonts w:ascii="Garamond" w:hAnsi="Garamond"/>
                <w:sz w:val="24"/>
                <w:szCs w:val="24"/>
                <w:lang w:val="pt-PT"/>
              </w:rPr>
              <w:t>-.0058821</w:t>
            </w:r>
          </w:p>
        </w:tc>
        <w:tc>
          <w:tcPr>
            <w:tcW w:w="1180" w:type="dxa"/>
            <w:tcBorders>
              <w:top w:val="dashSmallGap" w:sz="12" w:space="0" w:color="auto"/>
              <w:bottom w:val="dashSmallGap" w:sz="12" w:space="0" w:color="auto"/>
              <w:right w:val="nil"/>
            </w:tcBorders>
            <w:vAlign w:val="center"/>
          </w:tcPr>
          <w:p w14:paraId="24E59DD7" w14:textId="61F0E991" w:rsidR="0002603F" w:rsidRPr="0002603F" w:rsidRDefault="00CE090D" w:rsidP="00641432">
            <w:pPr>
              <w:jc w:val="right"/>
              <w:rPr>
                <w:rFonts w:ascii="Garamond" w:hAnsi="Garamond"/>
                <w:sz w:val="24"/>
                <w:szCs w:val="24"/>
                <w:lang w:val="pt-PT"/>
              </w:rPr>
            </w:pPr>
            <w:r w:rsidRPr="00CE090D">
              <w:rPr>
                <w:rFonts w:ascii="Garamond" w:hAnsi="Garamond"/>
                <w:sz w:val="24"/>
                <w:szCs w:val="24"/>
                <w:lang w:val="pt-PT"/>
              </w:rPr>
              <w:t>-.0096654</w:t>
            </w:r>
          </w:p>
        </w:tc>
      </w:tr>
      <w:tr w:rsidR="000F6DA0" w:rsidRPr="0002603F" w14:paraId="11776251" w14:textId="77777777" w:rsidTr="00D62757">
        <w:trPr>
          <w:trHeight w:val="254"/>
        </w:trPr>
        <w:tc>
          <w:tcPr>
            <w:tcW w:w="1418" w:type="dxa"/>
            <w:tcBorders>
              <w:left w:val="nil"/>
            </w:tcBorders>
            <w:vAlign w:val="center"/>
            <w:hideMark/>
          </w:tcPr>
          <w:p w14:paraId="45A1A8A3" w14:textId="77777777" w:rsidR="0002603F" w:rsidRPr="0002603F" w:rsidRDefault="0002603F" w:rsidP="003704CB">
            <w:pPr>
              <w:rPr>
                <w:rFonts w:ascii="Garamond" w:hAnsi="Garamond"/>
                <w:sz w:val="24"/>
                <w:szCs w:val="24"/>
              </w:rPr>
            </w:pPr>
            <w:r w:rsidRPr="0002603F">
              <w:rPr>
                <w:rFonts w:ascii="Garamond" w:hAnsi="Garamond"/>
                <w:b/>
                <w:bCs/>
                <w:sz w:val="24"/>
                <w:szCs w:val="24"/>
                <w:lang w:val="pt-PT"/>
              </w:rPr>
              <w:t>Mediana</w:t>
            </w:r>
          </w:p>
        </w:tc>
        <w:tc>
          <w:tcPr>
            <w:tcW w:w="1180" w:type="dxa"/>
            <w:tcBorders>
              <w:top w:val="dashSmallGap" w:sz="12" w:space="0" w:color="auto"/>
              <w:bottom w:val="dashSmallGap" w:sz="12" w:space="0" w:color="auto"/>
            </w:tcBorders>
            <w:vAlign w:val="center"/>
            <w:hideMark/>
          </w:tcPr>
          <w:p w14:paraId="65CF4FE0" w14:textId="7D57D4D2" w:rsidR="0002603F" w:rsidRPr="0002603F" w:rsidRDefault="009747D2" w:rsidP="00641432">
            <w:pPr>
              <w:jc w:val="right"/>
              <w:rPr>
                <w:rFonts w:ascii="Garamond" w:hAnsi="Garamond"/>
                <w:sz w:val="24"/>
                <w:szCs w:val="24"/>
              </w:rPr>
            </w:pPr>
            <w:r w:rsidRPr="009747D2">
              <w:rPr>
                <w:rFonts w:ascii="Garamond" w:hAnsi="Garamond"/>
                <w:sz w:val="24"/>
                <w:szCs w:val="24"/>
              </w:rPr>
              <w:t>-.0085275</w:t>
            </w:r>
          </w:p>
        </w:tc>
        <w:tc>
          <w:tcPr>
            <w:tcW w:w="1366" w:type="dxa"/>
            <w:tcBorders>
              <w:top w:val="dashSmallGap" w:sz="12" w:space="0" w:color="auto"/>
              <w:bottom w:val="dashSmallGap" w:sz="12" w:space="0" w:color="auto"/>
              <w:right w:val="dashSmallGap" w:sz="12" w:space="0" w:color="auto"/>
            </w:tcBorders>
            <w:vAlign w:val="center"/>
            <w:hideMark/>
          </w:tcPr>
          <w:p w14:paraId="5D383C55" w14:textId="4B235CE2" w:rsidR="0002603F" w:rsidRPr="0002603F" w:rsidRDefault="009747D2" w:rsidP="00641432">
            <w:pPr>
              <w:jc w:val="right"/>
              <w:rPr>
                <w:rFonts w:ascii="Garamond" w:hAnsi="Garamond"/>
                <w:sz w:val="24"/>
                <w:szCs w:val="24"/>
              </w:rPr>
            </w:pPr>
            <w:r w:rsidRPr="009747D2">
              <w:rPr>
                <w:rFonts w:ascii="Garamond" w:hAnsi="Garamond"/>
                <w:sz w:val="24"/>
                <w:szCs w:val="24"/>
              </w:rPr>
              <w:t>-.0026905</w:t>
            </w:r>
          </w:p>
        </w:tc>
        <w:tc>
          <w:tcPr>
            <w:tcW w:w="994" w:type="dxa"/>
            <w:tcBorders>
              <w:top w:val="dashSmallGap" w:sz="12" w:space="0" w:color="auto"/>
              <w:left w:val="dashSmallGap" w:sz="12" w:space="0" w:color="auto"/>
              <w:bottom w:val="dashSmallGap" w:sz="12" w:space="0" w:color="auto"/>
            </w:tcBorders>
            <w:vAlign w:val="center"/>
            <w:hideMark/>
          </w:tcPr>
          <w:p w14:paraId="516F81AA" w14:textId="3C0293B7" w:rsidR="0002603F" w:rsidRPr="0002603F" w:rsidRDefault="00116233" w:rsidP="00641432">
            <w:pPr>
              <w:jc w:val="right"/>
              <w:rPr>
                <w:rFonts w:ascii="Garamond" w:hAnsi="Garamond"/>
                <w:sz w:val="24"/>
                <w:szCs w:val="24"/>
              </w:rPr>
            </w:pPr>
            <w:r w:rsidRPr="00116233">
              <w:rPr>
                <w:rFonts w:ascii="Garamond" w:hAnsi="Garamond"/>
                <w:sz w:val="24"/>
                <w:szCs w:val="24"/>
              </w:rPr>
              <w:t>-.0083855</w:t>
            </w:r>
          </w:p>
        </w:tc>
        <w:tc>
          <w:tcPr>
            <w:tcW w:w="1180" w:type="dxa"/>
            <w:tcBorders>
              <w:top w:val="dashSmallGap" w:sz="12" w:space="0" w:color="auto"/>
              <w:bottom w:val="dashSmallGap" w:sz="12" w:space="0" w:color="auto"/>
              <w:right w:val="dashSmallGap" w:sz="12" w:space="0" w:color="auto"/>
            </w:tcBorders>
            <w:vAlign w:val="center"/>
            <w:hideMark/>
          </w:tcPr>
          <w:p w14:paraId="3DCE291B" w14:textId="30840011" w:rsidR="0002603F" w:rsidRPr="0002603F" w:rsidRDefault="00116233" w:rsidP="00641432">
            <w:pPr>
              <w:jc w:val="right"/>
              <w:rPr>
                <w:rFonts w:ascii="Garamond" w:hAnsi="Garamond"/>
                <w:sz w:val="24"/>
                <w:szCs w:val="24"/>
              </w:rPr>
            </w:pPr>
            <w:r w:rsidRPr="00116233">
              <w:rPr>
                <w:rFonts w:ascii="Garamond" w:hAnsi="Garamond"/>
                <w:sz w:val="24"/>
                <w:szCs w:val="24"/>
              </w:rPr>
              <w:t>-.0079072</w:t>
            </w:r>
          </w:p>
        </w:tc>
        <w:tc>
          <w:tcPr>
            <w:tcW w:w="1180" w:type="dxa"/>
            <w:tcBorders>
              <w:top w:val="dashSmallGap" w:sz="12" w:space="0" w:color="auto"/>
              <w:left w:val="dashSmallGap" w:sz="12" w:space="0" w:color="auto"/>
              <w:bottom w:val="dashSmallGap" w:sz="12" w:space="0" w:color="auto"/>
            </w:tcBorders>
            <w:vAlign w:val="center"/>
          </w:tcPr>
          <w:p w14:paraId="290BBC30" w14:textId="4119A5AD" w:rsidR="0002603F" w:rsidRPr="0002603F" w:rsidRDefault="00451A3A" w:rsidP="00641432">
            <w:pPr>
              <w:jc w:val="right"/>
              <w:rPr>
                <w:rFonts w:ascii="Garamond" w:hAnsi="Garamond"/>
                <w:sz w:val="24"/>
                <w:szCs w:val="24"/>
                <w:lang w:val="pt-PT"/>
              </w:rPr>
            </w:pPr>
            <w:r w:rsidRPr="00451A3A">
              <w:rPr>
                <w:rFonts w:ascii="Garamond" w:hAnsi="Garamond"/>
                <w:sz w:val="24"/>
                <w:szCs w:val="24"/>
                <w:lang w:val="pt-PT"/>
              </w:rPr>
              <w:t>-.0068304</w:t>
            </w:r>
          </w:p>
        </w:tc>
        <w:tc>
          <w:tcPr>
            <w:tcW w:w="1180" w:type="dxa"/>
            <w:tcBorders>
              <w:top w:val="dashSmallGap" w:sz="12" w:space="0" w:color="auto"/>
              <w:right w:val="nil"/>
            </w:tcBorders>
            <w:vAlign w:val="center"/>
          </w:tcPr>
          <w:p w14:paraId="423F4CF0" w14:textId="6292545D" w:rsidR="0002603F" w:rsidRPr="0002603F" w:rsidRDefault="00451A3A" w:rsidP="00641432">
            <w:pPr>
              <w:jc w:val="right"/>
              <w:rPr>
                <w:rFonts w:ascii="Garamond" w:hAnsi="Garamond"/>
                <w:sz w:val="24"/>
                <w:szCs w:val="24"/>
                <w:lang w:val="pt-PT"/>
              </w:rPr>
            </w:pPr>
            <w:r w:rsidRPr="00451A3A">
              <w:rPr>
                <w:rFonts w:ascii="Garamond" w:hAnsi="Garamond"/>
                <w:sz w:val="24"/>
                <w:szCs w:val="24"/>
                <w:lang w:val="pt-PT"/>
              </w:rPr>
              <w:t>-.0078302</w:t>
            </w:r>
          </w:p>
        </w:tc>
      </w:tr>
      <w:tr w:rsidR="00B87372" w:rsidRPr="0002603F" w14:paraId="2D9FA8DE" w14:textId="77777777" w:rsidTr="00D62757">
        <w:trPr>
          <w:trHeight w:val="257"/>
        </w:trPr>
        <w:tc>
          <w:tcPr>
            <w:tcW w:w="1418" w:type="dxa"/>
            <w:tcBorders>
              <w:left w:val="nil"/>
            </w:tcBorders>
            <w:vAlign w:val="center"/>
            <w:hideMark/>
          </w:tcPr>
          <w:p w14:paraId="2C0369B6" w14:textId="77777777" w:rsidR="0002603F" w:rsidRPr="0002603F" w:rsidRDefault="0002603F" w:rsidP="003704CB">
            <w:pPr>
              <w:rPr>
                <w:rFonts w:ascii="Garamond" w:hAnsi="Garamond"/>
                <w:sz w:val="24"/>
                <w:szCs w:val="24"/>
              </w:rPr>
            </w:pPr>
            <w:r w:rsidRPr="0002603F">
              <w:rPr>
                <w:rFonts w:ascii="Garamond" w:hAnsi="Garamond"/>
                <w:b/>
                <w:bCs/>
                <w:sz w:val="24"/>
                <w:szCs w:val="24"/>
                <w:lang w:val="pt-PT"/>
              </w:rPr>
              <w:t>Obs</w:t>
            </w:r>
          </w:p>
        </w:tc>
        <w:tc>
          <w:tcPr>
            <w:tcW w:w="2546" w:type="dxa"/>
            <w:gridSpan w:val="2"/>
            <w:tcBorders>
              <w:top w:val="dashSmallGap" w:sz="12" w:space="0" w:color="auto"/>
            </w:tcBorders>
            <w:vAlign w:val="center"/>
            <w:hideMark/>
          </w:tcPr>
          <w:p w14:paraId="19FB2C02" w14:textId="632B6D1F" w:rsidR="0002603F" w:rsidRPr="00F32F39" w:rsidRDefault="007603A8" w:rsidP="00641432">
            <w:pPr>
              <w:jc w:val="right"/>
              <w:rPr>
                <w:rFonts w:ascii="Garamond" w:hAnsi="Garamond"/>
                <w:sz w:val="24"/>
                <w:szCs w:val="24"/>
              </w:rPr>
            </w:pPr>
            <w:r w:rsidRPr="00F32F39">
              <w:rPr>
                <w:rFonts w:ascii="Garamond" w:hAnsi="Garamond"/>
                <w:sz w:val="24"/>
                <w:szCs w:val="24"/>
              </w:rPr>
              <w:t>55 248</w:t>
            </w:r>
          </w:p>
        </w:tc>
        <w:tc>
          <w:tcPr>
            <w:tcW w:w="2174" w:type="dxa"/>
            <w:gridSpan w:val="2"/>
            <w:tcBorders>
              <w:top w:val="dashSmallGap" w:sz="12" w:space="0" w:color="auto"/>
            </w:tcBorders>
            <w:vAlign w:val="center"/>
            <w:hideMark/>
          </w:tcPr>
          <w:p w14:paraId="53D407BE" w14:textId="265253A9" w:rsidR="0002603F" w:rsidRPr="00F32F39" w:rsidRDefault="007603A8" w:rsidP="00641432">
            <w:pPr>
              <w:jc w:val="right"/>
              <w:rPr>
                <w:rFonts w:ascii="Garamond" w:hAnsi="Garamond"/>
                <w:sz w:val="24"/>
                <w:szCs w:val="24"/>
              </w:rPr>
            </w:pPr>
            <w:r w:rsidRPr="00F32F39">
              <w:rPr>
                <w:rFonts w:ascii="Garamond" w:hAnsi="Garamond"/>
                <w:sz w:val="24"/>
                <w:szCs w:val="24"/>
              </w:rPr>
              <w:t>55 248</w:t>
            </w:r>
          </w:p>
        </w:tc>
        <w:tc>
          <w:tcPr>
            <w:tcW w:w="2360" w:type="dxa"/>
            <w:gridSpan w:val="2"/>
            <w:tcBorders>
              <w:top w:val="dashSmallGap" w:sz="12" w:space="0" w:color="auto"/>
              <w:right w:val="nil"/>
            </w:tcBorders>
            <w:vAlign w:val="center"/>
          </w:tcPr>
          <w:p w14:paraId="0839D4A6" w14:textId="63A4D92F" w:rsidR="007603A8" w:rsidRPr="00F32F39" w:rsidRDefault="007603A8" w:rsidP="00641432">
            <w:pPr>
              <w:jc w:val="right"/>
              <w:rPr>
                <w:rFonts w:ascii="Garamond" w:hAnsi="Garamond"/>
                <w:sz w:val="24"/>
                <w:szCs w:val="24"/>
                <w:lang w:val="pt-PT"/>
              </w:rPr>
            </w:pPr>
            <w:r w:rsidRPr="00F32F39">
              <w:rPr>
                <w:rFonts w:ascii="Garamond" w:hAnsi="Garamond"/>
                <w:sz w:val="24"/>
                <w:szCs w:val="24"/>
              </w:rPr>
              <w:t>55 248</w:t>
            </w:r>
          </w:p>
        </w:tc>
      </w:tr>
      <w:tr w:rsidR="00C40DD5" w:rsidRPr="00293549" w14:paraId="73DE32BD" w14:textId="77777777" w:rsidTr="00641432">
        <w:trPr>
          <w:trHeight w:val="503"/>
        </w:trPr>
        <w:tc>
          <w:tcPr>
            <w:tcW w:w="8498" w:type="dxa"/>
            <w:gridSpan w:val="7"/>
            <w:tcBorders>
              <w:left w:val="nil"/>
              <w:right w:val="nil"/>
            </w:tcBorders>
            <w:vAlign w:val="center"/>
          </w:tcPr>
          <w:p w14:paraId="367DE303" w14:textId="77777777" w:rsidR="00E67323" w:rsidRPr="000F6DA0" w:rsidRDefault="00E67323" w:rsidP="007603A8">
            <w:pPr>
              <w:rPr>
                <w:rFonts w:ascii="Garamond" w:hAnsi="Garamond"/>
                <w:b/>
                <w:bCs/>
                <w:sz w:val="22"/>
                <w:szCs w:val="22"/>
                <w:u w:val="single"/>
                <w:lang w:val="pt-PT"/>
              </w:rPr>
            </w:pPr>
            <w:r w:rsidRPr="000F6DA0">
              <w:rPr>
                <w:rFonts w:ascii="Garamond" w:hAnsi="Garamond"/>
                <w:b/>
                <w:bCs/>
                <w:sz w:val="22"/>
                <w:szCs w:val="22"/>
                <w:u w:val="single"/>
                <w:lang w:val="pt-PT"/>
              </w:rPr>
              <w:t>Painel A:</w:t>
            </w:r>
          </w:p>
          <w:p w14:paraId="7CC449C3" w14:textId="48CBD0C4" w:rsidR="00E67323" w:rsidRPr="000F6DA0" w:rsidRDefault="00E67323" w:rsidP="007603A8">
            <w:pPr>
              <w:rPr>
                <w:rFonts w:ascii="Garamond" w:hAnsi="Garamond"/>
                <w:b/>
                <w:bCs/>
                <w:sz w:val="22"/>
                <w:szCs w:val="22"/>
                <w:lang w:val="pt-PT"/>
              </w:rPr>
            </w:pPr>
            <w:r w:rsidRPr="000F6DA0">
              <w:rPr>
                <w:rFonts w:ascii="Garamond" w:hAnsi="Garamond"/>
                <w:b/>
                <w:bCs/>
                <w:sz w:val="22"/>
                <w:szCs w:val="22"/>
                <w:lang w:val="pt-PT"/>
              </w:rPr>
              <w:t xml:space="preserve">Teste t de igualdade das médias: </w:t>
            </w:r>
          </w:p>
          <w:p w14:paraId="6772819E" w14:textId="000A27EA" w:rsidR="00567FAF" w:rsidRPr="000F6DA0" w:rsidRDefault="00567FAF" w:rsidP="007603A8">
            <w:pPr>
              <w:rPr>
                <w:rFonts w:ascii="Garamond" w:hAnsi="Garamond"/>
                <w:sz w:val="22"/>
                <w:szCs w:val="22"/>
                <w:lang w:val="pt-PT"/>
              </w:rPr>
            </w:pPr>
            <w:r w:rsidRPr="000F6DA0">
              <w:rPr>
                <w:rFonts w:ascii="Garamond" w:hAnsi="Garamond"/>
                <w:b/>
                <w:bCs/>
                <w:sz w:val="22"/>
                <w:szCs w:val="22"/>
                <w:lang w:val="pt-PT"/>
              </w:rPr>
              <w:t>2020</w:t>
            </w:r>
            <w:r w:rsidRPr="000F6DA0">
              <w:rPr>
                <w:rFonts w:ascii="Garamond" w:hAnsi="Garamond"/>
                <w:sz w:val="22"/>
                <w:szCs w:val="22"/>
                <w:lang w:val="pt-PT"/>
              </w:rPr>
              <w:t xml:space="preserve">: t = -3.5862, </w:t>
            </w:r>
            <w:r w:rsidRPr="000F6DA0">
              <w:rPr>
                <w:rFonts w:ascii="Garamond" w:hAnsi="Garamond"/>
                <w:i/>
                <w:iCs/>
                <w:sz w:val="22"/>
                <w:szCs w:val="22"/>
                <w:lang w:val="pt-PT"/>
              </w:rPr>
              <w:t>p-value</w:t>
            </w:r>
            <w:r w:rsidRPr="000F6DA0">
              <w:rPr>
                <w:rFonts w:ascii="Garamond" w:hAnsi="Garamond"/>
                <w:sz w:val="22"/>
                <w:szCs w:val="22"/>
                <w:lang w:val="pt-PT"/>
              </w:rPr>
              <w:t xml:space="preserve"> = 0.0003</w:t>
            </w:r>
            <w:r w:rsidR="00DD1984">
              <w:rPr>
                <w:rFonts w:ascii="Garamond" w:hAnsi="Garamond"/>
                <w:sz w:val="22"/>
                <w:szCs w:val="22"/>
                <w:lang w:val="pt-PT"/>
              </w:rPr>
              <w:t xml:space="preserve">; </w:t>
            </w:r>
            <w:r w:rsidRPr="000F6DA0">
              <w:rPr>
                <w:rFonts w:ascii="Garamond" w:hAnsi="Garamond"/>
                <w:sz w:val="22"/>
                <w:szCs w:val="22"/>
                <w:lang w:val="pt-PT"/>
              </w:rPr>
              <w:t xml:space="preserve">O teste </w:t>
            </w:r>
            <w:proofErr w:type="gramStart"/>
            <w:r w:rsidRPr="000F6DA0">
              <w:rPr>
                <w:rFonts w:ascii="Garamond" w:hAnsi="Garamond"/>
                <w:sz w:val="22"/>
                <w:szCs w:val="22"/>
                <w:lang w:val="pt-PT"/>
              </w:rPr>
              <w:t xml:space="preserve">t </w:t>
            </w:r>
            <w:r w:rsidR="00C04947" w:rsidRPr="00C04947">
              <w:rPr>
                <w:rFonts w:ascii="Garamond" w:hAnsi="Garamond"/>
                <w:sz w:val="22"/>
                <w:szCs w:val="22"/>
                <w:lang w:val="pt-PT"/>
              </w:rPr>
              <w:t>rejeita</w:t>
            </w:r>
            <w:proofErr w:type="gramEnd"/>
            <w:r w:rsidR="00C04947" w:rsidRPr="00C04947">
              <w:rPr>
                <w:rFonts w:ascii="Garamond" w:hAnsi="Garamond"/>
                <w:sz w:val="22"/>
                <w:szCs w:val="22"/>
                <w:lang w:val="pt-PT"/>
              </w:rPr>
              <w:t xml:space="preserve"> a hipótese nula de igualdade das médias</w:t>
            </w:r>
            <w:r w:rsidR="00C04947">
              <w:rPr>
                <w:rFonts w:ascii="Garamond" w:hAnsi="Garamond"/>
                <w:sz w:val="22"/>
                <w:szCs w:val="22"/>
                <w:lang w:val="pt-PT"/>
              </w:rPr>
              <w:t xml:space="preserve">, </w:t>
            </w:r>
            <w:r w:rsidR="00EE4E47">
              <w:rPr>
                <w:rFonts w:ascii="Garamond" w:hAnsi="Garamond"/>
                <w:sz w:val="22"/>
                <w:szCs w:val="22"/>
                <w:lang w:val="pt-PT"/>
              </w:rPr>
              <w:t>pois indica</w:t>
            </w:r>
            <w:r w:rsidRPr="000F6DA0">
              <w:rPr>
                <w:rFonts w:ascii="Garamond" w:hAnsi="Garamond"/>
                <w:sz w:val="22"/>
                <w:szCs w:val="22"/>
                <w:lang w:val="pt-PT"/>
              </w:rPr>
              <w:t xml:space="preserve"> uma diferença estatisticamente significativa entre as duas médias (</w:t>
            </w:r>
            <w:r w:rsidRPr="000F6DA0">
              <w:rPr>
                <w:rFonts w:ascii="Garamond" w:hAnsi="Garamond"/>
                <w:i/>
                <w:iCs/>
                <w:sz w:val="22"/>
                <w:szCs w:val="22"/>
                <w:lang w:val="pt-PT"/>
              </w:rPr>
              <w:t>p-value</w:t>
            </w:r>
            <w:r w:rsidRPr="000F6DA0">
              <w:rPr>
                <w:rFonts w:ascii="Garamond" w:hAnsi="Garamond"/>
                <w:sz w:val="22"/>
                <w:szCs w:val="22"/>
                <w:lang w:val="pt-PT"/>
              </w:rPr>
              <w:t xml:space="preserve"> &lt; 0.01), </w:t>
            </w:r>
            <w:r w:rsidR="00EE4E47">
              <w:rPr>
                <w:rFonts w:ascii="Garamond" w:hAnsi="Garamond"/>
                <w:sz w:val="22"/>
                <w:szCs w:val="22"/>
                <w:lang w:val="pt-PT"/>
              </w:rPr>
              <w:t>o que sugere</w:t>
            </w:r>
            <w:r w:rsidRPr="000F6DA0">
              <w:rPr>
                <w:rFonts w:ascii="Garamond" w:hAnsi="Garamond"/>
                <w:sz w:val="22"/>
                <w:szCs w:val="22"/>
                <w:lang w:val="pt-PT"/>
              </w:rPr>
              <w:t xml:space="preserve"> que houve uma redução significativa no investimento em 2020 em comparação com 2019.</w:t>
            </w:r>
          </w:p>
          <w:p w14:paraId="265C2823" w14:textId="0C03320D" w:rsidR="00567FAF" w:rsidRPr="000F6DA0" w:rsidRDefault="00567FAF" w:rsidP="007603A8">
            <w:pPr>
              <w:rPr>
                <w:rFonts w:ascii="Garamond" w:hAnsi="Garamond"/>
                <w:sz w:val="22"/>
                <w:szCs w:val="22"/>
                <w:lang w:val="pt-PT"/>
              </w:rPr>
            </w:pPr>
            <w:r w:rsidRPr="000F6DA0">
              <w:rPr>
                <w:rFonts w:ascii="Garamond" w:hAnsi="Garamond"/>
                <w:b/>
                <w:bCs/>
                <w:sz w:val="22"/>
                <w:szCs w:val="22"/>
                <w:lang w:val="pt-PT"/>
              </w:rPr>
              <w:t>2021</w:t>
            </w:r>
            <w:r w:rsidRPr="000F6DA0">
              <w:rPr>
                <w:rFonts w:ascii="Garamond" w:hAnsi="Garamond"/>
                <w:sz w:val="22"/>
                <w:szCs w:val="22"/>
                <w:lang w:val="pt-PT"/>
              </w:rPr>
              <w:t>: t = 0.4793,</w:t>
            </w:r>
            <w:r w:rsidR="002D612A">
              <w:rPr>
                <w:rFonts w:ascii="Garamond" w:hAnsi="Garamond"/>
                <w:sz w:val="22"/>
                <w:szCs w:val="22"/>
                <w:lang w:val="pt-PT"/>
              </w:rPr>
              <w:t xml:space="preserve"> </w:t>
            </w:r>
            <w:r w:rsidRPr="000F6DA0">
              <w:rPr>
                <w:rFonts w:ascii="Garamond" w:hAnsi="Garamond"/>
                <w:i/>
                <w:iCs/>
                <w:sz w:val="22"/>
                <w:szCs w:val="22"/>
                <w:lang w:val="pt-PT"/>
              </w:rPr>
              <w:t>p-value</w:t>
            </w:r>
            <w:r w:rsidRPr="000F6DA0">
              <w:rPr>
                <w:rFonts w:ascii="Garamond" w:hAnsi="Garamond"/>
                <w:sz w:val="22"/>
                <w:szCs w:val="22"/>
                <w:lang w:val="pt-PT"/>
              </w:rPr>
              <w:t xml:space="preserve"> = 0.6318; O teste t não</w:t>
            </w:r>
            <w:r w:rsidR="00D15D9E">
              <w:rPr>
                <w:rFonts w:ascii="Garamond" w:hAnsi="Garamond"/>
                <w:sz w:val="22"/>
                <w:szCs w:val="22"/>
                <w:lang w:val="pt-PT"/>
              </w:rPr>
              <w:t xml:space="preserve"> rejeita a hipótese nula de igualdade das médias,</w:t>
            </w:r>
            <w:r w:rsidRPr="000F6DA0">
              <w:rPr>
                <w:rFonts w:ascii="Garamond" w:hAnsi="Garamond"/>
                <w:sz w:val="22"/>
                <w:szCs w:val="22"/>
                <w:lang w:val="pt-PT"/>
              </w:rPr>
              <w:t xml:space="preserve"> revela</w:t>
            </w:r>
            <w:r w:rsidR="00D15D9E">
              <w:rPr>
                <w:rFonts w:ascii="Garamond" w:hAnsi="Garamond"/>
                <w:sz w:val="22"/>
                <w:szCs w:val="22"/>
                <w:lang w:val="pt-PT"/>
              </w:rPr>
              <w:t>ndo</w:t>
            </w:r>
            <w:r w:rsidRPr="000F6DA0">
              <w:rPr>
                <w:rFonts w:ascii="Garamond" w:hAnsi="Garamond"/>
                <w:sz w:val="22"/>
                <w:szCs w:val="22"/>
                <w:lang w:val="pt-PT"/>
              </w:rPr>
              <w:t xml:space="preserve"> uma diferença </w:t>
            </w:r>
            <w:r w:rsidR="00DD1984">
              <w:rPr>
                <w:rFonts w:ascii="Garamond" w:hAnsi="Garamond"/>
                <w:sz w:val="22"/>
                <w:szCs w:val="22"/>
                <w:lang w:val="pt-PT"/>
              </w:rPr>
              <w:t xml:space="preserve">não </w:t>
            </w:r>
            <w:r w:rsidRPr="000F6DA0">
              <w:rPr>
                <w:rFonts w:ascii="Garamond" w:hAnsi="Garamond"/>
                <w:sz w:val="22"/>
                <w:szCs w:val="22"/>
                <w:lang w:val="pt-PT"/>
              </w:rPr>
              <w:t>estatisticamente significativa entre as médias (</w:t>
            </w:r>
            <w:r w:rsidRPr="000F6DA0">
              <w:rPr>
                <w:rFonts w:ascii="Garamond" w:hAnsi="Garamond"/>
                <w:i/>
                <w:iCs/>
                <w:sz w:val="22"/>
                <w:szCs w:val="22"/>
                <w:lang w:val="pt-PT"/>
              </w:rPr>
              <w:t>p-value</w:t>
            </w:r>
            <w:r w:rsidRPr="000F6DA0">
              <w:rPr>
                <w:rFonts w:ascii="Garamond" w:hAnsi="Garamond"/>
                <w:sz w:val="22"/>
                <w:szCs w:val="22"/>
                <w:lang w:val="pt-PT"/>
              </w:rPr>
              <w:t xml:space="preserve"> &gt; 0.05), </w:t>
            </w:r>
            <w:r w:rsidR="00EE4E47">
              <w:rPr>
                <w:rFonts w:ascii="Garamond" w:hAnsi="Garamond"/>
                <w:sz w:val="22"/>
                <w:szCs w:val="22"/>
                <w:lang w:val="pt-PT"/>
              </w:rPr>
              <w:t>o que sugere</w:t>
            </w:r>
            <w:r w:rsidRPr="000F6DA0">
              <w:rPr>
                <w:rFonts w:ascii="Garamond" w:hAnsi="Garamond"/>
                <w:sz w:val="22"/>
                <w:szCs w:val="22"/>
                <w:lang w:val="pt-PT"/>
              </w:rPr>
              <w:t xml:space="preserve"> que a redução no investimento foi consistente entre 2020 e 2021.</w:t>
            </w:r>
          </w:p>
          <w:p w14:paraId="3373F6CC" w14:textId="1511619F" w:rsidR="00567FAF" w:rsidRPr="000F6DA0" w:rsidRDefault="00567FAF" w:rsidP="007603A8">
            <w:pPr>
              <w:rPr>
                <w:rFonts w:ascii="Garamond" w:hAnsi="Garamond"/>
                <w:sz w:val="22"/>
                <w:szCs w:val="22"/>
                <w:lang w:val="pt-PT"/>
              </w:rPr>
            </w:pPr>
            <w:r w:rsidRPr="000F6DA0">
              <w:rPr>
                <w:rFonts w:ascii="Garamond" w:hAnsi="Garamond"/>
                <w:b/>
                <w:bCs/>
                <w:sz w:val="22"/>
                <w:szCs w:val="22"/>
                <w:lang w:val="pt-PT"/>
              </w:rPr>
              <w:t>2022</w:t>
            </w:r>
            <w:r w:rsidRPr="000F6DA0">
              <w:rPr>
                <w:rFonts w:ascii="Garamond" w:hAnsi="Garamond"/>
                <w:sz w:val="22"/>
                <w:szCs w:val="22"/>
                <w:lang w:val="pt-PT"/>
              </w:rPr>
              <w:t xml:space="preserve">:  t = -3.1945, </w:t>
            </w:r>
            <w:r w:rsidRPr="000F6DA0">
              <w:rPr>
                <w:rFonts w:ascii="Garamond" w:hAnsi="Garamond"/>
                <w:i/>
                <w:iCs/>
                <w:sz w:val="22"/>
                <w:szCs w:val="22"/>
                <w:lang w:val="pt-PT"/>
              </w:rPr>
              <w:t>p-value</w:t>
            </w:r>
            <w:r w:rsidRPr="000F6DA0">
              <w:rPr>
                <w:rFonts w:ascii="Garamond" w:hAnsi="Garamond"/>
                <w:sz w:val="22"/>
                <w:szCs w:val="22"/>
                <w:lang w:val="pt-PT"/>
              </w:rPr>
              <w:t xml:space="preserve"> = 0.0014</w:t>
            </w:r>
            <w:r w:rsidR="000F6DA0" w:rsidRPr="000F6DA0">
              <w:rPr>
                <w:rFonts w:ascii="Garamond" w:hAnsi="Garamond"/>
                <w:sz w:val="22"/>
                <w:szCs w:val="22"/>
                <w:lang w:val="pt-PT"/>
              </w:rPr>
              <w:t xml:space="preserve">; O teste </w:t>
            </w:r>
            <w:proofErr w:type="gramStart"/>
            <w:r w:rsidR="000F6DA0" w:rsidRPr="000F6DA0">
              <w:rPr>
                <w:rFonts w:ascii="Garamond" w:hAnsi="Garamond"/>
                <w:sz w:val="22"/>
                <w:szCs w:val="22"/>
                <w:lang w:val="pt-PT"/>
              </w:rPr>
              <w:t xml:space="preserve">t </w:t>
            </w:r>
            <w:r w:rsidR="002215A8" w:rsidRPr="00C04947">
              <w:rPr>
                <w:rFonts w:ascii="Garamond" w:hAnsi="Garamond"/>
                <w:sz w:val="22"/>
                <w:szCs w:val="22"/>
                <w:lang w:val="pt-PT"/>
              </w:rPr>
              <w:t>rejeita</w:t>
            </w:r>
            <w:proofErr w:type="gramEnd"/>
            <w:r w:rsidR="002215A8" w:rsidRPr="00C04947">
              <w:rPr>
                <w:rFonts w:ascii="Garamond" w:hAnsi="Garamond"/>
                <w:sz w:val="22"/>
                <w:szCs w:val="22"/>
                <w:lang w:val="pt-PT"/>
              </w:rPr>
              <w:t xml:space="preserve"> a hipótese nula de igualdade das médias</w:t>
            </w:r>
            <w:r w:rsidR="002215A8">
              <w:rPr>
                <w:rFonts w:ascii="Garamond" w:hAnsi="Garamond"/>
                <w:sz w:val="22"/>
                <w:szCs w:val="22"/>
                <w:lang w:val="pt-PT"/>
              </w:rPr>
              <w:t xml:space="preserve">, </w:t>
            </w:r>
            <w:r w:rsidR="000F6DA0" w:rsidRPr="000F6DA0">
              <w:rPr>
                <w:rFonts w:ascii="Garamond" w:hAnsi="Garamond"/>
                <w:sz w:val="22"/>
                <w:szCs w:val="22"/>
                <w:lang w:val="pt-PT"/>
              </w:rPr>
              <w:t>indica</w:t>
            </w:r>
            <w:r w:rsidR="002215A8">
              <w:rPr>
                <w:rFonts w:ascii="Garamond" w:hAnsi="Garamond"/>
                <w:sz w:val="22"/>
                <w:szCs w:val="22"/>
                <w:lang w:val="pt-PT"/>
              </w:rPr>
              <w:t>ndo</w:t>
            </w:r>
            <w:r w:rsidR="000F6DA0" w:rsidRPr="000F6DA0">
              <w:rPr>
                <w:rFonts w:ascii="Garamond" w:hAnsi="Garamond"/>
                <w:sz w:val="22"/>
                <w:szCs w:val="22"/>
                <w:lang w:val="pt-PT"/>
              </w:rPr>
              <w:t xml:space="preserve"> uma diferença estatisticamente significativa entre as médias (</w:t>
            </w:r>
            <w:r w:rsidR="000F6DA0" w:rsidRPr="000F6DA0">
              <w:rPr>
                <w:rFonts w:ascii="Garamond" w:hAnsi="Garamond"/>
                <w:i/>
                <w:iCs/>
                <w:sz w:val="22"/>
                <w:szCs w:val="22"/>
                <w:lang w:val="pt-PT"/>
              </w:rPr>
              <w:t>p-value</w:t>
            </w:r>
            <w:r w:rsidR="000F6DA0" w:rsidRPr="000F6DA0">
              <w:rPr>
                <w:rFonts w:ascii="Garamond" w:hAnsi="Garamond"/>
                <w:sz w:val="22"/>
                <w:szCs w:val="22"/>
                <w:lang w:val="pt-PT"/>
              </w:rPr>
              <w:t xml:space="preserve"> &lt; 0.01), </w:t>
            </w:r>
            <w:r w:rsidR="00EE4E47">
              <w:rPr>
                <w:rFonts w:ascii="Garamond" w:hAnsi="Garamond"/>
                <w:sz w:val="22"/>
                <w:szCs w:val="22"/>
                <w:lang w:val="pt-PT"/>
              </w:rPr>
              <w:t>o que sugere</w:t>
            </w:r>
            <w:r w:rsidR="000F6DA0" w:rsidRPr="000F6DA0">
              <w:rPr>
                <w:rFonts w:ascii="Garamond" w:hAnsi="Garamond"/>
                <w:sz w:val="22"/>
                <w:szCs w:val="22"/>
                <w:lang w:val="pt-PT"/>
              </w:rPr>
              <w:t xml:space="preserve"> que houve uma redução adicional significativa no investimento em 2022 em comparação com 2021.</w:t>
            </w:r>
          </w:p>
          <w:p w14:paraId="51DFB8ED" w14:textId="77777777" w:rsidR="00E67323" w:rsidRPr="000F6DA0" w:rsidRDefault="00E67323" w:rsidP="007603A8">
            <w:pPr>
              <w:rPr>
                <w:rFonts w:ascii="Garamond" w:hAnsi="Garamond"/>
                <w:sz w:val="22"/>
                <w:szCs w:val="22"/>
                <w:lang w:val="pt-PT"/>
              </w:rPr>
            </w:pPr>
          </w:p>
          <w:p w14:paraId="7FDAE5CA" w14:textId="77777777" w:rsidR="00E67323" w:rsidRPr="000F6DA0" w:rsidRDefault="00E67323" w:rsidP="007603A8">
            <w:pPr>
              <w:rPr>
                <w:rFonts w:ascii="Garamond" w:hAnsi="Garamond"/>
                <w:b/>
                <w:bCs/>
                <w:sz w:val="22"/>
                <w:szCs w:val="22"/>
                <w:u w:val="single"/>
                <w:lang w:val="pt-PT"/>
              </w:rPr>
            </w:pPr>
            <w:r w:rsidRPr="000F6DA0">
              <w:rPr>
                <w:rFonts w:ascii="Garamond" w:hAnsi="Garamond"/>
                <w:b/>
                <w:bCs/>
                <w:sz w:val="22"/>
                <w:szCs w:val="22"/>
                <w:u w:val="single"/>
                <w:lang w:val="pt-PT"/>
              </w:rPr>
              <w:t>Painel B:</w:t>
            </w:r>
          </w:p>
          <w:p w14:paraId="7DF70713" w14:textId="77777777" w:rsidR="00E67323" w:rsidRPr="000F6DA0" w:rsidRDefault="00E67323" w:rsidP="00E67323">
            <w:pPr>
              <w:rPr>
                <w:rFonts w:ascii="Garamond" w:hAnsi="Garamond"/>
                <w:b/>
                <w:bCs/>
                <w:sz w:val="22"/>
                <w:szCs w:val="22"/>
                <w:lang w:val="pt-PT"/>
              </w:rPr>
            </w:pPr>
            <w:r w:rsidRPr="000F6DA0">
              <w:rPr>
                <w:rFonts w:ascii="Garamond" w:hAnsi="Garamond"/>
                <w:b/>
                <w:bCs/>
                <w:sz w:val="22"/>
                <w:szCs w:val="22"/>
                <w:lang w:val="pt-PT"/>
              </w:rPr>
              <w:t xml:space="preserve">Teste t de igualdade das médias: </w:t>
            </w:r>
          </w:p>
          <w:p w14:paraId="4D5A05CF" w14:textId="4E9D999B" w:rsidR="000F6DA0" w:rsidRPr="000F6DA0" w:rsidRDefault="000F6DA0" w:rsidP="00E67323">
            <w:pPr>
              <w:rPr>
                <w:rFonts w:ascii="Garamond" w:hAnsi="Garamond"/>
                <w:sz w:val="22"/>
                <w:szCs w:val="22"/>
                <w:lang w:val="pt-PT"/>
              </w:rPr>
            </w:pPr>
            <w:r w:rsidRPr="000F6DA0">
              <w:rPr>
                <w:rFonts w:ascii="Garamond" w:hAnsi="Garamond"/>
                <w:b/>
                <w:bCs/>
                <w:sz w:val="22"/>
                <w:szCs w:val="22"/>
                <w:lang w:val="pt-PT"/>
              </w:rPr>
              <w:t>2020</w:t>
            </w:r>
            <w:r w:rsidRPr="000F6DA0">
              <w:rPr>
                <w:rFonts w:ascii="Garamond" w:hAnsi="Garamond"/>
                <w:sz w:val="22"/>
                <w:szCs w:val="22"/>
                <w:lang w:val="pt-PT"/>
              </w:rPr>
              <w:t>: t = -18.2685,</w:t>
            </w:r>
            <w:r w:rsidR="002D612A">
              <w:rPr>
                <w:rFonts w:ascii="Garamond" w:hAnsi="Garamond"/>
                <w:sz w:val="22"/>
                <w:szCs w:val="22"/>
                <w:lang w:val="pt-PT"/>
              </w:rPr>
              <w:t xml:space="preserve"> </w:t>
            </w:r>
            <w:r w:rsidRPr="000F6DA0">
              <w:rPr>
                <w:rFonts w:ascii="Garamond" w:hAnsi="Garamond"/>
                <w:i/>
                <w:iCs/>
                <w:sz w:val="22"/>
                <w:szCs w:val="22"/>
                <w:lang w:val="pt-PT"/>
              </w:rPr>
              <w:t>p-value</w:t>
            </w:r>
            <w:r w:rsidRPr="000F6DA0">
              <w:rPr>
                <w:rFonts w:ascii="Garamond" w:hAnsi="Garamond"/>
                <w:sz w:val="22"/>
                <w:szCs w:val="22"/>
                <w:lang w:val="pt-PT"/>
              </w:rPr>
              <w:t xml:space="preserve"> = 0.0000; O teste </w:t>
            </w:r>
            <w:proofErr w:type="gramStart"/>
            <w:r w:rsidRPr="000F6DA0">
              <w:rPr>
                <w:rFonts w:ascii="Garamond" w:hAnsi="Garamond"/>
                <w:sz w:val="22"/>
                <w:szCs w:val="22"/>
                <w:lang w:val="pt-PT"/>
              </w:rPr>
              <w:t xml:space="preserve">t </w:t>
            </w:r>
            <w:r w:rsidR="00EE4E47" w:rsidRPr="00C04947">
              <w:rPr>
                <w:rFonts w:ascii="Garamond" w:hAnsi="Garamond"/>
                <w:sz w:val="22"/>
                <w:szCs w:val="22"/>
                <w:lang w:val="pt-PT"/>
              </w:rPr>
              <w:t>rejeita</w:t>
            </w:r>
            <w:proofErr w:type="gramEnd"/>
            <w:r w:rsidR="00EE4E47" w:rsidRPr="00C04947">
              <w:rPr>
                <w:rFonts w:ascii="Garamond" w:hAnsi="Garamond"/>
                <w:sz w:val="22"/>
                <w:szCs w:val="22"/>
                <w:lang w:val="pt-PT"/>
              </w:rPr>
              <w:t xml:space="preserve"> a hipótese nula de igualdade das médias</w:t>
            </w:r>
            <w:r w:rsidR="00EE4E47">
              <w:rPr>
                <w:rFonts w:ascii="Garamond" w:hAnsi="Garamond"/>
                <w:sz w:val="22"/>
                <w:szCs w:val="22"/>
                <w:lang w:val="pt-PT"/>
              </w:rPr>
              <w:t>,</w:t>
            </w:r>
            <w:r w:rsidR="00EE4E47" w:rsidRPr="000F6DA0">
              <w:rPr>
                <w:rFonts w:ascii="Garamond" w:hAnsi="Garamond"/>
                <w:sz w:val="22"/>
                <w:szCs w:val="22"/>
                <w:lang w:val="pt-PT"/>
              </w:rPr>
              <w:t xml:space="preserve"> </w:t>
            </w:r>
            <w:r w:rsidR="00EE4E47">
              <w:rPr>
                <w:rFonts w:ascii="Garamond" w:hAnsi="Garamond"/>
                <w:sz w:val="22"/>
                <w:szCs w:val="22"/>
                <w:lang w:val="pt-PT"/>
              </w:rPr>
              <w:t>pois demonstra</w:t>
            </w:r>
            <w:r w:rsidRPr="000F6DA0">
              <w:rPr>
                <w:rFonts w:ascii="Garamond" w:hAnsi="Garamond"/>
                <w:sz w:val="22"/>
                <w:szCs w:val="22"/>
                <w:lang w:val="pt-PT"/>
              </w:rPr>
              <w:t xml:space="preserve"> uma diferença estatisticamente significativa entre as médias (</w:t>
            </w:r>
            <w:r w:rsidRPr="000F6DA0">
              <w:rPr>
                <w:rFonts w:ascii="Garamond" w:hAnsi="Garamond"/>
                <w:i/>
                <w:iCs/>
                <w:sz w:val="22"/>
                <w:szCs w:val="22"/>
                <w:lang w:val="pt-PT"/>
              </w:rPr>
              <w:t>p-value</w:t>
            </w:r>
            <w:r w:rsidRPr="000F6DA0">
              <w:rPr>
                <w:rFonts w:ascii="Garamond" w:hAnsi="Garamond"/>
                <w:sz w:val="22"/>
                <w:szCs w:val="22"/>
                <w:lang w:val="pt-PT"/>
              </w:rPr>
              <w:t xml:space="preserve"> &lt; 0.01), indicando uma redução significativa no investimento em 2020 em comparação com 2019.</w:t>
            </w:r>
          </w:p>
          <w:p w14:paraId="79A4C0D1" w14:textId="293857C5" w:rsidR="000F6DA0" w:rsidRPr="000F6DA0" w:rsidRDefault="000F6DA0" w:rsidP="00E67323">
            <w:pPr>
              <w:rPr>
                <w:rFonts w:ascii="Garamond" w:hAnsi="Garamond"/>
                <w:sz w:val="22"/>
                <w:szCs w:val="22"/>
                <w:lang w:val="pt-PT"/>
              </w:rPr>
            </w:pPr>
            <w:r w:rsidRPr="000F6DA0">
              <w:rPr>
                <w:rFonts w:ascii="Garamond" w:hAnsi="Garamond"/>
                <w:b/>
                <w:bCs/>
                <w:sz w:val="22"/>
                <w:szCs w:val="22"/>
                <w:lang w:val="pt-PT"/>
              </w:rPr>
              <w:t>2021</w:t>
            </w:r>
            <w:r w:rsidRPr="000F6DA0">
              <w:rPr>
                <w:rFonts w:ascii="Garamond" w:hAnsi="Garamond"/>
                <w:sz w:val="22"/>
                <w:szCs w:val="22"/>
                <w:lang w:val="pt-PT"/>
              </w:rPr>
              <w:t xml:space="preserve">: t = -1.0446, </w:t>
            </w:r>
            <w:r w:rsidRPr="000F6DA0">
              <w:rPr>
                <w:rFonts w:ascii="Garamond" w:hAnsi="Garamond"/>
                <w:i/>
                <w:iCs/>
                <w:sz w:val="22"/>
                <w:szCs w:val="22"/>
                <w:lang w:val="pt-PT"/>
              </w:rPr>
              <w:t>p-value</w:t>
            </w:r>
            <w:r w:rsidRPr="000F6DA0">
              <w:rPr>
                <w:rFonts w:ascii="Garamond" w:hAnsi="Garamond"/>
                <w:sz w:val="22"/>
                <w:szCs w:val="22"/>
                <w:lang w:val="pt-PT"/>
              </w:rPr>
              <w:t xml:space="preserve"> = 0.2962; o teste t </w:t>
            </w:r>
            <w:r w:rsidR="00EE4E47" w:rsidRPr="000F6DA0">
              <w:rPr>
                <w:rFonts w:ascii="Garamond" w:hAnsi="Garamond"/>
                <w:sz w:val="22"/>
                <w:szCs w:val="22"/>
                <w:lang w:val="pt-PT"/>
              </w:rPr>
              <w:t>não</w:t>
            </w:r>
            <w:r w:rsidR="00EE4E47">
              <w:rPr>
                <w:rFonts w:ascii="Garamond" w:hAnsi="Garamond"/>
                <w:sz w:val="22"/>
                <w:szCs w:val="22"/>
                <w:lang w:val="pt-PT"/>
              </w:rPr>
              <w:t xml:space="preserve"> rejeita a hipótese nula de igualdade das médias, o que </w:t>
            </w:r>
            <w:r w:rsidRPr="000F6DA0">
              <w:rPr>
                <w:rFonts w:ascii="Garamond" w:hAnsi="Garamond"/>
                <w:sz w:val="22"/>
                <w:szCs w:val="22"/>
                <w:lang w:val="pt-PT"/>
              </w:rPr>
              <w:t>não revela uma diferença estatisticamente significativa entre as médias (</w:t>
            </w:r>
            <w:r w:rsidRPr="000F6DA0">
              <w:rPr>
                <w:rFonts w:ascii="Garamond" w:hAnsi="Garamond"/>
                <w:i/>
                <w:iCs/>
                <w:sz w:val="22"/>
                <w:szCs w:val="22"/>
                <w:lang w:val="pt-PT"/>
              </w:rPr>
              <w:t>p-value</w:t>
            </w:r>
            <w:r w:rsidRPr="000F6DA0">
              <w:rPr>
                <w:rFonts w:ascii="Garamond" w:hAnsi="Garamond"/>
                <w:sz w:val="22"/>
                <w:szCs w:val="22"/>
                <w:lang w:val="pt-PT"/>
              </w:rPr>
              <w:t xml:space="preserve"> &gt; 0.05), sugerindo uma consistência na redução do investimento entre 2020 e 2021.</w:t>
            </w:r>
          </w:p>
          <w:p w14:paraId="74EE451C" w14:textId="221CDB0E" w:rsidR="00C40DD5" w:rsidRPr="000F6DA0" w:rsidRDefault="000F6DA0" w:rsidP="000F6DA0">
            <w:pPr>
              <w:rPr>
                <w:rFonts w:ascii="Garamond" w:hAnsi="Garamond"/>
                <w:sz w:val="20"/>
                <w:szCs w:val="20"/>
                <w:lang w:val="pt-PT"/>
              </w:rPr>
            </w:pPr>
            <w:r w:rsidRPr="000F6DA0">
              <w:rPr>
                <w:rFonts w:ascii="Garamond" w:hAnsi="Garamond"/>
                <w:b/>
                <w:bCs/>
                <w:sz w:val="22"/>
                <w:szCs w:val="22"/>
                <w:lang w:val="pt-PT"/>
              </w:rPr>
              <w:t>2022</w:t>
            </w:r>
            <w:r w:rsidRPr="000F6DA0">
              <w:rPr>
                <w:rFonts w:ascii="Garamond" w:hAnsi="Garamond"/>
                <w:sz w:val="22"/>
                <w:szCs w:val="22"/>
                <w:lang w:val="pt-PT"/>
              </w:rPr>
              <w:t xml:space="preserve">: t = 3.2056, </w:t>
            </w:r>
            <w:r w:rsidRPr="000F6DA0">
              <w:rPr>
                <w:rFonts w:ascii="Garamond" w:hAnsi="Garamond"/>
                <w:i/>
                <w:iCs/>
                <w:sz w:val="22"/>
                <w:szCs w:val="22"/>
                <w:lang w:val="pt-PT"/>
              </w:rPr>
              <w:t>p-value</w:t>
            </w:r>
            <w:r w:rsidRPr="000F6DA0">
              <w:rPr>
                <w:rFonts w:ascii="Garamond" w:hAnsi="Garamond"/>
                <w:sz w:val="22"/>
                <w:szCs w:val="22"/>
                <w:lang w:val="pt-PT"/>
              </w:rPr>
              <w:t xml:space="preserve"> = 0.0013; O teste </w:t>
            </w:r>
            <w:proofErr w:type="gramStart"/>
            <w:r w:rsidRPr="000F6DA0">
              <w:rPr>
                <w:rFonts w:ascii="Garamond" w:hAnsi="Garamond"/>
                <w:sz w:val="22"/>
                <w:szCs w:val="22"/>
                <w:lang w:val="pt-PT"/>
              </w:rPr>
              <w:t>t</w:t>
            </w:r>
            <w:r w:rsidR="00EE4E47">
              <w:rPr>
                <w:rFonts w:ascii="Garamond" w:hAnsi="Garamond"/>
                <w:sz w:val="22"/>
                <w:szCs w:val="22"/>
                <w:lang w:val="pt-PT"/>
              </w:rPr>
              <w:t xml:space="preserve"> </w:t>
            </w:r>
            <w:r w:rsidR="00EE4E47" w:rsidRPr="00C04947">
              <w:rPr>
                <w:rFonts w:ascii="Garamond" w:hAnsi="Garamond"/>
                <w:sz w:val="22"/>
                <w:szCs w:val="22"/>
                <w:lang w:val="pt-PT"/>
              </w:rPr>
              <w:t>rejeita</w:t>
            </w:r>
            <w:proofErr w:type="gramEnd"/>
            <w:r w:rsidR="00EE4E47" w:rsidRPr="00C04947">
              <w:rPr>
                <w:rFonts w:ascii="Garamond" w:hAnsi="Garamond"/>
                <w:sz w:val="22"/>
                <w:szCs w:val="22"/>
                <w:lang w:val="pt-PT"/>
              </w:rPr>
              <w:t xml:space="preserve"> a hipótese nula de igualdade das médias</w:t>
            </w:r>
            <w:r w:rsidR="00EE4E47">
              <w:rPr>
                <w:rFonts w:ascii="Garamond" w:hAnsi="Garamond"/>
                <w:sz w:val="22"/>
                <w:szCs w:val="22"/>
                <w:lang w:val="pt-PT"/>
              </w:rPr>
              <w:t>, pois</w:t>
            </w:r>
            <w:r w:rsidRPr="000F6DA0">
              <w:rPr>
                <w:rFonts w:ascii="Garamond" w:hAnsi="Garamond"/>
                <w:sz w:val="22"/>
                <w:szCs w:val="22"/>
                <w:lang w:val="pt-PT"/>
              </w:rPr>
              <w:t xml:space="preserve"> indica uma diferença estatisticamente significativa entre as médias (</w:t>
            </w:r>
            <w:r w:rsidRPr="000F6DA0">
              <w:rPr>
                <w:rFonts w:ascii="Garamond" w:hAnsi="Garamond"/>
                <w:i/>
                <w:iCs/>
                <w:sz w:val="22"/>
                <w:szCs w:val="22"/>
                <w:lang w:val="pt-PT"/>
              </w:rPr>
              <w:t>p-value</w:t>
            </w:r>
            <w:r w:rsidRPr="000F6DA0">
              <w:rPr>
                <w:rFonts w:ascii="Garamond" w:hAnsi="Garamond"/>
                <w:sz w:val="22"/>
                <w:szCs w:val="22"/>
                <w:lang w:val="pt-PT"/>
              </w:rPr>
              <w:t xml:space="preserve"> &lt; 0.01), sugerindo uma recuperação parcial no investimento em 2022 em comparação com 2021.</w:t>
            </w:r>
          </w:p>
        </w:tc>
      </w:tr>
      <w:tr w:rsidR="00E67323" w:rsidRPr="00293549" w14:paraId="5C0BBB57" w14:textId="77777777" w:rsidTr="00641432">
        <w:trPr>
          <w:trHeight w:val="503"/>
        </w:trPr>
        <w:tc>
          <w:tcPr>
            <w:tcW w:w="8498" w:type="dxa"/>
            <w:gridSpan w:val="7"/>
            <w:tcBorders>
              <w:left w:val="nil"/>
              <w:right w:val="nil"/>
            </w:tcBorders>
            <w:vAlign w:val="center"/>
          </w:tcPr>
          <w:p w14:paraId="44DFE2C7" w14:textId="4F3FA125" w:rsidR="00E67323" w:rsidRPr="000F6DA0" w:rsidRDefault="00E67323" w:rsidP="007603A8">
            <w:pPr>
              <w:rPr>
                <w:rFonts w:ascii="Garamond" w:hAnsi="Garamond"/>
                <w:sz w:val="20"/>
                <w:szCs w:val="20"/>
                <w:lang w:val="pt-PT"/>
              </w:rPr>
            </w:pPr>
            <w:r w:rsidRPr="000F6DA0">
              <w:rPr>
                <w:rFonts w:ascii="Garamond" w:hAnsi="Garamond"/>
                <w:sz w:val="20"/>
                <w:szCs w:val="20"/>
                <w:lang w:val="pt-PT"/>
              </w:rPr>
              <w:t>Nota: os valores apresentados</w:t>
            </w:r>
            <w:r w:rsidR="004B0ECE">
              <w:rPr>
                <w:rFonts w:ascii="Garamond" w:hAnsi="Garamond"/>
                <w:sz w:val="20"/>
                <w:szCs w:val="20"/>
                <w:lang w:val="pt-PT"/>
              </w:rPr>
              <w:t xml:space="preserve"> </w:t>
            </w:r>
            <w:r w:rsidRPr="000F6DA0">
              <w:rPr>
                <w:rFonts w:ascii="Garamond" w:hAnsi="Garamond"/>
                <w:sz w:val="20"/>
                <w:szCs w:val="20"/>
                <w:lang w:val="pt-PT"/>
              </w:rPr>
              <w:t>encontram-se deflacionados pelo total do ativo do ano, pelo que são representativos de uma % do total do ativo.</w:t>
            </w:r>
          </w:p>
        </w:tc>
      </w:tr>
    </w:tbl>
    <w:p w14:paraId="5FBCB6B0" w14:textId="77777777" w:rsidR="004B2BC5" w:rsidRDefault="004B2BC5" w:rsidP="00642608">
      <w:pPr>
        <w:spacing w:line="360" w:lineRule="auto"/>
        <w:jc w:val="both"/>
        <w:rPr>
          <w:rFonts w:ascii="Garamond" w:hAnsi="Garamond"/>
          <w:sz w:val="24"/>
          <w:szCs w:val="24"/>
          <w:lang w:val="pt-PT"/>
        </w:rPr>
      </w:pPr>
    </w:p>
    <w:p w14:paraId="2C85C440" w14:textId="57D69FC9" w:rsidR="00C2311E" w:rsidRDefault="00C2311E" w:rsidP="00642608">
      <w:pPr>
        <w:spacing w:line="360" w:lineRule="auto"/>
        <w:jc w:val="both"/>
        <w:rPr>
          <w:rFonts w:ascii="Garamond" w:hAnsi="Garamond"/>
          <w:iCs/>
          <w:sz w:val="24"/>
          <w:szCs w:val="24"/>
          <w:lang w:val="pt-PT"/>
        </w:rPr>
      </w:pPr>
      <w:r w:rsidRPr="00C2311E">
        <w:rPr>
          <w:rFonts w:ascii="Garamond" w:hAnsi="Garamond"/>
          <w:sz w:val="24"/>
          <w:szCs w:val="24"/>
          <w:lang w:val="pt-PT"/>
        </w:rPr>
        <w:lastRenderedPageBreak/>
        <w:t>Pela análise da tabela, nas observações que compõem a subamostra principal em 2020, o valor mediano e a média da variável</w:t>
      </w:r>
      <w:r>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Pr="00C2311E">
        <w:rPr>
          <w:rFonts w:ascii="Garamond" w:hAnsi="Garamond"/>
          <w:iCs/>
          <w:sz w:val="24"/>
          <w:szCs w:val="24"/>
          <w:lang w:val="pt-PT"/>
        </w:rPr>
        <w:t xml:space="preserve"> são negativos, cerca de -0,0113955 e -0,0016252 do total do ativo, respetivamente. A</w:t>
      </w:r>
      <w:r w:rsidR="00E92398">
        <w:rPr>
          <w:rFonts w:ascii="Garamond" w:hAnsi="Garamond"/>
          <w:iCs/>
          <w:sz w:val="24"/>
          <w:szCs w:val="24"/>
          <w:lang w:val="pt-PT"/>
        </w:rPr>
        <w:t>dicionalmente</w:t>
      </w:r>
      <w:r w:rsidRPr="00C2311E">
        <w:rPr>
          <w:rFonts w:ascii="Garamond" w:hAnsi="Garamond"/>
          <w:iCs/>
          <w:sz w:val="24"/>
          <w:szCs w:val="24"/>
          <w:lang w:val="pt-PT"/>
        </w:rPr>
        <w:t>, verifica-se que o valor mediano e a média da variável</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2019</m:t>
            </m:r>
          </m:sub>
        </m:sSub>
      </m:oMath>
      <w:r w:rsidRPr="00C2311E">
        <w:rPr>
          <w:rFonts w:ascii="Garamond" w:hAnsi="Garamond"/>
          <w:iCs/>
          <w:sz w:val="24"/>
          <w:szCs w:val="24"/>
          <w:lang w:val="pt-PT"/>
        </w:rPr>
        <w:t xml:space="preserve"> são -0,0087244 e 0,0063785 do total do ativo, respetivamente. Isso indica que, em média, houve uma redução no investimento em 2020 em comparação com 2019.</w:t>
      </w:r>
    </w:p>
    <w:p w14:paraId="6B250D25" w14:textId="3F1C2690" w:rsidR="00C2311E" w:rsidRDefault="00C2311E" w:rsidP="00642608">
      <w:pPr>
        <w:spacing w:line="360" w:lineRule="auto"/>
        <w:jc w:val="both"/>
        <w:rPr>
          <w:rFonts w:ascii="Garamond" w:hAnsi="Garamond"/>
          <w:iCs/>
          <w:sz w:val="24"/>
          <w:szCs w:val="24"/>
          <w:lang w:val="pt-PT"/>
        </w:rPr>
      </w:pPr>
      <w:r w:rsidRPr="00C2311E">
        <w:rPr>
          <w:rFonts w:ascii="Garamond" w:hAnsi="Garamond"/>
          <w:sz w:val="24"/>
          <w:szCs w:val="24"/>
          <w:lang w:val="pt-PT"/>
        </w:rPr>
        <w:t>Em 2021, o valor mediano e a média das variáveis</w:t>
      </w:r>
      <w:r>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Pr="00C2311E">
        <w:rPr>
          <w:rFonts w:ascii="Garamond" w:hAnsi="Garamond"/>
          <w:iCs/>
          <w:sz w:val="24"/>
          <w:szCs w:val="24"/>
          <w:lang w:val="pt-PT"/>
        </w:rPr>
        <w:t xml:space="preserve"> </w:t>
      </w:r>
      <w:r>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00997191" w:rsidRPr="00997191">
        <w:rPr>
          <w:rFonts w:ascii="Garamond" w:hAnsi="Garamond"/>
          <w:iCs/>
          <w:sz w:val="24"/>
          <w:szCs w:val="24"/>
          <w:lang w:val="pt-PT"/>
        </w:rPr>
        <w:t xml:space="preserve"> também são negativos, indicando uma continuidade na redução do investimento. A média de</w:t>
      </w:r>
      <w:r w:rsidR="00997191">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00997191" w:rsidRPr="00997191">
        <w:rPr>
          <w:rFonts w:ascii="Garamond" w:hAnsi="Garamond"/>
          <w:iCs/>
          <w:sz w:val="24"/>
          <w:szCs w:val="24"/>
          <w:lang w:val="pt-PT"/>
        </w:rPr>
        <w:t xml:space="preserve"> é de -0,0015474 e a mediana é de -0,014001, enquanto a média de</w:t>
      </w:r>
      <w:r w:rsidR="00997191">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00997191" w:rsidRPr="00997191">
        <w:rPr>
          <w:rFonts w:ascii="Garamond" w:hAnsi="Garamond"/>
          <w:iCs/>
          <w:sz w:val="24"/>
          <w:szCs w:val="24"/>
          <w:lang w:val="pt-PT"/>
        </w:rPr>
        <w:t xml:space="preserve"> é de -0,0024623 e a mediana é de -0,0101347. Este comportamento sugere que as empresas da subamostra principal continuaram a reduzir os seus investimentos em 2021.</w:t>
      </w:r>
    </w:p>
    <w:p w14:paraId="081609F0" w14:textId="13F3C59F" w:rsidR="00997191" w:rsidRDefault="00997191" w:rsidP="00642608">
      <w:pPr>
        <w:spacing w:line="360" w:lineRule="auto"/>
        <w:jc w:val="both"/>
        <w:rPr>
          <w:rFonts w:ascii="Garamond" w:hAnsi="Garamond"/>
          <w:iCs/>
          <w:sz w:val="24"/>
          <w:szCs w:val="24"/>
          <w:lang w:val="pt-PT"/>
        </w:rPr>
      </w:pPr>
      <w:r w:rsidRPr="00997191">
        <w:rPr>
          <w:rFonts w:ascii="Garamond" w:hAnsi="Garamond"/>
          <w:sz w:val="24"/>
          <w:szCs w:val="24"/>
          <w:lang w:val="pt-PT"/>
        </w:rPr>
        <w:t>Em 2022, a tendência de redução do investimento continua, com a média de</w:t>
      </w:r>
      <w:r>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2022</m:t>
            </m:r>
          </m:sub>
        </m:sSub>
      </m:oMath>
      <w:r w:rsidRPr="00997191">
        <w:rPr>
          <w:rFonts w:ascii="Garamond" w:hAnsi="Garamond"/>
          <w:iCs/>
          <w:sz w:val="24"/>
          <w:szCs w:val="24"/>
          <w:lang w:val="pt-PT"/>
        </w:rPr>
        <w:t xml:space="preserve"> </w:t>
      </w:r>
      <w:r>
        <w:rPr>
          <w:rFonts w:ascii="Garamond" w:hAnsi="Garamond"/>
          <w:iCs/>
          <w:sz w:val="24"/>
          <w:szCs w:val="24"/>
          <w:lang w:val="pt-PT"/>
        </w:rPr>
        <w:t xml:space="preserve"> de </w:t>
      </w:r>
      <w:r w:rsidRPr="00997191">
        <w:rPr>
          <w:rFonts w:ascii="Garamond" w:hAnsi="Garamond"/>
          <w:iCs/>
          <w:sz w:val="24"/>
          <w:szCs w:val="24"/>
          <w:lang w:val="pt-PT"/>
        </w:rPr>
        <w:t>-0,0090899 e a mediana</w:t>
      </w:r>
      <w:r>
        <w:rPr>
          <w:rFonts w:ascii="Garamond" w:hAnsi="Garamond"/>
          <w:iCs/>
          <w:sz w:val="24"/>
          <w:szCs w:val="24"/>
          <w:lang w:val="pt-PT"/>
        </w:rPr>
        <w:t xml:space="preserve"> de</w:t>
      </w:r>
      <w:r w:rsidRPr="00997191">
        <w:rPr>
          <w:rFonts w:ascii="Garamond" w:hAnsi="Garamond"/>
          <w:iCs/>
          <w:sz w:val="24"/>
          <w:szCs w:val="24"/>
          <w:lang w:val="pt-PT"/>
        </w:rPr>
        <w:t xml:space="preserve"> -0,0160259.</w:t>
      </w:r>
      <w:r>
        <w:rPr>
          <w:rFonts w:ascii="Garamond" w:hAnsi="Garamond"/>
          <w:iCs/>
          <w:sz w:val="24"/>
          <w:szCs w:val="24"/>
          <w:lang w:val="pt-PT"/>
        </w:rPr>
        <w:t xml:space="preserve"> </w:t>
      </w:r>
      <w:r w:rsidRPr="00997191">
        <w:rPr>
          <w:rFonts w:ascii="Garamond" w:hAnsi="Garamond"/>
          <w:iCs/>
          <w:sz w:val="24"/>
          <w:szCs w:val="24"/>
          <w:lang w:val="pt-PT"/>
        </w:rPr>
        <w:t>A média de</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Pr="00997191">
        <w:rPr>
          <w:rFonts w:ascii="Garamond" w:hAnsi="Garamond"/>
          <w:iCs/>
          <w:sz w:val="24"/>
          <w:szCs w:val="24"/>
          <w:lang w:val="pt-PT"/>
        </w:rPr>
        <w:t xml:space="preserve"> é </w:t>
      </w:r>
      <w:r>
        <w:rPr>
          <w:rFonts w:ascii="Garamond" w:hAnsi="Garamond"/>
          <w:iCs/>
          <w:sz w:val="24"/>
          <w:szCs w:val="24"/>
          <w:lang w:val="pt-PT"/>
        </w:rPr>
        <w:t xml:space="preserve">de </w:t>
      </w:r>
      <w:r w:rsidRPr="00997191">
        <w:rPr>
          <w:rFonts w:ascii="Garamond" w:hAnsi="Garamond"/>
          <w:iCs/>
          <w:sz w:val="24"/>
          <w:szCs w:val="24"/>
          <w:lang w:val="pt-PT"/>
        </w:rPr>
        <w:t>-0,0026392 e a mediana -0,0096088, reforçando a tendência de desinvestimento.</w:t>
      </w:r>
      <w:r w:rsidR="00E92398">
        <w:rPr>
          <w:rFonts w:ascii="Garamond" w:hAnsi="Garamond"/>
          <w:iCs/>
          <w:sz w:val="24"/>
          <w:szCs w:val="24"/>
          <w:lang w:val="pt-PT"/>
        </w:rPr>
        <w:t xml:space="preserve"> No entanto, verifica-se uma redução significativa comparativamente aos outros anos.</w:t>
      </w:r>
    </w:p>
    <w:p w14:paraId="6C69F783" w14:textId="6D030D01" w:rsidR="00F861FE" w:rsidRDefault="00EB76B2" w:rsidP="00642608">
      <w:pPr>
        <w:spacing w:line="360" w:lineRule="auto"/>
        <w:jc w:val="both"/>
        <w:rPr>
          <w:rFonts w:ascii="Garamond" w:hAnsi="Garamond"/>
          <w:iCs/>
          <w:sz w:val="24"/>
          <w:szCs w:val="24"/>
          <w:lang w:val="pt-PT"/>
        </w:rPr>
      </w:pPr>
      <w:r w:rsidRPr="00EB76B2">
        <w:rPr>
          <w:rFonts w:ascii="Garamond" w:hAnsi="Garamond"/>
          <w:iCs/>
          <w:sz w:val="24"/>
          <w:szCs w:val="24"/>
          <w:lang w:val="pt-PT"/>
        </w:rPr>
        <w:t>Comparando o valor mediano e a média das variáveis</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Pr="00EB76B2">
        <w:rPr>
          <w:rFonts w:ascii="Garamond" w:hAnsi="Garamond"/>
          <w:iCs/>
          <w:sz w:val="24"/>
          <w:szCs w:val="24"/>
          <w:lang w:val="pt-PT"/>
        </w:rPr>
        <w:t xml:space="preserve"> </w:t>
      </w:r>
      <w:r>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2019</m:t>
            </m:r>
          </m:sub>
        </m:sSub>
      </m:oMath>
      <w:r w:rsidR="00B64ADD" w:rsidRPr="00B64ADD">
        <w:rPr>
          <w:rFonts w:ascii="Garamond" w:hAnsi="Garamond"/>
          <w:iCs/>
          <w:sz w:val="24"/>
          <w:szCs w:val="24"/>
          <w:lang w:val="pt-PT"/>
        </w:rPr>
        <w:t xml:space="preserve"> </w:t>
      </w:r>
      <w:r w:rsidR="00B64ADD">
        <w:rPr>
          <w:rFonts w:ascii="Garamond" w:hAnsi="Garamond"/>
          <w:iCs/>
          <w:sz w:val="24"/>
          <w:szCs w:val="24"/>
          <w:lang w:val="pt-PT"/>
        </w:rPr>
        <w:t xml:space="preserve">em 2020, com o valor mediano e a média das variáveis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00B64ADD" w:rsidRPr="00B64ADD">
        <w:rPr>
          <w:rFonts w:ascii="Garamond" w:hAnsi="Garamond"/>
          <w:iCs/>
          <w:sz w:val="24"/>
          <w:szCs w:val="24"/>
          <w:lang w:val="pt-PT"/>
        </w:rPr>
        <w:t xml:space="preserve"> </w:t>
      </w:r>
      <w:r w:rsidR="00B64ADD">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00B64ADD" w:rsidRPr="00B64ADD">
        <w:rPr>
          <w:rFonts w:ascii="Garamond" w:hAnsi="Garamond"/>
          <w:iCs/>
          <w:sz w:val="24"/>
          <w:szCs w:val="24"/>
          <w:lang w:val="pt-PT"/>
        </w:rPr>
        <w:t xml:space="preserve"> </w:t>
      </w:r>
      <w:r w:rsidR="00B64ADD">
        <w:rPr>
          <w:rFonts w:ascii="Garamond" w:hAnsi="Garamond"/>
          <w:iCs/>
          <w:sz w:val="24"/>
          <w:szCs w:val="24"/>
          <w:lang w:val="pt-PT"/>
        </w:rPr>
        <w:t xml:space="preserve">em 2021, 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2022</m:t>
            </m:r>
          </m:sub>
        </m:sSub>
      </m:oMath>
      <w:r w:rsidR="00B64ADD" w:rsidRPr="00B64ADD">
        <w:rPr>
          <w:rFonts w:ascii="Garamond" w:hAnsi="Garamond"/>
          <w:iCs/>
          <w:sz w:val="24"/>
          <w:szCs w:val="24"/>
          <w:lang w:val="pt-PT"/>
        </w:rPr>
        <w:t xml:space="preserve"> </w:t>
      </w:r>
      <w:r w:rsidR="00B64ADD">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00B64ADD" w:rsidRPr="00B64ADD">
        <w:rPr>
          <w:rFonts w:ascii="Garamond" w:hAnsi="Garamond"/>
          <w:iCs/>
          <w:sz w:val="24"/>
          <w:szCs w:val="24"/>
          <w:lang w:val="pt-PT"/>
        </w:rPr>
        <w:t xml:space="preserve"> </w:t>
      </w:r>
      <w:r w:rsidR="00B64ADD">
        <w:rPr>
          <w:rFonts w:ascii="Garamond" w:hAnsi="Garamond"/>
          <w:iCs/>
          <w:sz w:val="24"/>
          <w:szCs w:val="24"/>
          <w:lang w:val="pt-PT"/>
        </w:rPr>
        <w:t xml:space="preserve">em 2022, </w:t>
      </w:r>
      <w:r w:rsidR="00B64ADD" w:rsidRPr="00B64ADD">
        <w:rPr>
          <w:rFonts w:ascii="Garamond" w:hAnsi="Garamond"/>
          <w:iCs/>
          <w:sz w:val="24"/>
          <w:szCs w:val="24"/>
          <w:lang w:val="pt-PT"/>
        </w:rPr>
        <w:t>é evidente que há uma tendência geral de desinvestimento ao longo dos anos analisados. Este comportamento pode indicar que</w:t>
      </w:r>
      <w:r w:rsidR="00E136F4">
        <w:rPr>
          <w:rFonts w:ascii="Garamond" w:hAnsi="Garamond"/>
          <w:iCs/>
          <w:sz w:val="24"/>
          <w:szCs w:val="24"/>
          <w:lang w:val="pt-PT"/>
        </w:rPr>
        <w:t xml:space="preserve"> as</w:t>
      </w:r>
      <w:r w:rsidR="00B64ADD" w:rsidRPr="00B64ADD">
        <w:rPr>
          <w:rFonts w:ascii="Garamond" w:hAnsi="Garamond"/>
          <w:iCs/>
          <w:sz w:val="24"/>
          <w:szCs w:val="24"/>
          <w:lang w:val="pt-PT"/>
        </w:rPr>
        <w:t xml:space="preserve"> empresas anteciparam </w:t>
      </w:r>
      <w:r w:rsidR="00B64ADD">
        <w:rPr>
          <w:rFonts w:ascii="Garamond" w:hAnsi="Garamond"/>
          <w:iCs/>
          <w:sz w:val="24"/>
          <w:szCs w:val="24"/>
          <w:lang w:val="pt-PT"/>
        </w:rPr>
        <w:t xml:space="preserve">os </w:t>
      </w:r>
      <w:r w:rsidR="00B64ADD" w:rsidRPr="00B64ADD">
        <w:rPr>
          <w:rFonts w:ascii="Garamond" w:hAnsi="Garamond"/>
          <w:iCs/>
          <w:sz w:val="24"/>
          <w:szCs w:val="24"/>
          <w:lang w:val="pt-PT"/>
        </w:rPr>
        <w:t>seus investimentos durante os anos de 2020 e 2021, quando o CFEI II estava em vigor, resultando numa redução subsequente</w:t>
      </w:r>
      <w:r w:rsidR="00E92398">
        <w:rPr>
          <w:rFonts w:ascii="Garamond" w:hAnsi="Garamond"/>
          <w:iCs/>
          <w:sz w:val="24"/>
          <w:szCs w:val="24"/>
          <w:lang w:val="pt-PT"/>
        </w:rPr>
        <w:t xml:space="preserve"> muito significativa</w:t>
      </w:r>
      <w:r w:rsidR="00B64ADD" w:rsidRPr="00B64ADD">
        <w:rPr>
          <w:rFonts w:ascii="Garamond" w:hAnsi="Garamond"/>
          <w:iCs/>
          <w:sz w:val="24"/>
          <w:szCs w:val="24"/>
          <w:lang w:val="pt-PT"/>
        </w:rPr>
        <w:t xml:space="preserve"> nos investimentos em 2022</w:t>
      </w:r>
      <w:r w:rsidR="00E136F4">
        <w:rPr>
          <w:rFonts w:ascii="Garamond" w:hAnsi="Garamond"/>
          <w:iCs/>
          <w:sz w:val="24"/>
          <w:szCs w:val="24"/>
          <w:lang w:val="pt-PT"/>
        </w:rPr>
        <w:t>.</w:t>
      </w:r>
      <w:r w:rsidR="00F861FE">
        <w:rPr>
          <w:rFonts w:ascii="Garamond" w:hAnsi="Garamond"/>
          <w:iCs/>
          <w:sz w:val="24"/>
          <w:szCs w:val="24"/>
          <w:lang w:val="pt-PT"/>
        </w:rPr>
        <w:t xml:space="preserve"> Ou seja, estes</w:t>
      </w:r>
      <w:r w:rsidR="00F861FE" w:rsidRPr="00F861FE">
        <w:rPr>
          <w:rFonts w:ascii="Garamond" w:hAnsi="Garamond"/>
          <w:iCs/>
          <w:sz w:val="24"/>
          <w:szCs w:val="24"/>
          <w:lang w:val="pt-PT"/>
        </w:rPr>
        <w:t xml:space="preserve"> </w:t>
      </w:r>
      <w:r w:rsidR="00F861FE">
        <w:rPr>
          <w:rFonts w:ascii="Garamond" w:hAnsi="Garamond"/>
          <w:iCs/>
          <w:sz w:val="24"/>
          <w:szCs w:val="24"/>
          <w:lang w:val="pt-PT"/>
        </w:rPr>
        <w:t>resultados</w:t>
      </w:r>
      <w:r w:rsidR="00F861FE" w:rsidRPr="00F861FE">
        <w:rPr>
          <w:rFonts w:ascii="Garamond" w:hAnsi="Garamond"/>
          <w:iCs/>
          <w:sz w:val="24"/>
          <w:szCs w:val="24"/>
          <w:lang w:val="pt-PT"/>
        </w:rPr>
        <w:t xml:space="preserve"> indicam que, para as empresas que aderiram ao CFEI II, a variação do investimento foi relativamente estável em 2020 e 2021, mas houve uma queda significativa em 2022. Isso sugere que as empresas podem ter antecipado investimentos para aproveitar o incentivo fiscal durante 2020 e 2021, resultando </w:t>
      </w:r>
      <w:r w:rsidR="00E92398">
        <w:rPr>
          <w:rFonts w:ascii="Garamond" w:hAnsi="Garamond"/>
          <w:iCs/>
          <w:sz w:val="24"/>
          <w:szCs w:val="24"/>
          <w:lang w:val="pt-PT"/>
        </w:rPr>
        <w:t>numa</w:t>
      </w:r>
      <w:r w:rsidR="00F861FE" w:rsidRPr="00F861FE">
        <w:rPr>
          <w:rFonts w:ascii="Garamond" w:hAnsi="Garamond"/>
          <w:iCs/>
          <w:sz w:val="24"/>
          <w:szCs w:val="24"/>
          <w:lang w:val="pt-PT"/>
        </w:rPr>
        <w:t xml:space="preserve"> diminuição mais acentuada no investimento em 2022</w:t>
      </w:r>
      <w:r w:rsidR="00F861FE">
        <w:rPr>
          <w:rFonts w:ascii="Garamond" w:hAnsi="Garamond"/>
          <w:iCs/>
          <w:sz w:val="24"/>
          <w:szCs w:val="24"/>
          <w:lang w:val="pt-PT"/>
        </w:rPr>
        <w:t>, o que corrobora a hipótese de investigação.</w:t>
      </w:r>
    </w:p>
    <w:p w14:paraId="30EE07B6" w14:textId="283C7044" w:rsidR="00B64ADD" w:rsidRDefault="00B64ADD" w:rsidP="00642608">
      <w:pPr>
        <w:spacing w:line="360" w:lineRule="auto"/>
        <w:jc w:val="both"/>
        <w:rPr>
          <w:rFonts w:ascii="Garamond" w:hAnsi="Garamond"/>
          <w:iCs/>
          <w:sz w:val="24"/>
          <w:szCs w:val="24"/>
          <w:lang w:val="pt-PT"/>
        </w:rPr>
      </w:pPr>
      <w:r w:rsidRPr="00B64ADD">
        <w:rPr>
          <w:rFonts w:ascii="Garamond" w:hAnsi="Garamond"/>
          <w:iCs/>
          <w:sz w:val="24"/>
          <w:szCs w:val="24"/>
          <w:lang w:val="pt-PT"/>
        </w:rPr>
        <w:t>No que respeita à subamostra de controlo, o valor mediano das variáveis</w:t>
      </w:r>
      <w:r w:rsidR="00E136F4">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00E136F4" w:rsidRPr="00E136F4">
        <w:rPr>
          <w:rFonts w:ascii="Garamond" w:hAnsi="Garamond"/>
          <w:iCs/>
          <w:sz w:val="24"/>
          <w:szCs w:val="24"/>
          <w:lang w:val="pt-PT"/>
        </w:rPr>
        <w:t xml:space="preserve"> </w:t>
      </w:r>
      <w:r w:rsidR="00E136F4">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2019</m:t>
            </m:r>
          </m:sub>
        </m:sSub>
      </m:oMath>
      <w:r w:rsidR="00E136F4" w:rsidRPr="00E136F4">
        <w:rPr>
          <w:rFonts w:ascii="Garamond" w:hAnsi="Garamond"/>
          <w:iCs/>
          <w:sz w:val="24"/>
          <w:szCs w:val="24"/>
          <w:lang w:val="pt-PT"/>
        </w:rPr>
        <w:t xml:space="preserve"> </w:t>
      </w:r>
      <w:r w:rsidR="00E136F4">
        <w:rPr>
          <w:rFonts w:ascii="Garamond" w:hAnsi="Garamond"/>
          <w:iCs/>
          <w:sz w:val="24"/>
          <w:szCs w:val="24"/>
          <w:lang w:val="pt-PT"/>
        </w:rPr>
        <w:t xml:space="preserve">em 2020,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00E136F4" w:rsidRPr="00B64ADD">
        <w:rPr>
          <w:rFonts w:ascii="Garamond" w:hAnsi="Garamond"/>
          <w:iCs/>
          <w:sz w:val="24"/>
          <w:szCs w:val="24"/>
          <w:lang w:val="pt-PT"/>
        </w:rPr>
        <w:t xml:space="preserve"> </w:t>
      </w:r>
      <w:r w:rsidR="00E136F4">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00E136F4" w:rsidRPr="00B64ADD">
        <w:rPr>
          <w:rFonts w:ascii="Garamond" w:hAnsi="Garamond"/>
          <w:iCs/>
          <w:sz w:val="24"/>
          <w:szCs w:val="24"/>
          <w:lang w:val="pt-PT"/>
        </w:rPr>
        <w:t xml:space="preserve"> </w:t>
      </w:r>
      <w:r w:rsidR="00E136F4">
        <w:rPr>
          <w:rFonts w:ascii="Garamond" w:hAnsi="Garamond"/>
          <w:iCs/>
          <w:sz w:val="24"/>
          <w:szCs w:val="24"/>
          <w:lang w:val="pt-PT"/>
        </w:rPr>
        <w:t xml:space="preserve">em 2021 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2022</m:t>
            </m:r>
          </m:sub>
        </m:sSub>
      </m:oMath>
      <w:r w:rsidR="00E136F4" w:rsidRPr="00B64ADD">
        <w:rPr>
          <w:rFonts w:ascii="Garamond" w:hAnsi="Garamond"/>
          <w:iCs/>
          <w:sz w:val="24"/>
          <w:szCs w:val="24"/>
          <w:lang w:val="pt-PT"/>
        </w:rPr>
        <w:t xml:space="preserve"> </w:t>
      </w:r>
      <w:r w:rsidR="00E136F4">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00E136F4" w:rsidRPr="00B64ADD">
        <w:rPr>
          <w:rFonts w:ascii="Garamond" w:hAnsi="Garamond"/>
          <w:iCs/>
          <w:sz w:val="24"/>
          <w:szCs w:val="24"/>
          <w:lang w:val="pt-PT"/>
        </w:rPr>
        <w:t xml:space="preserve"> </w:t>
      </w:r>
      <w:r w:rsidR="00E136F4">
        <w:rPr>
          <w:rFonts w:ascii="Garamond" w:hAnsi="Garamond"/>
          <w:iCs/>
          <w:sz w:val="24"/>
          <w:szCs w:val="24"/>
          <w:lang w:val="pt-PT"/>
        </w:rPr>
        <w:t xml:space="preserve">em 2022 </w:t>
      </w:r>
      <w:r w:rsidR="00E136F4" w:rsidRPr="00E136F4">
        <w:rPr>
          <w:rFonts w:ascii="Garamond" w:hAnsi="Garamond"/>
          <w:iCs/>
          <w:sz w:val="24"/>
          <w:szCs w:val="24"/>
          <w:lang w:val="pt-PT"/>
        </w:rPr>
        <w:t>são todos negativos ou muito próximos de zero.</w:t>
      </w:r>
    </w:p>
    <w:p w14:paraId="2248CD61" w14:textId="5B7150C7" w:rsidR="00E136F4" w:rsidRDefault="00E136F4" w:rsidP="00642608">
      <w:pPr>
        <w:spacing w:line="360" w:lineRule="auto"/>
        <w:jc w:val="both"/>
        <w:rPr>
          <w:rFonts w:ascii="Garamond" w:hAnsi="Garamond"/>
          <w:iCs/>
          <w:sz w:val="24"/>
          <w:szCs w:val="24"/>
          <w:lang w:val="pt-PT"/>
        </w:rPr>
      </w:pPr>
      <w:r w:rsidRPr="00E136F4">
        <w:rPr>
          <w:rFonts w:ascii="Garamond" w:hAnsi="Garamond"/>
          <w:iCs/>
          <w:sz w:val="24"/>
          <w:szCs w:val="24"/>
          <w:lang w:val="pt-PT"/>
        </w:rPr>
        <w:lastRenderedPageBreak/>
        <w:t>Em 2020, a média de</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Pr="00E136F4">
        <w:rPr>
          <w:rFonts w:ascii="Garamond" w:hAnsi="Garamond"/>
          <w:iCs/>
          <w:sz w:val="24"/>
          <w:szCs w:val="24"/>
          <w:lang w:val="pt-PT"/>
        </w:rPr>
        <w:t xml:space="preserve"> </w:t>
      </w:r>
      <w:r>
        <w:rPr>
          <w:rFonts w:ascii="Garamond" w:hAnsi="Garamond"/>
          <w:iCs/>
          <w:sz w:val="24"/>
          <w:szCs w:val="24"/>
          <w:lang w:val="pt-PT"/>
        </w:rPr>
        <w:t xml:space="preserve">é </w:t>
      </w:r>
      <w:r w:rsidRPr="00E136F4">
        <w:rPr>
          <w:rFonts w:ascii="Garamond" w:hAnsi="Garamond"/>
          <w:iCs/>
          <w:sz w:val="24"/>
          <w:szCs w:val="24"/>
          <w:lang w:val="pt-PT"/>
        </w:rPr>
        <w:t>de -0,0053622 e a mediana de -0,0085275, enquanto a média de</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2019</m:t>
            </m:r>
          </m:sub>
        </m:sSub>
      </m:oMath>
      <w:r w:rsidRPr="00E136F4">
        <w:rPr>
          <w:rFonts w:ascii="Garamond" w:hAnsi="Garamond"/>
          <w:iCs/>
          <w:sz w:val="24"/>
          <w:szCs w:val="24"/>
          <w:lang w:val="pt-PT"/>
        </w:rPr>
        <w:t xml:space="preserve"> é de 0,0181811 e a mediana de -0,0026905. </w:t>
      </w:r>
      <w:r w:rsidR="00F861FE" w:rsidRPr="00F861FE">
        <w:rPr>
          <w:rFonts w:ascii="Garamond" w:hAnsi="Garamond"/>
          <w:iCs/>
          <w:sz w:val="24"/>
          <w:szCs w:val="24"/>
          <w:lang w:val="pt-PT"/>
        </w:rPr>
        <w:t>Em 2020, a variação do investimento é negativa, enquanto em 2019 é positiva, indicando uma redução significativa no investimento de 2019 para 2020.</w:t>
      </w:r>
    </w:p>
    <w:p w14:paraId="39193431" w14:textId="24F39659" w:rsidR="00E136F4" w:rsidRDefault="00E136F4" w:rsidP="00642608">
      <w:pPr>
        <w:spacing w:line="360" w:lineRule="auto"/>
        <w:jc w:val="both"/>
        <w:rPr>
          <w:rFonts w:ascii="Garamond" w:hAnsi="Garamond"/>
          <w:iCs/>
          <w:sz w:val="24"/>
          <w:szCs w:val="24"/>
          <w:lang w:val="pt-PT"/>
        </w:rPr>
      </w:pPr>
      <w:r w:rsidRPr="00E136F4">
        <w:rPr>
          <w:rFonts w:ascii="Garamond" w:hAnsi="Garamond"/>
          <w:iCs/>
          <w:sz w:val="24"/>
          <w:szCs w:val="24"/>
          <w:lang w:val="pt-PT"/>
        </w:rPr>
        <w:t>Em 2021, a média de</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Pr="00E136F4">
        <w:rPr>
          <w:rFonts w:ascii="Garamond" w:hAnsi="Garamond"/>
          <w:iCs/>
          <w:sz w:val="24"/>
          <w:szCs w:val="24"/>
          <w:lang w:val="pt-PT"/>
        </w:rPr>
        <w:t xml:space="preserve"> é de -0,0080849 e a mediana de -0,0083855, enquanto a média de</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2020</m:t>
            </m:r>
          </m:sub>
        </m:sSub>
      </m:oMath>
      <w:r w:rsidRPr="00E136F4">
        <w:rPr>
          <w:rFonts w:ascii="Garamond" w:hAnsi="Garamond"/>
          <w:iCs/>
          <w:sz w:val="24"/>
          <w:szCs w:val="24"/>
          <w:lang w:val="pt-PT"/>
        </w:rPr>
        <w:t xml:space="preserve"> é de -0,0069816 e a mediana de -0,0079072.</w:t>
      </w:r>
      <w:r>
        <w:rPr>
          <w:rFonts w:ascii="Garamond" w:hAnsi="Garamond"/>
          <w:iCs/>
          <w:sz w:val="24"/>
          <w:szCs w:val="24"/>
          <w:lang w:val="pt-PT"/>
        </w:rPr>
        <w:t xml:space="preserve"> Em 2022 a média de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2022</m:t>
            </m:r>
          </m:sub>
        </m:sSub>
      </m:oMath>
      <w:r w:rsidRPr="00E136F4">
        <w:rPr>
          <w:rFonts w:ascii="Garamond" w:hAnsi="Garamond"/>
          <w:iCs/>
          <w:sz w:val="24"/>
          <w:szCs w:val="24"/>
          <w:lang w:val="pt-PT"/>
        </w:rPr>
        <w:t xml:space="preserve"> é de -0,0058821 e a mediana de -0,0068304, enquanto a média de</w:t>
      </w:r>
      <w:r>
        <w:rPr>
          <w:rFonts w:ascii="Garamond" w:hAnsi="Garamond"/>
          <w:iCs/>
          <w:sz w:val="24"/>
          <w:szCs w:val="24"/>
          <w:lang w:val="pt-PT"/>
        </w:rPr>
        <w:t xml:space="preserv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2021</m:t>
            </m:r>
          </m:sub>
        </m:sSub>
      </m:oMath>
      <w:r w:rsidRPr="00E136F4">
        <w:rPr>
          <w:rFonts w:ascii="Garamond" w:hAnsi="Garamond"/>
          <w:iCs/>
          <w:sz w:val="24"/>
          <w:szCs w:val="24"/>
          <w:lang w:val="pt-PT"/>
        </w:rPr>
        <w:t xml:space="preserve">é de -0,0096654 e a mediana de -0,0078302. </w:t>
      </w:r>
      <w:r w:rsidR="00F861FE" w:rsidRPr="00F861FE">
        <w:rPr>
          <w:rFonts w:ascii="Garamond" w:hAnsi="Garamond"/>
          <w:iCs/>
          <w:sz w:val="24"/>
          <w:szCs w:val="24"/>
          <w:lang w:val="pt-PT"/>
        </w:rPr>
        <w:t>Em 2021, a variação do investimento é mais negativa que em 2020, sugerindo uma ligeira queda no investimento.</w:t>
      </w:r>
      <w:r w:rsidR="00F861FE">
        <w:rPr>
          <w:rFonts w:ascii="Garamond" w:hAnsi="Garamond"/>
          <w:iCs/>
          <w:sz w:val="24"/>
          <w:szCs w:val="24"/>
          <w:lang w:val="pt-PT"/>
        </w:rPr>
        <w:t xml:space="preserve"> </w:t>
      </w:r>
      <w:r w:rsidR="00F861FE" w:rsidRPr="00F861FE">
        <w:rPr>
          <w:rFonts w:ascii="Garamond" w:hAnsi="Garamond"/>
          <w:iCs/>
          <w:sz w:val="24"/>
          <w:szCs w:val="24"/>
          <w:lang w:val="pt-PT"/>
        </w:rPr>
        <w:t xml:space="preserve">Em 2022, a variação do investimento é menos negativa que em 2021, indicando uma recuperação </w:t>
      </w:r>
      <w:r w:rsidR="001B667A">
        <w:rPr>
          <w:rFonts w:ascii="Garamond" w:hAnsi="Garamond"/>
          <w:iCs/>
          <w:sz w:val="24"/>
          <w:szCs w:val="24"/>
          <w:lang w:val="pt-PT"/>
        </w:rPr>
        <w:t>d</w:t>
      </w:r>
      <w:r w:rsidR="00F861FE" w:rsidRPr="00F861FE">
        <w:rPr>
          <w:rFonts w:ascii="Garamond" w:hAnsi="Garamond"/>
          <w:iCs/>
          <w:sz w:val="24"/>
          <w:szCs w:val="24"/>
          <w:lang w:val="pt-PT"/>
        </w:rPr>
        <w:t>o investimento.</w:t>
      </w:r>
      <w:r w:rsidR="00F861FE">
        <w:rPr>
          <w:rFonts w:ascii="Garamond" w:hAnsi="Garamond"/>
          <w:iCs/>
          <w:sz w:val="24"/>
          <w:szCs w:val="24"/>
          <w:lang w:val="pt-PT"/>
        </w:rPr>
        <w:t xml:space="preserve"> </w:t>
      </w:r>
      <w:r w:rsidR="00F861FE" w:rsidRPr="00F861FE">
        <w:rPr>
          <w:rFonts w:ascii="Garamond" w:hAnsi="Garamond"/>
          <w:iCs/>
          <w:sz w:val="24"/>
          <w:szCs w:val="24"/>
          <w:lang w:val="pt-PT"/>
        </w:rPr>
        <w:t>Es</w:t>
      </w:r>
      <w:r w:rsidR="00F861FE">
        <w:rPr>
          <w:rFonts w:ascii="Garamond" w:hAnsi="Garamond"/>
          <w:iCs/>
          <w:sz w:val="24"/>
          <w:szCs w:val="24"/>
          <w:lang w:val="pt-PT"/>
        </w:rPr>
        <w:t>tes</w:t>
      </w:r>
      <w:r w:rsidR="00F861FE" w:rsidRPr="00F861FE">
        <w:rPr>
          <w:rFonts w:ascii="Garamond" w:hAnsi="Garamond"/>
          <w:iCs/>
          <w:sz w:val="24"/>
          <w:szCs w:val="24"/>
          <w:lang w:val="pt-PT"/>
        </w:rPr>
        <w:t xml:space="preserve"> dados indicam que as empresas que não aderiram ao CFEI II mantiveram uma variação do investimento negativa ao longo dos anos, sem grandes flutuações, </w:t>
      </w:r>
      <w:r w:rsidR="007900F1">
        <w:rPr>
          <w:rFonts w:ascii="Garamond" w:hAnsi="Garamond"/>
          <w:iCs/>
          <w:sz w:val="24"/>
          <w:szCs w:val="24"/>
          <w:lang w:val="pt-PT"/>
        </w:rPr>
        <w:t xml:space="preserve">com uma recuperação em 2022, </w:t>
      </w:r>
      <w:r w:rsidR="00F861FE" w:rsidRPr="00F861FE">
        <w:rPr>
          <w:rFonts w:ascii="Garamond" w:hAnsi="Garamond"/>
          <w:iCs/>
          <w:sz w:val="24"/>
          <w:szCs w:val="24"/>
          <w:lang w:val="pt-PT"/>
        </w:rPr>
        <w:t>ao contrário da subamostra principal.</w:t>
      </w:r>
    </w:p>
    <w:p w14:paraId="323681D6" w14:textId="460ADDD1" w:rsidR="00F861FE" w:rsidRDefault="00F861FE" w:rsidP="00642608">
      <w:pPr>
        <w:spacing w:line="360" w:lineRule="auto"/>
        <w:jc w:val="both"/>
        <w:rPr>
          <w:rFonts w:ascii="Garamond" w:hAnsi="Garamond"/>
          <w:iCs/>
          <w:sz w:val="24"/>
          <w:szCs w:val="24"/>
          <w:lang w:val="pt-PT"/>
        </w:rPr>
      </w:pPr>
      <w:r w:rsidRPr="001B667A">
        <w:rPr>
          <w:rFonts w:ascii="Garamond" w:hAnsi="Garamond"/>
          <w:iCs/>
          <w:sz w:val="24"/>
          <w:szCs w:val="24"/>
          <w:lang w:val="pt-PT"/>
        </w:rPr>
        <w:t xml:space="preserve">A subamostra principal, que inclui as empresas que </w:t>
      </w:r>
      <w:r w:rsidR="00D67C5B">
        <w:rPr>
          <w:rFonts w:ascii="Garamond" w:hAnsi="Garamond"/>
          <w:iCs/>
          <w:sz w:val="24"/>
          <w:szCs w:val="24"/>
          <w:lang w:val="pt-PT"/>
        </w:rPr>
        <w:t>usufruíram</w:t>
      </w:r>
      <w:r w:rsidR="003F44F4" w:rsidRPr="001B667A">
        <w:rPr>
          <w:rFonts w:ascii="Garamond" w:hAnsi="Garamond"/>
          <w:iCs/>
          <w:sz w:val="24"/>
          <w:szCs w:val="24"/>
          <w:lang w:val="pt-PT"/>
        </w:rPr>
        <w:t xml:space="preserve"> </w:t>
      </w:r>
      <w:r w:rsidR="003F44F4">
        <w:rPr>
          <w:rFonts w:ascii="Garamond" w:hAnsi="Garamond"/>
          <w:iCs/>
          <w:sz w:val="24"/>
          <w:szCs w:val="24"/>
          <w:lang w:val="pt-PT"/>
        </w:rPr>
        <w:t>d</w:t>
      </w:r>
      <w:r w:rsidR="003F44F4" w:rsidRPr="001B667A">
        <w:rPr>
          <w:rFonts w:ascii="Garamond" w:hAnsi="Garamond"/>
          <w:iCs/>
          <w:sz w:val="24"/>
          <w:szCs w:val="24"/>
          <w:lang w:val="pt-PT"/>
        </w:rPr>
        <w:t xml:space="preserve">o </w:t>
      </w:r>
      <w:r w:rsidRPr="001B667A">
        <w:rPr>
          <w:rFonts w:ascii="Garamond" w:hAnsi="Garamond"/>
          <w:iCs/>
          <w:sz w:val="24"/>
          <w:szCs w:val="24"/>
          <w:lang w:val="pt-PT"/>
        </w:rPr>
        <w:t xml:space="preserve">benefício fiscal CFEI II, apresenta uma variação do investimento que se torna significativamente mais negativa em 2022, após uma ligeira recuperação em 2021 em relação a 2020. Isso sugere que as empresas podem ter antecipado investimentos para aproveitar o incentivo fiscal durante 2020 e 2021, resultando </w:t>
      </w:r>
      <w:r w:rsidR="001B667A" w:rsidRPr="001B667A">
        <w:rPr>
          <w:rFonts w:ascii="Garamond" w:hAnsi="Garamond"/>
          <w:iCs/>
          <w:sz w:val="24"/>
          <w:szCs w:val="24"/>
          <w:lang w:val="pt-PT"/>
        </w:rPr>
        <w:t>numa</w:t>
      </w:r>
      <w:r w:rsidRPr="001B667A">
        <w:rPr>
          <w:rFonts w:ascii="Garamond" w:hAnsi="Garamond"/>
          <w:iCs/>
          <w:sz w:val="24"/>
          <w:szCs w:val="24"/>
          <w:lang w:val="pt-PT"/>
        </w:rPr>
        <w:t xml:space="preserve"> diminuição mais acentuada no investimento em 2022.</w:t>
      </w:r>
    </w:p>
    <w:p w14:paraId="4E86D803" w14:textId="5AC9DCF5" w:rsidR="00F861FE" w:rsidRDefault="00F861FE" w:rsidP="00642608">
      <w:pPr>
        <w:spacing w:line="360" w:lineRule="auto"/>
        <w:jc w:val="both"/>
        <w:rPr>
          <w:rFonts w:ascii="Garamond" w:hAnsi="Garamond"/>
          <w:iCs/>
          <w:sz w:val="24"/>
          <w:szCs w:val="24"/>
          <w:lang w:val="pt-PT"/>
        </w:rPr>
      </w:pPr>
      <w:r w:rsidRPr="00F861FE">
        <w:rPr>
          <w:rFonts w:ascii="Garamond" w:hAnsi="Garamond"/>
          <w:iCs/>
          <w:sz w:val="24"/>
          <w:szCs w:val="24"/>
          <w:lang w:val="pt-PT"/>
        </w:rPr>
        <w:t xml:space="preserve">Por outro lado, a subamostra de controlo, que inclui empresas que não </w:t>
      </w:r>
      <w:r w:rsidR="001B667A">
        <w:rPr>
          <w:rFonts w:ascii="Garamond" w:hAnsi="Garamond"/>
          <w:iCs/>
          <w:sz w:val="24"/>
          <w:szCs w:val="24"/>
          <w:lang w:val="pt-PT"/>
        </w:rPr>
        <w:t>beneficiaram do</w:t>
      </w:r>
      <w:r w:rsidRPr="00F861FE">
        <w:rPr>
          <w:rFonts w:ascii="Garamond" w:hAnsi="Garamond"/>
          <w:iCs/>
          <w:sz w:val="24"/>
          <w:szCs w:val="24"/>
          <w:lang w:val="pt-PT"/>
        </w:rPr>
        <w:t xml:space="preserve"> CFEI II, </w:t>
      </w:r>
      <w:r>
        <w:rPr>
          <w:rFonts w:ascii="Garamond" w:hAnsi="Garamond"/>
          <w:iCs/>
          <w:sz w:val="24"/>
          <w:szCs w:val="24"/>
          <w:lang w:val="pt-PT"/>
        </w:rPr>
        <w:t>de</w:t>
      </w:r>
      <w:r w:rsidRPr="00F861FE">
        <w:rPr>
          <w:rFonts w:ascii="Garamond" w:hAnsi="Garamond"/>
          <w:iCs/>
          <w:sz w:val="24"/>
          <w:szCs w:val="24"/>
          <w:lang w:val="pt-PT"/>
        </w:rPr>
        <w:t>mo</w:t>
      </w:r>
      <w:r>
        <w:rPr>
          <w:rFonts w:ascii="Garamond" w:hAnsi="Garamond"/>
          <w:iCs/>
          <w:sz w:val="24"/>
          <w:szCs w:val="24"/>
          <w:lang w:val="pt-PT"/>
        </w:rPr>
        <w:t>n</w:t>
      </w:r>
      <w:r w:rsidRPr="00F861FE">
        <w:rPr>
          <w:rFonts w:ascii="Garamond" w:hAnsi="Garamond"/>
          <w:iCs/>
          <w:sz w:val="24"/>
          <w:szCs w:val="24"/>
          <w:lang w:val="pt-PT"/>
        </w:rPr>
        <w:t xml:space="preserve">stra um padrão mais estável de variação negativa no investimento ao longo dos anos, com uma ligeira recuperação em 2022. Isso indica que, </w:t>
      </w:r>
      <w:r>
        <w:rPr>
          <w:rFonts w:ascii="Garamond" w:hAnsi="Garamond"/>
          <w:iCs/>
          <w:sz w:val="24"/>
          <w:szCs w:val="24"/>
          <w:lang w:val="pt-PT"/>
        </w:rPr>
        <w:t>na ausência do</w:t>
      </w:r>
      <w:r w:rsidRPr="00F861FE">
        <w:rPr>
          <w:rFonts w:ascii="Garamond" w:hAnsi="Garamond"/>
          <w:iCs/>
          <w:sz w:val="24"/>
          <w:szCs w:val="24"/>
          <w:lang w:val="pt-PT"/>
        </w:rPr>
        <w:t xml:space="preserve"> incentivo fiscal, as empresas mantiveram um comportamento de investimento mais consistente, sem grandes flutuações.</w:t>
      </w:r>
    </w:p>
    <w:p w14:paraId="0E998D2D" w14:textId="496218EA" w:rsidR="002C3AEA" w:rsidRDefault="00A84A03" w:rsidP="00642608">
      <w:pPr>
        <w:spacing w:line="360" w:lineRule="auto"/>
        <w:jc w:val="both"/>
        <w:rPr>
          <w:rFonts w:ascii="Garamond" w:hAnsi="Garamond"/>
          <w:iCs/>
          <w:sz w:val="24"/>
          <w:szCs w:val="24"/>
          <w:lang w:val="pt-PT"/>
        </w:rPr>
      </w:pPr>
      <w:r>
        <w:rPr>
          <w:rFonts w:ascii="Garamond" w:hAnsi="Garamond"/>
          <w:iCs/>
          <w:sz w:val="24"/>
          <w:szCs w:val="24"/>
          <w:lang w:val="pt-PT"/>
        </w:rPr>
        <w:t xml:space="preserve">Adicionalmente, efetuou-se um teste de igualdade das médias entre a variável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i,t-1</m:t>
            </m:r>
          </m:sub>
        </m:sSub>
      </m:oMath>
      <w:r w:rsidR="001823C2" w:rsidRPr="001823C2">
        <w:rPr>
          <w:rFonts w:ascii="Garamond" w:hAnsi="Garamond"/>
          <w:iCs/>
          <w:sz w:val="24"/>
          <w:szCs w:val="24"/>
          <w:lang w:val="pt-PT"/>
        </w:rPr>
        <w:t xml:space="preserve"> </w:t>
      </w:r>
      <w:r w:rsidR="001823C2">
        <w:rPr>
          <w:rFonts w:ascii="Garamond" w:hAnsi="Garamond"/>
          <w:iCs/>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i/>
                <w:iCs/>
                <w:sz w:val="24"/>
                <w:szCs w:val="24"/>
              </w:rPr>
            </m:ctrlPr>
          </m:sSubPr>
          <m:e>
            <m:r>
              <w:rPr>
                <w:rFonts w:ascii="Cambria Math" w:hAnsi="Cambria Math"/>
                <w:sz w:val="24"/>
                <w:szCs w:val="24"/>
                <w:lang w:val="pt-PT"/>
              </w:rPr>
              <m:t>Inv</m:t>
            </m:r>
          </m:e>
          <m:sub>
            <m:r>
              <m:rPr>
                <m:sty m:val="p"/>
              </m:rPr>
              <w:rPr>
                <w:rFonts w:ascii="Cambria Math" w:hAnsi="Cambria Math"/>
                <w:sz w:val="24"/>
                <w:szCs w:val="24"/>
                <w:lang w:val="pt-PT"/>
              </w:rPr>
              <m:t>it</m:t>
            </m:r>
          </m:sub>
        </m:sSub>
      </m:oMath>
      <w:r w:rsidR="001823C2" w:rsidRPr="001823C2">
        <w:rPr>
          <w:rFonts w:ascii="Garamond" w:hAnsi="Garamond"/>
          <w:iCs/>
          <w:sz w:val="24"/>
          <w:szCs w:val="24"/>
          <w:lang w:val="pt-PT"/>
        </w:rPr>
        <w:t xml:space="preserve"> </w:t>
      </w:r>
      <w:r w:rsidR="001823C2">
        <w:rPr>
          <w:rFonts w:ascii="Garamond" w:hAnsi="Garamond"/>
          <w:iCs/>
          <w:sz w:val="24"/>
          <w:szCs w:val="24"/>
          <w:lang w:val="pt-PT"/>
        </w:rPr>
        <w:t>para os três anos para as duas subamostras</w:t>
      </w:r>
      <w:r w:rsidR="00890F48">
        <w:rPr>
          <w:rFonts w:ascii="Garamond" w:hAnsi="Garamond"/>
          <w:iCs/>
          <w:sz w:val="24"/>
          <w:szCs w:val="24"/>
          <w:lang w:val="pt-PT"/>
        </w:rPr>
        <w:t xml:space="preserve">. </w:t>
      </w:r>
      <w:r w:rsidR="00890F48" w:rsidRPr="00890F48">
        <w:rPr>
          <w:rFonts w:ascii="Garamond" w:hAnsi="Garamond"/>
          <w:iCs/>
          <w:sz w:val="24"/>
          <w:szCs w:val="24"/>
          <w:lang w:val="pt-PT"/>
        </w:rPr>
        <w:t>A análise dos testes t de igualdade das médias entre os diferentes anos para a subamostra principal (empresas que beneficiaram do CFEI II) e a subamostra de controlo (empresas que não beneficiaram do CFEI II) revela comportamentos distintos no que diz respeito à variação do investimento ao longo do período analisado (2020-2022).</w:t>
      </w:r>
      <w:r w:rsidR="00890F48">
        <w:rPr>
          <w:rFonts w:ascii="Garamond" w:hAnsi="Garamond"/>
          <w:iCs/>
          <w:sz w:val="24"/>
          <w:szCs w:val="24"/>
          <w:lang w:val="pt-PT"/>
        </w:rPr>
        <w:t xml:space="preserve"> </w:t>
      </w:r>
      <w:r w:rsidR="00890F48" w:rsidRPr="00890F48">
        <w:rPr>
          <w:rFonts w:ascii="Garamond" w:hAnsi="Garamond"/>
          <w:iCs/>
          <w:sz w:val="24"/>
          <w:szCs w:val="24"/>
          <w:lang w:val="pt-PT"/>
        </w:rPr>
        <w:t xml:space="preserve">Os testes t de igualdade das médias indicam que tanto as empresas que beneficiaram do CFEI II quanto as que não beneficiaram reduziram seus investimentos durante o período analisado. No entanto, a subamostra principal </w:t>
      </w:r>
      <w:r w:rsidR="00890F48">
        <w:rPr>
          <w:rFonts w:ascii="Garamond" w:hAnsi="Garamond"/>
          <w:iCs/>
          <w:sz w:val="24"/>
          <w:szCs w:val="24"/>
          <w:lang w:val="pt-PT"/>
        </w:rPr>
        <w:t>de</w:t>
      </w:r>
      <w:r w:rsidR="00890F48" w:rsidRPr="00890F48">
        <w:rPr>
          <w:rFonts w:ascii="Garamond" w:hAnsi="Garamond"/>
          <w:iCs/>
          <w:sz w:val="24"/>
          <w:szCs w:val="24"/>
          <w:lang w:val="pt-PT"/>
        </w:rPr>
        <w:t xml:space="preserve">mostrou </w:t>
      </w:r>
      <w:r w:rsidR="00890F48" w:rsidRPr="00890F48">
        <w:rPr>
          <w:rFonts w:ascii="Garamond" w:hAnsi="Garamond"/>
          <w:iCs/>
          <w:sz w:val="24"/>
          <w:szCs w:val="24"/>
          <w:lang w:val="pt-PT"/>
        </w:rPr>
        <w:lastRenderedPageBreak/>
        <w:t>uma tendência de desinvestimento mais acentuada em 2022, possivelmente devido à antecipação dos investimentos nos anos de 2020 e 2021, quando o incentivo fiscal estava em vigor</w:t>
      </w:r>
      <w:r w:rsidR="00890F48">
        <w:rPr>
          <w:rFonts w:ascii="Garamond" w:hAnsi="Garamond"/>
          <w:iCs/>
          <w:sz w:val="24"/>
          <w:szCs w:val="24"/>
          <w:lang w:val="pt-PT"/>
        </w:rPr>
        <w:t>, o que corrobora a hipótese de investigação, ou seja, é consistente com a intuição de que o CFEI II levou as empresas a antecipar</w:t>
      </w:r>
      <w:r w:rsidR="001B667A">
        <w:rPr>
          <w:rFonts w:ascii="Garamond" w:hAnsi="Garamond"/>
          <w:iCs/>
          <w:sz w:val="24"/>
          <w:szCs w:val="24"/>
          <w:lang w:val="pt-PT"/>
        </w:rPr>
        <w:t xml:space="preserve"> o</w:t>
      </w:r>
      <w:r w:rsidR="00890F48">
        <w:rPr>
          <w:rFonts w:ascii="Garamond" w:hAnsi="Garamond"/>
          <w:iCs/>
          <w:sz w:val="24"/>
          <w:szCs w:val="24"/>
          <w:lang w:val="pt-PT"/>
        </w:rPr>
        <w:t xml:space="preserve"> investimento com o intuito de beneficiar</w:t>
      </w:r>
      <w:r w:rsidR="00B47C91">
        <w:rPr>
          <w:rFonts w:ascii="Garamond" w:hAnsi="Garamond"/>
          <w:iCs/>
          <w:sz w:val="24"/>
          <w:szCs w:val="24"/>
          <w:lang w:val="pt-PT"/>
        </w:rPr>
        <w:t>em</w:t>
      </w:r>
      <w:r w:rsidR="00890F48">
        <w:rPr>
          <w:rFonts w:ascii="Garamond" w:hAnsi="Garamond"/>
          <w:iCs/>
          <w:sz w:val="24"/>
          <w:szCs w:val="24"/>
          <w:lang w:val="pt-PT"/>
        </w:rPr>
        <w:t xml:space="preserve"> do incentivo fiscal.</w:t>
      </w:r>
      <w:r w:rsidR="00890F48" w:rsidRPr="00890F48">
        <w:rPr>
          <w:rFonts w:ascii="Garamond" w:hAnsi="Garamond"/>
          <w:iCs/>
          <w:sz w:val="24"/>
          <w:szCs w:val="24"/>
          <w:lang w:val="pt-PT"/>
        </w:rPr>
        <w:t xml:space="preserve"> A subamostra de controlo, por outro lado, </w:t>
      </w:r>
      <w:r w:rsidR="00890F48">
        <w:rPr>
          <w:rFonts w:ascii="Garamond" w:hAnsi="Garamond"/>
          <w:iCs/>
          <w:sz w:val="24"/>
          <w:szCs w:val="24"/>
          <w:lang w:val="pt-PT"/>
        </w:rPr>
        <w:t>de</w:t>
      </w:r>
      <w:r w:rsidR="00890F48" w:rsidRPr="00890F48">
        <w:rPr>
          <w:rFonts w:ascii="Garamond" w:hAnsi="Garamond"/>
          <w:iCs/>
          <w:sz w:val="24"/>
          <w:szCs w:val="24"/>
          <w:lang w:val="pt-PT"/>
        </w:rPr>
        <w:t xml:space="preserve">mostrou uma recuperação parcial no investimento em 2022. Estes resultados sugerem que, </w:t>
      </w:r>
      <w:r w:rsidR="001B667A">
        <w:rPr>
          <w:rFonts w:ascii="Garamond" w:hAnsi="Garamond"/>
          <w:iCs/>
          <w:sz w:val="24"/>
          <w:szCs w:val="24"/>
          <w:lang w:val="pt-PT"/>
        </w:rPr>
        <w:t xml:space="preserve">em relação às empresas que não beneficiaram do CFEI II, </w:t>
      </w:r>
      <w:r w:rsidR="00890F48" w:rsidRPr="00890F48">
        <w:rPr>
          <w:rFonts w:ascii="Garamond" w:hAnsi="Garamond"/>
          <w:iCs/>
          <w:sz w:val="24"/>
          <w:szCs w:val="24"/>
          <w:lang w:val="pt-PT"/>
        </w:rPr>
        <w:t>as condições econ</w:t>
      </w:r>
      <w:r w:rsidR="00890F48">
        <w:rPr>
          <w:rFonts w:ascii="Garamond" w:hAnsi="Garamond"/>
          <w:iCs/>
          <w:sz w:val="24"/>
          <w:szCs w:val="24"/>
          <w:lang w:val="pt-PT"/>
        </w:rPr>
        <w:t>ó</w:t>
      </w:r>
      <w:r w:rsidR="00890F48" w:rsidRPr="00890F48">
        <w:rPr>
          <w:rFonts w:ascii="Garamond" w:hAnsi="Garamond"/>
          <w:iCs/>
          <w:sz w:val="24"/>
          <w:szCs w:val="24"/>
          <w:lang w:val="pt-PT"/>
        </w:rPr>
        <w:t xml:space="preserve">micas e financeiras prevaleceram, influenciando o comportamento de </w:t>
      </w:r>
      <w:r w:rsidR="001B667A">
        <w:rPr>
          <w:rFonts w:ascii="Garamond" w:hAnsi="Garamond"/>
          <w:iCs/>
          <w:sz w:val="24"/>
          <w:szCs w:val="24"/>
          <w:lang w:val="pt-PT"/>
        </w:rPr>
        <w:t>des</w:t>
      </w:r>
      <w:r w:rsidR="00890F48" w:rsidRPr="00890F48">
        <w:rPr>
          <w:rFonts w:ascii="Garamond" w:hAnsi="Garamond"/>
          <w:iCs/>
          <w:sz w:val="24"/>
          <w:szCs w:val="24"/>
          <w:lang w:val="pt-PT"/>
        </w:rPr>
        <w:t>investimento das empresas</w:t>
      </w:r>
      <w:r w:rsidR="001B667A">
        <w:rPr>
          <w:rFonts w:ascii="Garamond" w:hAnsi="Garamond"/>
          <w:iCs/>
          <w:sz w:val="24"/>
          <w:szCs w:val="24"/>
          <w:lang w:val="pt-PT"/>
        </w:rPr>
        <w:t xml:space="preserve"> de forma geral</w:t>
      </w:r>
      <w:r w:rsidR="00890F48" w:rsidRPr="00890F48">
        <w:rPr>
          <w:rFonts w:ascii="Garamond" w:hAnsi="Garamond"/>
          <w:iCs/>
          <w:sz w:val="24"/>
          <w:szCs w:val="24"/>
          <w:lang w:val="pt-PT"/>
        </w:rPr>
        <w:t>.</w:t>
      </w:r>
    </w:p>
    <w:p w14:paraId="66C36098" w14:textId="77777777" w:rsidR="00382F30" w:rsidRPr="001823C2" w:rsidRDefault="00382F30" w:rsidP="00642608">
      <w:pPr>
        <w:spacing w:line="360" w:lineRule="auto"/>
        <w:jc w:val="both"/>
        <w:rPr>
          <w:rFonts w:ascii="Garamond" w:hAnsi="Garamond"/>
          <w:iCs/>
          <w:sz w:val="24"/>
          <w:szCs w:val="24"/>
          <w:lang w:val="pt-PT"/>
        </w:rPr>
      </w:pPr>
    </w:p>
    <w:p w14:paraId="32255A90" w14:textId="26EB0175" w:rsidR="00DA4B97" w:rsidRPr="00DA4B97" w:rsidRDefault="00DA4B97" w:rsidP="00642608">
      <w:pPr>
        <w:pStyle w:val="ListParagraph"/>
        <w:numPr>
          <w:ilvl w:val="0"/>
          <w:numId w:val="10"/>
        </w:numPr>
        <w:spacing w:line="360" w:lineRule="auto"/>
        <w:jc w:val="both"/>
        <w:rPr>
          <w:rFonts w:ascii="Garamond" w:hAnsi="Garamond"/>
          <w:i/>
          <w:iCs/>
          <w:sz w:val="24"/>
          <w:szCs w:val="24"/>
          <w:lang w:val="pt-PT"/>
        </w:rPr>
      </w:pPr>
      <w:r w:rsidRPr="00DA4B97">
        <w:rPr>
          <w:rFonts w:ascii="Garamond" w:hAnsi="Garamond"/>
          <w:i/>
          <w:iCs/>
          <w:sz w:val="24"/>
          <w:szCs w:val="24"/>
          <w:lang w:val="pt-PT"/>
        </w:rPr>
        <w:t>Estatísticas descritivas das restantes variáveis explicativas</w:t>
      </w:r>
    </w:p>
    <w:p w14:paraId="6E69E492" w14:textId="3E188E43" w:rsidR="00890F48" w:rsidRDefault="00414574" w:rsidP="00642608">
      <w:pPr>
        <w:spacing w:line="360" w:lineRule="auto"/>
        <w:jc w:val="both"/>
        <w:rPr>
          <w:rFonts w:ascii="Garamond" w:hAnsi="Garamond"/>
          <w:sz w:val="24"/>
          <w:szCs w:val="24"/>
          <w:lang w:val="pt-PT"/>
        </w:rPr>
      </w:pPr>
      <w:r>
        <w:rPr>
          <w:rFonts w:ascii="Garamond" w:hAnsi="Garamond"/>
          <w:sz w:val="24"/>
          <w:szCs w:val="24"/>
          <w:lang w:val="pt-PT"/>
        </w:rPr>
        <w:t xml:space="preserve">Na tabela seguinte apresentamos as estatísticas descritivas relativamente às restantes variáveis. </w:t>
      </w:r>
      <w:r w:rsidRPr="008C6DDC">
        <w:rPr>
          <w:rFonts w:ascii="Garamond" w:hAnsi="Garamond"/>
          <w:sz w:val="24"/>
          <w:szCs w:val="24"/>
          <w:lang w:val="pt-PT"/>
        </w:rPr>
        <w:t xml:space="preserve">As variáveis analisadas incluem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Pr="008C6DDC">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8C6DDC">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00D91BDE">
        <w:rPr>
          <w:rFonts w:ascii="Garamond" w:hAnsi="Garamond"/>
          <w:sz w:val="24"/>
          <w:szCs w:val="24"/>
          <w:lang w:val="pt-PT"/>
        </w:rPr>
        <w:t xml:space="preserve"> e</w:t>
      </w:r>
      <w:r>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D91BDE">
        <w:rPr>
          <w:rFonts w:ascii="Garamond" w:hAnsi="Garamond"/>
          <w:sz w:val="24"/>
          <w:szCs w:val="24"/>
          <w:lang w:val="pt-PT"/>
        </w:rPr>
        <w:t>:</w:t>
      </w:r>
    </w:p>
    <w:p w14:paraId="56FD099D" w14:textId="5408D2F1" w:rsidR="00D87F0B" w:rsidRPr="00D87F0B" w:rsidRDefault="00D87F0B" w:rsidP="00D87F0B">
      <w:pPr>
        <w:pStyle w:val="Caption"/>
        <w:keepNext/>
        <w:rPr>
          <w:rFonts w:ascii="Garamond" w:hAnsi="Garamond"/>
          <w:i w:val="0"/>
          <w:iCs w:val="0"/>
          <w:color w:val="auto"/>
          <w:lang w:val="pt-PT"/>
        </w:rPr>
      </w:pPr>
      <w:bookmarkStart w:id="42" w:name="_Toc176855915"/>
      <w:r w:rsidRPr="00D87F0B">
        <w:rPr>
          <w:rFonts w:ascii="Garamond" w:hAnsi="Garamond"/>
          <w:b/>
          <w:bCs/>
          <w:i w:val="0"/>
          <w:iCs w:val="0"/>
          <w:color w:val="auto"/>
          <w:lang w:val="pt-PT"/>
        </w:rPr>
        <w:t xml:space="preserve">Tabela </w:t>
      </w:r>
      <w:r w:rsidRPr="00D87F0B">
        <w:rPr>
          <w:rFonts w:ascii="Garamond" w:hAnsi="Garamond"/>
          <w:b/>
          <w:bCs/>
          <w:i w:val="0"/>
          <w:iCs w:val="0"/>
          <w:color w:val="auto"/>
        </w:rPr>
        <w:fldChar w:fldCharType="begin"/>
      </w:r>
      <w:r w:rsidRPr="00D87F0B">
        <w:rPr>
          <w:rFonts w:ascii="Garamond" w:hAnsi="Garamond"/>
          <w:b/>
          <w:bCs/>
          <w:i w:val="0"/>
          <w:iCs w:val="0"/>
          <w:color w:val="auto"/>
          <w:lang w:val="pt-PT"/>
        </w:rPr>
        <w:instrText xml:space="preserve"> SEQ Tabela \* ARABIC </w:instrText>
      </w:r>
      <w:r w:rsidRPr="00D87F0B">
        <w:rPr>
          <w:rFonts w:ascii="Garamond" w:hAnsi="Garamond"/>
          <w:b/>
          <w:bCs/>
          <w:i w:val="0"/>
          <w:iCs w:val="0"/>
          <w:color w:val="auto"/>
        </w:rPr>
        <w:fldChar w:fldCharType="separate"/>
      </w:r>
      <w:r w:rsidR="00C01B43">
        <w:rPr>
          <w:rFonts w:ascii="Garamond" w:hAnsi="Garamond"/>
          <w:b/>
          <w:bCs/>
          <w:i w:val="0"/>
          <w:iCs w:val="0"/>
          <w:noProof/>
          <w:color w:val="auto"/>
          <w:lang w:val="pt-PT"/>
        </w:rPr>
        <w:t>3</w:t>
      </w:r>
      <w:r w:rsidRPr="00D87F0B">
        <w:rPr>
          <w:rFonts w:ascii="Garamond" w:hAnsi="Garamond"/>
          <w:b/>
          <w:bCs/>
          <w:i w:val="0"/>
          <w:iCs w:val="0"/>
          <w:color w:val="auto"/>
        </w:rPr>
        <w:fldChar w:fldCharType="end"/>
      </w:r>
      <w:r w:rsidRPr="00D87F0B">
        <w:rPr>
          <w:rFonts w:ascii="Garamond" w:hAnsi="Garamond"/>
          <w:i w:val="0"/>
          <w:iCs w:val="0"/>
          <w:color w:val="auto"/>
          <w:lang w:val="pt-PT"/>
        </w:rPr>
        <w:t xml:space="preserve"> - Estatísticas descritivas para as restantes variáveis explicativas - Amostra global (2018 - 2022)</w:t>
      </w:r>
      <w:bookmarkEnd w:id="42"/>
    </w:p>
    <w:tbl>
      <w:tblPr>
        <w:tblStyle w:val="TableGrid"/>
        <w:tblW w:w="8544" w:type="dxa"/>
        <w:tblInd w:w="5" w:type="dxa"/>
        <w:tblLook w:val="04A0" w:firstRow="1" w:lastRow="0" w:firstColumn="1" w:lastColumn="0" w:noHBand="0" w:noVBand="1"/>
      </w:tblPr>
      <w:tblGrid>
        <w:gridCol w:w="1670"/>
        <w:gridCol w:w="1675"/>
        <w:gridCol w:w="1844"/>
        <w:gridCol w:w="1843"/>
        <w:gridCol w:w="1512"/>
      </w:tblGrid>
      <w:tr w:rsidR="00D91BDE" w:rsidRPr="005019FD" w14:paraId="6482EC5C" w14:textId="77777777" w:rsidTr="002E30B3">
        <w:trPr>
          <w:trHeight w:val="900"/>
        </w:trPr>
        <w:tc>
          <w:tcPr>
            <w:tcW w:w="1670" w:type="dxa"/>
            <w:tcBorders>
              <w:left w:val="nil"/>
            </w:tcBorders>
          </w:tcPr>
          <w:p w14:paraId="605E1B5D" w14:textId="77777777" w:rsidR="00D91BDE" w:rsidRPr="005019FD" w:rsidRDefault="00D91BDE" w:rsidP="003704CB">
            <w:pPr>
              <w:spacing w:after="160"/>
              <w:rPr>
                <w:rFonts w:ascii="Garamond" w:hAnsi="Garamond"/>
                <w:sz w:val="24"/>
                <w:szCs w:val="24"/>
                <w:lang w:val="pt-PT"/>
              </w:rPr>
            </w:pPr>
            <w:r w:rsidRPr="005019FD">
              <w:rPr>
                <w:rFonts w:ascii="Garamond" w:hAnsi="Garamond"/>
                <w:sz w:val="24"/>
                <w:szCs w:val="24"/>
                <w:lang w:val="pt-PT"/>
              </w:rPr>
              <w:t>Amostra Global</w:t>
            </w:r>
          </w:p>
        </w:tc>
        <w:tc>
          <w:tcPr>
            <w:tcW w:w="1675" w:type="dxa"/>
            <w:tcBorders>
              <w:bottom w:val="dashSmallGap" w:sz="12" w:space="0" w:color="auto"/>
            </w:tcBorders>
          </w:tcPr>
          <w:p w14:paraId="154CAE48" w14:textId="7D62F827" w:rsidR="00D91BDE" w:rsidRPr="005019FD" w:rsidRDefault="00000000" w:rsidP="003704CB">
            <w:pPr>
              <w:spacing w:after="160"/>
              <w:rPr>
                <w:rFonts w:ascii="Garamond" w:hAnsi="Garamond"/>
                <w:sz w:val="24"/>
                <w:szCs w:val="24"/>
                <w:lang w:val="pt-PT"/>
              </w:rPr>
            </w:pPr>
            <m:oMathPara>
              <m:oMath>
                <m:sSub>
                  <m:sSubPr>
                    <m:ctrlPr>
                      <w:rPr>
                        <w:rFonts w:ascii="Cambria Math" w:hAnsi="Cambria Math"/>
                        <w:sz w:val="24"/>
                        <w:szCs w:val="24"/>
                        <w:lang w:val="pt-PT"/>
                      </w:rPr>
                    </m:ctrlPr>
                  </m:sSubPr>
                  <m:e>
                    <m:r>
                      <m:rPr>
                        <m:sty m:val="bi"/>
                      </m:rPr>
                      <w:rPr>
                        <w:rFonts w:ascii="Cambria Math" w:hAnsi="Cambria Math"/>
                        <w:sz w:val="24"/>
                        <w:szCs w:val="24"/>
                        <w:lang w:val="pt-PT"/>
                      </w:rPr>
                      <m:t>MFL</m:t>
                    </m:r>
                  </m:e>
                  <m:sub>
                    <m:r>
                      <m:rPr>
                        <m:sty m:val="bi"/>
                      </m:rPr>
                      <w:rPr>
                        <w:rFonts w:ascii="Cambria Math" w:hAnsi="Cambria Math"/>
                        <w:sz w:val="24"/>
                        <w:szCs w:val="24"/>
                        <w:lang w:val="pt-PT"/>
                      </w:rPr>
                      <m:t>i,t</m:t>
                    </m:r>
                    <m:r>
                      <m:rPr>
                        <m:sty m:val="p"/>
                      </m:rPr>
                      <w:rPr>
                        <w:rFonts w:ascii="Cambria Math" w:hAnsi="Cambria Math"/>
                        <w:sz w:val="24"/>
                        <w:szCs w:val="24"/>
                        <w:lang w:val="pt-PT"/>
                      </w:rPr>
                      <m:t>-</m:t>
                    </m:r>
                    <m:r>
                      <m:rPr>
                        <m:sty m:val="b"/>
                      </m:rPr>
                      <w:rPr>
                        <w:rFonts w:ascii="Cambria Math" w:hAnsi="Cambria Math"/>
                        <w:sz w:val="24"/>
                        <w:szCs w:val="24"/>
                        <w:lang w:val="pt-PT"/>
                      </w:rPr>
                      <m:t>1</m:t>
                    </m:r>
                  </m:sub>
                </m:sSub>
              </m:oMath>
            </m:oMathPara>
          </w:p>
        </w:tc>
        <w:tc>
          <w:tcPr>
            <w:tcW w:w="1844" w:type="dxa"/>
            <w:tcBorders>
              <w:bottom w:val="dashSmallGap" w:sz="12" w:space="0" w:color="auto"/>
            </w:tcBorders>
          </w:tcPr>
          <w:p w14:paraId="39C6BE6C" w14:textId="485D436E" w:rsidR="00D91BDE" w:rsidRPr="005019FD" w:rsidRDefault="00D91BDE" w:rsidP="003704CB">
            <w:pPr>
              <w:spacing w:after="160"/>
              <w:rPr>
                <w:rFonts w:ascii="Garamond" w:hAnsi="Garamond"/>
                <w:sz w:val="24"/>
                <w:szCs w:val="24"/>
                <w:lang w:val="pt-PT"/>
              </w:rPr>
            </w:pPr>
            <m:oMathPara>
              <m:oMath>
                <m:r>
                  <m:rPr>
                    <m:sty m:val="p"/>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ENDV</m:t>
                    </m:r>
                  </m:e>
                  <m:sub>
                    <m:r>
                      <m:rPr>
                        <m:sty m:val="bi"/>
                      </m:rPr>
                      <w:rPr>
                        <w:rFonts w:ascii="Cambria Math" w:hAnsi="Cambria Math"/>
                        <w:sz w:val="24"/>
                        <w:szCs w:val="24"/>
                        <w:lang w:val="pt-PT"/>
                      </w:rPr>
                      <m:t>i,t</m:t>
                    </m:r>
                    <m:r>
                      <m:rPr>
                        <m:sty m:val="p"/>
                      </m:rPr>
                      <w:rPr>
                        <w:rFonts w:ascii="Cambria Math" w:hAnsi="Cambria Math"/>
                        <w:sz w:val="24"/>
                        <w:szCs w:val="24"/>
                        <w:lang w:val="pt-PT"/>
                      </w:rPr>
                      <m:t>-</m:t>
                    </m:r>
                    <m:r>
                      <m:rPr>
                        <m:sty m:val="b"/>
                      </m:rPr>
                      <w:rPr>
                        <w:rFonts w:ascii="Cambria Math" w:hAnsi="Cambria Math"/>
                        <w:sz w:val="24"/>
                        <w:szCs w:val="24"/>
                        <w:lang w:val="pt-PT"/>
                      </w:rPr>
                      <m:t>1</m:t>
                    </m:r>
                  </m:sub>
                </m:sSub>
              </m:oMath>
            </m:oMathPara>
          </w:p>
          <w:p w14:paraId="18840CE7" w14:textId="77777777" w:rsidR="00D91BDE" w:rsidRPr="005019FD" w:rsidRDefault="00D91BDE" w:rsidP="003704CB">
            <w:pPr>
              <w:rPr>
                <w:rFonts w:ascii="Garamond" w:hAnsi="Garamond"/>
                <w:sz w:val="24"/>
                <w:szCs w:val="24"/>
                <w:lang w:val="pt-PT"/>
              </w:rPr>
            </w:pPr>
          </w:p>
        </w:tc>
        <w:tc>
          <w:tcPr>
            <w:tcW w:w="1843" w:type="dxa"/>
            <w:tcBorders>
              <w:bottom w:val="dashSmallGap" w:sz="12" w:space="0" w:color="auto"/>
            </w:tcBorders>
          </w:tcPr>
          <w:p w14:paraId="1CEFC154" w14:textId="7AD1073B" w:rsidR="00D91BDE" w:rsidRPr="005019FD" w:rsidRDefault="00D91BDE" w:rsidP="003704CB">
            <w:pPr>
              <w:spacing w:after="160"/>
              <w:rPr>
                <w:rFonts w:ascii="Garamond" w:hAnsi="Garamond"/>
                <w:sz w:val="24"/>
                <w:szCs w:val="24"/>
                <w:lang w:val="pt-PT"/>
              </w:rPr>
            </w:pPr>
            <m:oMathPara>
              <m:oMath>
                <m:r>
                  <m:rPr>
                    <m:sty m:val="p"/>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PROD</m:t>
                    </m:r>
                  </m:e>
                  <m:sub>
                    <m:r>
                      <m:rPr>
                        <m:sty m:val="bi"/>
                      </m:rPr>
                      <w:rPr>
                        <w:rFonts w:ascii="Cambria Math" w:hAnsi="Cambria Math"/>
                        <w:sz w:val="24"/>
                        <w:szCs w:val="24"/>
                        <w:lang w:val="pt-PT"/>
                      </w:rPr>
                      <m:t>i,t</m:t>
                    </m:r>
                    <m:r>
                      <m:rPr>
                        <m:sty m:val="p"/>
                      </m:rPr>
                      <w:rPr>
                        <w:rFonts w:ascii="Cambria Math" w:hAnsi="Cambria Math"/>
                        <w:sz w:val="24"/>
                        <w:szCs w:val="24"/>
                        <w:lang w:val="pt-PT"/>
                      </w:rPr>
                      <m:t>-</m:t>
                    </m:r>
                    <m:r>
                      <m:rPr>
                        <m:sty m:val="b"/>
                      </m:rPr>
                      <w:rPr>
                        <w:rFonts w:ascii="Cambria Math" w:hAnsi="Cambria Math"/>
                        <w:sz w:val="24"/>
                        <w:szCs w:val="24"/>
                        <w:lang w:val="pt-PT"/>
                      </w:rPr>
                      <m:t>1</m:t>
                    </m:r>
                  </m:sub>
                </m:sSub>
              </m:oMath>
            </m:oMathPara>
          </w:p>
          <w:p w14:paraId="34D86AF7" w14:textId="77777777" w:rsidR="00D91BDE" w:rsidRPr="005019FD" w:rsidRDefault="00D91BDE" w:rsidP="003704CB">
            <w:pPr>
              <w:rPr>
                <w:rFonts w:ascii="Garamond" w:hAnsi="Garamond"/>
                <w:sz w:val="24"/>
                <w:szCs w:val="24"/>
                <w:lang w:val="pt-PT"/>
              </w:rPr>
            </w:pPr>
          </w:p>
        </w:tc>
        <w:tc>
          <w:tcPr>
            <w:tcW w:w="1512" w:type="dxa"/>
            <w:tcBorders>
              <w:bottom w:val="dashSmallGap" w:sz="12" w:space="0" w:color="auto"/>
              <w:right w:val="nil"/>
            </w:tcBorders>
          </w:tcPr>
          <w:p w14:paraId="6D8C4917" w14:textId="400F6EB3" w:rsidR="00D91BDE" w:rsidRPr="005019FD" w:rsidRDefault="00000000" w:rsidP="003704CB">
            <w:pPr>
              <w:spacing w:after="160"/>
              <w:rPr>
                <w:rFonts w:ascii="Garamond" w:hAnsi="Garamond"/>
                <w:sz w:val="24"/>
                <w:szCs w:val="24"/>
                <w:lang w:val="pt-PT"/>
              </w:rPr>
            </w:pPr>
            <m:oMathPara>
              <m:oMath>
                <m:sSub>
                  <m:sSubPr>
                    <m:ctrlPr>
                      <w:rPr>
                        <w:rFonts w:ascii="Cambria Math" w:hAnsi="Cambria Math"/>
                        <w:sz w:val="24"/>
                        <w:szCs w:val="24"/>
                        <w:lang w:val="pt-PT"/>
                      </w:rPr>
                    </m:ctrlPr>
                  </m:sSubPr>
                  <m:e>
                    <m:r>
                      <m:rPr>
                        <m:sty m:val="bi"/>
                      </m:rPr>
                      <w:rPr>
                        <w:rFonts w:ascii="Cambria Math" w:hAnsi="Cambria Math"/>
                        <w:sz w:val="24"/>
                        <w:szCs w:val="24"/>
                        <w:lang w:val="pt-PT"/>
                      </w:rPr>
                      <m:t>AF</m:t>
                    </m:r>
                  </m:e>
                  <m:sub>
                    <m:r>
                      <m:rPr>
                        <m:sty m:val="bi"/>
                      </m:rPr>
                      <w:rPr>
                        <w:rFonts w:ascii="Cambria Math" w:hAnsi="Cambria Math"/>
                        <w:sz w:val="24"/>
                        <w:szCs w:val="24"/>
                        <w:lang w:val="pt-PT"/>
                      </w:rPr>
                      <m:t>it</m:t>
                    </m:r>
                  </m:sub>
                </m:sSub>
              </m:oMath>
            </m:oMathPara>
          </w:p>
          <w:p w14:paraId="39DCDC82" w14:textId="77777777" w:rsidR="00D91BDE" w:rsidRPr="005019FD" w:rsidRDefault="00D91BDE" w:rsidP="003704CB">
            <w:pPr>
              <w:rPr>
                <w:rFonts w:ascii="Garamond" w:hAnsi="Garamond"/>
                <w:sz w:val="24"/>
                <w:szCs w:val="24"/>
                <w:lang w:val="pt-PT"/>
              </w:rPr>
            </w:pPr>
          </w:p>
        </w:tc>
      </w:tr>
      <w:tr w:rsidR="00D91BDE" w:rsidRPr="005019FD" w14:paraId="672E7157" w14:textId="77777777" w:rsidTr="002E30B3">
        <w:trPr>
          <w:trHeight w:val="344"/>
        </w:trPr>
        <w:tc>
          <w:tcPr>
            <w:tcW w:w="1670" w:type="dxa"/>
            <w:tcBorders>
              <w:left w:val="nil"/>
            </w:tcBorders>
          </w:tcPr>
          <w:p w14:paraId="0DB283FB" w14:textId="77777777" w:rsidR="00D91BDE" w:rsidRPr="005019FD" w:rsidRDefault="00D91BDE" w:rsidP="003704CB">
            <w:pPr>
              <w:rPr>
                <w:rFonts w:ascii="Garamond" w:hAnsi="Garamond"/>
                <w:sz w:val="24"/>
                <w:szCs w:val="24"/>
                <w:lang w:val="pt-PT"/>
              </w:rPr>
            </w:pPr>
            <w:r w:rsidRPr="005019FD">
              <w:rPr>
                <w:rFonts w:ascii="Garamond" w:hAnsi="Garamond"/>
                <w:sz w:val="24"/>
                <w:szCs w:val="24"/>
                <w:lang w:val="pt-PT"/>
              </w:rPr>
              <w:t>Média</w:t>
            </w:r>
          </w:p>
        </w:tc>
        <w:tc>
          <w:tcPr>
            <w:tcW w:w="1675" w:type="dxa"/>
            <w:tcBorders>
              <w:top w:val="dashSmallGap" w:sz="12" w:space="0" w:color="auto"/>
              <w:bottom w:val="dashSmallGap" w:sz="12" w:space="0" w:color="auto"/>
              <w:right w:val="dashSmallGap" w:sz="12" w:space="0" w:color="auto"/>
            </w:tcBorders>
            <w:vAlign w:val="center"/>
          </w:tcPr>
          <w:p w14:paraId="147DDFA5" w14:textId="5B9EA7AC" w:rsidR="00D91BDE" w:rsidRPr="005019FD" w:rsidRDefault="00D91BDE" w:rsidP="00641432">
            <w:pPr>
              <w:jc w:val="right"/>
              <w:rPr>
                <w:rFonts w:ascii="Garamond" w:hAnsi="Garamond"/>
                <w:sz w:val="24"/>
                <w:szCs w:val="24"/>
                <w:lang w:val="pt-PT"/>
              </w:rPr>
            </w:pPr>
            <w:r w:rsidRPr="005019FD">
              <w:rPr>
                <w:rFonts w:ascii="Garamond" w:hAnsi="Garamond"/>
                <w:sz w:val="24"/>
                <w:szCs w:val="24"/>
                <w:lang w:val="pt-PT"/>
              </w:rPr>
              <w:t>.0724268</w:t>
            </w:r>
          </w:p>
        </w:tc>
        <w:tc>
          <w:tcPr>
            <w:tcW w:w="1844" w:type="dxa"/>
            <w:tcBorders>
              <w:top w:val="dashSmallGap" w:sz="12" w:space="0" w:color="auto"/>
              <w:left w:val="dashSmallGap" w:sz="12" w:space="0" w:color="auto"/>
              <w:bottom w:val="dashSmallGap" w:sz="12" w:space="0" w:color="auto"/>
              <w:right w:val="dashSmallGap" w:sz="12" w:space="0" w:color="auto"/>
            </w:tcBorders>
            <w:vAlign w:val="center"/>
          </w:tcPr>
          <w:p w14:paraId="3BF97DE8" w14:textId="759A99BF" w:rsidR="00D91BDE" w:rsidRPr="005019FD" w:rsidRDefault="00D91BDE" w:rsidP="00641432">
            <w:pPr>
              <w:jc w:val="right"/>
              <w:rPr>
                <w:rFonts w:ascii="Garamond" w:hAnsi="Garamond"/>
                <w:sz w:val="24"/>
                <w:szCs w:val="24"/>
                <w:lang w:val="pt-PT"/>
              </w:rPr>
            </w:pPr>
            <w:r w:rsidRPr="005019FD">
              <w:rPr>
                <w:rFonts w:ascii="Garamond" w:hAnsi="Garamond"/>
                <w:sz w:val="24"/>
                <w:szCs w:val="24"/>
                <w:lang w:val="pt-PT"/>
              </w:rPr>
              <w:t>-.0129637</w:t>
            </w:r>
          </w:p>
        </w:tc>
        <w:tc>
          <w:tcPr>
            <w:tcW w:w="1843" w:type="dxa"/>
            <w:tcBorders>
              <w:top w:val="dashSmallGap" w:sz="12" w:space="0" w:color="auto"/>
              <w:left w:val="dashSmallGap" w:sz="12" w:space="0" w:color="auto"/>
              <w:bottom w:val="dashSmallGap" w:sz="12" w:space="0" w:color="auto"/>
              <w:right w:val="dashSmallGap" w:sz="12" w:space="0" w:color="auto"/>
            </w:tcBorders>
            <w:vAlign w:val="center"/>
          </w:tcPr>
          <w:p w14:paraId="6D5FF343" w14:textId="6E00D6B0" w:rsidR="00D91BDE" w:rsidRPr="005019FD" w:rsidRDefault="00D91BDE" w:rsidP="00641432">
            <w:pPr>
              <w:jc w:val="right"/>
              <w:rPr>
                <w:rFonts w:ascii="Garamond" w:hAnsi="Garamond"/>
                <w:sz w:val="24"/>
                <w:szCs w:val="24"/>
                <w:lang w:val="pt-PT"/>
              </w:rPr>
            </w:pPr>
            <w:r w:rsidRPr="005019FD">
              <w:rPr>
                <w:rFonts w:ascii="Garamond" w:hAnsi="Garamond"/>
                <w:sz w:val="24"/>
                <w:szCs w:val="24"/>
                <w:lang w:val="pt-PT"/>
              </w:rPr>
              <w:t>.0269438</w:t>
            </w:r>
          </w:p>
        </w:tc>
        <w:tc>
          <w:tcPr>
            <w:tcW w:w="1512" w:type="dxa"/>
            <w:tcBorders>
              <w:top w:val="dashSmallGap" w:sz="12" w:space="0" w:color="auto"/>
              <w:left w:val="dashSmallGap" w:sz="12" w:space="0" w:color="auto"/>
              <w:bottom w:val="dashSmallGap" w:sz="12" w:space="0" w:color="auto"/>
              <w:right w:val="nil"/>
            </w:tcBorders>
            <w:vAlign w:val="center"/>
          </w:tcPr>
          <w:p w14:paraId="15044435" w14:textId="3A9075F5" w:rsidR="00D91BDE" w:rsidRPr="005019FD" w:rsidRDefault="00D91BDE" w:rsidP="00641432">
            <w:pPr>
              <w:jc w:val="right"/>
              <w:rPr>
                <w:rFonts w:ascii="Garamond" w:hAnsi="Garamond"/>
                <w:sz w:val="24"/>
                <w:szCs w:val="24"/>
                <w:lang w:val="pt-PT"/>
              </w:rPr>
            </w:pPr>
            <w:r w:rsidRPr="005019FD">
              <w:rPr>
                <w:rFonts w:ascii="Garamond" w:hAnsi="Garamond"/>
                <w:sz w:val="24"/>
                <w:szCs w:val="24"/>
                <w:lang w:val="pt-PT"/>
              </w:rPr>
              <w:t>.4335801</w:t>
            </w:r>
          </w:p>
        </w:tc>
      </w:tr>
      <w:tr w:rsidR="00D91BDE" w:rsidRPr="005019FD" w14:paraId="57F465A9" w14:textId="77777777" w:rsidTr="002E30B3">
        <w:trPr>
          <w:trHeight w:val="344"/>
        </w:trPr>
        <w:tc>
          <w:tcPr>
            <w:tcW w:w="1670" w:type="dxa"/>
            <w:tcBorders>
              <w:left w:val="nil"/>
            </w:tcBorders>
          </w:tcPr>
          <w:p w14:paraId="7BBF111C" w14:textId="77777777" w:rsidR="00D91BDE" w:rsidRPr="005019FD" w:rsidRDefault="00D91BDE" w:rsidP="003704CB">
            <w:pPr>
              <w:rPr>
                <w:rFonts w:ascii="Garamond" w:hAnsi="Garamond"/>
                <w:sz w:val="24"/>
                <w:szCs w:val="24"/>
                <w:lang w:val="pt-PT"/>
              </w:rPr>
            </w:pPr>
            <w:r w:rsidRPr="005019FD">
              <w:rPr>
                <w:rFonts w:ascii="Garamond" w:hAnsi="Garamond"/>
                <w:sz w:val="24"/>
                <w:szCs w:val="24"/>
                <w:lang w:val="pt-PT"/>
              </w:rPr>
              <w:t>Mediana</w:t>
            </w:r>
          </w:p>
        </w:tc>
        <w:tc>
          <w:tcPr>
            <w:tcW w:w="1675" w:type="dxa"/>
            <w:tcBorders>
              <w:top w:val="dashSmallGap" w:sz="12" w:space="0" w:color="auto"/>
              <w:right w:val="dashSmallGap" w:sz="12" w:space="0" w:color="auto"/>
            </w:tcBorders>
            <w:vAlign w:val="center"/>
          </w:tcPr>
          <w:p w14:paraId="6C005EB3" w14:textId="4BAE5645" w:rsidR="00D91BDE" w:rsidRPr="005019FD" w:rsidRDefault="00D91BDE" w:rsidP="00641432">
            <w:pPr>
              <w:jc w:val="right"/>
              <w:rPr>
                <w:rFonts w:ascii="Garamond" w:hAnsi="Garamond"/>
                <w:sz w:val="24"/>
                <w:szCs w:val="24"/>
                <w:lang w:val="pt-PT"/>
              </w:rPr>
            </w:pPr>
            <w:r w:rsidRPr="007B2D74">
              <w:rPr>
                <w:rFonts w:ascii="Garamond" w:hAnsi="Garamond"/>
                <w:sz w:val="24"/>
                <w:szCs w:val="24"/>
                <w:lang w:val="pt-PT"/>
              </w:rPr>
              <w:t>.0468711</w:t>
            </w:r>
          </w:p>
        </w:tc>
        <w:tc>
          <w:tcPr>
            <w:tcW w:w="1844" w:type="dxa"/>
            <w:tcBorders>
              <w:top w:val="dashSmallGap" w:sz="12" w:space="0" w:color="auto"/>
              <w:left w:val="dashSmallGap" w:sz="12" w:space="0" w:color="auto"/>
              <w:right w:val="dashSmallGap" w:sz="12" w:space="0" w:color="auto"/>
            </w:tcBorders>
            <w:vAlign w:val="center"/>
          </w:tcPr>
          <w:p w14:paraId="653DD8DC" w14:textId="2BE57A72" w:rsidR="00D91BDE" w:rsidRPr="005019FD" w:rsidRDefault="00D91BDE" w:rsidP="00641432">
            <w:pPr>
              <w:jc w:val="right"/>
              <w:rPr>
                <w:rFonts w:ascii="Garamond" w:hAnsi="Garamond"/>
                <w:sz w:val="24"/>
                <w:szCs w:val="24"/>
                <w:lang w:val="pt-PT"/>
              </w:rPr>
            </w:pPr>
            <w:r w:rsidRPr="007B2D74">
              <w:rPr>
                <w:rFonts w:ascii="Garamond" w:hAnsi="Garamond"/>
                <w:sz w:val="24"/>
                <w:szCs w:val="24"/>
                <w:lang w:val="pt-PT"/>
              </w:rPr>
              <w:t>-.0040762</w:t>
            </w:r>
          </w:p>
        </w:tc>
        <w:tc>
          <w:tcPr>
            <w:tcW w:w="1843" w:type="dxa"/>
            <w:tcBorders>
              <w:top w:val="dashSmallGap" w:sz="12" w:space="0" w:color="auto"/>
              <w:left w:val="dashSmallGap" w:sz="12" w:space="0" w:color="auto"/>
              <w:right w:val="dashSmallGap" w:sz="12" w:space="0" w:color="auto"/>
            </w:tcBorders>
            <w:vAlign w:val="center"/>
          </w:tcPr>
          <w:p w14:paraId="10B5560D" w14:textId="1A87C502" w:rsidR="00D91BDE" w:rsidRPr="005019FD" w:rsidRDefault="00D91BDE" w:rsidP="00641432">
            <w:pPr>
              <w:jc w:val="right"/>
              <w:rPr>
                <w:rFonts w:ascii="Garamond" w:hAnsi="Garamond"/>
                <w:sz w:val="24"/>
                <w:szCs w:val="24"/>
                <w:lang w:val="pt-PT"/>
              </w:rPr>
            </w:pPr>
            <w:r w:rsidRPr="007B2D74">
              <w:rPr>
                <w:rFonts w:ascii="Garamond" w:hAnsi="Garamond"/>
                <w:sz w:val="24"/>
                <w:szCs w:val="24"/>
                <w:lang w:val="pt-PT"/>
              </w:rPr>
              <w:t>.0068335</w:t>
            </w:r>
          </w:p>
        </w:tc>
        <w:tc>
          <w:tcPr>
            <w:tcW w:w="1512" w:type="dxa"/>
            <w:tcBorders>
              <w:top w:val="dashSmallGap" w:sz="12" w:space="0" w:color="auto"/>
              <w:left w:val="dashSmallGap" w:sz="12" w:space="0" w:color="auto"/>
              <w:right w:val="nil"/>
            </w:tcBorders>
            <w:vAlign w:val="center"/>
          </w:tcPr>
          <w:p w14:paraId="17B2FA4E" w14:textId="74836095" w:rsidR="00D91BDE" w:rsidRPr="005019FD" w:rsidRDefault="00D91BDE" w:rsidP="00641432">
            <w:pPr>
              <w:jc w:val="right"/>
              <w:rPr>
                <w:rFonts w:ascii="Garamond" w:hAnsi="Garamond"/>
                <w:sz w:val="24"/>
                <w:szCs w:val="24"/>
                <w:lang w:val="pt-PT"/>
              </w:rPr>
            </w:pPr>
            <w:r w:rsidRPr="007B2D74">
              <w:rPr>
                <w:rFonts w:ascii="Garamond" w:hAnsi="Garamond"/>
                <w:sz w:val="24"/>
                <w:szCs w:val="24"/>
                <w:lang w:val="pt-PT"/>
              </w:rPr>
              <w:t>.432419</w:t>
            </w:r>
          </w:p>
        </w:tc>
      </w:tr>
      <w:tr w:rsidR="00D91BDE" w:rsidRPr="005019FD" w14:paraId="7E694F2F" w14:textId="77777777" w:rsidTr="00D91BDE">
        <w:trPr>
          <w:trHeight w:val="325"/>
        </w:trPr>
        <w:tc>
          <w:tcPr>
            <w:tcW w:w="8544" w:type="dxa"/>
            <w:gridSpan w:val="5"/>
            <w:tcBorders>
              <w:left w:val="nil"/>
              <w:right w:val="nil"/>
            </w:tcBorders>
          </w:tcPr>
          <w:p w14:paraId="109747AE" w14:textId="55195852" w:rsidR="00D91BDE" w:rsidRPr="005019FD" w:rsidRDefault="00D91BDE" w:rsidP="003704CB">
            <w:pPr>
              <w:rPr>
                <w:rFonts w:ascii="Garamond" w:hAnsi="Garamond"/>
                <w:sz w:val="24"/>
                <w:szCs w:val="24"/>
                <w:lang w:val="pt-PT"/>
              </w:rPr>
            </w:pPr>
            <w:r w:rsidRPr="005019FD">
              <w:rPr>
                <w:rFonts w:ascii="Garamond" w:hAnsi="Garamond"/>
                <w:sz w:val="24"/>
                <w:szCs w:val="24"/>
                <w:lang w:val="pt-PT"/>
              </w:rPr>
              <w:t xml:space="preserve">Nº de observações: </w:t>
            </w:r>
            <w:r>
              <w:rPr>
                <w:rFonts w:ascii="Garamond" w:hAnsi="Garamond"/>
                <w:sz w:val="24"/>
                <w:szCs w:val="24"/>
                <w:lang w:val="pt-PT"/>
              </w:rPr>
              <w:t>187 911</w:t>
            </w:r>
          </w:p>
        </w:tc>
      </w:tr>
      <w:tr w:rsidR="00D91BDE" w:rsidRPr="00293549" w14:paraId="550BB44E" w14:textId="77777777" w:rsidTr="00D91BDE">
        <w:trPr>
          <w:trHeight w:val="881"/>
        </w:trPr>
        <w:tc>
          <w:tcPr>
            <w:tcW w:w="8544" w:type="dxa"/>
            <w:gridSpan w:val="5"/>
            <w:tcBorders>
              <w:left w:val="nil"/>
              <w:right w:val="nil"/>
            </w:tcBorders>
          </w:tcPr>
          <w:p w14:paraId="4B1040D6" w14:textId="4EFAB691" w:rsidR="00D91BDE" w:rsidRPr="00A84373" w:rsidRDefault="00D91BDE" w:rsidP="003704CB">
            <w:pPr>
              <w:rPr>
                <w:rFonts w:ascii="Garamond" w:hAnsi="Garamond"/>
                <w:sz w:val="22"/>
                <w:szCs w:val="22"/>
                <w:lang w:val="pt-PT"/>
              </w:rPr>
            </w:pPr>
            <w:r w:rsidRPr="00A84373">
              <w:rPr>
                <w:rFonts w:ascii="Garamond" w:hAnsi="Garamond"/>
                <w:sz w:val="20"/>
                <w:szCs w:val="20"/>
                <w:lang w:val="pt-PT"/>
              </w:rPr>
              <w:t xml:space="preserve">Nota: os valores apresentados, exceto relativamente às variáveis </w:t>
            </w:r>
            <m:oMath>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ENDV</m:t>
                  </m:r>
                </m:e>
                <m:sub>
                  <m:r>
                    <w:rPr>
                      <w:rFonts w:ascii="Cambria Math" w:hAnsi="Cambria Math"/>
                      <w:sz w:val="20"/>
                      <w:szCs w:val="20"/>
                      <w:lang w:val="pt-PT"/>
                    </w:rPr>
                    <m:t>i,t</m:t>
                  </m:r>
                  <m:r>
                    <m:rPr>
                      <m:sty m:val="p"/>
                    </m:rPr>
                    <w:rPr>
                      <w:rFonts w:ascii="Cambria Math" w:hAnsi="Cambria Math"/>
                      <w:sz w:val="20"/>
                      <w:szCs w:val="20"/>
                      <w:lang w:val="pt-PT"/>
                    </w:rPr>
                    <m:t>-1</m:t>
                  </m:r>
                </m:sub>
              </m:sSub>
            </m:oMath>
            <w:r w:rsidRPr="00A84373">
              <w:rPr>
                <w:rFonts w:ascii="Garamond" w:hAnsi="Garamond"/>
                <w:sz w:val="20"/>
                <w:szCs w:val="20"/>
                <w:lang w:val="pt-PT"/>
              </w:rPr>
              <w:t xml:space="preserve"> </w:t>
            </w:r>
            <w:r>
              <w:rPr>
                <w:rFonts w:ascii="Garamond" w:hAnsi="Garamond"/>
                <w:sz w:val="20"/>
                <w:szCs w:val="20"/>
                <w:lang w:val="pt-PT"/>
              </w:rPr>
              <w:t xml:space="preserve">e </w:t>
            </w:r>
            <m:oMath>
              <m:sSub>
                <m:sSubPr>
                  <m:ctrlPr>
                    <w:rPr>
                      <w:rFonts w:ascii="Cambria Math" w:hAnsi="Cambria Math"/>
                      <w:sz w:val="20"/>
                      <w:szCs w:val="20"/>
                      <w:lang w:val="pt-PT"/>
                    </w:rPr>
                  </m:ctrlPr>
                </m:sSubPr>
                <m:e>
                  <m:r>
                    <w:rPr>
                      <w:rFonts w:ascii="Cambria Math" w:hAnsi="Cambria Math"/>
                      <w:sz w:val="20"/>
                      <w:szCs w:val="20"/>
                      <w:lang w:val="pt-PT"/>
                    </w:rPr>
                    <m:t>AF</m:t>
                  </m:r>
                </m:e>
                <m:sub>
                  <m:r>
                    <w:rPr>
                      <w:rFonts w:ascii="Cambria Math" w:hAnsi="Cambria Math"/>
                      <w:sz w:val="20"/>
                      <w:szCs w:val="20"/>
                      <w:lang w:val="pt-PT"/>
                    </w:rPr>
                    <m:t>it</m:t>
                  </m:r>
                </m:sub>
              </m:sSub>
            </m:oMath>
            <w:r>
              <w:rPr>
                <w:rFonts w:ascii="Garamond" w:hAnsi="Garamond"/>
                <w:sz w:val="20"/>
                <w:szCs w:val="20"/>
                <w:lang w:val="pt-PT"/>
              </w:rPr>
              <w:t xml:space="preserve"> </w:t>
            </w:r>
            <w:r w:rsidRPr="00CA1357">
              <w:rPr>
                <w:rFonts w:ascii="Garamond" w:hAnsi="Garamond"/>
                <w:sz w:val="20"/>
                <w:szCs w:val="20"/>
                <w:lang w:val="pt-PT"/>
              </w:rPr>
              <w:t>encontram</w:t>
            </w:r>
            <w:r w:rsidRPr="00A84373">
              <w:rPr>
                <w:rFonts w:ascii="Garamond" w:hAnsi="Garamond"/>
                <w:sz w:val="20"/>
                <w:szCs w:val="20"/>
                <w:lang w:val="pt-PT"/>
              </w:rPr>
              <w:t>-se deflacionados pelo total do ativo do ano, pelo que são representativos de uma % do total do ativo.</w:t>
            </w:r>
          </w:p>
        </w:tc>
      </w:tr>
    </w:tbl>
    <w:p w14:paraId="6C2D1A79" w14:textId="57712E81" w:rsidR="00D24DA3" w:rsidRDefault="00D24DA3" w:rsidP="00101287">
      <w:pPr>
        <w:spacing w:line="360" w:lineRule="auto"/>
        <w:rPr>
          <w:rFonts w:ascii="Garamond" w:hAnsi="Garamond"/>
          <w:sz w:val="24"/>
          <w:szCs w:val="24"/>
          <w:lang w:val="pt-PT"/>
        </w:rPr>
      </w:pPr>
    </w:p>
    <w:p w14:paraId="31EA6287" w14:textId="2B3938AE" w:rsidR="00414574" w:rsidRDefault="00414574" w:rsidP="00642608">
      <w:pPr>
        <w:spacing w:line="360" w:lineRule="auto"/>
        <w:jc w:val="both"/>
        <w:rPr>
          <w:rFonts w:ascii="Garamond" w:hAnsi="Garamond"/>
          <w:sz w:val="24"/>
          <w:szCs w:val="24"/>
          <w:lang w:val="pt-PT"/>
        </w:rPr>
      </w:pPr>
      <w:r>
        <w:rPr>
          <w:rFonts w:ascii="Garamond" w:hAnsi="Garamond"/>
          <w:sz w:val="24"/>
          <w:szCs w:val="24"/>
          <w:lang w:val="pt-PT"/>
        </w:rPr>
        <w:t xml:space="preserve">Ao analisarmos a tabela acima, destacamos </w:t>
      </w:r>
      <w:r w:rsidR="006E244E">
        <w:rPr>
          <w:rFonts w:ascii="Garamond" w:hAnsi="Garamond"/>
          <w:sz w:val="24"/>
          <w:szCs w:val="24"/>
          <w:lang w:val="pt-PT"/>
        </w:rPr>
        <w:t>a</w:t>
      </w:r>
      <w:r w:rsidR="006E244E" w:rsidRPr="006E244E">
        <w:rPr>
          <w:rFonts w:ascii="Garamond" w:hAnsi="Garamond"/>
          <w:sz w:val="24"/>
          <w:szCs w:val="24"/>
          <w:lang w:val="pt-PT"/>
        </w:rPr>
        <w:t xml:space="preserve"> diferença entre a média e a mediana</w:t>
      </w:r>
      <w:r w:rsidR="006E244E">
        <w:rPr>
          <w:rFonts w:ascii="Garamond" w:hAnsi="Garamond"/>
          <w:sz w:val="24"/>
          <w:szCs w:val="24"/>
          <w:lang w:val="pt-PT"/>
        </w:rPr>
        <w:t xml:space="preserve"> da variável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006E244E">
        <w:rPr>
          <w:rFonts w:ascii="Garamond" w:hAnsi="Garamond"/>
          <w:sz w:val="24"/>
          <w:szCs w:val="24"/>
          <w:lang w:val="pt-PT"/>
        </w:rPr>
        <w:t xml:space="preserve">, o que indica a presença de valores extremos que aumentam a média. </w:t>
      </w:r>
      <w:r w:rsidR="006E244E" w:rsidRPr="006E244E">
        <w:rPr>
          <w:rFonts w:ascii="Garamond" w:hAnsi="Garamond"/>
          <w:sz w:val="24"/>
          <w:szCs w:val="24"/>
          <w:lang w:val="pt-PT"/>
        </w:rPr>
        <w:t>Isto indica que algumas observações têm valores significativamente mais elevados</w:t>
      </w:r>
      <w:r w:rsidR="006E244E">
        <w:rPr>
          <w:rFonts w:ascii="Garamond" w:hAnsi="Garamond"/>
          <w:sz w:val="24"/>
          <w:szCs w:val="24"/>
          <w:lang w:val="pt-PT"/>
        </w:rPr>
        <w:t xml:space="preserve"> que outros. Adicionalmente, a</w:t>
      </w:r>
      <w:r w:rsidR="006E244E" w:rsidRPr="006E244E">
        <w:rPr>
          <w:rFonts w:ascii="Garamond" w:hAnsi="Garamond"/>
          <w:sz w:val="24"/>
          <w:szCs w:val="24"/>
          <w:lang w:val="pt-PT"/>
        </w:rPr>
        <w:t xml:space="preserve"> diferença substancial entre a média e a mediana </w:t>
      </w:r>
      <w:r w:rsidR="006E244E">
        <w:rPr>
          <w:rFonts w:ascii="Garamond" w:hAnsi="Garamond"/>
          <w:sz w:val="24"/>
          <w:szCs w:val="24"/>
          <w:lang w:val="pt-PT"/>
        </w:rPr>
        <w:t xml:space="preserve">da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006E244E">
        <w:rPr>
          <w:rFonts w:ascii="Garamond" w:hAnsi="Garamond"/>
          <w:sz w:val="24"/>
          <w:szCs w:val="24"/>
          <w:lang w:val="pt-PT"/>
        </w:rPr>
        <w:t xml:space="preserve"> </w:t>
      </w:r>
      <w:r w:rsidR="006E244E" w:rsidRPr="006E244E">
        <w:rPr>
          <w:rFonts w:ascii="Garamond" w:hAnsi="Garamond"/>
          <w:sz w:val="24"/>
          <w:szCs w:val="24"/>
          <w:lang w:val="pt-PT"/>
        </w:rPr>
        <w:t xml:space="preserve">indica que existem algumas empresas com aumentos significativos na produção, o que </w:t>
      </w:r>
      <w:r w:rsidR="006E244E">
        <w:rPr>
          <w:rFonts w:ascii="Garamond" w:hAnsi="Garamond"/>
          <w:sz w:val="24"/>
          <w:szCs w:val="24"/>
          <w:lang w:val="pt-PT"/>
        </w:rPr>
        <w:t>aumenta</w:t>
      </w:r>
      <w:r w:rsidR="006E244E" w:rsidRPr="006E244E">
        <w:rPr>
          <w:rFonts w:ascii="Garamond" w:hAnsi="Garamond"/>
          <w:sz w:val="24"/>
          <w:szCs w:val="24"/>
          <w:lang w:val="pt-PT"/>
        </w:rPr>
        <w:t xml:space="preserve"> a média</w:t>
      </w:r>
      <w:r w:rsidR="00B22E01">
        <w:rPr>
          <w:rFonts w:ascii="Garamond" w:hAnsi="Garamond"/>
          <w:sz w:val="24"/>
          <w:szCs w:val="24"/>
          <w:lang w:val="pt-PT"/>
        </w:rPr>
        <w:t xml:space="preserve"> da variável</w:t>
      </w:r>
      <w:r w:rsidR="006E244E" w:rsidRPr="006E244E">
        <w:rPr>
          <w:rFonts w:ascii="Garamond" w:hAnsi="Garamond"/>
          <w:sz w:val="24"/>
          <w:szCs w:val="24"/>
          <w:lang w:val="pt-PT"/>
        </w:rPr>
        <w:t>. A maioria das observações, no entanto, tem aumentos mais</w:t>
      </w:r>
      <w:r w:rsidR="006E244E">
        <w:rPr>
          <w:rFonts w:ascii="Garamond" w:hAnsi="Garamond"/>
          <w:sz w:val="24"/>
          <w:szCs w:val="24"/>
          <w:lang w:val="pt-PT"/>
        </w:rPr>
        <w:t xml:space="preserve"> pequenos</w:t>
      </w:r>
      <w:r w:rsidR="006E244E" w:rsidRPr="006E244E">
        <w:rPr>
          <w:rFonts w:ascii="Garamond" w:hAnsi="Garamond"/>
          <w:sz w:val="24"/>
          <w:szCs w:val="24"/>
          <w:lang w:val="pt-PT"/>
        </w:rPr>
        <w:t xml:space="preserve">, </w:t>
      </w:r>
      <w:r w:rsidR="006E244E">
        <w:rPr>
          <w:rFonts w:ascii="Garamond" w:hAnsi="Garamond"/>
          <w:sz w:val="24"/>
          <w:szCs w:val="24"/>
          <w:lang w:val="pt-PT"/>
        </w:rPr>
        <w:t xml:space="preserve">tal </w:t>
      </w:r>
      <w:r w:rsidR="006E244E" w:rsidRPr="006E244E">
        <w:rPr>
          <w:rFonts w:ascii="Garamond" w:hAnsi="Garamond"/>
          <w:sz w:val="24"/>
          <w:szCs w:val="24"/>
          <w:lang w:val="pt-PT"/>
        </w:rPr>
        <w:t>como indicado pela mediana.</w:t>
      </w:r>
    </w:p>
    <w:p w14:paraId="37C4002F" w14:textId="0A83988C" w:rsidR="006E244E" w:rsidRDefault="006E244E" w:rsidP="00642608">
      <w:pPr>
        <w:spacing w:line="360" w:lineRule="auto"/>
        <w:jc w:val="both"/>
        <w:rPr>
          <w:rFonts w:ascii="Garamond" w:hAnsi="Garamond"/>
          <w:sz w:val="24"/>
          <w:szCs w:val="24"/>
          <w:lang w:val="pt-PT"/>
        </w:rPr>
      </w:pPr>
      <w:r>
        <w:rPr>
          <w:rFonts w:ascii="Garamond" w:hAnsi="Garamond"/>
          <w:sz w:val="24"/>
          <w:szCs w:val="24"/>
          <w:lang w:val="pt-PT"/>
        </w:rPr>
        <w:t xml:space="preserve">A variável e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 xml:space="preserve"> it</m:t>
            </m:r>
          </m:sub>
        </m:sSub>
      </m:oMath>
      <w:r w:rsidR="00DA4B97">
        <w:rPr>
          <w:rFonts w:ascii="Garamond" w:hAnsi="Garamond"/>
          <w:sz w:val="24"/>
          <w:szCs w:val="24"/>
          <w:lang w:val="pt-PT"/>
        </w:rPr>
        <w:t xml:space="preserve"> é uma variável </w:t>
      </w:r>
      <w:r w:rsidR="00DA4B97" w:rsidRPr="00DA4B97">
        <w:rPr>
          <w:rFonts w:ascii="Garamond" w:hAnsi="Garamond"/>
          <w:i/>
          <w:iCs/>
          <w:sz w:val="24"/>
          <w:szCs w:val="24"/>
          <w:lang w:val="pt-PT"/>
        </w:rPr>
        <w:t>dummy</w:t>
      </w:r>
      <w:r w:rsidR="00DA4B97">
        <w:rPr>
          <w:rFonts w:ascii="Garamond" w:hAnsi="Garamond"/>
          <w:sz w:val="24"/>
          <w:szCs w:val="24"/>
          <w:lang w:val="pt-PT"/>
        </w:rPr>
        <w:t xml:space="preserve">, pelo que a análise dos dados não é de grande significância. </w:t>
      </w:r>
    </w:p>
    <w:p w14:paraId="7D96FCAF" w14:textId="4A825A65" w:rsidR="00AD657C" w:rsidRDefault="00AD657C" w:rsidP="00642608">
      <w:pPr>
        <w:spacing w:line="360" w:lineRule="auto"/>
        <w:jc w:val="both"/>
        <w:rPr>
          <w:rFonts w:ascii="Garamond" w:hAnsi="Garamond"/>
          <w:sz w:val="24"/>
          <w:szCs w:val="24"/>
          <w:lang w:val="pt-PT"/>
        </w:rPr>
      </w:pPr>
      <w:r w:rsidRPr="00AD657C">
        <w:rPr>
          <w:rFonts w:ascii="Garamond" w:hAnsi="Garamond"/>
          <w:sz w:val="24"/>
          <w:szCs w:val="24"/>
          <w:lang w:val="pt-PT"/>
        </w:rPr>
        <w:lastRenderedPageBreak/>
        <w:t>Em suma, da análise das estatísticas descritivas nos anos de 2020 a 2022, verifica-se a adoção de comportamentos diferenciados ao nível da variação do investimento entre a subamostra principal e a subamostra de controlo. A subamostra principal, que inclui as empresas que aderiram ao benefício fiscal CFEI II, apresenta uma variação do investimento que se torna significativamente mais negativa em 2022, após um comportamento relativamente estável em 2020 e 2021</w:t>
      </w:r>
      <w:r>
        <w:rPr>
          <w:rFonts w:ascii="Garamond" w:hAnsi="Garamond"/>
          <w:sz w:val="24"/>
          <w:szCs w:val="24"/>
          <w:lang w:val="pt-PT"/>
        </w:rPr>
        <w:t>.</w:t>
      </w:r>
    </w:p>
    <w:p w14:paraId="00E2AD89" w14:textId="6F709B97" w:rsidR="00AD657C" w:rsidRDefault="00AD657C" w:rsidP="00642608">
      <w:pPr>
        <w:spacing w:line="360" w:lineRule="auto"/>
        <w:jc w:val="both"/>
        <w:rPr>
          <w:rFonts w:ascii="Garamond" w:hAnsi="Garamond"/>
          <w:sz w:val="24"/>
          <w:szCs w:val="24"/>
          <w:lang w:val="pt-PT"/>
        </w:rPr>
      </w:pPr>
      <w:r w:rsidRPr="00AD657C">
        <w:rPr>
          <w:rFonts w:ascii="Garamond" w:hAnsi="Garamond"/>
          <w:sz w:val="24"/>
          <w:szCs w:val="24"/>
          <w:lang w:val="pt-PT"/>
        </w:rPr>
        <w:t xml:space="preserve">Enquanto no período analisado, as empresas que compõem a subamostra de controlo apresentam um comportamento semelhante entre si ao nível da variação do investimento, com uma variação negativa consistente ao longo dos anos, as empresas da subamostra principal </w:t>
      </w:r>
      <w:r w:rsidR="005C039F">
        <w:rPr>
          <w:rFonts w:ascii="Garamond" w:hAnsi="Garamond"/>
          <w:sz w:val="24"/>
          <w:szCs w:val="24"/>
          <w:lang w:val="pt-PT"/>
        </w:rPr>
        <w:t>de</w:t>
      </w:r>
      <w:r w:rsidRPr="00AD657C">
        <w:rPr>
          <w:rFonts w:ascii="Garamond" w:hAnsi="Garamond"/>
          <w:sz w:val="24"/>
          <w:szCs w:val="24"/>
          <w:lang w:val="pt-PT"/>
        </w:rPr>
        <w:t>mostra</w:t>
      </w:r>
      <w:r w:rsidR="005C039F">
        <w:rPr>
          <w:rFonts w:ascii="Garamond" w:hAnsi="Garamond"/>
          <w:sz w:val="24"/>
          <w:szCs w:val="24"/>
          <w:lang w:val="pt-PT"/>
        </w:rPr>
        <w:t>ra</w:t>
      </w:r>
      <w:r w:rsidRPr="00AD657C">
        <w:rPr>
          <w:rFonts w:ascii="Garamond" w:hAnsi="Garamond"/>
          <w:sz w:val="24"/>
          <w:szCs w:val="24"/>
          <w:lang w:val="pt-PT"/>
        </w:rPr>
        <w:t>m uma tendência de diminuição acentuada da variação do investimento em 2022.</w:t>
      </w:r>
    </w:p>
    <w:p w14:paraId="0B0CD85A" w14:textId="4E0DDE99" w:rsidR="00AD657C" w:rsidRDefault="00AD657C" w:rsidP="00642608">
      <w:pPr>
        <w:spacing w:line="360" w:lineRule="auto"/>
        <w:jc w:val="both"/>
        <w:rPr>
          <w:rFonts w:ascii="Garamond" w:hAnsi="Garamond"/>
          <w:sz w:val="24"/>
          <w:szCs w:val="24"/>
          <w:lang w:val="pt-PT"/>
        </w:rPr>
      </w:pPr>
      <w:r w:rsidRPr="00AD657C">
        <w:rPr>
          <w:rFonts w:ascii="Garamond" w:hAnsi="Garamond"/>
          <w:sz w:val="24"/>
          <w:szCs w:val="24"/>
          <w:lang w:val="pt-PT"/>
        </w:rPr>
        <w:t xml:space="preserve">Isso sugere que as empresas que aderiram ao benefício fiscal CFEI II podem ter antecipado investimentos para os anos em que o incentivo fiscal esteve disponível (2020 e 2021), resultando </w:t>
      </w:r>
      <w:r>
        <w:rPr>
          <w:rFonts w:ascii="Garamond" w:hAnsi="Garamond"/>
          <w:sz w:val="24"/>
          <w:szCs w:val="24"/>
          <w:lang w:val="pt-PT"/>
        </w:rPr>
        <w:t>numa</w:t>
      </w:r>
      <w:r w:rsidRPr="00AD657C">
        <w:rPr>
          <w:rFonts w:ascii="Garamond" w:hAnsi="Garamond"/>
          <w:sz w:val="24"/>
          <w:szCs w:val="24"/>
          <w:lang w:val="pt-PT"/>
        </w:rPr>
        <w:t xml:space="preserve"> queda significativa na variação do investimento em 2022. Os resultados indicam que, na ausência de incentivos adicionais em 2022, essas empresas reduziram significativamente</w:t>
      </w:r>
      <w:r>
        <w:rPr>
          <w:rFonts w:ascii="Garamond" w:hAnsi="Garamond"/>
          <w:sz w:val="24"/>
          <w:szCs w:val="24"/>
          <w:lang w:val="pt-PT"/>
        </w:rPr>
        <w:t xml:space="preserve"> os</w:t>
      </w:r>
      <w:r w:rsidRPr="00AD657C">
        <w:rPr>
          <w:rFonts w:ascii="Garamond" w:hAnsi="Garamond"/>
          <w:sz w:val="24"/>
          <w:szCs w:val="24"/>
          <w:lang w:val="pt-PT"/>
        </w:rPr>
        <w:t xml:space="preserve"> seus investimentos, enquanto as empresas que não aderiram ao CFEI II mantiveram um padrão de variação de investimento negativo mais estável</w:t>
      </w:r>
      <w:r>
        <w:rPr>
          <w:rFonts w:ascii="Garamond" w:hAnsi="Garamond"/>
          <w:sz w:val="24"/>
          <w:szCs w:val="24"/>
          <w:lang w:val="pt-PT"/>
        </w:rPr>
        <w:t>, o que corrobora a hipótese de investigação.</w:t>
      </w:r>
    </w:p>
    <w:p w14:paraId="10F67BCB" w14:textId="69D77E15" w:rsidR="00DA4B97" w:rsidRDefault="00DA4B97" w:rsidP="00642608">
      <w:pPr>
        <w:spacing w:line="360" w:lineRule="auto"/>
        <w:jc w:val="both"/>
        <w:rPr>
          <w:rFonts w:ascii="Garamond" w:hAnsi="Garamond"/>
          <w:sz w:val="24"/>
          <w:szCs w:val="24"/>
          <w:lang w:val="pt-PT"/>
        </w:rPr>
      </w:pPr>
      <w:r>
        <w:rPr>
          <w:rFonts w:ascii="Garamond" w:hAnsi="Garamond"/>
          <w:sz w:val="24"/>
          <w:szCs w:val="24"/>
          <w:lang w:val="pt-PT"/>
        </w:rPr>
        <w:t>No próximo capítulo proceder-se-á à estimação do modelo proposto.</w:t>
      </w:r>
    </w:p>
    <w:p w14:paraId="0251AEB6" w14:textId="57F691B3" w:rsidR="005B08CC" w:rsidRPr="002C3AEA" w:rsidRDefault="00414574" w:rsidP="00642608">
      <w:pPr>
        <w:spacing w:line="360" w:lineRule="auto"/>
        <w:jc w:val="both"/>
        <w:rPr>
          <w:rFonts w:ascii="Garamond" w:hAnsi="Garamond"/>
          <w:sz w:val="24"/>
          <w:szCs w:val="24"/>
          <w:lang w:val="pt-PT"/>
        </w:rPr>
      </w:pPr>
      <w:r w:rsidRPr="008C6DDC">
        <w:rPr>
          <w:rFonts w:ascii="Garamond" w:hAnsi="Garamond"/>
          <w:sz w:val="24"/>
          <w:szCs w:val="24"/>
          <w:lang w:val="pt-PT"/>
        </w:rPr>
        <w:t xml:space="preserve"> </w:t>
      </w:r>
      <w:r w:rsidR="005B08CC" w:rsidRPr="00AD657C">
        <w:rPr>
          <w:lang w:val="pt-PT"/>
        </w:rPr>
        <w:br w:type="page"/>
      </w:r>
    </w:p>
    <w:p w14:paraId="1DB8E3B1" w14:textId="39FB8CB4" w:rsidR="00345C3B" w:rsidRPr="002D7F08" w:rsidRDefault="00345C3B" w:rsidP="00425911">
      <w:pPr>
        <w:pStyle w:val="TtuloPrincipalTese"/>
      </w:pPr>
      <w:bookmarkStart w:id="43" w:name="_Toc176458057"/>
      <w:r w:rsidRPr="002D7F08">
        <w:lastRenderedPageBreak/>
        <w:t>Análise dos Resultados</w:t>
      </w:r>
      <w:bookmarkEnd w:id="43"/>
    </w:p>
    <w:p w14:paraId="38418843" w14:textId="02BEF4AA" w:rsidR="008C6DDC" w:rsidRDefault="00A425E9" w:rsidP="00AA480B">
      <w:pPr>
        <w:pStyle w:val="TtuloSecundrioTese"/>
      </w:pPr>
      <w:bookmarkStart w:id="44" w:name="_Toc176458058"/>
      <w:r>
        <w:t xml:space="preserve">Análise da </w:t>
      </w:r>
      <w:r w:rsidR="008C6DDC" w:rsidRPr="001A2A0F">
        <w:t>Correlação</w:t>
      </w:r>
      <w:bookmarkEnd w:id="44"/>
    </w:p>
    <w:p w14:paraId="3F92F2A7" w14:textId="163033E9" w:rsidR="00385031" w:rsidRPr="00385031" w:rsidRDefault="00385031" w:rsidP="00385031">
      <w:pPr>
        <w:pStyle w:val="Caption"/>
        <w:keepNext/>
        <w:rPr>
          <w:rFonts w:ascii="Garamond" w:hAnsi="Garamond"/>
          <w:i w:val="0"/>
          <w:iCs w:val="0"/>
          <w:color w:val="auto"/>
        </w:rPr>
      </w:pPr>
      <w:bookmarkStart w:id="45" w:name="_Toc176855916"/>
      <w:r w:rsidRPr="00385031">
        <w:rPr>
          <w:rFonts w:ascii="Garamond" w:hAnsi="Garamond"/>
          <w:b/>
          <w:bCs/>
          <w:i w:val="0"/>
          <w:iCs w:val="0"/>
          <w:color w:val="auto"/>
        </w:rPr>
        <w:t xml:space="preserve">Tabela </w:t>
      </w:r>
      <w:r w:rsidRPr="00385031">
        <w:rPr>
          <w:rFonts w:ascii="Garamond" w:hAnsi="Garamond"/>
          <w:b/>
          <w:bCs/>
          <w:i w:val="0"/>
          <w:iCs w:val="0"/>
          <w:color w:val="auto"/>
        </w:rPr>
        <w:fldChar w:fldCharType="begin"/>
      </w:r>
      <w:r w:rsidRPr="00385031">
        <w:rPr>
          <w:rFonts w:ascii="Garamond" w:hAnsi="Garamond"/>
          <w:b/>
          <w:bCs/>
          <w:i w:val="0"/>
          <w:iCs w:val="0"/>
          <w:color w:val="auto"/>
        </w:rPr>
        <w:instrText xml:space="preserve"> SEQ Tabela \* ARABIC </w:instrText>
      </w:r>
      <w:r w:rsidRPr="00385031">
        <w:rPr>
          <w:rFonts w:ascii="Garamond" w:hAnsi="Garamond"/>
          <w:b/>
          <w:bCs/>
          <w:i w:val="0"/>
          <w:iCs w:val="0"/>
          <w:color w:val="auto"/>
        </w:rPr>
        <w:fldChar w:fldCharType="separate"/>
      </w:r>
      <w:r w:rsidR="00C01B43">
        <w:rPr>
          <w:rFonts w:ascii="Garamond" w:hAnsi="Garamond"/>
          <w:b/>
          <w:bCs/>
          <w:i w:val="0"/>
          <w:iCs w:val="0"/>
          <w:noProof/>
          <w:color w:val="auto"/>
        </w:rPr>
        <w:t>4</w:t>
      </w:r>
      <w:r w:rsidRPr="00385031">
        <w:rPr>
          <w:rFonts w:ascii="Garamond" w:hAnsi="Garamond"/>
          <w:b/>
          <w:bCs/>
          <w:i w:val="0"/>
          <w:iCs w:val="0"/>
          <w:color w:val="auto"/>
        </w:rPr>
        <w:fldChar w:fldCharType="end"/>
      </w:r>
      <w:r w:rsidRPr="00385031">
        <w:rPr>
          <w:rFonts w:ascii="Garamond" w:hAnsi="Garamond"/>
          <w:i w:val="0"/>
          <w:iCs w:val="0"/>
          <w:color w:val="auto"/>
        </w:rPr>
        <w:t xml:space="preserve"> - </w:t>
      </w:r>
      <w:proofErr w:type="spellStart"/>
      <w:r w:rsidRPr="00385031">
        <w:rPr>
          <w:rFonts w:ascii="Garamond" w:hAnsi="Garamond"/>
          <w:i w:val="0"/>
          <w:iCs w:val="0"/>
          <w:color w:val="auto"/>
        </w:rPr>
        <w:t>Correlação</w:t>
      </w:r>
      <w:proofErr w:type="spellEnd"/>
      <w:r w:rsidRPr="00385031">
        <w:rPr>
          <w:rFonts w:ascii="Garamond" w:hAnsi="Garamond"/>
          <w:i w:val="0"/>
          <w:iCs w:val="0"/>
          <w:color w:val="auto"/>
        </w:rPr>
        <w:t xml:space="preserve"> entre </w:t>
      </w:r>
      <w:proofErr w:type="spellStart"/>
      <w:r w:rsidRPr="00385031">
        <w:rPr>
          <w:rFonts w:ascii="Garamond" w:hAnsi="Garamond"/>
          <w:i w:val="0"/>
          <w:iCs w:val="0"/>
          <w:color w:val="auto"/>
        </w:rPr>
        <w:t>variáveis</w:t>
      </w:r>
      <w:bookmarkEnd w:id="45"/>
      <w:proofErr w:type="spellEnd"/>
    </w:p>
    <w:tbl>
      <w:tblPr>
        <w:tblStyle w:val="PlainTable3"/>
        <w:tblW w:w="8503" w:type="dxa"/>
        <w:tblLook w:val="04A0" w:firstRow="1" w:lastRow="0" w:firstColumn="1" w:lastColumn="0" w:noHBand="0" w:noVBand="1"/>
      </w:tblPr>
      <w:tblGrid>
        <w:gridCol w:w="1466"/>
        <w:gridCol w:w="1025"/>
        <w:gridCol w:w="1141"/>
        <w:gridCol w:w="1103"/>
        <w:gridCol w:w="1405"/>
        <w:gridCol w:w="946"/>
        <w:gridCol w:w="1417"/>
      </w:tblGrid>
      <w:tr w:rsidR="00D8060F" w:rsidRPr="009F1BB3" w14:paraId="07920F96" w14:textId="77777777" w:rsidTr="00D8060F">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503" w:type="dxa"/>
            <w:tcBorders>
              <w:top w:val="single" w:sz="4" w:space="0" w:color="auto"/>
              <w:right w:val="single" w:sz="4" w:space="0" w:color="auto"/>
            </w:tcBorders>
            <w:noWrap/>
            <w:hideMark/>
          </w:tcPr>
          <w:p w14:paraId="1F43566A" w14:textId="77777777" w:rsidR="00B7629D" w:rsidRPr="009F1BB3" w:rsidRDefault="00B7629D" w:rsidP="00B7629D">
            <w:pPr>
              <w:spacing w:line="240" w:lineRule="auto"/>
              <w:rPr>
                <w:rFonts w:ascii="Garamond" w:eastAsia="Times New Roman" w:hAnsi="Garamond" w:cs="Calibri"/>
                <w:color w:val="000000"/>
                <w:sz w:val="24"/>
                <w:szCs w:val="24"/>
                <w:lang w:eastAsia="en-GB"/>
              </w:rPr>
            </w:pPr>
            <w:bookmarkStart w:id="46" w:name="_Hlk168500506"/>
            <w:r w:rsidRPr="009F1BB3">
              <w:rPr>
                <w:rFonts w:ascii="Garamond" w:eastAsia="Times New Roman" w:hAnsi="Garamond" w:cs="Calibri"/>
                <w:color w:val="000000"/>
                <w:sz w:val="24"/>
                <w:szCs w:val="24"/>
                <w:lang w:eastAsia="en-GB"/>
              </w:rPr>
              <w:t> </w:t>
            </w:r>
          </w:p>
        </w:tc>
        <w:tc>
          <w:tcPr>
            <w:tcW w:w="1049" w:type="dxa"/>
            <w:tcBorders>
              <w:top w:val="single" w:sz="4" w:space="0" w:color="auto"/>
              <w:left w:val="single" w:sz="4" w:space="0" w:color="auto"/>
            </w:tcBorders>
            <w:noWrap/>
            <w:vAlign w:val="center"/>
            <w:hideMark/>
          </w:tcPr>
          <w:p w14:paraId="7556F300" w14:textId="546E94DC" w:rsidR="00B7629D" w:rsidRPr="009F1BB3" w:rsidRDefault="00B7629D" w:rsidP="00641432">
            <w:pPr>
              <w:spacing w:line="24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4"/>
                <w:szCs w:val="24"/>
                <w:lang w:eastAsia="en-GB"/>
              </w:rPr>
            </w:pPr>
            <m:oMathPara>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it</m:t>
                    </m:r>
                  </m:sub>
                </m:sSub>
              </m:oMath>
            </m:oMathPara>
          </w:p>
        </w:tc>
        <w:tc>
          <w:tcPr>
            <w:tcW w:w="1019" w:type="dxa"/>
            <w:tcBorders>
              <w:top w:val="single" w:sz="4" w:space="0" w:color="auto"/>
            </w:tcBorders>
            <w:noWrap/>
            <w:vAlign w:val="center"/>
            <w:hideMark/>
          </w:tcPr>
          <w:p w14:paraId="23B546AE" w14:textId="3917784B" w:rsidR="00B7629D" w:rsidRPr="009F1BB3" w:rsidRDefault="00B7629D" w:rsidP="00641432">
            <w:pPr>
              <w:spacing w:line="24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4"/>
                <w:szCs w:val="24"/>
                <w:lang w:eastAsia="en-GB"/>
              </w:rPr>
            </w:pPr>
            <m:oMathPara>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i,t</m:t>
                    </m:r>
                    <m:r>
                      <m:rPr>
                        <m:sty m:val="b"/>
                      </m:rPr>
                      <w:rPr>
                        <w:rFonts w:ascii="Cambria Math" w:hAnsi="Cambria Math"/>
                        <w:sz w:val="24"/>
                        <w:szCs w:val="24"/>
                        <w:lang w:val="pt-PT"/>
                      </w:rPr>
                      <m:t>-1</m:t>
                    </m:r>
                  </m:sub>
                </m:sSub>
              </m:oMath>
            </m:oMathPara>
          </w:p>
        </w:tc>
        <w:tc>
          <w:tcPr>
            <w:tcW w:w="1114" w:type="dxa"/>
            <w:tcBorders>
              <w:top w:val="single" w:sz="4" w:space="0" w:color="auto"/>
            </w:tcBorders>
            <w:noWrap/>
            <w:vAlign w:val="center"/>
            <w:hideMark/>
          </w:tcPr>
          <w:p w14:paraId="7C654877" w14:textId="566FFD02" w:rsidR="00B7629D" w:rsidRPr="009F1BB3" w:rsidRDefault="00000000" w:rsidP="00641432">
            <w:pPr>
              <w:spacing w:line="24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4"/>
                <w:szCs w:val="24"/>
                <w:lang w:eastAsia="en-GB"/>
              </w:rPr>
            </w:pPr>
            <m:oMathPara>
              <m:oMath>
                <m:sSub>
                  <m:sSubPr>
                    <m:ctrlPr>
                      <w:rPr>
                        <w:rFonts w:ascii="Cambria Math" w:hAnsi="Cambria Math"/>
                        <w:sz w:val="24"/>
                        <w:szCs w:val="24"/>
                        <w:lang w:val="pt-PT"/>
                      </w:rPr>
                    </m:ctrlPr>
                  </m:sSubPr>
                  <m:e>
                    <m:r>
                      <m:rPr>
                        <m:sty m:val="bi"/>
                      </m:rPr>
                      <w:rPr>
                        <w:rFonts w:ascii="Cambria Math" w:hAnsi="Cambria Math"/>
                        <w:sz w:val="24"/>
                        <w:szCs w:val="24"/>
                        <w:lang w:val="pt-PT"/>
                      </w:rPr>
                      <m:t>MFL</m:t>
                    </m:r>
                  </m:e>
                  <m:sub>
                    <m:r>
                      <m:rPr>
                        <m:sty m:val="bi"/>
                      </m:rPr>
                      <w:rPr>
                        <w:rFonts w:ascii="Cambria Math" w:hAnsi="Cambria Math"/>
                        <w:sz w:val="24"/>
                        <w:szCs w:val="24"/>
                        <w:lang w:val="pt-PT"/>
                      </w:rPr>
                      <m:t>i,t-1</m:t>
                    </m:r>
                  </m:sub>
                </m:sSub>
              </m:oMath>
            </m:oMathPara>
          </w:p>
        </w:tc>
        <w:tc>
          <w:tcPr>
            <w:tcW w:w="1419" w:type="dxa"/>
            <w:tcBorders>
              <w:top w:val="single" w:sz="4" w:space="0" w:color="auto"/>
            </w:tcBorders>
            <w:noWrap/>
            <w:vAlign w:val="center"/>
            <w:hideMark/>
          </w:tcPr>
          <w:p w14:paraId="5499F377" w14:textId="6B8CBB1D" w:rsidR="00B7629D" w:rsidRPr="009F1BB3" w:rsidRDefault="00B7629D" w:rsidP="00641432">
            <w:pPr>
              <w:spacing w:line="24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4"/>
                <w:szCs w:val="24"/>
                <w:lang w:eastAsia="en-GB"/>
              </w:rPr>
            </w:pPr>
            <m:oMathPara>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ENDV</m:t>
                    </m:r>
                  </m:e>
                  <m:sub>
                    <m:r>
                      <m:rPr>
                        <m:sty m:val="bi"/>
                      </m:rPr>
                      <w:rPr>
                        <w:rFonts w:ascii="Cambria Math" w:hAnsi="Cambria Math"/>
                        <w:sz w:val="24"/>
                        <w:szCs w:val="24"/>
                        <w:lang w:val="pt-PT"/>
                      </w:rPr>
                      <m:t>i,t</m:t>
                    </m:r>
                    <m:r>
                      <m:rPr>
                        <m:sty m:val="b"/>
                      </m:rPr>
                      <w:rPr>
                        <w:rFonts w:ascii="Cambria Math" w:hAnsi="Cambria Math"/>
                        <w:sz w:val="24"/>
                        <w:szCs w:val="24"/>
                        <w:lang w:val="pt-PT"/>
                      </w:rPr>
                      <m:t>-1</m:t>
                    </m:r>
                  </m:sub>
                </m:sSub>
              </m:oMath>
            </m:oMathPara>
          </w:p>
        </w:tc>
        <w:tc>
          <w:tcPr>
            <w:tcW w:w="968" w:type="dxa"/>
            <w:tcBorders>
              <w:top w:val="single" w:sz="4" w:space="0" w:color="auto"/>
            </w:tcBorders>
            <w:noWrap/>
            <w:vAlign w:val="center"/>
            <w:hideMark/>
          </w:tcPr>
          <w:p w14:paraId="311E0E59" w14:textId="250823E5" w:rsidR="00B7629D" w:rsidRPr="009F1BB3" w:rsidRDefault="00000000" w:rsidP="00641432">
            <w:pPr>
              <w:spacing w:line="24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4"/>
                <w:szCs w:val="24"/>
                <w:lang w:eastAsia="en-GB"/>
              </w:rPr>
            </w:pPr>
            <m:oMathPara>
              <m:oMath>
                <m:sSub>
                  <m:sSubPr>
                    <m:ctrlPr>
                      <w:rPr>
                        <w:rFonts w:ascii="Cambria Math" w:hAnsi="Cambria Math"/>
                        <w:sz w:val="24"/>
                        <w:szCs w:val="24"/>
                        <w:lang w:val="pt-PT"/>
                      </w:rPr>
                    </m:ctrlPr>
                  </m:sSubPr>
                  <m:e>
                    <m:r>
                      <m:rPr>
                        <m:sty m:val="bi"/>
                      </m:rPr>
                      <w:rPr>
                        <w:rFonts w:ascii="Cambria Math" w:hAnsi="Cambria Math"/>
                        <w:sz w:val="24"/>
                        <w:szCs w:val="24"/>
                        <w:lang w:val="pt-PT"/>
                      </w:rPr>
                      <m:t>AF</m:t>
                    </m:r>
                  </m:e>
                  <m:sub>
                    <m:r>
                      <m:rPr>
                        <m:sty m:val="bi"/>
                      </m:rPr>
                      <w:rPr>
                        <w:rFonts w:ascii="Cambria Math" w:hAnsi="Cambria Math"/>
                        <w:sz w:val="24"/>
                        <w:szCs w:val="24"/>
                        <w:lang w:val="pt-PT"/>
                      </w:rPr>
                      <m:t>it</m:t>
                    </m:r>
                  </m:sub>
                </m:sSub>
              </m:oMath>
            </m:oMathPara>
          </w:p>
        </w:tc>
        <w:tc>
          <w:tcPr>
            <w:tcW w:w="1431" w:type="dxa"/>
            <w:tcBorders>
              <w:top w:val="single" w:sz="4" w:space="0" w:color="auto"/>
            </w:tcBorders>
            <w:noWrap/>
            <w:vAlign w:val="center"/>
            <w:hideMark/>
          </w:tcPr>
          <w:p w14:paraId="6919384F" w14:textId="28639CEA" w:rsidR="00B7629D" w:rsidRPr="009F1BB3" w:rsidRDefault="00B7629D" w:rsidP="00641432">
            <w:pPr>
              <w:spacing w:line="240" w:lineRule="auto"/>
              <w:jc w:val="right"/>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4"/>
                <w:szCs w:val="24"/>
                <w:lang w:eastAsia="en-GB"/>
              </w:rPr>
            </w:pPr>
            <m:oMathPara>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PROD</m:t>
                    </m:r>
                  </m:e>
                  <m:sub>
                    <m:r>
                      <m:rPr>
                        <m:sty m:val="bi"/>
                      </m:rPr>
                      <w:rPr>
                        <w:rFonts w:ascii="Cambria Math" w:hAnsi="Cambria Math"/>
                        <w:sz w:val="24"/>
                        <w:szCs w:val="24"/>
                        <w:lang w:val="pt-PT"/>
                      </w:rPr>
                      <m:t>i,t</m:t>
                    </m:r>
                    <m:r>
                      <m:rPr>
                        <m:sty m:val="b"/>
                      </m:rPr>
                      <w:rPr>
                        <w:rFonts w:ascii="Cambria Math" w:hAnsi="Cambria Math"/>
                        <w:sz w:val="24"/>
                        <w:szCs w:val="24"/>
                        <w:lang w:val="pt-PT"/>
                      </w:rPr>
                      <m:t>-1</m:t>
                    </m:r>
                  </m:sub>
                </m:sSub>
              </m:oMath>
            </m:oMathPara>
          </w:p>
        </w:tc>
      </w:tr>
      <w:bookmarkEnd w:id="46"/>
      <w:tr w:rsidR="00D8060F" w:rsidRPr="009F1BB3" w14:paraId="082CF437" w14:textId="77777777" w:rsidTr="00D80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3" w:type="dxa"/>
            <w:tcBorders>
              <w:bottom w:val="dashSmallGap" w:sz="12" w:space="0" w:color="auto"/>
              <w:right w:val="single" w:sz="4" w:space="0" w:color="auto"/>
            </w:tcBorders>
            <w:shd w:val="clear" w:color="auto" w:fill="auto"/>
            <w:noWrap/>
            <w:hideMark/>
          </w:tcPr>
          <w:p w14:paraId="096C9BA7" w14:textId="028D8F61" w:rsidR="003E32B5" w:rsidRPr="009F1BB3" w:rsidRDefault="003E32B5" w:rsidP="003E32B5">
            <w:pPr>
              <w:spacing w:line="240" w:lineRule="auto"/>
              <w:rPr>
                <w:rFonts w:ascii="Garamond" w:eastAsia="Times New Roman" w:hAnsi="Garamond" w:cs="Calibri"/>
                <w:color w:val="000000"/>
                <w:sz w:val="24"/>
                <w:szCs w:val="24"/>
                <w:lang w:eastAsia="en-GB"/>
              </w:rPr>
            </w:pPr>
            <w:r w:rsidRPr="009F1BB3">
              <w:rPr>
                <w:rFonts w:ascii="Garamond" w:eastAsia="Times New Roman" w:hAnsi="Garamond" w:cs="Times New Roman"/>
                <w:sz w:val="24"/>
                <w:szCs w:val="24"/>
                <w:lang w:val="pt-PT"/>
              </w:rPr>
              <w:t xml:space="preserve"> </w:t>
            </w:r>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it</m:t>
                  </m:r>
                </m:sub>
              </m:sSub>
            </m:oMath>
          </w:p>
        </w:tc>
        <w:tc>
          <w:tcPr>
            <w:tcW w:w="1049" w:type="dxa"/>
            <w:tcBorders>
              <w:top w:val="nil"/>
              <w:left w:val="single" w:sz="4" w:space="0" w:color="auto"/>
              <w:bottom w:val="dashSmallGap" w:sz="12" w:space="0" w:color="auto"/>
              <w:right w:val="nil"/>
            </w:tcBorders>
            <w:shd w:val="clear" w:color="auto" w:fill="auto"/>
            <w:noWrap/>
            <w:vAlign w:val="center"/>
          </w:tcPr>
          <w:p w14:paraId="269C04F3" w14:textId="505EFC2D"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 xml:space="preserve">1.0000 </w:t>
            </w:r>
          </w:p>
        </w:tc>
        <w:tc>
          <w:tcPr>
            <w:tcW w:w="1019" w:type="dxa"/>
            <w:tcBorders>
              <w:top w:val="nil"/>
              <w:left w:val="nil"/>
              <w:bottom w:val="dashSmallGap" w:sz="12" w:space="0" w:color="auto"/>
              <w:right w:val="nil"/>
            </w:tcBorders>
            <w:shd w:val="clear" w:color="auto" w:fill="auto"/>
            <w:noWrap/>
            <w:vAlign w:val="center"/>
          </w:tcPr>
          <w:p w14:paraId="4A76A95B"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p>
        </w:tc>
        <w:tc>
          <w:tcPr>
            <w:tcW w:w="1114" w:type="dxa"/>
            <w:tcBorders>
              <w:top w:val="nil"/>
              <w:left w:val="nil"/>
              <w:bottom w:val="dashSmallGap" w:sz="12" w:space="0" w:color="auto"/>
              <w:right w:val="nil"/>
            </w:tcBorders>
            <w:shd w:val="clear" w:color="auto" w:fill="auto"/>
            <w:noWrap/>
            <w:vAlign w:val="center"/>
          </w:tcPr>
          <w:p w14:paraId="454BE20C"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sz w:val="24"/>
                <w:szCs w:val="24"/>
                <w:lang w:eastAsia="en-GB"/>
              </w:rPr>
            </w:pPr>
          </w:p>
        </w:tc>
        <w:tc>
          <w:tcPr>
            <w:tcW w:w="1419" w:type="dxa"/>
            <w:tcBorders>
              <w:top w:val="nil"/>
              <w:left w:val="nil"/>
              <w:bottom w:val="dashSmallGap" w:sz="12" w:space="0" w:color="auto"/>
              <w:right w:val="nil"/>
            </w:tcBorders>
            <w:shd w:val="clear" w:color="auto" w:fill="auto"/>
            <w:noWrap/>
            <w:vAlign w:val="center"/>
          </w:tcPr>
          <w:p w14:paraId="0B2BC5F9"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sz w:val="24"/>
                <w:szCs w:val="24"/>
                <w:lang w:eastAsia="en-GB"/>
              </w:rPr>
            </w:pPr>
          </w:p>
        </w:tc>
        <w:tc>
          <w:tcPr>
            <w:tcW w:w="968" w:type="dxa"/>
            <w:tcBorders>
              <w:top w:val="nil"/>
              <w:left w:val="nil"/>
              <w:bottom w:val="dashSmallGap" w:sz="12" w:space="0" w:color="auto"/>
              <w:right w:val="nil"/>
            </w:tcBorders>
            <w:shd w:val="clear" w:color="auto" w:fill="auto"/>
            <w:noWrap/>
            <w:vAlign w:val="center"/>
          </w:tcPr>
          <w:p w14:paraId="29568C3E"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sz w:val="24"/>
                <w:szCs w:val="24"/>
                <w:lang w:eastAsia="en-GB"/>
              </w:rPr>
            </w:pPr>
          </w:p>
        </w:tc>
        <w:tc>
          <w:tcPr>
            <w:tcW w:w="1431" w:type="dxa"/>
            <w:tcBorders>
              <w:top w:val="nil"/>
              <w:left w:val="nil"/>
              <w:bottom w:val="dashSmallGap" w:sz="12" w:space="0" w:color="auto"/>
              <w:right w:val="nil"/>
            </w:tcBorders>
            <w:shd w:val="clear" w:color="auto" w:fill="auto"/>
            <w:noWrap/>
            <w:vAlign w:val="center"/>
          </w:tcPr>
          <w:p w14:paraId="784EF57F"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sz w:val="24"/>
                <w:szCs w:val="24"/>
                <w:lang w:eastAsia="en-GB"/>
              </w:rPr>
            </w:pPr>
          </w:p>
        </w:tc>
      </w:tr>
      <w:tr w:rsidR="00D8060F" w:rsidRPr="009F1BB3" w14:paraId="4F389626" w14:textId="77777777" w:rsidTr="00D8060F">
        <w:trPr>
          <w:trHeight w:val="288"/>
        </w:trPr>
        <w:tc>
          <w:tcPr>
            <w:cnfStyle w:val="001000000000" w:firstRow="0" w:lastRow="0" w:firstColumn="1" w:lastColumn="0" w:oddVBand="0" w:evenVBand="0" w:oddHBand="0" w:evenHBand="0" w:firstRowFirstColumn="0" w:firstRowLastColumn="0" w:lastRowFirstColumn="0" w:lastRowLastColumn="0"/>
            <w:tcW w:w="1503" w:type="dxa"/>
            <w:tcBorders>
              <w:top w:val="dashSmallGap" w:sz="12" w:space="0" w:color="auto"/>
              <w:bottom w:val="dashSmallGap" w:sz="12" w:space="0" w:color="auto"/>
              <w:right w:val="single" w:sz="4" w:space="0" w:color="auto"/>
            </w:tcBorders>
            <w:shd w:val="clear" w:color="auto" w:fill="auto"/>
            <w:noWrap/>
            <w:hideMark/>
          </w:tcPr>
          <w:p w14:paraId="3FA184D3" w14:textId="30F2D095" w:rsidR="003E32B5" w:rsidRPr="009F1BB3" w:rsidRDefault="003E32B5" w:rsidP="003E32B5">
            <w:pPr>
              <w:spacing w:line="240" w:lineRule="auto"/>
              <w:rPr>
                <w:rFonts w:ascii="Garamond" w:eastAsia="Times New Roman" w:hAnsi="Garamond" w:cs="Calibri"/>
                <w:color w:val="000000"/>
                <w:sz w:val="24"/>
                <w:szCs w:val="24"/>
                <w:lang w:eastAsia="en-GB"/>
              </w:rPr>
            </w:pPr>
            <w:r w:rsidRPr="009F1BB3">
              <w:rPr>
                <w:rFonts w:ascii="Garamond" w:eastAsia="Times New Roman" w:hAnsi="Garamond" w:cs="Times New Roman"/>
                <w:sz w:val="24"/>
                <w:szCs w:val="24"/>
                <w:lang w:val="pt-PT"/>
              </w:rPr>
              <w:t xml:space="preserve"> </w:t>
            </w:r>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i,t</m:t>
                  </m:r>
                  <m:r>
                    <m:rPr>
                      <m:sty m:val="b"/>
                    </m:rPr>
                    <w:rPr>
                      <w:rFonts w:ascii="Cambria Math" w:hAnsi="Cambria Math"/>
                      <w:sz w:val="24"/>
                      <w:szCs w:val="24"/>
                      <w:lang w:val="pt-PT"/>
                    </w:rPr>
                    <m:t>-1</m:t>
                  </m:r>
                </m:sub>
              </m:sSub>
            </m:oMath>
          </w:p>
        </w:tc>
        <w:tc>
          <w:tcPr>
            <w:tcW w:w="1049" w:type="dxa"/>
            <w:tcBorders>
              <w:top w:val="dashSmallGap" w:sz="12" w:space="0" w:color="auto"/>
              <w:left w:val="single" w:sz="4" w:space="0" w:color="auto"/>
              <w:bottom w:val="dashSmallGap" w:sz="12" w:space="0" w:color="auto"/>
              <w:right w:val="nil"/>
            </w:tcBorders>
            <w:shd w:val="clear" w:color="auto" w:fill="auto"/>
            <w:noWrap/>
            <w:vAlign w:val="center"/>
          </w:tcPr>
          <w:p w14:paraId="327157E3" w14:textId="66FD3D96"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0.0110</w:t>
            </w:r>
          </w:p>
        </w:tc>
        <w:tc>
          <w:tcPr>
            <w:tcW w:w="1019" w:type="dxa"/>
            <w:tcBorders>
              <w:top w:val="dashSmallGap" w:sz="12" w:space="0" w:color="auto"/>
              <w:left w:val="nil"/>
              <w:bottom w:val="dashSmallGap" w:sz="12" w:space="0" w:color="auto"/>
              <w:right w:val="nil"/>
            </w:tcBorders>
            <w:shd w:val="clear" w:color="auto" w:fill="auto"/>
            <w:noWrap/>
            <w:vAlign w:val="center"/>
          </w:tcPr>
          <w:p w14:paraId="41457303" w14:textId="1C308B45"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 xml:space="preserve">1.0000 </w:t>
            </w:r>
          </w:p>
        </w:tc>
        <w:tc>
          <w:tcPr>
            <w:tcW w:w="1114" w:type="dxa"/>
            <w:tcBorders>
              <w:top w:val="dashSmallGap" w:sz="12" w:space="0" w:color="auto"/>
              <w:left w:val="nil"/>
              <w:bottom w:val="dashSmallGap" w:sz="12" w:space="0" w:color="auto"/>
              <w:right w:val="nil"/>
            </w:tcBorders>
            <w:shd w:val="clear" w:color="auto" w:fill="auto"/>
            <w:noWrap/>
            <w:vAlign w:val="center"/>
          </w:tcPr>
          <w:p w14:paraId="205A01E0" w14:textId="7777777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p>
        </w:tc>
        <w:tc>
          <w:tcPr>
            <w:tcW w:w="1419" w:type="dxa"/>
            <w:tcBorders>
              <w:top w:val="dashSmallGap" w:sz="12" w:space="0" w:color="auto"/>
              <w:left w:val="nil"/>
              <w:bottom w:val="dashSmallGap" w:sz="12" w:space="0" w:color="auto"/>
              <w:right w:val="nil"/>
            </w:tcBorders>
            <w:shd w:val="clear" w:color="auto" w:fill="auto"/>
            <w:noWrap/>
            <w:vAlign w:val="center"/>
          </w:tcPr>
          <w:p w14:paraId="3806A24D" w14:textId="7777777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sz w:val="24"/>
                <w:szCs w:val="24"/>
                <w:lang w:eastAsia="en-GB"/>
              </w:rPr>
            </w:pPr>
          </w:p>
        </w:tc>
        <w:tc>
          <w:tcPr>
            <w:tcW w:w="968" w:type="dxa"/>
            <w:tcBorders>
              <w:top w:val="dashSmallGap" w:sz="12" w:space="0" w:color="auto"/>
              <w:left w:val="nil"/>
              <w:bottom w:val="dashSmallGap" w:sz="12" w:space="0" w:color="auto"/>
              <w:right w:val="nil"/>
            </w:tcBorders>
            <w:shd w:val="clear" w:color="auto" w:fill="auto"/>
            <w:noWrap/>
            <w:vAlign w:val="center"/>
          </w:tcPr>
          <w:p w14:paraId="718D3917" w14:textId="7777777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sz w:val="24"/>
                <w:szCs w:val="24"/>
                <w:lang w:eastAsia="en-GB"/>
              </w:rPr>
            </w:pPr>
          </w:p>
        </w:tc>
        <w:tc>
          <w:tcPr>
            <w:tcW w:w="1431" w:type="dxa"/>
            <w:tcBorders>
              <w:top w:val="dashSmallGap" w:sz="12" w:space="0" w:color="auto"/>
              <w:left w:val="nil"/>
              <w:bottom w:val="dashSmallGap" w:sz="12" w:space="0" w:color="auto"/>
              <w:right w:val="nil"/>
            </w:tcBorders>
            <w:shd w:val="clear" w:color="auto" w:fill="auto"/>
            <w:noWrap/>
            <w:vAlign w:val="center"/>
          </w:tcPr>
          <w:p w14:paraId="51D40E62" w14:textId="7777777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sz w:val="24"/>
                <w:szCs w:val="24"/>
                <w:lang w:eastAsia="en-GB"/>
              </w:rPr>
            </w:pPr>
          </w:p>
        </w:tc>
      </w:tr>
      <w:tr w:rsidR="00D8060F" w:rsidRPr="009F1BB3" w14:paraId="5778138F" w14:textId="77777777" w:rsidTr="00D80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3" w:type="dxa"/>
            <w:tcBorders>
              <w:top w:val="dashSmallGap" w:sz="12" w:space="0" w:color="auto"/>
              <w:bottom w:val="dashSmallGap" w:sz="12" w:space="0" w:color="auto"/>
              <w:right w:val="single" w:sz="4" w:space="0" w:color="auto"/>
            </w:tcBorders>
            <w:shd w:val="clear" w:color="auto" w:fill="auto"/>
            <w:noWrap/>
            <w:hideMark/>
          </w:tcPr>
          <w:p w14:paraId="48E513C2" w14:textId="4D58209F" w:rsidR="003E32B5" w:rsidRPr="009F1BB3" w:rsidRDefault="003E32B5" w:rsidP="003E32B5">
            <w:pPr>
              <w:spacing w:line="240" w:lineRule="auto"/>
              <w:rPr>
                <w:rFonts w:ascii="Garamond" w:eastAsia="Times New Roman" w:hAnsi="Garamond" w:cs="Calibri"/>
                <w:color w:val="000000"/>
                <w:sz w:val="24"/>
                <w:szCs w:val="24"/>
                <w:lang w:eastAsia="en-GB"/>
              </w:rPr>
            </w:pPr>
            <w:r w:rsidRPr="009F1BB3">
              <w:rPr>
                <w:rFonts w:ascii="Garamond" w:eastAsia="Times New Roman" w:hAnsi="Garamond" w:cs="Times New Roman"/>
                <w:sz w:val="24"/>
                <w:szCs w:val="24"/>
                <w:lang w:val="pt-PT"/>
              </w:rPr>
              <w:t xml:space="preserve"> </w:t>
            </w:r>
            <m:oMath>
              <m:r>
                <m:rPr>
                  <m:sty m:val="bi"/>
                </m:rPr>
                <w:rPr>
                  <w:rFonts w:ascii="Cambria Math" w:hAnsi="Cambria Math"/>
                  <w:sz w:val="24"/>
                  <w:szCs w:val="24"/>
                  <w:lang w:val="pt-PT"/>
                </w:rPr>
                <m:t xml:space="preserve"> </m:t>
              </m:r>
              <m:sSub>
                <m:sSubPr>
                  <m:ctrlPr>
                    <w:rPr>
                      <w:rFonts w:ascii="Cambria Math" w:hAnsi="Cambria Math"/>
                      <w:sz w:val="24"/>
                      <w:szCs w:val="24"/>
                      <w:lang w:val="pt-PT"/>
                    </w:rPr>
                  </m:ctrlPr>
                </m:sSubPr>
                <m:e>
                  <m:r>
                    <m:rPr>
                      <m:sty m:val="bi"/>
                    </m:rPr>
                    <w:rPr>
                      <w:rFonts w:ascii="Cambria Math" w:hAnsi="Cambria Math"/>
                      <w:sz w:val="24"/>
                      <w:szCs w:val="24"/>
                      <w:lang w:val="pt-PT"/>
                    </w:rPr>
                    <m:t>MFL</m:t>
                  </m:r>
                </m:e>
                <m:sub>
                  <m:r>
                    <m:rPr>
                      <m:sty m:val="bi"/>
                    </m:rPr>
                    <w:rPr>
                      <w:rFonts w:ascii="Cambria Math" w:hAnsi="Cambria Math"/>
                      <w:sz w:val="24"/>
                      <w:szCs w:val="24"/>
                      <w:lang w:val="pt-PT"/>
                    </w:rPr>
                    <m:t>i,t-1</m:t>
                  </m:r>
                </m:sub>
              </m:sSub>
            </m:oMath>
          </w:p>
        </w:tc>
        <w:tc>
          <w:tcPr>
            <w:tcW w:w="1049" w:type="dxa"/>
            <w:tcBorders>
              <w:top w:val="dashSmallGap" w:sz="12" w:space="0" w:color="auto"/>
              <w:left w:val="single" w:sz="4" w:space="0" w:color="auto"/>
              <w:bottom w:val="dashSmallGap" w:sz="12" w:space="0" w:color="auto"/>
              <w:right w:val="nil"/>
            </w:tcBorders>
            <w:shd w:val="clear" w:color="auto" w:fill="auto"/>
            <w:noWrap/>
            <w:vAlign w:val="center"/>
          </w:tcPr>
          <w:p w14:paraId="1733DF28" w14:textId="0D5B9F80"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0.0041</w:t>
            </w:r>
          </w:p>
        </w:tc>
        <w:tc>
          <w:tcPr>
            <w:tcW w:w="1019" w:type="dxa"/>
            <w:tcBorders>
              <w:top w:val="dashSmallGap" w:sz="12" w:space="0" w:color="auto"/>
              <w:left w:val="nil"/>
              <w:bottom w:val="dashSmallGap" w:sz="12" w:space="0" w:color="auto"/>
              <w:right w:val="nil"/>
            </w:tcBorders>
            <w:shd w:val="clear" w:color="auto" w:fill="auto"/>
            <w:noWrap/>
            <w:vAlign w:val="center"/>
          </w:tcPr>
          <w:p w14:paraId="3C04C7AA" w14:textId="0F02A54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-0.0018</w:t>
            </w:r>
          </w:p>
        </w:tc>
        <w:tc>
          <w:tcPr>
            <w:tcW w:w="1114" w:type="dxa"/>
            <w:tcBorders>
              <w:top w:val="dashSmallGap" w:sz="12" w:space="0" w:color="auto"/>
              <w:left w:val="nil"/>
              <w:bottom w:val="dashSmallGap" w:sz="12" w:space="0" w:color="auto"/>
              <w:right w:val="nil"/>
            </w:tcBorders>
            <w:shd w:val="clear" w:color="auto" w:fill="auto"/>
            <w:noWrap/>
            <w:vAlign w:val="center"/>
          </w:tcPr>
          <w:p w14:paraId="1E6C9F33" w14:textId="738B5BF9"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 xml:space="preserve">1.0000 </w:t>
            </w:r>
          </w:p>
        </w:tc>
        <w:tc>
          <w:tcPr>
            <w:tcW w:w="1419" w:type="dxa"/>
            <w:tcBorders>
              <w:top w:val="dashSmallGap" w:sz="12" w:space="0" w:color="auto"/>
              <w:left w:val="nil"/>
              <w:bottom w:val="dashSmallGap" w:sz="12" w:space="0" w:color="auto"/>
              <w:right w:val="nil"/>
            </w:tcBorders>
            <w:shd w:val="clear" w:color="auto" w:fill="auto"/>
            <w:noWrap/>
            <w:vAlign w:val="center"/>
          </w:tcPr>
          <w:p w14:paraId="48242438"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p>
        </w:tc>
        <w:tc>
          <w:tcPr>
            <w:tcW w:w="968" w:type="dxa"/>
            <w:tcBorders>
              <w:top w:val="dashSmallGap" w:sz="12" w:space="0" w:color="auto"/>
              <w:left w:val="nil"/>
              <w:bottom w:val="dashSmallGap" w:sz="12" w:space="0" w:color="auto"/>
              <w:right w:val="nil"/>
            </w:tcBorders>
            <w:shd w:val="clear" w:color="auto" w:fill="auto"/>
            <w:noWrap/>
            <w:vAlign w:val="center"/>
          </w:tcPr>
          <w:p w14:paraId="2D8E5721"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sz w:val="24"/>
                <w:szCs w:val="24"/>
                <w:lang w:eastAsia="en-GB"/>
              </w:rPr>
            </w:pPr>
          </w:p>
        </w:tc>
        <w:tc>
          <w:tcPr>
            <w:tcW w:w="1431" w:type="dxa"/>
            <w:tcBorders>
              <w:top w:val="dashSmallGap" w:sz="12" w:space="0" w:color="auto"/>
              <w:left w:val="nil"/>
              <w:bottom w:val="dashSmallGap" w:sz="12" w:space="0" w:color="auto"/>
              <w:right w:val="nil"/>
            </w:tcBorders>
            <w:shd w:val="clear" w:color="auto" w:fill="auto"/>
            <w:noWrap/>
            <w:vAlign w:val="center"/>
          </w:tcPr>
          <w:p w14:paraId="48B15E36"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sz w:val="24"/>
                <w:szCs w:val="24"/>
                <w:lang w:eastAsia="en-GB"/>
              </w:rPr>
            </w:pPr>
          </w:p>
        </w:tc>
      </w:tr>
      <w:tr w:rsidR="00D8060F" w:rsidRPr="009F1BB3" w14:paraId="242D6F64" w14:textId="77777777" w:rsidTr="00D8060F">
        <w:trPr>
          <w:trHeight w:val="288"/>
        </w:trPr>
        <w:tc>
          <w:tcPr>
            <w:cnfStyle w:val="001000000000" w:firstRow="0" w:lastRow="0" w:firstColumn="1" w:lastColumn="0" w:oddVBand="0" w:evenVBand="0" w:oddHBand="0" w:evenHBand="0" w:firstRowFirstColumn="0" w:firstRowLastColumn="0" w:lastRowFirstColumn="0" w:lastRowLastColumn="0"/>
            <w:tcW w:w="1503" w:type="dxa"/>
            <w:tcBorders>
              <w:top w:val="dashSmallGap" w:sz="12" w:space="0" w:color="auto"/>
              <w:bottom w:val="dashSmallGap" w:sz="12" w:space="0" w:color="auto"/>
              <w:right w:val="single" w:sz="4" w:space="0" w:color="auto"/>
            </w:tcBorders>
            <w:shd w:val="clear" w:color="auto" w:fill="auto"/>
            <w:noWrap/>
            <w:hideMark/>
          </w:tcPr>
          <w:p w14:paraId="34933BE7" w14:textId="3B6C00BA" w:rsidR="003E32B5" w:rsidRPr="009F1BB3" w:rsidRDefault="003E32B5" w:rsidP="003E32B5">
            <w:pPr>
              <w:spacing w:line="240" w:lineRule="auto"/>
              <w:rPr>
                <w:rFonts w:ascii="Garamond" w:eastAsia="Times New Roman" w:hAnsi="Garamond" w:cs="Calibri"/>
                <w:color w:val="000000"/>
                <w:sz w:val="24"/>
                <w:szCs w:val="24"/>
                <w:lang w:eastAsia="en-GB"/>
              </w:rPr>
            </w:pPr>
            <w:r w:rsidRPr="009F1BB3">
              <w:rPr>
                <w:rFonts w:ascii="Garamond" w:eastAsia="Times New Roman" w:hAnsi="Garamond" w:cs="Times New Roman"/>
                <w:sz w:val="24"/>
                <w:szCs w:val="24"/>
                <w:lang w:val="pt-PT"/>
              </w:rPr>
              <w:t xml:space="preserve"> </w:t>
            </w:r>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ENDV</m:t>
                  </m:r>
                </m:e>
                <m:sub>
                  <m:r>
                    <m:rPr>
                      <m:sty m:val="bi"/>
                    </m:rPr>
                    <w:rPr>
                      <w:rFonts w:ascii="Cambria Math" w:hAnsi="Cambria Math"/>
                      <w:sz w:val="24"/>
                      <w:szCs w:val="24"/>
                      <w:lang w:val="pt-PT"/>
                    </w:rPr>
                    <m:t>i,t</m:t>
                  </m:r>
                  <m:r>
                    <m:rPr>
                      <m:sty m:val="b"/>
                    </m:rPr>
                    <w:rPr>
                      <w:rFonts w:ascii="Cambria Math" w:hAnsi="Cambria Math"/>
                      <w:sz w:val="24"/>
                      <w:szCs w:val="24"/>
                      <w:lang w:val="pt-PT"/>
                    </w:rPr>
                    <m:t>-1</m:t>
                  </m:r>
                </m:sub>
              </m:sSub>
            </m:oMath>
          </w:p>
        </w:tc>
        <w:tc>
          <w:tcPr>
            <w:tcW w:w="1049" w:type="dxa"/>
            <w:tcBorders>
              <w:top w:val="dashSmallGap" w:sz="12" w:space="0" w:color="auto"/>
              <w:left w:val="single" w:sz="4" w:space="0" w:color="auto"/>
              <w:bottom w:val="dashSmallGap" w:sz="12" w:space="0" w:color="auto"/>
              <w:right w:val="nil"/>
            </w:tcBorders>
            <w:shd w:val="clear" w:color="auto" w:fill="auto"/>
            <w:noWrap/>
            <w:vAlign w:val="center"/>
          </w:tcPr>
          <w:p w14:paraId="0F6DD66D" w14:textId="44544EBA"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-0.0032</w:t>
            </w:r>
          </w:p>
        </w:tc>
        <w:tc>
          <w:tcPr>
            <w:tcW w:w="1019" w:type="dxa"/>
            <w:tcBorders>
              <w:top w:val="dashSmallGap" w:sz="12" w:space="0" w:color="auto"/>
              <w:left w:val="nil"/>
              <w:bottom w:val="dashSmallGap" w:sz="12" w:space="0" w:color="auto"/>
              <w:right w:val="nil"/>
            </w:tcBorders>
            <w:shd w:val="clear" w:color="auto" w:fill="auto"/>
            <w:noWrap/>
            <w:vAlign w:val="center"/>
          </w:tcPr>
          <w:p w14:paraId="03C7CE58" w14:textId="715D055E"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-0.0031</w:t>
            </w:r>
          </w:p>
        </w:tc>
        <w:tc>
          <w:tcPr>
            <w:tcW w:w="1114" w:type="dxa"/>
            <w:tcBorders>
              <w:top w:val="dashSmallGap" w:sz="12" w:space="0" w:color="auto"/>
              <w:left w:val="nil"/>
              <w:bottom w:val="dashSmallGap" w:sz="12" w:space="0" w:color="auto"/>
              <w:right w:val="nil"/>
            </w:tcBorders>
            <w:shd w:val="clear" w:color="auto" w:fill="auto"/>
            <w:noWrap/>
            <w:vAlign w:val="center"/>
          </w:tcPr>
          <w:p w14:paraId="2343C908" w14:textId="18A3D226"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-0.0053</w:t>
            </w:r>
          </w:p>
        </w:tc>
        <w:tc>
          <w:tcPr>
            <w:tcW w:w="1419" w:type="dxa"/>
            <w:tcBorders>
              <w:top w:val="dashSmallGap" w:sz="12" w:space="0" w:color="auto"/>
              <w:left w:val="nil"/>
              <w:bottom w:val="dashSmallGap" w:sz="12" w:space="0" w:color="auto"/>
              <w:right w:val="nil"/>
            </w:tcBorders>
            <w:shd w:val="clear" w:color="auto" w:fill="auto"/>
            <w:noWrap/>
            <w:vAlign w:val="center"/>
          </w:tcPr>
          <w:p w14:paraId="7A84012F" w14:textId="5FC1BDF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 xml:space="preserve">1.0000 </w:t>
            </w:r>
          </w:p>
        </w:tc>
        <w:tc>
          <w:tcPr>
            <w:tcW w:w="968" w:type="dxa"/>
            <w:tcBorders>
              <w:top w:val="dashSmallGap" w:sz="12" w:space="0" w:color="auto"/>
              <w:left w:val="nil"/>
              <w:bottom w:val="dashSmallGap" w:sz="12" w:space="0" w:color="auto"/>
              <w:right w:val="nil"/>
            </w:tcBorders>
            <w:shd w:val="clear" w:color="auto" w:fill="auto"/>
            <w:noWrap/>
            <w:vAlign w:val="center"/>
          </w:tcPr>
          <w:p w14:paraId="352E5AA4" w14:textId="7777777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p>
        </w:tc>
        <w:tc>
          <w:tcPr>
            <w:tcW w:w="1431" w:type="dxa"/>
            <w:tcBorders>
              <w:top w:val="dashSmallGap" w:sz="12" w:space="0" w:color="auto"/>
              <w:left w:val="nil"/>
              <w:bottom w:val="dashSmallGap" w:sz="12" w:space="0" w:color="auto"/>
              <w:right w:val="nil"/>
            </w:tcBorders>
            <w:shd w:val="clear" w:color="auto" w:fill="auto"/>
            <w:noWrap/>
            <w:vAlign w:val="center"/>
          </w:tcPr>
          <w:p w14:paraId="4E581514" w14:textId="77777777"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sz w:val="24"/>
                <w:szCs w:val="24"/>
                <w:lang w:eastAsia="en-GB"/>
              </w:rPr>
            </w:pPr>
          </w:p>
        </w:tc>
      </w:tr>
      <w:tr w:rsidR="00D8060F" w:rsidRPr="009F1BB3" w14:paraId="3AF68021" w14:textId="77777777" w:rsidTr="00D80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3" w:type="dxa"/>
            <w:tcBorders>
              <w:top w:val="dashSmallGap" w:sz="12" w:space="0" w:color="auto"/>
              <w:bottom w:val="dashSmallGap" w:sz="12" w:space="0" w:color="auto"/>
              <w:right w:val="single" w:sz="4" w:space="0" w:color="auto"/>
            </w:tcBorders>
            <w:shd w:val="clear" w:color="auto" w:fill="auto"/>
            <w:noWrap/>
            <w:hideMark/>
          </w:tcPr>
          <w:p w14:paraId="7E1721F8" w14:textId="3964C46D" w:rsidR="003E32B5" w:rsidRPr="009F1BB3" w:rsidRDefault="003E32B5" w:rsidP="003E32B5">
            <w:pPr>
              <w:spacing w:line="240" w:lineRule="auto"/>
              <w:rPr>
                <w:rFonts w:ascii="Garamond" w:eastAsia="Times New Roman" w:hAnsi="Garamond" w:cs="Calibri"/>
                <w:color w:val="000000"/>
                <w:sz w:val="24"/>
                <w:szCs w:val="24"/>
                <w:lang w:eastAsia="en-GB"/>
              </w:rPr>
            </w:pPr>
            <w:r w:rsidRPr="009F1BB3">
              <w:rPr>
                <w:rFonts w:ascii="Garamond" w:eastAsia="Times New Roman" w:hAnsi="Garamond" w:cs="Times New Roman"/>
                <w:sz w:val="24"/>
                <w:szCs w:val="24"/>
                <w:lang w:val="pt-PT"/>
              </w:rPr>
              <w:t xml:space="preserve"> </w:t>
            </w:r>
            <m:oMath>
              <m:sSub>
                <m:sSubPr>
                  <m:ctrlPr>
                    <w:rPr>
                      <w:rFonts w:ascii="Cambria Math" w:hAnsi="Cambria Math"/>
                      <w:sz w:val="24"/>
                      <w:szCs w:val="24"/>
                      <w:lang w:val="pt-PT"/>
                    </w:rPr>
                  </m:ctrlPr>
                </m:sSubPr>
                <m:e>
                  <m:r>
                    <m:rPr>
                      <m:sty m:val="bi"/>
                    </m:rPr>
                    <w:rPr>
                      <w:rFonts w:ascii="Cambria Math" w:hAnsi="Cambria Math"/>
                      <w:sz w:val="24"/>
                      <w:szCs w:val="24"/>
                      <w:lang w:val="pt-PT"/>
                    </w:rPr>
                    <m:t>AF</m:t>
                  </m:r>
                </m:e>
                <m:sub>
                  <m:r>
                    <m:rPr>
                      <m:sty m:val="bi"/>
                    </m:rPr>
                    <w:rPr>
                      <w:rFonts w:ascii="Cambria Math" w:hAnsi="Cambria Math"/>
                      <w:sz w:val="24"/>
                      <w:szCs w:val="24"/>
                      <w:lang w:val="pt-PT"/>
                    </w:rPr>
                    <m:t>it</m:t>
                  </m:r>
                </m:sub>
              </m:sSub>
            </m:oMath>
          </w:p>
        </w:tc>
        <w:tc>
          <w:tcPr>
            <w:tcW w:w="1049" w:type="dxa"/>
            <w:tcBorders>
              <w:top w:val="dashSmallGap" w:sz="12" w:space="0" w:color="auto"/>
              <w:left w:val="single" w:sz="4" w:space="0" w:color="auto"/>
              <w:bottom w:val="dashSmallGap" w:sz="12" w:space="0" w:color="auto"/>
              <w:right w:val="nil"/>
            </w:tcBorders>
            <w:shd w:val="clear" w:color="auto" w:fill="auto"/>
            <w:noWrap/>
            <w:vAlign w:val="center"/>
          </w:tcPr>
          <w:p w14:paraId="587F34B5" w14:textId="26A1957B"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0.0274</w:t>
            </w:r>
          </w:p>
        </w:tc>
        <w:tc>
          <w:tcPr>
            <w:tcW w:w="1019" w:type="dxa"/>
            <w:tcBorders>
              <w:top w:val="dashSmallGap" w:sz="12" w:space="0" w:color="auto"/>
              <w:left w:val="nil"/>
              <w:bottom w:val="dashSmallGap" w:sz="12" w:space="0" w:color="auto"/>
              <w:right w:val="nil"/>
            </w:tcBorders>
            <w:shd w:val="clear" w:color="auto" w:fill="auto"/>
            <w:noWrap/>
            <w:vAlign w:val="center"/>
          </w:tcPr>
          <w:p w14:paraId="2315E949" w14:textId="1FF066FA"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0.0045</w:t>
            </w:r>
          </w:p>
        </w:tc>
        <w:tc>
          <w:tcPr>
            <w:tcW w:w="1114" w:type="dxa"/>
            <w:tcBorders>
              <w:top w:val="dashSmallGap" w:sz="12" w:space="0" w:color="auto"/>
              <w:left w:val="nil"/>
              <w:bottom w:val="dashSmallGap" w:sz="12" w:space="0" w:color="auto"/>
              <w:right w:val="nil"/>
            </w:tcBorders>
            <w:shd w:val="clear" w:color="auto" w:fill="auto"/>
            <w:noWrap/>
            <w:vAlign w:val="center"/>
          </w:tcPr>
          <w:p w14:paraId="1AA34DB8" w14:textId="64AB4FBF"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0.0290</w:t>
            </w:r>
          </w:p>
        </w:tc>
        <w:tc>
          <w:tcPr>
            <w:tcW w:w="1419" w:type="dxa"/>
            <w:tcBorders>
              <w:top w:val="dashSmallGap" w:sz="12" w:space="0" w:color="auto"/>
              <w:left w:val="nil"/>
              <w:bottom w:val="dashSmallGap" w:sz="12" w:space="0" w:color="auto"/>
              <w:right w:val="nil"/>
            </w:tcBorders>
            <w:shd w:val="clear" w:color="auto" w:fill="auto"/>
            <w:noWrap/>
            <w:vAlign w:val="center"/>
          </w:tcPr>
          <w:p w14:paraId="05E9482A" w14:textId="1B1F44CE"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-0.0257</w:t>
            </w:r>
          </w:p>
        </w:tc>
        <w:tc>
          <w:tcPr>
            <w:tcW w:w="968" w:type="dxa"/>
            <w:tcBorders>
              <w:top w:val="dashSmallGap" w:sz="12" w:space="0" w:color="auto"/>
              <w:left w:val="nil"/>
              <w:bottom w:val="dashSmallGap" w:sz="12" w:space="0" w:color="auto"/>
              <w:right w:val="nil"/>
            </w:tcBorders>
            <w:shd w:val="clear" w:color="auto" w:fill="auto"/>
            <w:noWrap/>
            <w:vAlign w:val="center"/>
          </w:tcPr>
          <w:p w14:paraId="61822F33" w14:textId="199F5453"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 xml:space="preserve">1.0000 </w:t>
            </w:r>
          </w:p>
        </w:tc>
        <w:tc>
          <w:tcPr>
            <w:tcW w:w="1431" w:type="dxa"/>
            <w:tcBorders>
              <w:top w:val="dashSmallGap" w:sz="12" w:space="0" w:color="auto"/>
              <w:left w:val="nil"/>
              <w:bottom w:val="dashSmallGap" w:sz="12" w:space="0" w:color="auto"/>
              <w:right w:val="nil"/>
            </w:tcBorders>
            <w:shd w:val="clear" w:color="auto" w:fill="auto"/>
            <w:noWrap/>
            <w:vAlign w:val="center"/>
          </w:tcPr>
          <w:p w14:paraId="5A599D5B" w14:textId="77777777" w:rsidR="003E32B5" w:rsidRPr="009F1BB3" w:rsidRDefault="003E32B5" w:rsidP="009F1BB3">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4"/>
                <w:szCs w:val="24"/>
                <w:lang w:eastAsia="en-GB"/>
              </w:rPr>
            </w:pPr>
          </w:p>
        </w:tc>
      </w:tr>
      <w:tr w:rsidR="00D8060F" w:rsidRPr="009F1BB3" w14:paraId="1713EBA5" w14:textId="77777777" w:rsidTr="00D8060F">
        <w:trPr>
          <w:trHeight w:val="288"/>
        </w:trPr>
        <w:tc>
          <w:tcPr>
            <w:cnfStyle w:val="001000000000" w:firstRow="0" w:lastRow="0" w:firstColumn="1" w:lastColumn="0" w:oddVBand="0" w:evenVBand="0" w:oddHBand="0" w:evenHBand="0" w:firstRowFirstColumn="0" w:firstRowLastColumn="0" w:lastRowFirstColumn="0" w:lastRowLastColumn="0"/>
            <w:tcW w:w="1503" w:type="dxa"/>
            <w:tcBorders>
              <w:top w:val="dashSmallGap" w:sz="12" w:space="0" w:color="auto"/>
              <w:bottom w:val="single" w:sz="4" w:space="0" w:color="auto"/>
              <w:right w:val="single" w:sz="4" w:space="0" w:color="auto"/>
            </w:tcBorders>
            <w:shd w:val="clear" w:color="auto" w:fill="auto"/>
            <w:noWrap/>
            <w:hideMark/>
          </w:tcPr>
          <w:p w14:paraId="1D9E4430" w14:textId="7792733D" w:rsidR="003E32B5" w:rsidRPr="009F1BB3" w:rsidRDefault="003E32B5" w:rsidP="003E32B5">
            <w:pPr>
              <w:spacing w:line="240" w:lineRule="auto"/>
              <w:rPr>
                <w:rFonts w:ascii="Garamond" w:eastAsia="Times New Roman" w:hAnsi="Garamond" w:cs="Calibri"/>
                <w:color w:val="000000"/>
                <w:sz w:val="24"/>
                <w:szCs w:val="24"/>
                <w:lang w:eastAsia="en-GB"/>
              </w:rPr>
            </w:pPr>
            <w:r w:rsidRPr="009F1BB3">
              <w:rPr>
                <w:rFonts w:ascii="Garamond" w:eastAsia="Times New Roman" w:hAnsi="Garamond" w:cs="Times New Roman"/>
                <w:sz w:val="24"/>
                <w:szCs w:val="24"/>
                <w:lang w:val="pt-PT"/>
              </w:rPr>
              <w:t xml:space="preserve"> </w:t>
            </w:r>
            <m:oMath>
              <m:r>
                <m:rPr>
                  <m:sty m:val="b"/>
                </m:rPr>
                <w:rPr>
                  <w:rFonts w:ascii="Cambria Math" w:hAnsi="Cambria Math"/>
                  <w:sz w:val="24"/>
                  <w:szCs w:val="24"/>
                  <w:lang w:val="pt-PT"/>
                </w:rPr>
                <m:t>∆</m:t>
              </m:r>
              <m:sSub>
                <m:sSubPr>
                  <m:ctrlPr>
                    <w:rPr>
                      <w:rFonts w:ascii="Cambria Math" w:hAnsi="Cambria Math"/>
                      <w:sz w:val="24"/>
                      <w:szCs w:val="24"/>
                      <w:lang w:val="pt-PT"/>
                    </w:rPr>
                  </m:ctrlPr>
                </m:sSubPr>
                <m:e>
                  <m:r>
                    <m:rPr>
                      <m:sty m:val="bi"/>
                    </m:rPr>
                    <w:rPr>
                      <w:rFonts w:ascii="Cambria Math" w:hAnsi="Cambria Math"/>
                      <w:sz w:val="24"/>
                      <w:szCs w:val="24"/>
                      <w:lang w:val="pt-PT"/>
                    </w:rPr>
                    <m:t>PROD</m:t>
                  </m:r>
                </m:e>
                <m:sub>
                  <m:r>
                    <m:rPr>
                      <m:sty m:val="bi"/>
                    </m:rPr>
                    <w:rPr>
                      <w:rFonts w:ascii="Cambria Math" w:hAnsi="Cambria Math"/>
                      <w:sz w:val="24"/>
                      <w:szCs w:val="24"/>
                      <w:lang w:val="pt-PT"/>
                    </w:rPr>
                    <m:t>i,t</m:t>
                  </m:r>
                  <m:r>
                    <m:rPr>
                      <m:sty m:val="b"/>
                    </m:rPr>
                    <w:rPr>
                      <w:rFonts w:ascii="Cambria Math" w:hAnsi="Cambria Math"/>
                      <w:sz w:val="24"/>
                      <w:szCs w:val="24"/>
                      <w:lang w:val="pt-PT"/>
                    </w:rPr>
                    <m:t>-1</m:t>
                  </m:r>
                </m:sub>
              </m:sSub>
            </m:oMath>
          </w:p>
        </w:tc>
        <w:tc>
          <w:tcPr>
            <w:tcW w:w="1049" w:type="dxa"/>
            <w:tcBorders>
              <w:top w:val="dashSmallGap" w:sz="12" w:space="0" w:color="auto"/>
              <w:left w:val="single" w:sz="4" w:space="0" w:color="auto"/>
              <w:bottom w:val="single" w:sz="4" w:space="0" w:color="auto"/>
              <w:right w:val="nil"/>
            </w:tcBorders>
            <w:shd w:val="clear" w:color="auto" w:fill="auto"/>
            <w:noWrap/>
            <w:vAlign w:val="center"/>
          </w:tcPr>
          <w:p w14:paraId="5BAAA2E1" w14:textId="1072C48E"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-0.0142</w:t>
            </w:r>
          </w:p>
        </w:tc>
        <w:tc>
          <w:tcPr>
            <w:tcW w:w="1019" w:type="dxa"/>
            <w:tcBorders>
              <w:top w:val="dashSmallGap" w:sz="12" w:space="0" w:color="auto"/>
              <w:left w:val="nil"/>
              <w:bottom w:val="single" w:sz="4" w:space="0" w:color="auto"/>
              <w:right w:val="nil"/>
            </w:tcBorders>
            <w:shd w:val="clear" w:color="auto" w:fill="auto"/>
            <w:noWrap/>
            <w:vAlign w:val="center"/>
          </w:tcPr>
          <w:p w14:paraId="3C37697B" w14:textId="1DEB2B3E"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0.0223</w:t>
            </w:r>
          </w:p>
        </w:tc>
        <w:tc>
          <w:tcPr>
            <w:tcW w:w="1114" w:type="dxa"/>
            <w:tcBorders>
              <w:top w:val="dashSmallGap" w:sz="12" w:space="0" w:color="auto"/>
              <w:left w:val="nil"/>
              <w:bottom w:val="single" w:sz="4" w:space="0" w:color="auto"/>
              <w:right w:val="nil"/>
            </w:tcBorders>
            <w:shd w:val="clear" w:color="auto" w:fill="auto"/>
            <w:noWrap/>
            <w:vAlign w:val="center"/>
          </w:tcPr>
          <w:p w14:paraId="34D6620F" w14:textId="61E6B114"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0.0231</w:t>
            </w:r>
          </w:p>
        </w:tc>
        <w:tc>
          <w:tcPr>
            <w:tcW w:w="1419" w:type="dxa"/>
            <w:tcBorders>
              <w:top w:val="dashSmallGap" w:sz="12" w:space="0" w:color="auto"/>
              <w:left w:val="nil"/>
              <w:bottom w:val="single" w:sz="4" w:space="0" w:color="auto"/>
              <w:right w:val="nil"/>
            </w:tcBorders>
            <w:shd w:val="clear" w:color="auto" w:fill="auto"/>
            <w:noWrap/>
            <w:vAlign w:val="center"/>
          </w:tcPr>
          <w:p w14:paraId="1F7CB324" w14:textId="6A243803"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-0.0797</w:t>
            </w:r>
          </w:p>
        </w:tc>
        <w:tc>
          <w:tcPr>
            <w:tcW w:w="968" w:type="dxa"/>
            <w:tcBorders>
              <w:top w:val="dashSmallGap" w:sz="12" w:space="0" w:color="auto"/>
              <w:left w:val="nil"/>
              <w:bottom w:val="single" w:sz="4" w:space="0" w:color="auto"/>
              <w:right w:val="nil"/>
            </w:tcBorders>
            <w:shd w:val="clear" w:color="auto" w:fill="auto"/>
            <w:noWrap/>
            <w:vAlign w:val="center"/>
          </w:tcPr>
          <w:p w14:paraId="0DF12FD1" w14:textId="0A85AC93"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-0.0001</w:t>
            </w:r>
          </w:p>
        </w:tc>
        <w:tc>
          <w:tcPr>
            <w:tcW w:w="1431" w:type="dxa"/>
            <w:tcBorders>
              <w:top w:val="dashSmallGap" w:sz="12" w:space="0" w:color="auto"/>
              <w:left w:val="nil"/>
              <w:bottom w:val="single" w:sz="4" w:space="0" w:color="auto"/>
              <w:right w:val="nil"/>
            </w:tcBorders>
            <w:shd w:val="clear" w:color="auto" w:fill="auto"/>
            <w:noWrap/>
            <w:vAlign w:val="center"/>
          </w:tcPr>
          <w:p w14:paraId="78C42031" w14:textId="453A42F1" w:rsidR="003E32B5" w:rsidRPr="009F1BB3" w:rsidRDefault="003E32B5" w:rsidP="009F1BB3">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4"/>
                <w:szCs w:val="24"/>
                <w:lang w:eastAsia="en-GB"/>
              </w:rPr>
            </w:pPr>
            <w:r w:rsidRPr="009F1BB3">
              <w:rPr>
                <w:rFonts w:ascii="Garamond" w:hAnsi="Garamond" w:cs="Calibri"/>
                <w:color w:val="000000"/>
                <w:sz w:val="24"/>
                <w:szCs w:val="24"/>
              </w:rPr>
              <w:t xml:space="preserve">1.0000 </w:t>
            </w:r>
          </w:p>
        </w:tc>
      </w:tr>
    </w:tbl>
    <w:p w14:paraId="3420EC9C" w14:textId="77777777" w:rsidR="00B7629D" w:rsidRDefault="00B7629D" w:rsidP="000942BF">
      <w:pPr>
        <w:spacing w:line="360" w:lineRule="auto"/>
        <w:rPr>
          <w:rFonts w:ascii="Garamond" w:hAnsi="Garamond"/>
          <w:b/>
          <w:bCs/>
          <w:sz w:val="24"/>
          <w:szCs w:val="24"/>
          <w:lang w:val="pt-PT"/>
        </w:rPr>
      </w:pPr>
    </w:p>
    <w:p w14:paraId="089ECFD3" w14:textId="334DC31C" w:rsidR="008C6DDC" w:rsidRDefault="008C6DDC" w:rsidP="00642608">
      <w:pPr>
        <w:spacing w:line="360" w:lineRule="auto"/>
        <w:jc w:val="both"/>
        <w:rPr>
          <w:rFonts w:ascii="Garamond" w:hAnsi="Garamond"/>
          <w:sz w:val="24"/>
          <w:szCs w:val="24"/>
          <w:lang w:val="pt-PT"/>
        </w:rPr>
      </w:pPr>
      <w:r w:rsidRPr="008C6DDC">
        <w:rPr>
          <w:rFonts w:ascii="Garamond" w:hAnsi="Garamond"/>
          <w:sz w:val="24"/>
          <w:szCs w:val="24"/>
          <w:lang w:val="pt-PT"/>
        </w:rPr>
        <w:t>Os coeficientes de correlação indicam que</w:t>
      </w:r>
      <w:r w:rsidR="004E6CC7">
        <w:rPr>
          <w:rFonts w:ascii="Garamond" w:hAnsi="Garamond"/>
          <w:sz w:val="24"/>
          <w:szCs w:val="24"/>
          <w:lang w:val="pt-PT"/>
        </w:rPr>
        <w:t xml:space="preserve"> há uma correlação negativa</w:t>
      </w:r>
      <w:r w:rsidRPr="008C6DDC">
        <w:rPr>
          <w:rFonts w:ascii="Garamond" w:hAnsi="Garamond"/>
          <w:sz w:val="24"/>
          <w:szCs w:val="24"/>
          <w:lang w:val="pt-PT"/>
        </w:rPr>
        <w:t xml:space="preserve"> entre</w:t>
      </w:r>
      <w:r w:rsidR="00AE476A">
        <w:rPr>
          <w:rFonts w:ascii="Garamond" w:hAnsi="Garamond"/>
          <w:sz w:val="24"/>
          <w:szCs w:val="24"/>
          <w:lang w:val="pt-PT"/>
        </w:rPr>
        <w:t xml:space="preserve"> as variáveis</w:t>
      </w:r>
      <w:r w:rsidRPr="008C6DDC">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3E32B5">
        <w:rPr>
          <w:rFonts w:ascii="Garamond" w:hAnsi="Garamond"/>
          <w:sz w:val="24"/>
          <w:szCs w:val="24"/>
          <w:lang w:val="pt-PT"/>
        </w:rPr>
        <w:t xml:space="preserve"> </w:t>
      </w:r>
      <w:r w:rsidRPr="008C6DDC">
        <w:rPr>
          <w:rFonts w:ascii="Garamond" w:hAnsi="Garamond"/>
          <w:sz w:val="24"/>
          <w:szCs w:val="24"/>
          <w:lang w:val="pt-PT"/>
        </w:rPr>
        <w:t xml:space="preserve">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8C6DDC">
        <w:rPr>
          <w:rFonts w:ascii="Garamond" w:hAnsi="Garamond"/>
          <w:sz w:val="24"/>
          <w:szCs w:val="24"/>
          <w:lang w:val="pt-PT"/>
        </w:rPr>
        <w:t xml:space="preserve"> (</w:t>
      </w:r>
      <w:r w:rsidR="003E32B5">
        <w:rPr>
          <w:rFonts w:ascii="Garamond" w:hAnsi="Garamond"/>
          <w:sz w:val="24"/>
          <w:szCs w:val="24"/>
          <w:lang w:val="pt-PT"/>
        </w:rPr>
        <w:t>-0.0797</w:t>
      </w:r>
      <w:r w:rsidRPr="008C6DDC">
        <w:rPr>
          <w:rFonts w:ascii="Garamond" w:hAnsi="Garamond"/>
          <w:sz w:val="24"/>
          <w:szCs w:val="24"/>
          <w:lang w:val="pt-PT"/>
        </w:rPr>
        <w:t>), indicando que um aumento n</w:t>
      </w:r>
      <w:r w:rsidR="003E32B5">
        <w:rPr>
          <w:rFonts w:ascii="Garamond" w:hAnsi="Garamond"/>
          <w:sz w:val="24"/>
          <w:szCs w:val="24"/>
          <w:lang w:val="pt-PT"/>
        </w:rPr>
        <w:t>a</w:t>
      </w:r>
      <w:r w:rsidRPr="008C6DDC">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703C0E" w:rsidRPr="003E32B5">
        <w:rPr>
          <w:rFonts w:ascii="Garamond" w:hAnsi="Garamond"/>
          <w:bCs/>
          <w:sz w:val="24"/>
          <w:szCs w:val="24"/>
          <w:lang w:val="pt-PT"/>
        </w:rPr>
        <w:t xml:space="preserve"> </w:t>
      </w:r>
      <w:r w:rsidR="005A5785">
        <w:rPr>
          <w:rFonts w:ascii="Garamond" w:hAnsi="Garamond"/>
          <w:sz w:val="24"/>
          <w:szCs w:val="24"/>
          <w:lang w:val="pt-PT"/>
        </w:rPr>
        <w:t xml:space="preserve"> </w:t>
      </w:r>
      <w:r w:rsidRPr="008C6DDC">
        <w:rPr>
          <w:rFonts w:ascii="Garamond" w:hAnsi="Garamond"/>
          <w:sz w:val="24"/>
          <w:szCs w:val="24"/>
          <w:lang w:val="pt-PT"/>
        </w:rPr>
        <w:t xml:space="preserve">está associado a um aumento na Variação da Produção </w:t>
      </w:r>
      <w:r w:rsidR="00AD472B">
        <w:rPr>
          <w:rFonts w:ascii="Garamond" w:hAnsi="Garamond"/>
          <w:sz w:val="24"/>
          <w:szCs w:val="24"/>
          <w:lang w:val="pt-PT"/>
        </w:rPr>
        <w:t>d</w:t>
      </w:r>
      <w:r w:rsidRPr="008C6DDC">
        <w:rPr>
          <w:rFonts w:ascii="Garamond" w:hAnsi="Garamond"/>
          <w:sz w:val="24"/>
          <w:szCs w:val="24"/>
          <w:lang w:val="pt-PT"/>
        </w:rPr>
        <w:t xml:space="preserve">o </w:t>
      </w:r>
      <w:r w:rsidR="00AD472B">
        <w:rPr>
          <w:rFonts w:ascii="Garamond" w:hAnsi="Garamond"/>
          <w:sz w:val="24"/>
          <w:szCs w:val="24"/>
          <w:lang w:val="pt-PT"/>
        </w:rPr>
        <w:t>ano</w:t>
      </w:r>
      <w:r w:rsidRPr="008C6DDC">
        <w:rPr>
          <w:rFonts w:ascii="Garamond" w:hAnsi="Garamond"/>
          <w:sz w:val="24"/>
          <w:szCs w:val="24"/>
          <w:lang w:val="pt-PT"/>
        </w:rPr>
        <w:t xml:space="preserve"> anterior.</w:t>
      </w:r>
    </w:p>
    <w:p w14:paraId="4F979038" w14:textId="25DADDF6" w:rsidR="008C6DDC" w:rsidRPr="008C6DDC" w:rsidRDefault="00AD472B" w:rsidP="00642608">
      <w:pPr>
        <w:spacing w:line="360" w:lineRule="auto"/>
        <w:jc w:val="both"/>
        <w:rPr>
          <w:rFonts w:ascii="Garamond" w:hAnsi="Garamond"/>
          <w:sz w:val="24"/>
          <w:szCs w:val="24"/>
          <w:lang w:val="pt-PT"/>
        </w:rPr>
      </w:pPr>
      <w:r>
        <w:rPr>
          <w:rFonts w:ascii="Garamond" w:hAnsi="Garamond"/>
          <w:sz w:val="24"/>
          <w:szCs w:val="24"/>
          <w:lang w:val="pt-PT"/>
        </w:rPr>
        <w:t xml:space="preserve">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8C6DDC" w:rsidRPr="008C6DDC">
        <w:rPr>
          <w:rFonts w:ascii="Garamond" w:hAnsi="Garamond"/>
          <w:sz w:val="24"/>
          <w:szCs w:val="24"/>
          <w:lang w:val="pt-PT"/>
        </w:rPr>
        <w:t xml:space="preserve"> apresenta uma correlação </w:t>
      </w:r>
      <w:r w:rsidR="003E32B5">
        <w:rPr>
          <w:rFonts w:ascii="Garamond" w:hAnsi="Garamond"/>
          <w:sz w:val="24"/>
          <w:szCs w:val="24"/>
          <w:lang w:val="pt-PT"/>
        </w:rPr>
        <w:t>positiva</w:t>
      </w:r>
      <w:r w:rsidR="008C6DDC" w:rsidRPr="008C6DDC">
        <w:rPr>
          <w:rFonts w:ascii="Garamond" w:hAnsi="Garamond"/>
          <w:sz w:val="24"/>
          <w:szCs w:val="24"/>
          <w:lang w:val="pt-PT"/>
        </w:rPr>
        <w:t xml:space="preserve"> </w:t>
      </w:r>
      <w:r w:rsidR="008C6DDC" w:rsidRPr="003E32B5">
        <w:rPr>
          <w:rFonts w:ascii="Garamond" w:hAnsi="Garamond"/>
          <w:sz w:val="24"/>
          <w:szCs w:val="24"/>
          <w:lang w:val="pt-PT"/>
        </w:rPr>
        <w:t>com</w:t>
      </w:r>
      <w:r w:rsidR="003E32B5" w:rsidRPr="003E32B5">
        <w:rPr>
          <w:rFonts w:ascii="Garamond" w:hAnsi="Garamond"/>
          <w:sz w:val="24"/>
          <w:szCs w:val="24"/>
          <w:lang w:val="pt-PT"/>
        </w:rPr>
        <w:t xml:space="preserve"> </w:t>
      </w:r>
      <w:r w:rsidR="003E32B5">
        <w:rPr>
          <w:rFonts w:ascii="Garamond" w:hAnsi="Garamond"/>
          <w:sz w:val="24"/>
          <w:szCs w:val="24"/>
          <w:lang w:val="pt-PT"/>
        </w:rPr>
        <w:t xml:space="preserve">a </w:t>
      </w: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3E32B5">
        <w:rPr>
          <w:rFonts w:ascii="Garamond" w:hAnsi="Garamond"/>
          <w:sz w:val="24"/>
          <w:szCs w:val="24"/>
          <w:lang w:val="pt-PT"/>
        </w:rPr>
        <w:t xml:space="preserve"> (</w:t>
      </w:r>
      <w:r w:rsidR="003E32B5" w:rsidRPr="003E32B5">
        <w:rPr>
          <w:rFonts w:ascii="Garamond" w:hAnsi="Garamond"/>
          <w:sz w:val="24"/>
          <w:szCs w:val="24"/>
          <w:lang w:val="pt-PT"/>
        </w:rPr>
        <w:t>0.0274</w:t>
      </w:r>
      <w:r w:rsidR="003E32B5">
        <w:rPr>
          <w:rFonts w:ascii="Garamond" w:hAnsi="Garamond"/>
          <w:sz w:val="24"/>
          <w:szCs w:val="24"/>
          <w:lang w:val="pt-PT"/>
        </w:rPr>
        <w:t xml:space="preserve">). </w:t>
      </w:r>
      <w:r w:rsidR="003E32B5" w:rsidRPr="003E32B5">
        <w:rPr>
          <w:rFonts w:ascii="Garamond" w:hAnsi="Garamond"/>
          <w:sz w:val="24"/>
          <w:szCs w:val="24"/>
          <w:lang w:val="pt-PT"/>
        </w:rPr>
        <w:t>Esta correlação sugere que um aumento na capacidade d</w:t>
      </w:r>
      <w:r w:rsidR="003E32B5">
        <w:rPr>
          <w:rFonts w:ascii="Garamond" w:hAnsi="Garamond"/>
          <w:sz w:val="24"/>
          <w:szCs w:val="24"/>
          <w:lang w:val="pt-PT"/>
        </w:rPr>
        <w:t>e autonomia financeira</w:t>
      </w:r>
      <w:r w:rsidR="003E32B5" w:rsidRPr="003E32B5">
        <w:rPr>
          <w:rFonts w:ascii="Garamond" w:hAnsi="Garamond"/>
          <w:sz w:val="24"/>
          <w:szCs w:val="24"/>
          <w:lang w:val="pt-PT"/>
        </w:rPr>
        <w:t xml:space="preserve"> </w:t>
      </w:r>
      <w:r w:rsidR="003E32B5">
        <w:rPr>
          <w:rFonts w:ascii="Garamond" w:hAnsi="Garamond"/>
          <w:sz w:val="24"/>
          <w:szCs w:val="24"/>
          <w:lang w:val="pt-PT"/>
        </w:rPr>
        <w:t xml:space="preserve">no ano </w:t>
      </w:r>
      <w:r w:rsidR="003E32B5" w:rsidRPr="003E32B5">
        <w:rPr>
          <w:rFonts w:ascii="Garamond" w:hAnsi="Garamond"/>
          <w:i/>
          <w:iCs/>
          <w:sz w:val="24"/>
          <w:szCs w:val="24"/>
          <w:lang w:val="pt-PT"/>
        </w:rPr>
        <w:t>t</w:t>
      </w:r>
      <w:r w:rsidR="003E32B5">
        <w:rPr>
          <w:rFonts w:ascii="Garamond" w:hAnsi="Garamond"/>
          <w:sz w:val="24"/>
          <w:szCs w:val="24"/>
          <w:lang w:val="pt-PT"/>
        </w:rPr>
        <w:t xml:space="preserve"> </w:t>
      </w:r>
      <w:r w:rsidR="003E32B5" w:rsidRPr="003E32B5">
        <w:rPr>
          <w:rFonts w:ascii="Garamond" w:hAnsi="Garamond"/>
          <w:sz w:val="24"/>
          <w:szCs w:val="24"/>
          <w:lang w:val="pt-PT"/>
        </w:rPr>
        <w:t>está ligeiramente associado a um aumento na variação do investimento</w:t>
      </w:r>
      <w:r w:rsidR="003E32B5">
        <w:rPr>
          <w:rFonts w:ascii="Garamond" w:hAnsi="Garamond"/>
          <w:sz w:val="24"/>
          <w:szCs w:val="24"/>
          <w:lang w:val="pt-PT"/>
        </w:rPr>
        <w:t xml:space="preserve"> no ano </w:t>
      </w:r>
      <w:r w:rsidR="003E32B5" w:rsidRPr="003E32B5">
        <w:rPr>
          <w:rFonts w:ascii="Garamond" w:hAnsi="Garamond"/>
          <w:i/>
          <w:iCs/>
          <w:sz w:val="24"/>
          <w:szCs w:val="24"/>
          <w:lang w:val="pt-PT"/>
        </w:rPr>
        <w:t>t</w:t>
      </w:r>
      <w:r w:rsidR="004E6CC7">
        <w:rPr>
          <w:rFonts w:ascii="Garamond" w:hAnsi="Garamond"/>
          <w:sz w:val="24"/>
          <w:szCs w:val="24"/>
          <w:lang w:val="pt-PT"/>
        </w:rPr>
        <w:t>.</w:t>
      </w:r>
    </w:p>
    <w:p w14:paraId="1383B0C6" w14:textId="2D70AFED" w:rsidR="00190F72" w:rsidRDefault="00190F72" w:rsidP="00642608">
      <w:pPr>
        <w:spacing w:line="360" w:lineRule="auto"/>
        <w:jc w:val="both"/>
        <w:rPr>
          <w:rFonts w:ascii="Garamond" w:hAnsi="Garamond"/>
          <w:sz w:val="24"/>
          <w:szCs w:val="24"/>
          <w:lang w:val="pt-PT"/>
        </w:rPr>
      </w:pPr>
      <w:r>
        <w:rPr>
          <w:rFonts w:ascii="Garamond" w:hAnsi="Garamond"/>
          <w:sz w:val="24"/>
          <w:szCs w:val="24"/>
          <w:lang w:val="pt-PT"/>
        </w:rPr>
        <w:t>Assim, estes</w:t>
      </w:r>
      <w:r w:rsidR="008C6DDC" w:rsidRPr="008C6DDC">
        <w:rPr>
          <w:rFonts w:ascii="Garamond" w:hAnsi="Garamond"/>
          <w:sz w:val="24"/>
          <w:szCs w:val="24"/>
          <w:lang w:val="pt-PT"/>
        </w:rPr>
        <w:t xml:space="preserve"> resultados sugerem que as variáveis explicativas escolhidas são relativamente independentes umas das outras, o que é positivo para a análise de regressão, pois reduz a preocupação com a </w:t>
      </w:r>
      <w:proofErr w:type="spellStart"/>
      <w:r w:rsidR="008C6DDC" w:rsidRPr="008C6DDC">
        <w:rPr>
          <w:rFonts w:ascii="Garamond" w:hAnsi="Garamond"/>
          <w:sz w:val="24"/>
          <w:szCs w:val="24"/>
          <w:lang w:val="pt-PT"/>
        </w:rPr>
        <w:t>multicolinearidade</w:t>
      </w:r>
      <w:proofErr w:type="spellEnd"/>
      <w:r w:rsidR="008C6DDC" w:rsidRPr="008C6DDC">
        <w:rPr>
          <w:rFonts w:ascii="Garamond" w:hAnsi="Garamond"/>
          <w:sz w:val="24"/>
          <w:szCs w:val="24"/>
          <w:lang w:val="pt-PT"/>
        </w:rPr>
        <w:t xml:space="preserve">. </w:t>
      </w:r>
      <w:r w:rsidR="004E6CC7">
        <w:rPr>
          <w:rFonts w:ascii="Garamond" w:hAnsi="Garamond"/>
          <w:sz w:val="24"/>
          <w:szCs w:val="24"/>
          <w:lang w:val="pt-PT"/>
        </w:rPr>
        <w:t>Estas correlações</w:t>
      </w:r>
      <w:r w:rsidR="008C6DDC" w:rsidRPr="008C6DDC">
        <w:rPr>
          <w:rFonts w:ascii="Garamond" w:hAnsi="Garamond"/>
          <w:sz w:val="24"/>
          <w:szCs w:val="24"/>
          <w:lang w:val="pt-PT"/>
        </w:rPr>
        <w:t xml:space="preserve"> também indicam que cada variável pode fornecer informações distintas sobre a variação do investimento</w:t>
      </w:r>
      <w:r w:rsidR="003E32B5">
        <w:rPr>
          <w:rFonts w:ascii="Garamond" w:hAnsi="Garamond"/>
          <w:sz w:val="24"/>
          <w:szCs w:val="24"/>
          <w:lang w:val="pt-PT"/>
        </w:rPr>
        <w:t xml:space="preserve"> no ano </w:t>
      </w:r>
      <w:r w:rsidR="003E32B5" w:rsidRPr="003E32B5">
        <w:rPr>
          <w:rFonts w:ascii="Garamond" w:hAnsi="Garamond"/>
          <w:i/>
          <w:iCs/>
          <w:sz w:val="24"/>
          <w:szCs w:val="24"/>
          <w:lang w:val="pt-PT"/>
        </w:rPr>
        <w:t>t</w:t>
      </w:r>
      <w:r w:rsidR="008C6DDC" w:rsidRPr="008C6DDC">
        <w:rPr>
          <w:rFonts w:ascii="Garamond" w:hAnsi="Garamond"/>
          <w:sz w:val="24"/>
          <w:szCs w:val="24"/>
          <w:lang w:val="pt-PT"/>
        </w:rPr>
        <w:t>.</w:t>
      </w:r>
    </w:p>
    <w:p w14:paraId="1E5C6D8D" w14:textId="77777777" w:rsidR="00BF3061" w:rsidRDefault="00BF3061" w:rsidP="00642608">
      <w:pPr>
        <w:spacing w:line="360" w:lineRule="auto"/>
        <w:jc w:val="both"/>
        <w:rPr>
          <w:rFonts w:ascii="Garamond" w:hAnsi="Garamond"/>
          <w:sz w:val="24"/>
          <w:szCs w:val="24"/>
          <w:lang w:val="pt-PT"/>
        </w:rPr>
      </w:pPr>
    </w:p>
    <w:p w14:paraId="20A4D941" w14:textId="5345DA20" w:rsidR="00BF3061" w:rsidRDefault="00F50B3E" w:rsidP="00642608">
      <w:pPr>
        <w:pStyle w:val="TtuloSecundrioTese"/>
        <w:jc w:val="both"/>
      </w:pPr>
      <w:bookmarkStart w:id="47" w:name="_Toc176458059"/>
      <w:r>
        <w:t>Teste H</w:t>
      </w:r>
      <w:r w:rsidR="00F851E2">
        <w:t>a</w:t>
      </w:r>
      <w:r>
        <w:t>usman</w:t>
      </w:r>
      <w:bookmarkEnd w:id="47"/>
    </w:p>
    <w:p w14:paraId="4AD61EF2" w14:textId="1672E472" w:rsidR="00F50B3E" w:rsidRPr="00C27027" w:rsidRDefault="008E685F" w:rsidP="00642608">
      <w:pPr>
        <w:spacing w:line="360" w:lineRule="auto"/>
        <w:jc w:val="both"/>
        <w:rPr>
          <w:rFonts w:ascii="Garamond" w:hAnsi="Garamond"/>
          <w:sz w:val="24"/>
          <w:szCs w:val="24"/>
          <w:lang w:val="pt-PT"/>
        </w:rPr>
      </w:pPr>
      <w:r w:rsidRPr="00C27027">
        <w:rPr>
          <w:rFonts w:ascii="Garamond" w:hAnsi="Garamond"/>
          <w:sz w:val="24"/>
          <w:szCs w:val="24"/>
          <w:lang w:val="pt-PT"/>
        </w:rPr>
        <w:t xml:space="preserve">Para determinar o modelo mais adequado para a análise dos dados de painel, realizamos o teste de Hausman, que é uma ferramenta estatística utilizada para decidir entre modelos de efeitos fixos (FE) e efeitos aleatórios (RE). Este teste avalia a consistência e a eficiência dos estimadores sob as duas especificações do modelo. O teste de Hausman testa a hipótese nula de que as diferenças entre os coeficientes dos modelos FE e RE não são sistemáticas. Em termos práticos, se a hipótese nula não for rejeitada, o modelo de efeitos aleatórios é </w:t>
      </w:r>
      <w:r w:rsidRPr="00C27027">
        <w:rPr>
          <w:rFonts w:ascii="Garamond" w:hAnsi="Garamond"/>
          <w:sz w:val="24"/>
          <w:szCs w:val="24"/>
          <w:lang w:val="pt-PT"/>
        </w:rPr>
        <w:lastRenderedPageBreak/>
        <w:t>preferível, pois é mais eficiente. No entanto, se a hipótese nula for rejeitada, o modelo de efeitos fixos é considerado mais consistente e, portanto, preferível.</w:t>
      </w:r>
    </w:p>
    <w:p w14:paraId="6E36F423" w14:textId="63AEF1FF" w:rsidR="008E685F" w:rsidRPr="00C27027" w:rsidRDefault="004C349B" w:rsidP="00642608">
      <w:pPr>
        <w:spacing w:line="360" w:lineRule="auto"/>
        <w:jc w:val="both"/>
        <w:rPr>
          <w:rFonts w:ascii="Garamond" w:hAnsi="Garamond"/>
          <w:sz w:val="24"/>
          <w:szCs w:val="24"/>
          <w:lang w:val="pt-PT"/>
        </w:rPr>
      </w:pPr>
      <w:r w:rsidRPr="00C27027">
        <w:rPr>
          <w:rFonts w:ascii="Garamond" w:hAnsi="Garamond"/>
          <w:sz w:val="24"/>
          <w:szCs w:val="24"/>
          <w:lang w:val="pt-PT"/>
        </w:rPr>
        <w:t xml:space="preserve">Os resultados do teste de Hausman demonstraram que chi2(6) = </w:t>
      </w:r>
      <w:r w:rsidR="00BC2AA9" w:rsidRPr="00BC2AA9">
        <w:rPr>
          <w:rFonts w:ascii="Garamond" w:hAnsi="Garamond"/>
          <w:sz w:val="24"/>
          <w:szCs w:val="24"/>
          <w:lang w:val="pt-PT"/>
        </w:rPr>
        <w:t>32587.92</w:t>
      </w:r>
      <w:r w:rsidRPr="00C27027">
        <w:rPr>
          <w:rFonts w:ascii="Garamond" w:hAnsi="Garamond"/>
          <w:sz w:val="24"/>
          <w:szCs w:val="24"/>
          <w:lang w:val="pt-PT"/>
        </w:rPr>
        <w:t xml:space="preserve"> e Prob &gt; chi2 = 0.0000. O valor p muito baixo (0.0000) indica que devemos rejeitar a hipótese nula. Isso significa que as diferenças entre os coeficientes dos modelos FE e RE são sistemáticas. Portanto, concluí</w:t>
      </w:r>
      <w:r w:rsidR="00507497" w:rsidRPr="00C27027">
        <w:rPr>
          <w:rFonts w:ascii="Garamond" w:hAnsi="Garamond"/>
          <w:sz w:val="24"/>
          <w:szCs w:val="24"/>
          <w:lang w:val="pt-PT"/>
        </w:rPr>
        <w:t>mos</w:t>
      </w:r>
      <w:r w:rsidRPr="00C27027">
        <w:rPr>
          <w:rFonts w:ascii="Garamond" w:hAnsi="Garamond"/>
          <w:sz w:val="24"/>
          <w:szCs w:val="24"/>
          <w:lang w:val="pt-PT"/>
        </w:rPr>
        <w:t xml:space="preserve"> que o modelo de efeitos fixos é preferível para a análise dos dados, uma vez que fornece estimativas mais consistentes.</w:t>
      </w:r>
    </w:p>
    <w:p w14:paraId="0A6D8BC9" w14:textId="7D2B1856" w:rsidR="004C349B" w:rsidRPr="00C27027" w:rsidRDefault="004C349B" w:rsidP="00642608">
      <w:pPr>
        <w:spacing w:line="360" w:lineRule="auto"/>
        <w:jc w:val="both"/>
        <w:rPr>
          <w:rFonts w:ascii="Garamond" w:hAnsi="Garamond"/>
          <w:sz w:val="24"/>
          <w:szCs w:val="24"/>
          <w:lang w:val="pt-PT"/>
        </w:rPr>
      </w:pPr>
      <w:r w:rsidRPr="00C27027">
        <w:rPr>
          <w:rFonts w:ascii="Garamond" w:hAnsi="Garamond"/>
          <w:sz w:val="24"/>
          <w:szCs w:val="24"/>
          <w:lang w:val="pt-PT"/>
        </w:rPr>
        <w:t>Com base nos resultados do teste de Hausman, optamos por utilizar o modelo de efeitos fixos para as análises subsequentes. Este modelo permite controlar por características não observáveis que são constantes ao longo do tempo, garantindo assim uma análise mais robusta das variáveis explicativas e do impacto do benefício fiscal na variação do investimento.</w:t>
      </w:r>
    </w:p>
    <w:p w14:paraId="48736F26" w14:textId="77777777" w:rsidR="000555C2" w:rsidRPr="000555C2" w:rsidRDefault="000555C2" w:rsidP="00642608">
      <w:pPr>
        <w:spacing w:line="360" w:lineRule="auto"/>
        <w:jc w:val="both"/>
        <w:rPr>
          <w:rFonts w:ascii="Garamond" w:hAnsi="Garamond"/>
          <w:sz w:val="24"/>
          <w:szCs w:val="24"/>
          <w:highlight w:val="yellow"/>
          <w:lang w:val="pt-PT"/>
        </w:rPr>
      </w:pPr>
    </w:p>
    <w:p w14:paraId="4FEDE67D" w14:textId="26E59D77" w:rsidR="0034150F" w:rsidRDefault="0034150F" w:rsidP="00642608">
      <w:pPr>
        <w:pStyle w:val="TtuloSecundrioTese"/>
        <w:jc w:val="both"/>
      </w:pPr>
      <w:bookmarkStart w:id="48" w:name="_Toc176458060"/>
      <w:r>
        <w:t xml:space="preserve">Análise do Modelo de Regressão com Efeitos </w:t>
      </w:r>
      <w:r w:rsidR="006F34A7">
        <w:t>Fixos</w:t>
      </w:r>
      <w:bookmarkEnd w:id="48"/>
    </w:p>
    <w:p w14:paraId="63AA5314" w14:textId="4D66848A" w:rsidR="0034150F" w:rsidRDefault="00E74BC3" w:rsidP="00642608">
      <w:pPr>
        <w:spacing w:line="360" w:lineRule="auto"/>
        <w:jc w:val="both"/>
        <w:rPr>
          <w:rFonts w:ascii="Garamond" w:hAnsi="Garamond"/>
          <w:sz w:val="24"/>
          <w:szCs w:val="24"/>
          <w:lang w:val="pt-PT"/>
        </w:rPr>
      </w:pPr>
      <w:r>
        <w:rPr>
          <w:rFonts w:ascii="Garamond" w:hAnsi="Garamond"/>
          <w:sz w:val="24"/>
          <w:szCs w:val="24"/>
          <w:lang w:val="pt-PT"/>
        </w:rPr>
        <w:t xml:space="preserve">O objetivo desta secção </w:t>
      </w:r>
      <w:r w:rsidRPr="00E74BC3">
        <w:rPr>
          <w:rFonts w:ascii="Garamond" w:hAnsi="Garamond"/>
          <w:sz w:val="24"/>
          <w:szCs w:val="24"/>
          <w:lang w:val="pt-PT"/>
        </w:rPr>
        <w:t>é analisar a evidência empírica resultante da estimação do modelo proposto.</w:t>
      </w:r>
      <w:r w:rsidR="0034150F" w:rsidRPr="0034150F">
        <w:rPr>
          <w:rFonts w:ascii="Garamond" w:hAnsi="Garamond"/>
          <w:sz w:val="24"/>
          <w:szCs w:val="24"/>
          <w:lang w:val="pt-PT"/>
        </w:rPr>
        <w:t xml:space="preserve"> A variável dependente </w:t>
      </w:r>
      <w:r>
        <w:rPr>
          <w:rFonts w:ascii="Garamond" w:hAnsi="Garamond"/>
          <w:sz w:val="24"/>
          <w:szCs w:val="24"/>
          <w:lang w:val="pt-PT"/>
        </w:rPr>
        <w:t>é</w:t>
      </w:r>
      <w:r w:rsidR="0034150F" w:rsidRPr="0034150F">
        <w:rPr>
          <w:rFonts w:ascii="Garamond" w:hAnsi="Garamond"/>
          <w:sz w:val="24"/>
          <w:szCs w:val="24"/>
          <w:lang w:val="pt-PT"/>
        </w:rPr>
        <w:t xml:space="preserve"> a</w:t>
      </w:r>
      <w:r>
        <w:rPr>
          <w:rFonts w:ascii="Garamond" w:hAnsi="Garamond"/>
          <w:sz w:val="24"/>
          <w:szCs w:val="24"/>
          <w:lang w:val="pt-PT"/>
        </w:rPr>
        <w:t xml:space="preserve"> variável</w:t>
      </w:r>
      <w:r w:rsidR="0034150F" w:rsidRPr="0034150F">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sidR="0034150F" w:rsidRPr="0034150F">
        <w:rPr>
          <w:rFonts w:ascii="Garamond" w:hAnsi="Garamond"/>
          <w:sz w:val="24"/>
          <w:szCs w:val="24"/>
          <w:lang w:val="pt-PT"/>
        </w:rPr>
        <w:t>, e as variáveis independentes inclu</w:t>
      </w:r>
      <w:r>
        <w:rPr>
          <w:rFonts w:ascii="Garamond" w:hAnsi="Garamond"/>
          <w:sz w:val="24"/>
          <w:szCs w:val="24"/>
          <w:lang w:val="pt-PT"/>
        </w:rPr>
        <w:t>em</w:t>
      </w:r>
      <w:r w:rsidR="0034150F" w:rsidRPr="0034150F">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34150F" w:rsidRPr="0034150F">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0034150F" w:rsidRPr="0034150F">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34150F" w:rsidRPr="0034150F">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34150F" w:rsidRPr="0034150F">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004D6043">
        <w:rPr>
          <w:rFonts w:ascii="Garamond" w:hAnsi="Garamond"/>
          <w:sz w:val="24"/>
          <w:szCs w:val="24"/>
          <w:lang w:val="pt-PT"/>
        </w:rPr>
        <w:t xml:space="preserve">, </w:t>
      </w:r>
      <w:r w:rsidR="0034150F" w:rsidRPr="0034150F">
        <w:rPr>
          <w:rFonts w:ascii="Garamond" w:hAnsi="Garamond"/>
          <w:sz w:val="24"/>
          <w:szCs w:val="24"/>
          <w:lang w:val="pt-PT"/>
        </w:rPr>
        <w:t xml:space="preserve">uma variável dummy </w:t>
      </w:r>
      <w:r w:rsidR="009E4F01">
        <w:rPr>
          <w:rFonts w:ascii="Garamond" w:hAnsi="Garamond"/>
          <w:sz w:val="24"/>
          <w:szCs w:val="24"/>
          <w:lang w:val="pt-PT"/>
        </w:rPr>
        <w:t>que representa</w:t>
      </w:r>
      <w:r w:rsidR="0034150F" w:rsidRPr="0034150F">
        <w:rPr>
          <w:rFonts w:ascii="Garamond" w:hAnsi="Garamond"/>
          <w:sz w:val="24"/>
          <w:szCs w:val="24"/>
          <w:lang w:val="pt-PT"/>
        </w:rPr>
        <w:t xml:space="preserve"> o benefício do</w:t>
      </w:r>
      <w:r w:rsidR="009E4F01">
        <w:rPr>
          <w:rFonts w:ascii="Garamond" w:hAnsi="Garamond"/>
          <w:sz w:val="24"/>
          <w:szCs w:val="24"/>
          <w:lang w:val="pt-PT"/>
        </w:rPr>
        <w:t xml:space="preserve"> CFEI II</w:t>
      </w:r>
      <w:r w:rsidR="00900F2D">
        <w:rPr>
          <w:rFonts w:ascii="Garamond" w:hAnsi="Garamond"/>
          <w:sz w:val="24"/>
          <w:szCs w:val="24"/>
          <w:lang w:val="pt-PT"/>
        </w:rPr>
        <w:t xml:space="preserve"> por uma empresa num determinado ano</w:t>
      </w:r>
      <w:r>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4D6043">
        <w:rPr>
          <w:rFonts w:ascii="Garamond" w:hAnsi="Garamond"/>
          <w:sz w:val="24"/>
          <w:szCs w:val="24"/>
          <w:lang w:val="pt-PT"/>
        </w:rPr>
        <w:t xml:space="preserve">, </w:t>
      </w:r>
      <w:r w:rsidR="006E41C7">
        <w:rPr>
          <w:rFonts w:ascii="Garamond" w:hAnsi="Garamond"/>
          <w:sz w:val="24"/>
          <w:szCs w:val="24"/>
          <w:lang w:val="pt-PT"/>
        </w:rPr>
        <w:t>assim como</w:t>
      </w:r>
      <w:r w:rsidR="004D6043">
        <w:rPr>
          <w:rFonts w:ascii="Garamond" w:hAnsi="Garamond"/>
          <w:sz w:val="24"/>
          <w:szCs w:val="24"/>
          <w:lang w:val="pt-PT"/>
        </w:rPr>
        <w:t xml:space="preserve"> uma variável multiplicativa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4D6043">
        <w:rPr>
          <w:rFonts w:ascii="Garamond" w:hAnsi="Garamond"/>
          <w:sz w:val="24"/>
          <w:szCs w:val="24"/>
          <w:lang w:val="pt-PT"/>
        </w:rPr>
        <w:t>*</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34150F" w:rsidRPr="0034150F">
        <w:rPr>
          <w:rFonts w:ascii="Garamond" w:hAnsi="Garamond"/>
          <w:sz w:val="24"/>
          <w:szCs w:val="24"/>
          <w:lang w:val="pt-PT"/>
        </w:rPr>
        <w:t xml:space="preserve">. </w:t>
      </w:r>
      <w:r w:rsidR="004D6043">
        <w:rPr>
          <w:rFonts w:ascii="Garamond" w:hAnsi="Garamond"/>
          <w:sz w:val="24"/>
          <w:szCs w:val="24"/>
          <w:lang w:val="pt-PT"/>
        </w:rPr>
        <w:t xml:space="preserve">Esta variável multiplicativa visa identificar possíveis diferenças no comportamento da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4D6043">
        <w:rPr>
          <w:rFonts w:ascii="Garamond" w:hAnsi="Garamond"/>
          <w:sz w:val="24"/>
          <w:szCs w:val="24"/>
          <w:lang w:val="pt-PT"/>
        </w:rPr>
        <w:t xml:space="preserve"> entre as empresas que beneficiaram do CFEI II e aquelas que não beneficiaram, num determinado ano. </w:t>
      </w:r>
      <w:r w:rsidR="0034150F" w:rsidRPr="0034150F">
        <w:rPr>
          <w:rFonts w:ascii="Garamond" w:hAnsi="Garamond"/>
          <w:sz w:val="24"/>
          <w:szCs w:val="24"/>
          <w:lang w:val="pt-PT"/>
        </w:rPr>
        <w:t xml:space="preserve">A análise baseou-se em dados em painel, com uma amostra de </w:t>
      </w:r>
      <w:r w:rsidR="0034150F" w:rsidRPr="000A1545">
        <w:rPr>
          <w:rFonts w:ascii="Garamond" w:hAnsi="Garamond"/>
          <w:sz w:val="24"/>
          <w:szCs w:val="24"/>
          <w:lang w:val="pt-PT"/>
        </w:rPr>
        <w:t>18</w:t>
      </w:r>
      <w:r w:rsidR="000A1545" w:rsidRPr="000A1545">
        <w:rPr>
          <w:rFonts w:ascii="Garamond" w:hAnsi="Garamond"/>
          <w:sz w:val="24"/>
          <w:szCs w:val="24"/>
          <w:lang w:val="pt-PT"/>
        </w:rPr>
        <w:t>7</w:t>
      </w:r>
      <w:r w:rsidR="003C204D" w:rsidRPr="000A1545">
        <w:rPr>
          <w:rFonts w:ascii="Garamond" w:hAnsi="Garamond"/>
          <w:sz w:val="24"/>
          <w:szCs w:val="24"/>
          <w:lang w:val="pt-PT"/>
        </w:rPr>
        <w:t xml:space="preserve"> </w:t>
      </w:r>
      <w:r w:rsidR="000A1545" w:rsidRPr="000A1545">
        <w:rPr>
          <w:rFonts w:ascii="Garamond" w:hAnsi="Garamond"/>
          <w:sz w:val="24"/>
          <w:szCs w:val="24"/>
          <w:lang w:val="pt-PT"/>
        </w:rPr>
        <w:t>911</w:t>
      </w:r>
      <w:r w:rsidR="0034150F" w:rsidRPr="000A1545">
        <w:rPr>
          <w:rFonts w:ascii="Garamond" w:hAnsi="Garamond"/>
          <w:sz w:val="24"/>
          <w:szCs w:val="24"/>
          <w:lang w:val="pt-PT"/>
        </w:rPr>
        <w:t xml:space="preserve"> observações distribuídas por 62</w:t>
      </w:r>
      <w:r w:rsidR="003C204D" w:rsidRPr="000A1545">
        <w:rPr>
          <w:rFonts w:ascii="Garamond" w:hAnsi="Garamond"/>
          <w:sz w:val="24"/>
          <w:szCs w:val="24"/>
          <w:lang w:val="pt-PT"/>
        </w:rPr>
        <w:t xml:space="preserve"> </w:t>
      </w:r>
      <w:r w:rsidR="0034150F" w:rsidRPr="000A1545">
        <w:rPr>
          <w:rFonts w:ascii="Garamond" w:hAnsi="Garamond"/>
          <w:sz w:val="24"/>
          <w:szCs w:val="24"/>
          <w:lang w:val="pt-PT"/>
        </w:rPr>
        <w:t>63</w:t>
      </w:r>
      <w:r w:rsidR="000A1545" w:rsidRPr="000A1545">
        <w:rPr>
          <w:rFonts w:ascii="Garamond" w:hAnsi="Garamond"/>
          <w:sz w:val="24"/>
          <w:szCs w:val="24"/>
          <w:lang w:val="pt-PT"/>
        </w:rPr>
        <w:t>7</w:t>
      </w:r>
      <w:r w:rsidR="0034150F" w:rsidRPr="0034150F">
        <w:rPr>
          <w:rFonts w:ascii="Garamond" w:hAnsi="Garamond"/>
          <w:sz w:val="24"/>
          <w:szCs w:val="24"/>
          <w:lang w:val="pt-PT"/>
        </w:rPr>
        <w:t xml:space="preserve"> empresas ao longo de </w:t>
      </w:r>
      <w:r>
        <w:rPr>
          <w:rFonts w:ascii="Garamond" w:hAnsi="Garamond"/>
          <w:sz w:val="24"/>
          <w:szCs w:val="24"/>
          <w:lang w:val="pt-PT"/>
        </w:rPr>
        <w:t>2020, 2021 e 2022</w:t>
      </w:r>
      <w:r w:rsidR="0034150F" w:rsidRPr="0034150F">
        <w:rPr>
          <w:rFonts w:ascii="Garamond" w:hAnsi="Garamond"/>
          <w:sz w:val="24"/>
          <w:szCs w:val="24"/>
          <w:lang w:val="pt-PT"/>
        </w:rPr>
        <w:t>.</w:t>
      </w:r>
    </w:p>
    <w:p w14:paraId="16FBF1CE" w14:textId="0913EAC3" w:rsidR="00B14252" w:rsidRDefault="0034150F" w:rsidP="00B14252">
      <w:pPr>
        <w:spacing w:line="360" w:lineRule="auto"/>
        <w:jc w:val="both"/>
        <w:rPr>
          <w:rFonts w:ascii="Garamond" w:hAnsi="Garamond"/>
          <w:sz w:val="24"/>
          <w:szCs w:val="24"/>
          <w:lang w:val="pt-PT"/>
        </w:rPr>
      </w:pPr>
      <w:r w:rsidRPr="0034150F">
        <w:rPr>
          <w:rFonts w:ascii="Garamond" w:hAnsi="Garamond"/>
          <w:sz w:val="24"/>
          <w:szCs w:val="24"/>
          <w:lang w:val="pt-PT"/>
        </w:rPr>
        <w:t xml:space="preserve">O modelo de regressão foi estimado usando a técnica de Efeitos </w:t>
      </w:r>
      <w:r w:rsidR="00E74BC3">
        <w:rPr>
          <w:rFonts w:ascii="Garamond" w:hAnsi="Garamond"/>
          <w:sz w:val="24"/>
          <w:szCs w:val="24"/>
          <w:lang w:val="pt-PT"/>
        </w:rPr>
        <w:t>Fixos</w:t>
      </w:r>
      <w:r w:rsidRPr="0034150F">
        <w:rPr>
          <w:rFonts w:ascii="Garamond" w:hAnsi="Garamond"/>
          <w:sz w:val="24"/>
          <w:szCs w:val="24"/>
          <w:lang w:val="pt-PT"/>
        </w:rPr>
        <w:t xml:space="preserve"> com a variável de grupo NIF_Code. A regressão inclui as seguintes variáveis explicativas: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r>
              <m:rPr>
                <m:sty m:val="p"/>
              </m:rPr>
              <w:rPr>
                <w:rFonts w:ascii="Cambria Math" w:hAnsi="Cambria Math"/>
                <w:sz w:val="24"/>
                <w:szCs w:val="24"/>
                <w:lang w:val="pt-PT"/>
              </w:rPr>
              <m:t>-1</m:t>
            </m:r>
          </m:sub>
        </m:sSub>
      </m:oMath>
      <w:r w:rsidRPr="0034150F">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Pr="0034150F">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34150F">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Pr="0034150F">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00B14252">
        <w:rPr>
          <w:rFonts w:ascii="Garamond" w:hAnsi="Garamond"/>
          <w:sz w:val="24"/>
          <w:szCs w:val="24"/>
          <w:lang w:val="pt-PT"/>
        </w:rPr>
        <w:t>,</w:t>
      </w:r>
      <w:r w:rsidRPr="0034150F">
        <w:rPr>
          <w:rFonts w:ascii="Garamond" w:hAnsi="Garamond"/>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A6382D">
        <w:rPr>
          <w:rFonts w:ascii="Garamond" w:hAnsi="Garamond"/>
          <w:sz w:val="24"/>
          <w:szCs w:val="24"/>
          <w:lang w:val="pt-PT"/>
        </w:rPr>
        <w:t xml:space="preserve"> e </w:t>
      </w:r>
      <w:r w:rsidR="004D6043">
        <w:rPr>
          <w:rFonts w:ascii="Garamond" w:hAnsi="Garamond"/>
          <w:sz w:val="24"/>
          <w:szCs w:val="24"/>
          <w:lang w:val="pt-PT"/>
        </w:rPr>
        <w:t>a</w:t>
      </w:r>
      <w:r w:rsidR="00B14252">
        <w:rPr>
          <w:rFonts w:ascii="Garamond" w:hAnsi="Garamond"/>
          <w:sz w:val="24"/>
          <w:szCs w:val="24"/>
          <w:lang w:val="pt-PT"/>
        </w:rPr>
        <w:t xml:space="preserve"> variável multiplicativa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B14252">
        <w:rPr>
          <w:rFonts w:ascii="Garamond" w:hAnsi="Garamond"/>
          <w:sz w:val="24"/>
          <w:szCs w:val="24"/>
          <w:lang w:val="pt-PT"/>
        </w:rPr>
        <w:t>*</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sidR="00B14252">
        <w:rPr>
          <w:rFonts w:ascii="Garamond" w:hAnsi="Garamond"/>
          <w:sz w:val="24"/>
          <w:szCs w:val="24"/>
          <w:lang w:val="pt-PT"/>
        </w:rPr>
        <w:t xml:space="preserve">. </w:t>
      </w:r>
    </w:p>
    <w:p w14:paraId="5FFD8484" w14:textId="5C21E09A" w:rsidR="0064715C" w:rsidRDefault="00B14252" w:rsidP="00642608">
      <w:pPr>
        <w:spacing w:line="360" w:lineRule="auto"/>
        <w:jc w:val="both"/>
        <w:rPr>
          <w:rFonts w:ascii="Garamond" w:hAnsi="Garamond"/>
          <w:sz w:val="24"/>
          <w:szCs w:val="24"/>
          <w:lang w:val="pt-PT"/>
        </w:rPr>
      </w:pPr>
      <w:r>
        <w:rPr>
          <w:rFonts w:ascii="Garamond" w:hAnsi="Garamond"/>
          <w:sz w:val="24"/>
          <w:szCs w:val="24"/>
          <w:lang w:val="pt-PT"/>
        </w:rPr>
        <w:t xml:space="preserve">É expectável que esta variável apresente um comportamento diferenciado entre as empresas que beneficiaram do CFEI II e as que não beneficiaram. Dado que a variável pretende refletir </w:t>
      </w:r>
      <w:r>
        <w:rPr>
          <w:rFonts w:ascii="Garamond" w:hAnsi="Garamond"/>
          <w:sz w:val="24"/>
          <w:szCs w:val="24"/>
          <w:lang w:val="pt-PT"/>
        </w:rPr>
        <w:lastRenderedPageBreak/>
        <w:t xml:space="preserve">o impacto adicional na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Pr>
          <w:rFonts w:ascii="Garamond" w:hAnsi="Garamond"/>
          <w:sz w:val="24"/>
          <w:szCs w:val="24"/>
          <w:lang w:val="pt-PT"/>
        </w:rPr>
        <w:t xml:space="preserve"> das empresas que usufruíram do CFEI II, é expectável que esta variável apresente uma relação negativa com a variável dependente. </w:t>
      </w:r>
    </w:p>
    <w:p w14:paraId="75B87F46" w14:textId="49ABABA6" w:rsidR="005443C0" w:rsidRDefault="005443C0" w:rsidP="00642608">
      <w:pPr>
        <w:spacing w:line="360" w:lineRule="auto"/>
        <w:jc w:val="both"/>
        <w:rPr>
          <w:rFonts w:ascii="Garamond" w:hAnsi="Garamond"/>
          <w:sz w:val="24"/>
          <w:szCs w:val="24"/>
          <w:lang w:val="pt-PT"/>
        </w:rPr>
      </w:pPr>
      <w:r w:rsidRPr="005443C0">
        <w:rPr>
          <w:rFonts w:ascii="Garamond" w:hAnsi="Garamond"/>
          <w:sz w:val="24"/>
          <w:szCs w:val="24"/>
          <w:lang w:val="pt-PT"/>
        </w:rPr>
        <w:t xml:space="preserve">A tabela abaixo apresenta os parâmetros estimados para o </w:t>
      </w:r>
      <w:r>
        <w:rPr>
          <w:rFonts w:ascii="Garamond" w:hAnsi="Garamond"/>
          <w:sz w:val="24"/>
          <w:szCs w:val="24"/>
          <w:lang w:val="pt-PT"/>
        </w:rPr>
        <w:t>modelo</w:t>
      </w:r>
      <w:r w:rsidRPr="005443C0">
        <w:rPr>
          <w:rFonts w:ascii="Garamond" w:hAnsi="Garamond"/>
          <w:sz w:val="24"/>
          <w:szCs w:val="24"/>
          <w:lang w:val="pt-PT"/>
        </w:rPr>
        <w:t xml:space="preserve"> com a amostra global</w:t>
      </w:r>
      <w:r>
        <w:rPr>
          <w:rFonts w:ascii="Garamond" w:hAnsi="Garamond"/>
          <w:sz w:val="24"/>
          <w:szCs w:val="24"/>
          <w:lang w:val="pt-PT"/>
        </w:rPr>
        <w:t>:</w:t>
      </w:r>
    </w:p>
    <w:p w14:paraId="57AD032A" w14:textId="44EC071C" w:rsidR="009E4F01" w:rsidRPr="00D87F0B" w:rsidRDefault="009E4F01" w:rsidP="009E4F01">
      <w:pPr>
        <w:pStyle w:val="Caption"/>
        <w:keepNext/>
        <w:rPr>
          <w:rFonts w:ascii="Garamond" w:hAnsi="Garamond"/>
          <w:i w:val="0"/>
          <w:iCs w:val="0"/>
          <w:color w:val="auto"/>
          <w:lang w:val="pt-PT"/>
        </w:rPr>
      </w:pPr>
      <w:bookmarkStart w:id="49" w:name="_Toc176855917"/>
      <w:r w:rsidRPr="00D87F0B">
        <w:rPr>
          <w:rFonts w:ascii="Garamond" w:hAnsi="Garamond"/>
          <w:b/>
          <w:bCs/>
          <w:i w:val="0"/>
          <w:iCs w:val="0"/>
          <w:color w:val="auto"/>
          <w:lang w:val="pt-PT"/>
        </w:rPr>
        <w:t xml:space="preserve">Tabela </w:t>
      </w:r>
      <w:r w:rsidRPr="00D87F0B">
        <w:rPr>
          <w:rFonts w:ascii="Garamond" w:hAnsi="Garamond"/>
          <w:b/>
          <w:bCs/>
          <w:i w:val="0"/>
          <w:iCs w:val="0"/>
          <w:color w:val="auto"/>
        </w:rPr>
        <w:fldChar w:fldCharType="begin"/>
      </w:r>
      <w:r w:rsidRPr="00D87F0B">
        <w:rPr>
          <w:rFonts w:ascii="Garamond" w:hAnsi="Garamond"/>
          <w:b/>
          <w:bCs/>
          <w:i w:val="0"/>
          <w:iCs w:val="0"/>
          <w:color w:val="auto"/>
          <w:lang w:val="pt-PT"/>
        </w:rPr>
        <w:instrText xml:space="preserve"> SEQ Tabela \* ARABIC </w:instrText>
      </w:r>
      <w:r w:rsidRPr="00D87F0B">
        <w:rPr>
          <w:rFonts w:ascii="Garamond" w:hAnsi="Garamond"/>
          <w:b/>
          <w:bCs/>
          <w:i w:val="0"/>
          <w:iCs w:val="0"/>
          <w:color w:val="auto"/>
        </w:rPr>
        <w:fldChar w:fldCharType="separate"/>
      </w:r>
      <w:r w:rsidR="00C01B43">
        <w:rPr>
          <w:rFonts w:ascii="Garamond" w:hAnsi="Garamond"/>
          <w:b/>
          <w:bCs/>
          <w:i w:val="0"/>
          <w:iCs w:val="0"/>
          <w:noProof/>
          <w:color w:val="auto"/>
          <w:lang w:val="pt-PT"/>
        </w:rPr>
        <w:t>5</w:t>
      </w:r>
      <w:r w:rsidRPr="00D87F0B">
        <w:rPr>
          <w:rFonts w:ascii="Garamond" w:hAnsi="Garamond"/>
          <w:b/>
          <w:bCs/>
          <w:i w:val="0"/>
          <w:iCs w:val="0"/>
          <w:color w:val="auto"/>
        </w:rPr>
        <w:fldChar w:fldCharType="end"/>
      </w:r>
      <w:r w:rsidRPr="00D87F0B">
        <w:rPr>
          <w:rFonts w:ascii="Garamond" w:hAnsi="Garamond"/>
          <w:i w:val="0"/>
          <w:iCs w:val="0"/>
          <w:color w:val="auto"/>
          <w:lang w:val="pt-PT"/>
        </w:rPr>
        <w:t xml:space="preserve"> - Parâmetros estimados para o Modelo base com variável multiplicativa</w:t>
      </w:r>
      <w:bookmarkEnd w:id="49"/>
    </w:p>
    <w:tbl>
      <w:tblPr>
        <w:tblStyle w:val="TableGrid"/>
        <w:tblW w:w="0" w:type="auto"/>
        <w:tblLook w:val="04A0" w:firstRow="1" w:lastRow="0" w:firstColumn="1" w:lastColumn="0" w:noHBand="0" w:noVBand="1"/>
      </w:tblPr>
      <w:tblGrid>
        <w:gridCol w:w="2689"/>
        <w:gridCol w:w="1842"/>
        <w:gridCol w:w="1838"/>
        <w:gridCol w:w="2124"/>
      </w:tblGrid>
      <w:tr w:rsidR="005443C0" w14:paraId="69D9146F" w14:textId="77777777" w:rsidTr="005443C0">
        <w:tc>
          <w:tcPr>
            <w:tcW w:w="2689" w:type="dxa"/>
          </w:tcPr>
          <w:p w14:paraId="22896A2D" w14:textId="7DEF7B3A" w:rsidR="005443C0" w:rsidRPr="00752FC4" w:rsidRDefault="009E4F01" w:rsidP="003704CB">
            <w:pPr>
              <w:spacing w:line="360" w:lineRule="auto"/>
              <w:rPr>
                <w:rFonts w:ascii="Garamond" w:hAnsi="Garamond"/>
                <w:b/>
                <w:bCs/>
                <w:sz w:val="24"/>
                <w:szCs w:val="24"/>
                <w:lang w:val="pt-PT"/>
              </w:rPr>
            </w:pPr>
            <w:r>
              <w:rPr>
                <w:rFonts w:ascii="Garamond" w:hAnsi="Garamond"/>
                <w:b/>
                <w:bCs/>
                <w:sz w:val="24"/>
                <w:szCs w:val="24"/>
                <w:lang w:val="pt-PT"/>
              </w:rPr>
              <w:t>Modelo base</w:t>
            </w:r>
            <w:r w:rsidR="005443C0" w:rsidRPr="00752FC4">
              <w:rPr>
                <w:rFonts w:ascii="Garamond" w:hAnsi="Garamond"/>
                <w:b/>
                <w:bCs/>
                <w:sz w:val="24"/>
                <w:szCs w:val="24"/>
                <w:lang w:val="pt-PT"/>
              </w:rPr>
              <w:t>/ Variável</w:t>
            </w:r>
          </w:p>
        </w:tc>
        <w:tc>
          <w:tcPr>
            <w:tcW w:w="1842" w:type="dxa"/>
          </w:tcPr>
          <w:p w14:paraId="0CBB0A9B" w14:textId="77777777" w:rsidR="005443C0" w:rsidRPr="00752FC4" w:rsidRDefault="005443C0" w:rsidP="003704CB">
            <w:pPr>
              <w:spacing w:line="360" w:lineRule="auto"/>
              <w:rPr>
                <w:rFonts w:ascii="Garamond" w:hAnsi="Garamond"/>
                <w:b/>
                <w:bCs/>
                <w:sz w:val="24"/>
                <w:szCs w:val="24"/>
                <w:lang w:val="pt-PT"/>
              </w:rPr>
            </w:pPr>
            <w:r w:rsidRPr="00752FC4">
              <w:rPr>
                <w:rFonts w:ascii="Garamond" w:hAnsi="Garamond"/>
                <w:b/>
                <w:bCs/>
                <w:sz w:val="24"/>
                <w:szCs w:val="24"/>
                <w:lang w:val="pt-PT"/>
              </w:rPr>
              <w:t>Sinal esperado</w:t>
            </w:r>
          </w:p>
        </w:tc>
        <w:tc>
          <w:tcPr>
            <w:tcW w:w="1838" w:type="dxa"/>
          </w:tcPr>
          <w:p w14:paraId="7E929001" w14:textId="77777777" w:rsidR="005443C0" w:rsidRPr="00752FC4" w:rsidRDefault="005443C0" w:rsidP="003704CB">
            <w:pPr>
              <w:spacing w:line="360" w:lineRule="auto"/>
              <w:rPr>
                <w:rFonts w:ascii="Garamond" w:hAnsi="Garamond"/>
                <w:b/>
                <w:bCs/>
                <w:sz w:val="24"/>
                <w:szCs w:val="24"/>
                <w:lang w:val="pt-PT"/>
              </w:rPr>
            </w:pPr>
            <w:r w:rsidRPr="00752FC4">
              <w:rPr>
                <w:rFonts w:ascii="Garamond" w:hAnsi="Garamond"/>
                <w:b/>
                <w:bCs/>
                <w:sz w:val="24"/>
                <w:szCs w:val="24"/>
                <w:lang w:val="pt-PT"/>
              </w:rPr>
              <w:t>Parâmetros estimados</w:t>
            </w:r>
          </w:p>
        </w:tc>
        <w:tc>
          <w:tcPr>
            <w:tcW w:w="2124" w:type="dxa"/>
          </w:tcPr>
          <w:p w14:paraId="57AB834D" w14:textId="77777777" w:rsidR="005443C0" w:rsidRPr="00752FC4" w:rsidRDefault="005443C0" w:rsidP="003704CB">
            <w:pPr>
              <w:spacing w:line="360" w:lineRule="auto"/>
              <w:rPr>
                <w:rFonts w:ascii="Garamond" w:hAnsi="Garamond"/>
                <w:b/>
                <w:bCs/>
                <w:i/>
                <w:iCs/>
                <w:sz w:val="24"/>
                <w:szCs w:val="24"/>
                <w:lang w:val="pt-PT"/>
              </w:rPr>
            </w:pPr>
            <w:r w:rsidRPr="00752FC4">
              <w:rPr>
                <w:rFonts w:ascii="Garamond" w:hAnsi="Garamond"/>
                <w:b/>
                <w:bCs/>
                <w:i/>
                <w:iCs/>
                <w:sz w:val="24"/>
                <w:szCs w:val="24"/>
                <w:lang w:val="pt-PT"/>
              </w:rPr>
              <w:t>p-value</w:t>
            </w:r>
          </w:p>
        </w:tc>
      </w:tr>
      <w:tr w:rsidR="005443C0" w14:paraId="356A4992" w14:textId="77777777" w:rsidTr="008824C8">
        <w:trPr>
          <w:trHeight w:val="262"/>
        </w:trPr>
        <w:tc>
          <w:tcPr>
            <w:tcW w:w="2689" w:type="dxa"/>
            <w:tcBorders>
              <w:bottom w:val="dashSmallGap" w:sz="12" w:space="0" w:color="auto"/>
            </w:tcBorders>
          </w:tcPr>
          <w:p w14:paraId="47F1E301" w14:textId="77777777" w:rsidR="005443C0" w:rsidRDefault="005443C0" w:rsidP="003704CB">
            <w:pPr>
              <w:spacing w:line="360" w:lineRule="auto"/>
              <w:rPr>
                <w:rFonts w:ascii="Garamond" w:hAnsi="Garamond"/>
                <w:sz w:val="24"/>
                <w:szCs w:val="24"/>
                <w:lang w:val="pt-PT"/>
              </w:rPr>
            </w:pPr>
            <w:r>
              <w:rPr>
                <w:rFonts w:ascii="Garamond" w:hAnsi="Garamond"/>
                <w:sz w:val="24"/>
                <w:szCs w:val="24"/>
                <w:lang w:val="pt-PT"/>
              </w:rPr>
              <w:t>C</w:t>
            </w:r>
          </w:p>
        </w:tc>
        <w:tc>
          <w:tcPr>
            <w:tcW w:w="1842" w:type="dxa"/>
            <w:tcBorders>
              <w:bottom w:val="dashSmallGap" w:sz="12" w:space="0" w:color="auto"/>
            </w:tcBorders>
          </w:tcPr>
          <w:p w14:paraId="259E80CC" w14:textId="77777777" w:rsidR="005443C0" w:rsidRDefault="005443C0" w:rsidP="003704CB">
            <w:pPr>
              <w:spacing w:line="360" w:lineRule="auto"/>
              <w:jc w:val="center"/>
              <w:rPr>
                <w:rFonts w:ascii="Garamond" w:hAnsi="Garamond"/>
                <w:sz w:val="24"/>
                <w:szCs w:val="24"/>
                <w:lang w:val="pt-PT"/>
              </w:rPr>
            </w:pPr>
            <w:r>
              <w:rPr>
                <w:rFonts w:ascii="Garamond" w:hAnsi="Garamond"/>
                <w:sz w:val="24"/>
                <w:szCs w:val="24"/>
                <w:lang w:val="pt-PT"/>
              </w:rPr>
              <w:t>-</w:t>
            </w:r>
          </w:p>
        </w:tc>
        <w:tc>
          <w:tcPr>
            <w:tcW w:w="1838" w:type="dxa"/>
            <w:tcBorders>
              <w:bottom w:val="dashSmallGap" w:sz="12" w:space="0" w:color="auto"/>
            </w:tcBorders>
          </w:tcPr>
          <w:p w14:paraId="4CBFC702" w14:textId="5E9D8410" w:rsidR="005443C0" w:rsidRDefault="005443C0" w:rsidP="003704CB">
            <w:pPr>
              <w:spacing w:line="360" w:lineRule="auto"/>
              <w:rPr>
                <w:rFonts w:ascii="Garamond" w:hAnsi="Garamond"/>
                <w:sz w:val="24"/>
                <w:szCs w:val="24"/>
                <w:lang w:val="pt-PT"/>
              </w:rPr>
            </w:pPr>
            <w:r w:rsidRPr="005443C0">
              <w:rPr>
                <w:rFonts w:ascii="Garamond" w:hAnsi="Garamond"/>
                <w:sz w:val="24"/>
                <w:szCs w:val="24"/>
                <w:lang w:val="pt-PT"/>
              </w:rPr>
              <w:t>-0</w:t>
            </w:r>
            <w:r w:rsidR="001C5DFF">
              <w:rPr>
                <w:rFonts w:ascii="Garamond" w:hAnsi="Garamond"/>
                <w:sz w:val="24"/>
                <w:szCs w:val="24"/>
                <w:lang w:val="pt-PT"/>
              </w:rPr>
              <w:t>.</w:t>
            </w:r>
            <w:r w:rsidRPr="005443C0">
              <w:rPr>
                <w:rFonts w:ascii="Garamond" w:hAnsi="Garamond"/>
                <w:sz w:val="24"/>
                <w:szCs w:val="24"/>
                <w:lang w:val="pt-PT"/>
              </w:rPr>
              <w:t>0280143</w:t>
            </w:r>
            <w:r w:rsidR="00665A5E">
              <w:rPr>
                <w:rFonts w:ascii="Garamond" w:hAnsi="Garamond"/>
                <w:sz w:val="24"/>
                <w:szCs w:val="24"/>
                <w:lang w:val="pt-PT"/>
              </w:rPr>
              <w:t>***</w:t>
            </w:r>
          </w:p>
        </w:tc>
        <w:tc>
          <w:tcPr>
            <w:tcW w:w="2124" w:type="dxa"/>
            <w:tcBorders>
              <w:bottom w:val="dashSmallGap" w:sz="12" w:space="0" w:color="auto"/>
            </w:tcBorders>
          </w:tcPr>
          <w:p w14:paraId="74427AB4" w14:textId="6CA0E1CF"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000</w:t>
            </w:r>
          </w:p>
        </w:tc>
      </w:tr>
      <w:tr w:rsidR="005443C0" w14:paraId="36D1621F" w14:textId="77777777" w:rsidTr="00E30822">
        <w:tc>
          <w:tcPr>
            <w:tcW w:w="2689" w:type="dxa"/>
            <w:tcBorders>
              <w:top w:val="dashSmallGap" w:sz="12" w:space="0" w:color="auto"/>
              <w:bottom w:val="dashSmallGap" w:sz="12" w:space="0" w:color="auto"/>
            </w:tcBorders>
          </w:tcPr>
          <w:p w14:paraId="49953B62" w14:textId="6C3C76BF" w:rsidR="005443C0" w:rsidRDefault="005443C0" w:rsidP="003704CB">
            <w:pPr>
              <w:spacing w:line="360" w:lineRule="auto"/>
              <w:rPr>
                <w:rFonts w:ascii="Garamond" w:hAnsi="Garamond"/>
                <w:sz w:val="24"/>
                <w:szCs w:val="24"/>
                <w:lang w:val="pt-PT"/>
              </w:rPr>
            </w:pP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r>
                    <m:rPr>
                      <m:sty m:val="p"/>
                    </m:rPr>
                    <w:rPr>
                      <w:rFonts w:ascii="Cambria Math" w:hAnsi="Cambria Math"/>
                      <w:sz w:val="24"/>
                      <w:szCs w:val="24"/>
                      <w:lang w:val="pt-PT"/>
                    </w:rPr>
                    <m:t>-1</m:t>
                  </m:r>
                </m:sub>
              </m:sSub>
            </m:oMath>
            <w:r>
              <w:rPr>
                <w:rFonts w:ascii="Garamond" w:hAnsi="Garamond"/>
                <w:sz w:val="24"/>
                <w:szCs w:val="24"/>
                <w:lang w:val="pt-PT"/>
              </w:rPr>
              <w:t xml:space="preserve"> </w:t>
            </w:r>
          </w:p>
        </w:tc>
        <w:tc>
          <w:tcPr>
            <w:tcW w:w="1842" w:type="dxa"/>
            <w:tcBorders>
              <w:top w:val="dashSmallGap" w:sz="12" w:space="0" w:color="auto"/>
              <w:bottom w:val="dashSmallGap" w:sz="12" w:space="0" w:color="auto"/>
            </w:tcBorders>
          </w:tcPr>
          <w:p w14:paraId="7D13F42B" w14:textId="75C94606" w:rsidR="005443C0" w:rsidRDefault="005F71A9" w:rsidP="003704CB">
            <w:pPr>
              <w:spacing w:line="360" w:lineRule="auto"/>
              <w:jc w:val="center"/>
              <w:rPr>
                <w:rFonts w:ascii="Garamond" w:hAnsi="Garamond"/>
                <w:sz w:val="24"/>
                <w:szCs w:val="24"/>
                <w:lang w:val="pt-PT"/>
              </w:rPr>
            </w:pPr>
            <w:r>
              <w:rPr>
                <w:rFonts w:ascii="Garamond" w:hAnsi="Garamond"/>
                <w:sz w:val="24"/>
                <w:szCs w:val="24"/>
                <w:lang w:val="pt-PT"/>
              </w:rPr>
              <w:t>-</w:t>
            </w:r>
            <w:r w:rsidR="000B5F5E">
              <w:rPr>
                <w:rFonts w:ascii="Garamond" w:hAnsi="Garamond"/>
                <w:sz w:val="24"/>
                <w:szCs w:val="24"/>
                <w:lang w:val="pt-PT"/>
              </w:rPr>
              <w:t>/+</w:t>
            </w:r>
          </w:p>
        </w:tc>
        <w:tc>
          <w:tcPr>
            <w:tcW w:w="1838" w:type="dxa"/>
            <w:tcBorders>
              <w:top w:val="dashSmallGap" w:sz="12" w:space="0" w:color="auto"/>
              <w:bottom w:val="dashSmallGap" w:sz="12" w:space="0" w:color="auto"/>
            </w:tcBorders>
          </w:tcPr>
          <w:p w14:paraId="018B0019" w14:textId="425328E0" w:rsidR="005443C0" w:rsidRDefault="005443C0" w:rsidP="003704CB">
            <w:pPr>
              <w:spacing w:line="360" w:lineRule="auto"/>
              <w:rPr>
                <w:rFonts w:ascii="Garamond" w:hAnsi="Garamond"/>
                <w:sz w:val="24"/>
                <w:szCs w:val="24"/>
                <w:lang w:val="pt-PT"/>
              </w:rPr>
            </w:pPr>
            <w:r w:rsidRPr="005443C0">
              <w:rPr>
                <w:rFonts w:ascii="Garamond" w:hAnsi="Garamond"/>
                <w:sz w:val="24"/>
                <w:szCs w:val="24"/>
                <w:lang w:val="pt-PT"/>
              </w:rPr>
              <w:t>-0</w:t>
            </w:r>
            <w:r w:rsidR="001C5DFF">
              <w:rPr>
                <w:rFonts w:ascii="Garamond" w:hAnsi="Garamond"/>
                <w:sz w:val="24"/>
                <w:szCs w:val="24"/>
                <w:lang w:val="pt-PT"/>
              </w:rPr>
              <w:t>.</w:t>
            </w:r>
            <w:r w:rsidRPr="005443C0">
              <w:rPr>
                <w:rFonts w:ascii="Garamond" w:hAnsi="Garamond"/>
                <w:sz w:val="24"/>
                <w:szCs w:val="24"/>
                <w:lang w:val="pt-PT"/>
              </w:rPr>
              <w:t>2404856</w:t>
            </w:r>
          </w:p>
        </w:tc>
        <w:tc>
          <w:tcPr>
            <w:tcW w:w="2124" w:type="dxa"/>
            <w:tcBorders>
              <w:top w:val="dashSmallGap" w:sz="12" w:space="0" w:color="auto"/>
              <w:bottom w:val="dashSmallGap" w:sz="12" w:space="0" w:color="auto"/>
            </w:tcBorders>
          </w:tcPr>
          <w:p w14:paraId="4C8F76E7" w14:textId="6F155FE4"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000</w:t>
            </w:r>
          </w:p>
        </w:tc>
      </w:tr>
      <w:tr w:rsidR="005443C0" w14:paraId="0408A8A1" w14:textId="77777777" w:rsidTr="00E30822">
        <w:tc>
          <w:tcPr>
            <w:tcW w:w="2689" w:type="dxa"/>
            <w:tcBorders>
              <w:top w:val="dashSmallGap" w:sz="12" w:space="0" w:color="auto"/>
              <w:bottom w:val="dashSmallGap" w:sz="12" w:space="0" w:color="auto"/>
            </w:tcBorders>
          </w:tcPr>
          <w:p w14:paraId="19AE1B47" w14:textId="1891DA14" w:rsidR="005443C0" w:rsidRDefault="00000000" w:rsidP="003704CB">
            <w:pPr>
              <w:spacing w:line="360" w:lineRule="auto"/>
              <w:rPr>
                <w:rFonts w:ascii="Garamond" w:hAnsi="Garamond"/>
                <w:sz w:val="24"/>
                <w:szCs w:val="24"/>
                <w:lang w:val="pt-PT"/>
              </w:rPr>
            </w:pP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005443C0">
              <w:rPr>
                <w:rFonts w:ascii="Garamond" w:hAnsi="Garamond"/>
                <w:sz w:val="24"/>
                <w:szCs w:val="24"/>
                <w:lang w:val="pt-PT"/>
              </w:rPr>
              <w:t xml:space="preserve"> </w:t>
            </w:r>
          </w:p>
        </w:tc>
        <w:tc>
          <w:tcPr>
            <w:tcW w:w="1842" w:type="dxa"/>
            <w:tcBorders>
              <w:top w:val="dashSmallGap" w:sz="12" w:space="0" w:color="auto"/>
              <w:bottom w:val="dashSmallGap" w:sz="12" w:space="0" w:color="auto"/>
            </w:tcBorders>
          </w:tcPr>
          <w:p w14:paraId="4759285E" w14:textId="77777777" w:rsidR="005443C0" w:rsidRDefault="005443C0" w:rsidP="003704CB">
            <w:pPr>
              <w:spacing w:line="360" w:lineRule="auto"/>
              <w:jc w:val="center"/>
              <w:rPr>
                <w:rFonts w:ascii="Garamond" w:hAnsi="Garamond"/>
                <w:sz w:val="24"/>
                <w:szCs w:val="24"/>
                <w:lang w:val="pt-PT"/>
              </w:rPr>
            </w:pPr>
            <w:r>
              <w:rPr>
                <w:rFonts w:ascii="Garamond" w:hAnsi="Garamond"/>
                <w:sz w:val="24"/>
                <w:szCs w:val="24"/>
                <w:lang w:val="pt-PT"/>
              </w:rPr>
              <w:t>+</w:t>
            </w:r>
          </w:p>
        </w:tc>
        <w:tc>
          <w:tcPr>
            <w:tcW w:w="1838" w:type="dxa"/>
            <w:tcBorders>
              <w:top w:val="dashSmallGap" w:sz="12" w:space="0" w:color="auto"/>
              <w:bottom w:val="dashSmallGap" w:sz="12" w:space="0" w:color="auto"/>
            </w:tcBorders>
          </w:tcPr>
          <w:p w14:paraId="426E731E" w14:textId="2C72F000" w:rsidR="005443C0" w:rsidRDefault="005443C0" w:rsidP="003704CB">
            <w:pPr>
              <w:spacing w:line="360" w:lineRule="auto"/>
              <w:rPr>
                <w:rFonts w:ascii="Garamond" w:hAnsi="Garamond"/>
                <w:sz w:val="24"/>
                <w:szCs w:val="24"/>
                <w:lang w:val="pt-PT"/>
              </w:rPr>
            </w:pPr>
            <w:r w:rsidRPr="005443C0">
              <w:rPr>
                <w:rFonts w:ascii="Garamond" w:hAnsi="Garamond"/>
                <w:sz w:val="24"/>
                <w:szCs w:val="24"/>
                <w:lang w:val="pt-PT"/>
              </w:rPr>
              <w:t>0</w:t>
            </w:r>
            <w:r w:rsidR="001C5DFF">
              <w:rPr>
                <w:rFonts w:ascii="Garamond" w:hAnsi="Garamond"/>
                <w:sz w:val="24"/>
                <w:szCs w:val="24"/>
                <w:lang w:val="pt-PT"/>
              </w:rPr>
              <w:t>.</w:t>
            </w:r>
            <w:r w:rsidRPr="005443C0">
              <w:rPr>
                <w:rFonts w:ascii="Garamond" w:hAnsi="Garamond"/>
                <w:sz w:val="24"/>
                <w:szCs w:val="24"/>
                <w:lang w:val="pt-PT"/>
              </w:rPr>
              <w:t>0005283</w:t>
            </w:r>
          </w:p>
        </w:tc>
        <w:tc>
          <w:tcPr>
            <w:tcW w:w="2124" w:type="dxa"/>
            <w:tcBorders>
              <w:top w:val="dashSmallGap" w:sz="12" w:space="0" w:color="auto"/>
              <w:bottom w:val="dashSmallGap" w:sz="12" w:space="0" w:color="auto"/>
            </w:tcBorders>
          </w:tcPr>
          <w:p w14:paraId="22431EFE" w14:textId="59A5CFDC"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241</w:t>
            </w:r>
          </w:p>
        </w:tc>
      </w:tr>
      <w:tr w:rsidR="005443C0" w14:paraId="588C3028" w14:textId="77777777" w:rsidTr="00E30822">
        <w:tc>
          <w:tcPr>
            <w:tcW w:w="2689" w:type="dxa"/>
            <w:tcBorders>
              <w:top w:val="dashSmallGap" w:sz="12" w:space="0" w:color="auto"/>
              <w:bottom w:val="dashSmallGap" w:sz="12" w:space="0" w:color="auto"/>
            </w:tcBorders>
          </w:tcPr>
          <w:p w14:paraId="5B39DE5C" w14:textId="4A24D310" w:rsidR="005443C0" w:rsidRDefault="005443C0" w:rsidP="003704CB">
            <w:pPr>
              <w:spacing w:line="360" w:lineRule="auto"/>
              <w:rPr>
                <w:rFonts w:ascii="Garamond" w:hAnsi="Garamond"/>
                <w:sz w:val="24"/>
                <w:szCs w:val="24"/>
                <w:lang w:val="pt-PT"/>
              </w:rPr>
            </w:pP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 t</m:t>
                  </m:r>
                  <m:r>
                    <m:rPr>
                      <m:sty m:val="p"/>
                    </m:rPr>
                    <w:rPr>
                      <w:rFonts w:ascii="Cambria Math" w:hAnsi="Cambria Math"/>
                      <w:sz w:val="24"/>
                      <w:szCs w:val="24"/>
                      <w:lang w:val="pt-PT"/>
                    </w:rPr>
                    <m:t>-1</m:t>
                  </m:r>
                </m:sub>
              </m:sSub>
            </m:oMath>
            <w:r>
              <w:rPr>
                <w:rFonts w:ascii="Garamond" w:hAnsi="Garamond"/>
                <w:sz w:val="24"/>
                <w:szCs w:val="24"/>
                <w:lang w:val="pt-PT"/>
              </w:rPr>
              <w:t xml:space="preserve"> </w:t>
            </w:r>
          </w:p>
        </w:tc>
        <w:tc>
          <w:tcPr>
            <w:tcW w:w="1842" w:type="dxa"/>
            <w:tcBorders>
              <w:top w:val="dashSmallGap" w:sz="12" w:space="0" w:color="auto"/>
              <w:bottom w:val="dashSmallGap" w:sz="12" w:space="0" w:color="auto"/>
            </w:tcBorders>
          </w:tcPr>
          <w:p w14:paraId="56146043" w14:textId="77777777" w:rsidR="005443C0" w:rsidRDefault="005443C0" w:rsidP="003704CB">
            <w:pPr>
              <w:spacing w:line="360" w:lineRule="auto"/>
              <w:jc w:val="center"/>
              <w:rPr>
                <w:rFonts w:ascii="Garamond" w:hAnsi="Garamond"/>
                <w:sz w:val="24"/>
                <w:szCs w:val="24"/>
                <w:lang w:val="pt-PT"/>
              </w:rPr>
            </w:pPr>
            <w:r>
              <w:rPr>
                <w:rFonts w:ascii="Garamond" w:hAnsi="Garamond"/>
                <w:sz w:val="24"/>
                <w:szCs w:val="24"/>
                <w:lang w:val="pt-PT"/>
              </w:rPr>
              <w:t>-</w:t>
            </w:r>
          </w:p>
        </w:tc>
        <w:tc>
          <w:tcPr>
            <w:tcW w:w="1838" w:type="dxa"/>
            <w:tcBorders>
              <w:top w:val="dashSmallGap" w:sz="12" w:space="0" w:color="auto"/>
              <w:bottom w:val="dashSmallGap" w:sz="12" w:space="0" w:color="auto"/>
            </w:tcBorders>
          </w:tcPr>
          <w:p w14:paraId="66BDD94E" w14:textId="28BB8BEF" w:rsidR="005443C0" w:rsidRDefault="005443C0" w:rsidP="003704CB">
            <w:pPr>
              <w:spacing w:line="360" w:lineRule="auto"/>
              <w:rPr>
                <w:rFonts w:ascii="Garamond" w:hAnsi="Garamond"/>
                <w:sz w:val="24"/>
                <w:szCs w:val="24"/>
                <w:lang w:val="pt-PT"/>
              </w:rPr>
            </w:pPr>
            <w:r w:rsidRPr="005443C0">
              <w:rPr>
                <w:rFonts w:ascii="Garamond" w:hAnsi="Garamond"/>
                <w:sz w:val="24"/>
                <w:szCs w:val="24"/>
                <w:lang w:val="pt-PT"/>
              </w:rPr>
              <w:t>-0</w:t>
            </w:r>
            <w:r w:rsidR="001C5DFF">
              <w:rPr>
                <w:rFonts w:ascii="Garamond" w:hAnsi="Garamond"/>
                <w:sz w:val="24"/>
                <w:szCs w:val="24"/>
                <w:lang w:val="pt-PT"/>
              </w:rPr>
              <w:t>.</w:t>
            </w:r>
            <w:r w:rsidRPr="005443C0">
              <w:rPr>
                <w:rFonts w:ascii="Garamond" w:hAnsi="Garamond"/>
                <w:sz w:val="24"/>
                <w:szCs w:val="24"/>
                <w:lang w:val="pt-PT"/>
              </w:rPr>
              <w:t>0005255</w:t>
            </w:r>
          </w:p>
        </w:tc>
        <w:tc>
          <w:tcPr>
            <w:tcW w:w="2124" w:type="dxa"/>
            <w:tcBorders>
              <w:top w:val="dashSmallGap" w:sz="12" w:space="0" w:color="auto"/>
              <w:bottom w:val="dashSmallGap" w:sz="12" w:space="0" w:color="auto"/>
            </w:tcBorders>
          </w:tcPr>
          <w:p w14:paraId="1C4685EA" w14:textId="0A5DEA66"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110</w:t>
            </w:r>
          </w:p>
        </w:tc>
      </w:tr>
      <w:tr w:rsidR="005443C0" w14:paraId="7B4FF37E" w14:textId="77777777" w:rsidTr="00E30822">
        <w:tc>
          <w:tcPr>
            <w:tcW w:w="2689" w:type="dxa"/>
            <w:tcBorders>
              <w:top w:val="dashSmallGap" w:sz="12" w:space="0" w:color="auto"/>
              <w:bottom w:val="dashSmallGap" w:sz="12" w:space="0" w:color="auto"/>
            </w:tcBorders>
          </w:tcPr>
          <w:p w14:paraId="152059AF" w14:textId="29ABCBB2" w:rsidR="005443C0" w:rsidRDefault="005443C0" w:rsidP="003704CB">
            <w:pPr>
              <w:spacing w:line="360" w:lineRule="auto"/>
              <w:rPr>
                <w:rFonts w:ascii="Garamond" w:hAnsi="Garamond"/>
                <w:sz w:val="24"/>
                <w:szCs w:val="24"/>
                <w:lang w:val="pt-PT"/>
              </w:rPr>
            </w:pP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 t</m:t>
                  </m:r>
                  <m:r>
                    <m:rPr>
                      <m:sty m:val="p"/>
                    </m:rPr>
                    <w:rPr>
                      <w:rFonts w:ascii="Cambria Math" w:hAnsi="Cambria Math"/>
                      <w:sz w:val="24"/>
                      <w:szCs w:val="24"/>
                      <w:lang w:val="pt-PT"/>
                    </w:rPr>
                    <m:t>-1</m:t>
                  </m:r>
                </m:sub>
              </m:sSub>
            </m:oMath>
            <w:r>
              <w:rPr>
                <w:rFonts w:ascii="Garamond" w:hAnsi="Garamond"/>
                <w:sz w:val="24"/>
                <w:szCs w:val="24"/>
                <w:lang w:val="pt-PT"/>
              </w:rPr>
              <w:t xml:space="preserve"> </w:t>
            </w:r>
          </w:p>
        </w:tc>
        <w:tc>
          <w:tcPr>
            <w:tcW w:w="1842" w:type="dxa"/>
            <w:tcBorders>
              <w:top w:val="dashSmallGap" w:sz="12" w:space="0" w:color="auto"/>
              <w:bottom w:val="dashSmallGap" w:sz="12" w:space="0" w:color="auto"/>
            </w:tcBorders>
          </w:tcPr>
          <w:p w14:paraId="151D3850" w14:textId="77777777" w:rsidR="005443C0" w:rsidRDefault="005443C0" w:rsidP="003704CB">
            <w:pPr>
              <w:spacing w:line="360" w:lineRule="auto"/>
              <w:jc w:val="center"/>
              <w:rPr>
                <w:rFonts w:ascii="Garamond" w:hAnsi="Garamond"/>
                <w:sz w:val="24"/>
                <w:szCs w:val="24"/>
                <w:lang w:val="pt-PT"/>
              </w:rPr>
            </w:pPr>
            <w:r>
              <w:rPr>
                <w:rFonts w:ascii="Garamond" w:hAnsi="Garamond"/>
                <w:sz w:val="24"/>
                <w:szCs w:val="24"/>
                <w:lang w:val="pt-PT"/>
              </w:rPr>
              <w:t>+</w:t>
            </w:r>
          </w:p>
        </w:tc>
        <w:tc>
          <w:tcPr>
            <w:tcW w:w="1838" w:type="dxa"/>
            <w:tcBorders>
              <w:top w:val="dashSmallGap" w:sz="12" w:space="0" w:color="auto"/>
              <w:bottom w:val="dashSmallGap" w:sz="12" w:space="0" w:color="auto"/>
            </w:tcBorders>
          </w:tcPr>
          <w:p w14:paraId="1D060F36" w14:textId="1753B606" w:rsidR="005443C0" w:rsidRDefault="005443C0" w:rsidP="003704CB">
            <w:pPr>
              <w:spacing w:line="360" w:lineRule="auto"/>
              <w:rPr>
                <w:rFonts w:ascii="Garamond" w:hAnsi="Garamond"/>
                <w:sz w:val="24"/>
                <w:szCs w:val="24"/>
                <w:lang w:val="pt-PT"/>
              </w:rPr>
            </w:pPr>
            <w:r w:rsidRPr="005443C0">
              <w:rPr>
                <w:rFonts w:ascii="Garamond" w:hAnsi="Garamond"/>
                <w:sz w:val="24"/>
                <w:szCs w:val="24"/>
                <w:lang w:val="pt-PT"/>
              </w:rPr>
              <w:t>-0</w:t>
            </w:r>
            <w:r w:rsidR="001C5DFF">
              <w:rPr>
                <w:rFonts w:ascii="Garamond" w:hAnsi="Garamond"/>
                <w:sz w:val="24"/>
                <w:szCs w:val="24"/>
                <w:lang w:val="pt-PT"/>
              </w:rPr>
              <w:t>.</w:t>
            </w:r>
            <w:r w:rsidRPr="005443C0">
              <w:rPr>
                <w:rFonts w:ascii="Garamond" w:hAnsi="Garamond"/>
                <w:sz w:val="24"/>
                <w:szCs w:val="24"/>
                <w:lang w:val="pt-PT"/>
              </w:rPr>
              <w:t>0043734</w:t>
            </w:r>
            <w:r w:rsidR="00665A5E">
              <w:rPr>
                <w:rFonts w:ascii="Garamond" w:hAnsi="Garamond"/>
                <w:sz w:val="24"/>
                <w:szCs w:val="24"/>
                <w:lang w:val="pt-PT"/>
              </w:rPr>
              <w:t>***</w:t>
            </w:r>
          </w:p>
        </w:tc>
        <w:tc>
          <w:tcPr>
            <w:tcW w:w="2124" w:type="dxa"/>
            <w:tcBorders>
              <w:top w:val="dashSmallGap" w:sz="12" w:space="0" w:color="auto"/>
              <w:bottom w:val="dashSmallGap" w:sz="12" w:space="0" w:color="auto"/>
            </w:tcBorders>
          </w:tcPr>
          <w:p w14:paraId="0C823C4C" w14:textId="2974ED20"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000</w:t>
            </w:r>
          </w:p>
        </w:tc>
      </w:tr>
      <w:tr w:rsidR="005443C0" w14:paraId="12D0E517" w14:textId="77777777" w:rsidTr="00E30822">
        <w:tc>
          <w:tcPr>
            <w:tcW w:w="2689" w:type="dxa"/>
            <w:tcBorders>
              <w:top w:val="dashSmallGap" w:sz="12" w:space="0" w:color="auto"/>
              <w:bottom w:val="dashSmallGap" w:sz="12" w:space="0" w:color="auto"/>
            </w:tcBorders>
          </w:tcPr>
          <w:p w14:paraId="453D1857" w14:textId="3EB24233" w:rsidR="005443C0" w:rsidRPr="00B37F12" w:rsidRDefault="00000000" w:rsidP="003704CB">
            <w:pPr>
              <w:spacing w:line="360" w:lineRule="auto"/>
              <w:rPr>
                <w:rFonts w:ascii="Garamond" w:hAnsi="Garamond"/>
                <w:sz w:val="24"/>
                <w:szCs w:val="24"/>
                <w:lang w:val="pt-PT"/>
              </w:rPr>
            </w:pP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5443C0" w:rsidRPr="00B37F12">
              <w:rPr>
                <w:rFonts w:ascii="Garamond" w:hAnsi="Garamond"/>
                <w:sz w:val="24"/>
                <w:szCs w:val="24"/>
                <w:lang w:val="pt-PT"/>
              </w:rPr>
              <w:t xml:space="preserve"> </w:t>
            </w:r>
          </w:p>
        </w:tc>
        <w:tc>
          <w:tcPr>
            <w:tcW w:w="1842" w:type="dxa"/>
            <w:tcBorders>
              <w:top w:val="dashSmallGap" w:sz="12" w:space="0" w:color="auto"/>
              <w:bottom w:val="dashSmallGap" w:sz="12" w:space="0" w:color="auto"/>
            </w:tcBorders>
          </w:tcPr>
          <w:p w14:paraId="53DBAD47" w14:textId="77777777" w:rsidR="005443C0" w:rsidRPr="00B37F12" w:rsidRDefault="005443C0" w:rsidP="003704CB">
            <w:pPr>
              <w:spacing w:line="360" w:lineRule="auto"/>
              <w:jc w:val="center"/>
              <w:rPr>
                <w:rFonts w:ascii="Garamond" w:hAnsi="Garamond"/>
                <w:sz w:val="24"/>
                <w:szCs w:val="24"/>
                <w:lang w:val="pt-PT"/>
              </w:rPr>
            </w:pPr>
            <w:r w:rsidRPr="00B37F12">
              <w:rPr>
                <w:rFonts w:ascii="Garamond" w:hAnsi="Garamond"/>
                <w:sz w:val="24"/>
                <w:szCs w:val="24"/>
                <w:lang w:val="pt-PT"/>
              </w:rPr>
              <w:t>+</w:t>
            </w:r>
          </w:p>
        </w:tc>
        <w:tc>
          <w:tcPr>
            <w:tcW w:w="1838" w:type="dxa"/>
            <w:tcBorders>
              <w:top w:val="dashSmallGap" w:sz="12" w:space="0" w:color="auto"/>
              <w:bottom w:val="dashSmallGap" w:sz="12" w:space="0" w:color="auto"/>
            </w:tcBorders>
          </w:tcPr>
          <w:p w14:paraId="2D93574F" w14:textId="0259D237"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0508293</w:t>
            </w:r>
            <w:r w:rsidR="00665A5E">
              <w:rPr>
                <w:rFonts w:ascii="Garamond" w:hAnsi="Garamond"/>
                <w:sz w:val="24"/>
                <w:szCs w:val="24"/>
                <w:lang w:val="pt-PT"/>
              </w:rPr>
              <w:t>***</w:t>
            </w:r>
          </w:p>
        </w:tc>
        <w:tc>
          <w:tcPr>
            <w:tcW w:w="2124" w:type="dxa"/>
            <w:tcBorders>
              <w:top w:val="dashSmallGap" w:sz="12" w:space="0" w:color="auto"/>
              <w:bottom w:val="dashSmallGap" w:sz="12" w:space="0" w:color="auto"/>
            </w:tcBorders>
          </w:tcPr>
          <w:p w14:paraId="0889355D" w14:textId="3FB8E4D4"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000</w:t>
            </w:r>
          </w:p>
        </w:tc>
      </w:tr>
      <w:tr w:rsidR="005443C0" w14:paraId="754F5B00" w14:textId="77777777" w:rsidTr="008824C8">
        <w:trPr>
          <w:trHeight w:val="196"/>
        </w:trPr>
        <w:tc>
          <w:tcPr>
            <w:tcW w:w="2689" w:type="dxa"/>
            <w:tcBorders>
              <w:top w:val="dashSmallGap" w:sz="12" w:space="0" w:color="auto"/>
              <w:bottom w:val="dashSmallGap" w:sz="12" w:space="0" w:color="auto"/>
            </w:tcBorders>
          </w:tcPr>
          <w:p w14:paraId="72F14E96" w14:textId="57A26140" w:rsidR="005443C0" w:rsidRDefault="00000000" w:rsidP="003704CB">
            <w:pPr>
              <w:spacing w:line="360" w:lineRule="auto"/>
              <w:rPr>
                <w:rFonts w:ascii="Garamond" w:hAnsi="Garamond"/>
                <w:sz w:val="24"/>
                <w:szCs w:val="24"/>
                <w:lang w:val="pt-PT"/>
              </w:rPr>
            </w:pP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5443C0">
              <w:rPr>
                <w:rFonts w:ascii="Garamond" w:hAnsi="Garamond"/>
                <w:sz w:val="24"/>
                <w:szCs w:val="24"/>
                <w:lang w:val="pt-PT"/>
              </w:rPr>
              <w:t xml:space="preserve"> </w:t>
            </w:r>
          </w:p>
        </w:tc>
        <w:tc>
          <w:tcPr>
            <w:tcW w:w="1842" w:type="dxa"/>
            <w:tcBorders>
              <w:top w:val="dashSmallGap" w:sz="12" w:space="0" w:color="auto"/>
              <w:bottom w:val="dashSmallGap" w:sz="12" w:space="0" w:color="auto"/>
            </w:tcBorders>
          </w:tcPr>
          <w:p w14:paraId="2E60C947" w14:textId="6C4AAB2D" w:rsidR="005443C0" w:rsidRDefault="005443C0" w:rsidP="003704CB">
            <w:pPr>
              <w:spacing w:line="360" w:lineRule="auto"/>
              <w:jc w:val="center"/>
              <w:rPr>
                <w:rFonts w:ascii="Garamond" w:hAnsi="Garamond"/>
                <w:sz w:val="24"/>
                <w:szCs w:val="24"/>
                <w:lang w:val="pt-PT"/>
              </w:rPr>
            </w:pPr>
            <w:r>
              <w:rPr>
                <w:rFonts w:ascii="Garamond" w:hAnsi="Garamond"/>
                <w:sz w:val="24"/>
                <w:szCs w:val="24"/>
                <w:lang w:val="pt-PT"/>
              </w:rPr>
              <w:t>+</w:t>
            </w:r>
          </w:p>
        </w:tc>
        <w:tc>
          <w:tcPr>
            <w:tcW w:w="1838" w:type="dxa"/>
            <w:tcBorders>
              <w:top w:val="dashSmallGap" w:sz="12" w:space="0" w:color="auto"/>
              <w:bottom w:val="dashSmallGap" w:sz="12" w:space="0" w:color="auto"/>
            </w:tcBorders>
          </w:tcPr>
          <w:p w14:paraId="52167B23" w14:textId="35D9315A"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0004573</w:t>
            </w:r>
          </w:p>
        </w:tc>
        <w:tc>
          <w:tcPr>
            <w:tcW w:w="2124" w:type="dxa"/>
            <w:tcBorders>
              <w:top w:val="dashSmallGap" w:sz="12" w:space="0" w:color="auto"/>
              <w:bottom w:val="dashSmallGap" w:sz="12" w:space="0" w:color="auto"/>
            </w:tcBorders>
          </w:tcPr>
          <w:p w14:paraId="437EDF75" w14:textId="3D89F66A" w:rsidR="005443C0"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813</w:t>
            </w:r>
          </w:p>
        </w:tc>
      </w:tr>
      <w:tr w:rsidR="005443C0" w14:paraId="553C4905" w14:textId="77777777" w:rsidTr="00E30822">
        <w:tc>
          <w:tcPr>
            <w:tcW w:w="2689" w:type="dxa"/>
            <w:tcBorders>
              <w:top w:val="dashSmallGap" w:sz="12" w:space="0" w:color="auto"/>
            </w:tcBorders>
          </w:tcPr>
          <w:p w14:paraId="374D2111" w14:textId="7F04BB3A" w:rsidR="005443C0" w:rsidRPr="00722C0C" w:rsidRDefault="00000000" w:rsidP="003704CB">
            <w:pPr>
              <w:spacing w:line="360" w:lineRule="auto"/>
              <w:rPr>
                <w:rFonts w:ascii="Garamond" w:eastAsia="Times New Roman" w:hAnsi="Garamond" w:cs="Times New Roman"/>
                <w:sz w:val="24"/>
                <w:szCs w:val="24"/>
              </w:rPr>
            </w:pP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5443C0" w:rsidRPr="00722C0C">
              <w:rPr>
                <w:rFonts w:ascii="Garamond" w:eastAsia="Times New Roman" w:hAnsi="Garamond" w:cs="Times New Roman"/>
                <w:sz w:val="24"/>
                <w:szCs w:val="24"/>
              </w:rPr>
              <w:t xml:space="preserve">* </w:t>
            </w:r>
            <m:oMath>
              <m:r>
                <m:rPr>
                  <m:sty m:val="p"/>
                </m:rPr>
                <w:rPr>
                  <w:rFonts w:ascii="Cambria Math" w:hAnsi="Cambria Math"/>
                  <w:sz w:val="24"/>
                  <w:szCs w:val="24"/>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m:t>
                  </m:r>
                  <m:r>
                    <w:rPr>
                      <w:rFonts w:ascii="Cambria Math" w:hAnsi="Cambria Math"/>
                      <w:sz w:val="24"/>
                      <w:szCs w:val="24"/>
                    </w:rPr>
                    <m:t xml:space="preserve">, </m:t>
                  </m:r>
                  <m:r>
                    <w:rPr>
                      <w:rFonts w:ascii="Cambria Math" w:hAnsi="Cambria Math"/>
                      <w:sz w:val="24"/>
                      <w:szCs w:val="24"/>
                      <w:lang w:val="pt-PT"/>
                    </w:rPr>
                    <m:t>t</m:t>
                  </m:r>
                  <m:r>
                    <m:rPr>
                      <m:sty m:val="p"/>
                    </m:rPr>
                    <w:rPr>
                      <w:rFonts w:ascii="Cambria Math" w:hAnsi="Cambria Math"/>
                      <w:sz w:val="24"/>
                      <w:szCs w:val="24"/>
                    </w:rPr>
                    <m:t>-1</m:t>
                  </m:r>
                </m:sub>
              </m:sSub>
            </m:oMath>
          </w:p>
        </w:tc>
        <w:tc>
          <w:tcPr>
            <w:tcW w:w="1842" w:type="dxa"/>
            <w:tcBorders>
              <w:top w:val="dashSmallGap" w:sz="12" w:space="0" w:color="auto"/>
            </w:tcBorders>
          </w:tcPr>
          <w:p w14:paraId="24FA5694" w14:textId="68CC8B30" w:rsidR="005443C0" w:rsidRDefault="005443C0" w:rsidP="003704CB">
            <w:pPr>
              <w:spacing w:line="360" w:lineRule="auto"/>
              <w:jc w:val="center"/>
              <w:rPr>
                <w:rFonts w:ascii="Garamond" w:hAnsi="Garamond"/>
                <w:sz w:val="24"/>
                <w:szCs w:val="24"/>
                <w:lang w:val="pt-PT"/>
              </w:rPr>
            </w:pPr>
            <w:r>
              <w:rPr>
                <w:rFonts w:ascii="Garamond" w:hAnsi="Garamond"/>
                <w:sz w:val="24"/>
                <w:szCs w:val="24"/>
                <w:lang w:val="pt-PT"/>
              </w:rPr>
              <w:t>-</w:t>
            </w:r>
          </w:p>
        </w:tc>
        <w:tc>
          <w:tcPr>
            <w:tcW w:w="1838" w:type="dxa"/>
            <w:tcBorders>
              <w:top w:val="dashSmallGap" w:sz="12" w:space="0" w:color="auto"/>
            </w:tcBorders>
          </w:tcPr>
          <w:p w14:paraId="32D83798" w14:textId="33161840" w:rsidR="005443C0" w:rsidRPr="009A65A5"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0422942</w:t>
            </w:r>
            <w:r w:rsidR="00665A5E">
              <w:rPr>
                <w:rFonts w:ascii="Garamond" w:hAnsi="Garamond"/>
                <w:sz w:val="24"/>
                <w:szCs w:val="24"/>
                <w:lang w:val="pt-PT"/>
              </w:rPr>
              <w:t>***</w:t>
            </w:r>
          </w:p>
        </w:tc>
        <w:tc>
          <w:tcPr>
            <w:tcW w:w="2124" w:type="dxa"/>
            <w:tcBorders>
              <w:top w:val="dashSmallGap" w:sz="12" w:space="0" w:color="auto"/>
            </w:tcBorders>
          </w:tcPr>
          <w:p w14:paraId="2BD9952A" w14:textId="6C2C537B" w:rsidR="005443C0" w:rsidRPr="009A65A5" w:rsidRDefault="006E3A6B" w:rsidP="003704CB">
            <w:pPr>
              <w:spacing w:line="360" w:lineRule="auto"/>
              <w:rPr>
                <w:rFonts w:ascii="Garamond" w:hAnsi="Garamond"/>
                <w:sz w:val="24"/>
                <w:szCs w:val="24"/>
                <w:lang w:val="pt-PT"/>
              </w:rPr>
            </w:pPr>
            <w:r w:rsidRPr="006E3A6B">
              <w:rPr>
                <w:rFonts w:ascii="Garamond" w:hAnsi="Garamond"/>
                <w:sz w:val="24"/>
                <w:szCs w:val="24"/>
                <w:lang w:val="pt-PT"/>
              </w:rPr>
              <w:t>0</w:t>
            </w:r>
            <w:r w:rsidR="001C5DFF">
              <w:rPr>
                <w:rFonts w:ascii="Garamond" w:hAnsi="Garamond"/>
                <w:sz w:val="24"/>
                <w:szCs w:val="24"/>
                <w:lang w:val="pt-PT"/>
              </w:rPr>
              <w:t>.</w:t>
            </w:r>
            <w:r w:rsidRPr="006E3A6B">
              <w:rPr>
                <w:rFonts w:ascii="Garamond" w:hAnsi="Garamond"/>
                <w:sz w:val="24"/>
                <w:szCs w:val="24"/>
                <w:lang w:val="pt-PT"/>
              </w:rPr>
              <w:t>005</w:t>
            </w:r>
          </w:p>
        </w:tc>
      </w:tr>
      <w:tr w:rsidR="005443C0" w:rsidRPr="00293549" w14:paraId="7B213D8D" w14:textId="77777777" w:rsidTr="003704CB">
        <w:tc>
          <w:tcPr>
            <w:tcW w:w="8493" w:type="dxa"/>
            <w:gridSpan w:val="4"/>
          </w:tcPr>
          <w:p w14:paraId="0063047E" w14:textId="5BFB1197" w:rsidR="005443C0" w:rsidRPr="00F45E53" w:rsidRDefault="00000000" w:rsidP="003704CB">
            <w:pPr>
              <w:spacing w:line="360" w:lineRule="auto"/>
              <w:rPr>
                <w:rFonts w:ascii="Garamond" w:eastAsia="Times New Roman" w:hAnsi="Garamond" w:cs="Times New Roman"/>
                <w:sz w:val="24"/>
                <w:szCs w:val="24"/>
                <w:lang w:val="pt-PT"/>
              </w:rPr>
            </w:pPr>
            <m:oMath>
              <m:sSup>
                <m:sSupPr>
                  <m:ctrlPr>
                    <w:rPr>
                      <w:rFonts w:ascii="Cambria Math" w:eastAsia="Times New Roman" w:hAnsi="Cambria Math" w:cs="Times New Roman"/>
                      <w:sz w:val="24"/>
                      <w:szCs w:val="24"/>
                      <w:lang w:val="pt-PT"/>
                    </w:rPr>
                  </m:ctrlPr>
                </m:sSupPr>
                <m:e>
                  <m:r>
                    <w:rPr>
                      <w:rFonts w:ascii="Cambria Math" w:eastAsia="Times New Roman" w:hAnsi="Cambria Math" w:cs="Times New Roman"/>
                      <w:sz w:val="24"/>
                      <w:szCs w:val="24"/>
                      <w:lang w:val="pt-PT"/>
                    </w:rPr>
                    <m:t>R</m:t>
                  </m:r>
                </m:e>
                <m:sup>
                  <m:r>
                    <w:rPr>
                      <w:rFonts w:ascii="Cambria Math" w:eastAsia="Times New Roman" w:hAnsi="Cambria Math" w:cs="Times New Roman"/>
                      <w:sz w:val="24"/>
                      <w:szCs w:val="24"/>
                      <w:lang w:val="pt-PT"/>
                    </w:rPr>
                    <m:t>2</m:t>
                  </m:r>
                </m:sup>
              </m:sSup>
            </m:oMath>
            <w:r w:rsidR="005443C0" w:rsidRPr="00F45E53">
              <w:rPr>
                <w:rFonts w:ascii="Garamond" w:eastAsia="Times New Roman" w:hAnsi="Garamond" w:cs="Times New Roman"/>
                <w:sz w:val="24"/>
                <w:szCs w:val="24"/>
                <w:lang w:val="pt-PT"/>
              </w:rPr>
              <w:t xml:space="preserve">ajustado: </w:t>
            </w:r>
            <w:r w:rsidR="001C5DFF" w:rsidRPr="00F45E53">
              <w:rPr>
                <w:rFonts w:ascii="Garamond" w:eastAsia="Times New Roman" w:hAnsi="Garamond" w:cs="Times New Roman"/>
                <w:sz w:val="24"/>
                <w:szCs w:val="24"/>
                <w:lang w:val="pt-PT"/>
              </w:rPr>
              <w:t>0.069512539</w:t>
            </w:r>
          </w:p>
          <w:p w14:paraId="71B0020E" w14:textId="7F18FAB8" w:rsidR="005443C0" w:rsidRPr="00F45E53" w:rsidRDefault="005443C0" w:rsidP="003704CB">
            <w:pPr>
              <w:spacing w:line="360" w:lineRule="auto"/>
              <w:rPr>
                <w:rFonts w:ascii="Garamond" w:eastAsia="Times New Roman" w:hAnsi="Garamond" w:cs="Times New Roman"/>
                <w:sz w:val="24"/>
                <w:szCs w:val="24"/>
                <w:lang w:val="pt-PT"/>
              </w:rPr>
            </w:pPr>
            <w:r w:rsidRPr="00F45E53">
              <w:rPr>
                <w:rFonts w:ascii="Garamond" w:eastAsia="Times New Roman" w:hAnsi="Garamond" w:cs="Times New Roman"/>
                <w:sz w:val="24"/>
                <w:szCs w:val="24"/>
                <w:lang w:val="pt-PT"/>
              </w:rPr>
              <w:t>Prob (F-</w:t>
            </w:r>
            <w:proofErr w:type="spellStart"/>
            <w:r w:rsidRPr="00F45E53">
              <w:rPr>
                <w:rFonts w:ascii="Garamond" w:eastAsia="Times New Roman" w:hAnsi="Garamond" w:cs="Times New Roman"/>
                <w:sz w:val="24"/>
                <w:szCs w:val="24"/>
                <w:lang w:val="pt-PT"/>
              </w:rPr>
              <w:t>statistic</w:t>
            </w:r>
            <w:proofErr w:type="spellEnd"/>
            <w:r w:rsidRPr="00F45E53">
              <w:rPr>
                <w:rFonts w:ascii="Garamond" w:eastAsia="Times New Roman" w:hAnsi="Garamond" w:cs="Times New Roman"/>
                <w:sz w:val="24"/>
                <w:szCs w:val="24"/>
                <w:lang w:val="pt-PT"/>
              </w:rPr>
              <w:t xml:space="preserve">): </w:t>
            </w:r>
            <w:r w:rsidR="006E3A6B" w:rsidRPr="00F45E53">
              <w:rPr>
                <w:rFonts w:ascii="Garamond" w:eastAsia="Times New Roman" w:hAnsi="Garamond" w:cs="Times New Roman"/>
                <w:sz w:val="24"/>
                <w:szCs w:val="24"/>
                <w:lang w:val="pt-PT"/>
              </w:rPr>
              <w:t>0</w:t>
            </w:r>
            <w:r w:rsidR="001C5DFF" w:rsidRPr="00F45E53">
              <w:rPr>
                <w:rFonts w:ascii="Garamond" w:eastAsia="Times New Roman" w:hAnsi="Garamond" w:cs="Times New Roman"/>
                <w:sz w:val="24"/>
                <w:szCs w:val="24"/>
                <w:lang w:val="pt-PT"/>
              </w:rPr>
              <w:t>.</w:t>
            </w:r>
            <w:r w:rsidR="006E3A6B" w:rsidRPr="00F45E53">
              <w:rPr>
                <w:rFonts w:ascii="Garamond" w:eastAsia="Times New Roman" w:hAnsi="Garamond" w:cs="Times New Roman"/>
                <w:sz w:val="24"/>
                <w:szCs w:val="24"/>
                <w:lang w:val="pt-PT"/>
              </w:rPr>
              <w:t>000</w:t>
            </w:r>
          </w:p>
          <w:p w14:paraId="084BBA58" w14:textId="77777777" w:rsidR="005443C0" w:rsidRPr="00F45E53" w:rsidRDefault="005443C0" w:rsidP="003704CB">
            <w:pPr>
              <w:spacing w:line="360" w:lineRule="auto"/>
              <w:rPr>
                <w:rFonts w:ascii="Garamond" w:eastAsia="Times New Roman" w:hAnsi="Garamond" w:cs="Times New Roman"/>
                <w:sz w:val="24"/>
                <w:szCs w:val="24"/>
                <w:lang w:val="pt-PT"/>
              </w:rPr>
            </w:pPr>
            <w:r w:rsidRPr="00F45E53">
              <w:rPr>
                <w:rFonts w:ascii="Garamond" w:eastAsia="Times New Roman" w:hAnsi="Garamond" w:cs="Times New Roman"/>
                <w:sz w:val="24"/>
                <w:szCs w:val="24"/>
                <w:lang w:val="pt-PT"/>
              </w:rPr>
              <w:t>Nº de observações: 187 911</w:t>
            </w:r>
          </w:p>
          <w:p w14:paraId="5C386901" w14:textId="77777777" w:rsidR="005443C0" w:rsidRDefault="005443C0" w:rsidP="003704CB">
            <w:pPr>
              <w:spacing w:line="360" w:lineRule="auto"/>
              <w:rPr>
                <w:rFonts w:ascii="Garamond" w:hAnsi="Garamond"/>
                <w:sz w:val="24"/>
                <w:szCs w:val="24"/>
                <w:lang w:val="pt-PT"/>
              </w:rPr>
            </w:pPr>
            <w:r w:rsidRPr="00F45E53">
              <w:rPr>
                <w:rFonts w:ascii="Garamond" w:eastAsia="Times New Roman" w:hAnsi="Garamond" w:cs="Times New Roman"/>
                <w:sz w:val="24"/>
                <w:szCs w:val="24"/>
                <w:lang w:val="pt-PT"/>
              </w:rPr>
              <w:t>Período: 2020 a 2022</w:t>
            </w:r>
          </w:p>
        </w:tc>
      </w:tr>
      <w:tr w:rsidR="00F45E53" w:rsidRPr="00665A5E" w14:paraId="58B44209" w14:textId="77777777" w:rsidTr="003704CB">
        <w:tc>
          <w:tcPr>
            <w:tcW w:w="8493" w:type="dxa"/>
            <w:gridSpan w:val="4"/>
          </w:tcPr>
          <w:p w14:paraId="22BD2693" w14:textId="77777777" w:rsidR="00F45E53" w:rsidRPr="008824C8" w:rsidRDefault="00F45E53" w:rsidP="003704CB">
            <w:pPr>
              <w:spacing w:line="360" w:lineRule="auto"/>
              <w:rPr>
                <w:rFonts w:ascii="Garamond" w:eastAsia="Times New Roman" w:hAnsi="Garamond" w:cs="Times New Roman"/>
                <w:sz w:val="20"/>
                <w:szCs w:val="20"/>
                <w:u w:val="single"/>
                <w:lang w:val="pt-PT"/>
              </w:rPr>
            </w:pPr>
            <w:r w:rsidRPr="008824C8">
              <w:rPr>
                <w:rFonts w:ascii="Garamond" w:eastAsia="Times New Roman" w:hAnsi="Garamond" w:cs="Times New Roman"/>
                <w:sz w:val="20"/>
                <w:szCs w:val="20"/>
                <w:u w:val="single"/>
                <w:lang w:val="pt-PT"/>
              </w:rPr>
              <w:t>Modelo base com variável multiplicativa:</w:t>
            </w:r>
          </w:p>
          <w:p w14:paraId="693FF4A0" w14:textId="349E2678" w:rsidR="00F45E53" w:rsidRDefault="009E4F01" w:rsidP="003704CB">
            <w:pPr>
              <w:spacing w:line="360" w:lineRule="auto"/>
              <w:rPr>
                <w:rFonts w:ascii="Garamond" w:eastAsia="Times New Roman" w:hAnsi="Garamond" w:cs="Times New Roman"/>
                <w:sz w:val="20"/>
                <w:szCs w:val="20"/>
                <w:lang w:val="pt-PT"/>
              </w:rPr>
            </w:pPr>
            <m:oMath>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Inv</m:t>
                  </m:r>
                </m:e>
                <m:sub>
                  <m:r>
                    <w:rPr>
                      <w:rFonts w:ascii="Cambria Math" w:hAnsi="Cambria Math"/>
                      <w:sz w:val="20"/>
                      <w:szCs w:val="20"/>
                      <w:lang w:val="pt-PT"/>
                    </w:rPr>
                    <m:t>it</m:t>
                  </m:r>
                </m:sub>
              </m:sSub>
              <m:r>
                <m:rPr>
                  <m:sty m:val="p"/>
                </m:rPr>
                <w:rPr>
                  <w:rFonts w:ascii="Cambria Math" w:hAnsi="Cambria Math"/>
                  <w:sz w:val="20"/>
                  <w:szCs w:val="20"/>
                  <w:lang w:val="pt-PT"/>
                </w:rPr>
                <m:t xml:space="preserve">= </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0</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1</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Inv</m:t>
                  </m:r>
                </m:e>
                <m:sub>
                  <m:r>
                    <w:rPr>
                      <w:rFonts w:ascii="Cambria Math" w:hAnsi="Cambria Math"/>
                      <w:sz w:val="20"/>
                      <w:szCs w:val="20"/>
                      <w:lang w:val="pt-PT"/>
                    </w:rPr>
                    <m:t>i, t</m:t>
                  </m:r>
                  <m:r>
                    <m:rPr>
                      <m:sty m:val="p"/>
                    </m:rPr>
                    <w:rPr>
                      <w:rFonts w:ascii="Cambria Math" w:hAnsi="Cambria Math"/>
                      <w:sz w:val="20"/>
                      <w:szCs w:val="20"/>
                      <w:lang w:val="pt-PT"/>
                    </w:rPr>
                    <m:t>-1</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2</m:t>
                  </m:r>
                </m:sub>
              </m:sSub>
              <m:sSub>
                <m:sSubPr>
                  <m:ctrlPr>
                    <w:rPr>
                      <w:rFonts w:ascii="Cambria Math" w:hAnsi="Cambria Math"/>
                      <w:sz w:val="20"/>
                      <w:szCs w:val="20"/>
                      <w:lang w:val="pt-PT"/>
                    </w:rPr>
                  </m:ctrlPr>
                </m:sSubPr>
                <m:e>
                  <m:r>
                    <w:rPr>
                      <w:rFonts w:ascii="Cambria Math" w:hAnsi="Cambria Math"/>
                      <w:sz w:val="20"/>
                      <w:szCs w:val="20"/>
                      <w:lang w:val="pt-PT"/>
                    </w:rPr>
                    <m:t>MFL</m:t>
                  </m:r>
                </m:e>
                <m:sub>
                  <m:r>
                    <w:rPr>
                      <w:rFonts w:ascii="Cambria Math" w:hAnsi="Cambria Math"/>
                      <w:sz w:val="20"/>
                      <w:szCs w:val="20"/>
                      <w:lang w:val="pt-PT"/>
                    </w:rPr>
                    <m:t>i,t</m:t>
                  </m:r>
                  <m:r>
                    <m:rPr>
                      <m:sty m:val="p"/>
                    </m:rPr>
                    <w:rPr>
                      <w:rFonts w:ascii="Cambria Math" w:hAnsi="Cambria Math"/>
                      <w:sz w:val="20"/>
                      <w:szCs w:val="20"/>
                      <w:lang w:val="pt-PT"/>
                    </w:rPr>
                    <m:t>-1</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3</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ENDV</m:t>
                  </m:r>
                </m:e>
                <m:sub>
                  <m:r>
                    <w:rPr>
                      <w:rFonts w:ascii="Cambria Math" w:hAnsi="Cambria Math"/>
                      <w:sz w:val="20"/>
                      <w:szCs w:val="20"/>
                      <w:lang w:val="pt-PT"/>
                    </w:rPr>
                    <m:t>i, t</m:t>
                  </m:r>
                  <m:r>
                    <m:rPr>
                      <m:sty m:val="p"/>
                    </m:rPr>
                    <w:rPr>
                      <w:rFonts w:ascii="Cambria Math" w:hAnsi="Cambria Math"/>
                      <w:sz w:val="20"/>
                      <w:szCs w:val="20"/>
                      <w:lang w:val="pt-PT"/>
                    </w:rPr>
                    <m:t>-1</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4</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PROD</m:t>
                  </m:r>
                </m:e>
                <m:sub>
                  <m:r>
                    <w:rPr>
                      <w:rFonts w:ascii="Cambria Math" w:hAnsi="Cambria Math"/>
                      <w:sz w:val="20"/>
                      <w:szCs w:val="20"/>
                      <w:lang w:val="pt-PT"/>
                    </w:rPr>
                    <m:t>i, t</m:t>
                  </m:r>
                  <m:r>
                    <m:rPr>
                      <m:sty m:val="p"/>
                    </m:rPr>
                    <w:rPr>
                      <w:rFonts w:ascii="Cambria Math" w:hAnsi="Cambria Math"/>
                      <w:sz w:val="20"/>
                      <w:szCs w:val="20"/>
                      <w:lang w:val="pt-PT"/>
                    </w:rPr>
                    <m:t>-1</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5</m:t>
                  </m:r>
                </m:sub>
              </m:sSub>
              <m:sSub>
                <m:sSubPr>
                  <m:ctrlPr>
                    <w:rPr>
                      <w:rFonts w:ascii="Cambria Math" w:hAnsi="Cambria Math"/>
                      <w:sz w:val="20"/>
                      <w:szCs w:val="20"/>
                      <w:lang w:val="pt-PT"/>
                    </w:rPr>
                  </m:ctrlPr>
                </m:sSubPr>
                <m:e>
                  <m:r>
                    <w:rPr>
                      <w:rFonts w:ascii="Cambria Math" w:hAnsi="Cambria Math"/>
                      <w:sz w:val="20"/>
                      <w:szCs w:val="20"/>
                      <w:lang w:val="pt-PT"/>
                    </w:rPr>
                    <m:t>AF</m:t>
                  </m:r>
                </m:e>
                <m:sub>
                  <m:r>
                    <w:rPr>
                      <w:rFonts w:ascii="Cambria Math" w:hAnsi="Cambria Math"/>
                      <w:sz w:val="20"/>
                      <w:szCs w:val="20"/>
                      <w:lang w:val="pt-PT"/>
                    </w:rPr>
                    <m:t>it</m:t>
                  </m:r>
                </m:sub>
              </m:sSub>
              <m:r>
                <w:rPr>
                  <w:rFonts w:ascii="Cambria Math" w:hAnsi="Cambria Math"/>
                  <w:sz w:val="20"/>
                  <w:szCs w:val="20"/>
                  <w:lang w:val="pt-PT"/>
                </w:rPr>
                <m:t xml:space="preserve">+ </m:t>
              </m:r>
              <m:sSub>
                <m:sSubPr>
                  <m:ctrlPr>
                    <w:rPr>
                      <w:rFonts w:ascii="Cambria Math" w:hAnsi="Cambria Math"/>
                      <w:sz w:val="20"/>
                      <w:szCs w:val="20"/>
                      <w:lang w:val="pt-PT"/>
                    </w:rPr>
                  </m:ctrlPr>
                </m:sSubPr>
                <m:e>
                  <m:r>
                    <w:rPr>
                      <w:rFonts w:ascii="Cambria Math" w:hAnsi="Cambria Math"/>
                      <w:sz w:val="20"/>
                      <w:szCs w:val="20"/>
                      <w:lang w:val="pt-PT"/>
                    </w:rPr>
                    <m:t>β</m:t>
                  </m:r>
                </m:e>
                <m:sub>
                  <m:r>
                    <m:rPr>
                      <m:sty m:val="p"/>
                    </m:rPr>
                    <w:rPr>
                      <w:rFonts w:ascii="Cambria Math" w:hAnsi="Cambria Math"/>
                      <w:sz w:val="20"/>
                      <w:szCs w:val="20"/>
                      <w:lang w:val="pt-PT"/>
                    </w:rPr>
                    <m:t>6</m:t>
                  </m:r>
                </m:sub>
              </m:sSub>
              <m:sSub>
                <m:sSubPr>
                  <m:ctrlPr>
                    <w:rPr>
                      <w:rFonts w:ascii="Cambria Math" w:hAnsi="Cambria Math"/>
                      <w:sz w:val="20"/>
                      <w:szCs w:val="20"/>
                      <w:lang w:val="pt-PT"/>
                    </w:rPr>
                  </m:ctrlPr>
                </m:sSubPr>
                <m:e>
                  <m:r>
                    <w:rPr>
                      <w:rFonts w:ascii="Cambria Math" w:hAnsi="Cambria Math"/>
                      <w:sz w:val="20"/>
                      <w:szCs w:val="20"/>
                      <w:lang w:val="pt-PT"/>
                    </w:rPr>
                    <m:t>Treatment</m:t>
                  </m:r>
                </m:e>
                <m:sub>
                  <m:r>
                    <w:rPr>
                      <w:rFonts w:ascii="Cambria Math" w:hAnsi="Cambria Math"/>
                      <w:sz w:val="20"/>
                      <w:szCs w:val="20"/>
                      <w:lang w:val="pt-PT"/>
                    </w:rPr>
                    <m:t>it</m:t>
                  </m:r>
                </m:sub>
              </m:sSub>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β</m:t>
                  </m:r>
                </m:e>
                <m:sub>
                  <m:r>
                    <w:rPr>
                      <w:rFonts w:ascii="Cambria Math" w:hAnsi="Cambria Math"/>
                      <w:sz w:val="20"/>
                      <w:szCs w:val="20"/>
                      <w:lang w:val="pt-PT"/>
                    </w:rPr>
                    <m:t>7</m:t>
                  </m:r>
                </m:sub>
              </m:sSub>
              <m:sSub>
                <m:sSubPr>
                  <m:ctrlPr>
                    <w:rPr>
                      <w:rFonts w:ascii="Cambria Math" w:hAnsi="Cambria Math"/>
                      <w:sz w:val="20"/>
                      <w:szCs w:val="20"/>
                      <w:lang w:val="pt-PT"/>
                    </w:rPr>
                  </m:ctrlPr>
                </m:sSubPr>
                <m:e>
                  <m:r>
                    <w:rPr>
                      <w:rFonts w:ascii="Cambria Math" w:hAnsi="Cambria Math"/>
                      <w:sz w:val="20"/>
                      <w:szCs w:val="20"/>
                      <w:lang w:val="pt-PT"/>
                    </w:rPr>
                    <m:t>Treatment</m:t>
                  </m:r>
                </m:e>
                <m:sub>
                  <m:r>
                    <w:rPr>
                      <w:rFonts w:ascii="Cambria Math" w:hAnsi="Cambria Math"/>
                      <w:sz w:val="20"/>
                      <w:szCs w:val="20"/>
                      <w:lang w:val="pt-PT"/>
                    </w:rPr>
                    <m:t>it</m:t>
                  </m:r>
                </m:sub>
              </m:sSub>
              <m:r>
                <w:rPr>
                  <w:rFonts w:ascii="Cambria Math" w:hAnsi="Cambria Math"/>
                  <w:sz w:val="20"/>
                  <w:szCs w:val="20"/>
                  <w:lang w:val="pt-PT"/>
                </w:rPr>
                <m:t>*</m:t>
              </m:r>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Inv</m:t>
                  </m:r>
                </m:e>
                <m:sub>
                  <m:r>
                    <w:rPr>
                      <w:rFonts w:ascii="Cambria Math" w:hAnsi="Cambria Math"/>
                      <w:sz w:val="20"/>
                      <w:szCs w:val="20"/>
                      <w:lang w:val="pt-PT"/>
                    </w:rPr>
                    <m:t>i, t</m:t>
                  </m:r>
                  <m:r>
                    <m:rPr>
                      <m:sty m:val="p"/>
                    </m:rPr>
                    <w:rPr>
                      <w:rFonts w:ascii="Cambria Math" w:hAnsi="Cambria Math"/>
                      <w:sz w:val="20"/>
                      <w:szCs w:val="20"/>
                      <w:lang w:val="pt-PT"/>
                    </w:rPr>
                    <m:t>-1</m:t>
                  </m:r>
                </m:sub>
              </m:sSub>
              <m: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ε</m:t>
                  </m:r>
                </m:e>
                <m:sub>
                  <m:r>
                    <w:rPr>
                      <w:rFonts w:ascii="Cambria Math" w:hAnsi="Cambria Math"/>
                      <w:sz w:val="20"/>
                      <w:szCs w:val="20"/>
                      <w:lang w:val="pt-PT"/>
                    </w:rPr>
                    <m:t>it</m:t>
                  </m:r>
                </m:sub>
              </m:sSub>
            </m:oMath>
            <w:r>
              <w:rPr>
                <w:rFonts w:ascii="Garamond" w:eastAsia="Times New Roman" w:hAnsi="Garamond" w:cs="Times New Roman"/>
                <w:sz w:val="20"/>
                <w:szCs w:val="20"/>
                <w:lang w:val="pt-PT"/>
              </w:rPr>
              <w:t xml:space="preserve"> </w:t>
            </w:r>
          </w:p>
          <w:p w14:paraId="235BCEB6" w14:textId="77777777" w:rsidR="00F45E53" w:rsidRDefault="00F45E53" w:rsidP="003704CB">
            <w:pPr>
              <w:spacing w:line="360" w:lineRule="auto"/>
              <w:rPr>
                <w:rFonts w:ascii="Garamond" w:eastAsia="Times New Roman" w:hAnsi="Garamond" w:cs="Times New Roman"/>
                <w:sz w:val="20"/>
                <w:szCs w:val="20"/>
                <w:lang w:val="pt-PT"/>
              </w:rPr>
            </w:pPr>
          </w:p>
          <w:p w14:paraId="3CBF3469" w14:textId="296E683E" w:rsidR="00A6382D" w:rsidRPr="002B2385" w:rsidRDefault="00F45E53" w:rsidP="00A6382D">
            <w:pPr>
              <w:spacing w:line="360" w:lineRule="auto"/>
              <w:rPr>
                <w:rFonts w:ascii="Garamond" w:eastAsia="Times New Roman" w:hAnsi="Garamond" w:cs="Times New Roman"/>
                <w:sz w:val="20"/>
                <w:szCs w:val="20"/>
                <w:u w:val="single"/>
                <w:lang w:val="pt-PT"/>
              </w:rPr>
            </w:pPr>
            <w:r w:rsidRPr="008824C8">
              <w:rPr>
                <w:rFonts w:ascii="Garamond" w:eastAsia="Times New Roman" w:hAnsi="Garamond" w:cs="Times New Roman"/>
                <w:sz w:val="20"/>
                <w:szCs w:val="20"/>
                <w:u w:val="single"/>
                <w:lang w:val="pt-PT"/>
              </w:rPr>
              <w:t>Definição das variáveis:</w:t>
            </w:r>
          </w:p>
          <w:p w14:paraId="0E4A7651" w14:textId="77777777" w:rsidR="00A6382D" w:rsidRDefault="00A6382D" w:rsidP="00A6382D">
            <w:pPr>
              <w:spacing w:line="360" w:lineRule="auto"/>
              <w:rPr>
                <w:rFonts w:ascii="Garamond" w:eastAsia="Times New Roman" w:hAnsi="Garamond" w:cs="Times New Roman"/>
                <w:sz w:val="20"/>
                <w:szCs w:val="20"/>
                <w:lang w:val="pt-PT"/>
              </w:rPr>
            </w:pPr>
            <m:oMath>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Inv</m:t>
                  </m:r>
                </m:e>
                <m:sub>
                  <m:r>
                    <w:rPr>
                      <w:rFonts w:ascii="Cambria Math" w:hAnsi="Cambria Math"/>
                      <w:sz w:val="20"/>
                      <w:szCs w:val="20"/>
                      <w:lang w:val="pt-PT"/>
                    </w:rPr>
                    <m:t>it</m:t>
                  </m:r>
                </m:sub>
              </m:sSub>
            </m:oMath>
            <w:r>
              <w:rPr>
                <w:rFonts w:ascii="Garamond" w:eastAsia="Times New Roman" w:hAnsi="Garamond" w:cs="Times New Roman"/>
                <w:sz w:val="20"/>
                <w:szCs w:val="20"/>
                <w:lang w:val="pt-PT"/>
              </w:rPr>
              <w:t xml:space="preserve"> = </w:t>
            </w:r>
            <w:r w:rsidRPr="004728E5">
              <w:rPr>
                <w:rFonts w:ascii="Garamond" w:eastAsia="Times New Roman" w:hAnsi="Garamond" w:cs="Times New Roman"/>
                <w:sz w:val="20"/>
                <w:szCs w:val="20"/>
                <w:lang w:val="pt-PT"/>
              </w:rPr>
              <w:t>corresponde à variação do investimento do ano, que por sua vez é a diferença entre o valor do investimento em ativos não correntes no ano t e o valor do investimento em ativos não correntes no ano t-</w:t>
            </w:r>
            <w:r>
              <w:rPr>
                <w:rFonts w:ascii="Garamond" w:eastAsia="Times New Roman" w:hAnsi="Garamond" w:cs="Times New Roman"/>
                <w:sz w:val="20"/>
                <w:szCs w:val="20"/>
                <w:lang w:val="pt-PT"/>
              </w:rPr>
              <w:t>1</w:t>
            </w:r>
            <w:r w:rsidRPr="004728E5">
              <w:rPr>
                <w:rFonts w:ascii="Garamond" w:eastAsia="Times New Roman" w:hAnsi="Garamond" w:cs="Times New Roman"/>
                <w:sz w:val="20"/>
                <w:szCs w:val="20"/>
                <w:lang w:val="pt-PT"/>
              </w:rPr>
              <w:t xml:space="preserve"> para a empresa i;</w:t>
            </w:r>
          </w:p>
          <w:p w14:paraId="59A9B08E" w14:textId="77777777" w:rsidR="00A6382D" w:rsidRDefault="00A6382D" w:rsidP="00A6382D">
            <w:pPr>
              <w:spacing w:line="360" w:lineRule="auto"/>
              <w:rPr>
                <w:rFonts w:ascii="Garamond" w:eastAsia="Times New Roman" w:hAnsi="Garamond" w:cs="Times New Roman"/>
                <w:sz w:val="20"/>
                <w:szCs w:val="20"/>
                <w:lang w:val="pt-PT"/>
              </w:rPr>
            </w:pPr>
            <m:oMath>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Inv</m:t>
                  </m:r>
                </m:e>
                <m:sub>
                  <m:r>
                    <w:rPr>
                      <w:rFonts w:ascii="Cambria Math" w:hAnsi="Cambria Math"/>
                      <w:sz w:val="20"/>
                      <w:szCs w:val="20"/>
                      <w:lang w:val="pt-PT"/>
                    </w:rPr>
                    <m:t>i,t-1</m:t>
                  </m:r>
                </m:sub>
              </m:sSub>
            </m:oMath>
            <w:r>
              <w:rPr>
                <w:rFonts w:ascii="Garamond" w:eastAsia="Times New Roman" w:hAnsi="Garamond" w:cs="Times New Roman"/>
                <w:sz w:val="20"/>
                <w:szCs w:val="20"/>
                <w:lang w:val="pt-PT"/>
              </w:rPr>
              <w:t xml:space="preserve"> = </w:t>
            </w:r>
            <w:r w:rsidRPr="004728E5">
              <w:rPr>
                <w:rFonts w:ascii="Garamond" w:eastAsia="Times New Roman" w:hAnsi="Garamond" w:cs="Times New Roman"/>
                <w:sz w:val="20"/>
                <w:szCs w:val="20"/>
                <w:lang w:val="pt-PT"/>
              </w:rPr>
              <w:t>corresponde à variação do investimento do ano anterior, que por sua vez é a diferença entre o valor do investimento em ativos não correntes no ano t-1 e o valor do investimento em ativos não correntes no ano t-2 para a empresa i;</w:t>
            </w:r>
          </w:p>
          <w:p w14:paraId="5DE71B17" w14:textId="77777777" w:rsidR="00A6382D" w:rsidRDefault="00000000" w:rsidP="00A6382D">
            <w:pPr>
              <w:spacing w:line="360" w:lineRule="auto"/>
              <w:rPr>
                <w:rFonts w:ascii="Garamond" w:eastAsia="Times New Roman" w:hAnsi="Garamond" w:cs="Times New Roman"/>
                <w:sz w:val="20"/>
                <w:szCs w:val="20"/>
                <w:lang w:val="pt-PT"/>
              </w:rPr>
            </w:pPr>
            <m:oMath>
              <m:sSub>
                <m:sSubPr>
                  <m:ctrlPr>
                    <w:rPr>
                      <w:rFonts w:ascii="Cambria Math" w:hAnsi="Cambria Math"/>
                      <w:sz w:val="20"/>
                      <w:szCs w:val="20"/>
                      <w:lang w:val="pt-PT"/>
                    </w:rPr>
                  </m:ctrlPr>
                </m:sSubPr>
                <m:e>
                  <m:r>
                    <w:rPr>
                      <w:rFonts w:ascii="Cambria Math" w:hAnsi="Cambria Math"/>
                      <w:sz w:val="20"/>
                      <w:szCs w:val="20"/>
                      <w:lang w:val="pt-PT"/>
                    </w:rPr>
                    <m:t>MFL</m:t>
                  </m:r>
                </m:e>
                <m:sub>
                  <m:r>
                    <w:rPr>
                      <w:rFonts w:ascii="Cambria Math" w:hAnsi="Cambria Math"/>
                      <w:sz w:val="20"/>
                      <w:szCs w:val="20"/>
                      <w:lang w:val="pt-PT"/>
                    </w:rPr>
                    <m:t>i,t-1</m:t>
                  </m:r>
                </m:sub>
              </m:sSub>
            </m:oMath>
            <w:r w:rsidR="00A6382D" w:rsidRPr="00BD15AF">
              <w:rPr>
                <w:rFonts w:ascii="Garamond" w:eastAsia="Times New Roman" w:hAnsi="Garamond" w:cs="Times New Roman"/>
                <w:sz w:val="20"/>
                <w:szCs w:val="20"/>
                <w:lang w:val="pt-PT"/>
              </w:rPr>
              <w:t xml:space="preserve"> </w:t>
            </w:r>
            <w:r w:rsidR="00A6382D">
              <w:rPr>
                <w:rFonts w:ascii="Garamond" w:eastAsia="Times New Roman" w:hAnsi="Garamond" w:cs="Times New Roman"/>
                <w:sz w:val="20"/>
                <w:szCs w:val="20"/>
                <w:lang w:val="pt-PT"/>
              </w:rPr>
              <w:t xml:space="preserve">= </w:t>
            </w:r>
            <w:r w:rsidR="00A6382D" w:rsidRPr="004728E5">
              <w:rPr>
                <w:rFonts w:ascii="Garamond" w:eastAsia="Times New Roman" w:hAnsi="Garamond" w:cs="Times New Roman"/>
                <w:sz w:val="20"/>
                <w:szCs w:val="20"/>
                <w:lang w:val="pt-PT"/>
              </w:rPr>
              <w:t>representa os meios financeiros líquidos do ano anterior, que são calculados através da soma do resultado líquido do período (RLP), das depreciações, das amortizações, das provisões, das perdas por imparidade e dos ajustamentos do ano t-1</w:t>
            </w:r>
            <w:r w:rsidR="00A6382D">
              <w:rPr>
                <w:rFonts w:ascii="Garamond" w:eastAsia="Times New Roman" w:hAnsi="Garamond" w:cs="Times New Roman"/>
                <w:sz w:val="20"/>
                <w:szCs w:val="20"/>
                <w:lang w:val="pt-PT"/>
              </w:rPr>
              <w:t xml:space="preserve"> para a empresa i;</w:t>
            </w:r>
          </w:p>
          <w:p w14:paraId="06072397" w14:textId="77777777" w:rsidR="00A6382D" w:rsidRDefault="00A6382D" w:rsidP="00A6382D">
            <w:pPr>
              <w:spacing w:line="360" w:lineRule="auto"/>
              <w:rPr>
                <w:rFonts w:ascii="Garamond" w:eastAsia="Times New Roman" w:hAnsi="Garamond" w:cs="Times New Roman"/>
                <w:sz w:val="20"/>
                <w:szCs w:val="20"/>
                <w:lang w:val="pt-PT"/>
              </w:rPr>
            </w:pPr>
            <m:oMath>
              <m:r>
                <m:rPr>
                  <m:sty m:val="p"/>
                </m:rPr>
                <w:rPr>
                  <w:rFonts w:ascii="Cambria Math" w:hAnsi="Cambria Math"/>
                  <w:sz w:val="20"/>
                  <w:szCs w:val="20"/>
                  <w:lang w:val="pt-PT"/>
                </w:rPr>
                <w:lastRenderedPageBreak/>
                <m:t>∆</m:t>
              </m:r>
              <m:sSub>
                <m:sSubPr>
                  <m:ctrlPr>
                    <w:rPr>
                      <w:rFonts w:ascii="Cambria Math" w:hAnsi="Cambria Math"/>
                      <w:sz w:val="20"/>
                      <w:szCs w:val="20"/>
                      <w:lang w:val="pt-PT"/>
                    </w:rPr>
                  </m:ctrlPr>
                </m:sSubPr>
                <m:e>
                  <m:r>
                    <w:rPr>
                      <w:rFonts w:ascii="Cambria Math" w:hAnsi="Cambria Math"/>
                      <w:sz w:val="20"/>
                      <w:szCs w:val="20"/>
                      <w:lang w:val="pt-PT"/>
                    </w:rPr>
                    <m:t>ENDV</m:t>
                  </m:r>
                </m:e>
                <m:sub>
                  <m:r>
                    <w:rPr>
                      <w:rFonts w:ascii="Cambria Math" w:hAnsi="Cambria Math"/>
                      <w:sz w:val="20"/>
                      <w:szCs w:val="20"/>
                      <w:lang w:val="pt-PT"/>
                    </w:rPr>
                    <m:t>i,t</m:t>
                  </m:r>
                  <m:r>
                    <m:rPr>
                      <m:sty m:val="p"/>
                    </m:rPr>
                    <w:rPr>
                      <w:rFonts w:ascii="Cambria Math" w:hAnsi="Cambria Math"/>
                      <w:sz w:val="20"/>
                      <w:szCs w:val="20"/>
                      <w:lang w:val="pt-PT"/>
                    </w:rPr>
                    <m:t>-1</m:t>
                  </m:r>
                </m:sub>
              </m:sSub>
            </m:oMath>
            <w:r w:rsidRPr="00216DC4">
              <w:rPr>
                <w:rFonts w:ascii="Garamond" w:eastAsia="Times New Roman" w:hAnsi="Garamond" w:cs="Times New Roman"/>
                <w:sz w:val="20"/>
                <w:szCs w:val="20"/>
                <w:lang w:val="pt-PT"/>
              </w:rPr>
              <w:t xml:space="preserve"> </w:t>
            </w:r>
            <w:r>
              <w:rPr>
                <w:rFonts w:ascii="Garamond" w:eastAsia="Times New Roman" w:hAnsi="Garamond" w:cs="Times New Roman"/>
                <w:sz w:val="20"/>
                <w:szCs w:val="20"/>
                <w:lang w:val="pt-PT"/>
              </w:rPr>
              <w:t xml:space="preserve">= </w:t>
            </w:r>
            <w:r w:rsidRPr="00A80124">
              <w:rPr>
                <w:rFonts w:ascii="Garamond" w:eastAsia="Times New Roman" w:hAnsi="Garamond" w:cs="Times New Roman"/>
                <w:sz w:val="20"/>
                <w:szCs w:val="20"/>
                <w:lang w:val="pt-PT"/>
              </w:rPr>
              <w:t>reflete a variação do endividamento, que é calculada como a diferença entre o quociente do total do passivo pelo total do ativo no ano t-1 e o quociente do total do passivo pelo total do ativo no ano t-2</w:t>
            </w:r>
            <w:r>
              <w:rPr>
                <w:rFonts w:ascii="Garamond" w:eastAsia="Times New Roman" w:hAnsi="Garamond" w:cs="Times New Roman"/>
                <w:sz w:val="20"/>
                <w:szCs w:val="20"/>
                <w:lang w:val="pt-PT"/>
              </w:rPr>
              <w:t xml:space="preserve"> para a empresa i;</w:t>
            </w:r>
          </w:p>
          <w:p w14:paraId="5AED105A" w14:textId="77777777" w:rsidR="00A6382D" w:rsidRDefault="00A6382D" w:rsidP="00A6382D">
            <w:pPr>
              <w:spacing w:line="360" w:lineRule="auto"/>
              <w:rPr>
                <w:rFonts w:ascii="Garamond" w:eastAsia="Times New Roman" w:hAnsi="Garamond" w:cs="Times New Roman"/>
                <w:sz w:val="20"/>
                <w:szCs w:val="20"/>
                <w:lang w:val="pt-PT"/>
              </w:rPr>
            </w:pPr>
            <m:oMath>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PROD</m:t>
                  </m:r>
                </m:e>
                <m:sub>
                  <m:r>
                    <w:rPr>
                      <w:rFonts w:ascii="Cambria Math" w:hAnsi="Cambria Math"/>
                      <w:sz w:val="20"/>
                      <w:szCs w:val="20"/>
                      <w:lang w:val="pt-PT"/>
                    </w:rPr>
                    <m:t>i, t</m:t>
                  </m:r>
                  <m:r>
                    <m:rPr>
                      <m:sty m:val="p"/>
                    </m:rPr>
                    <w:rPr>
                      <w:rFonts w:ascii="Cambria Math" w:hAnsi="Cambria Math"/>
                      <w:sz w:val="20"/>
                      <w:szCs w:val="20"/>
                      <w:lang w:val="pt-PT"/>
                    </w:rPr>
                    <m:t>-1</m:t>
                  </m:r>
                </m:sub>
              </m:sSub>
            </m:oMath>
            <w:r w:rsidRPr="002B2385">
              <w:rPr>
                <w:rFonts w:ascii="Garamond" w:eastAsia="Times New Roman" w:hAnsi="Garamond" w:cs="Times New Roman"/>
                <w:sz w:val="20"/>
                <w:szCs w:val="20"/>
                <w:lang w:val="pt-PT"/>
              </w:rPr>
              <w:t xml:space="preserve"> </w:t>
            </w:r>
            <w:r>
              <w:rPr>
                <w:rFonts w:ascii="Garamond" w:eastAsia="Times New Roman" w:hAnsi="Garamond" w:cs="Times New Roman"/>
                <w:sz w:val="20"/>
                <w:szCs w:val="20"/>
                <w:lang w:val="pt-PT"/>
              </w:rPr>
              <w:t xml:space="preserve">= </w:t>
            </w:r>
            <w:r w:rsidRPr="00E81C9E">
              <w:rPr>
                <w:rFonts w:ascii="Garamond" w:eastAsia="Times New Roman" w:hAnsi="Garamond" w:cs="Times New Roman"/>
                <w:sz w:val="20"/>
                <w:szCs w:val="20"/>
                <w:lang w:val="pt-PT"/>
              </w:rPr>
              <w:t>a variação da produção é calculada através da diferença entre a soma das vendas e prestação de serviços, variação nos inventários de produção, subsídios à exploração e trabalhos para a própria entidade no ano t-1, e a soma correspondente no ano t-2</w:t>
            </w:r>
            <w:r>
              <w:rPr>
                <w:rFonts w:ascii="Garamond" w:eastAsia="Times New Roman" w:hAnsi="Garamond" w:cs="Times New Roman"/>
                <w:sz w:val="20"/>
                <w:szCs w:val="20"/>
                <w:lang w:val="pt-PT"/>
              </w:rPr>
              <w:t xml:space="preserve"> para a empresa i;</w:t>
            </w:r>
          </w:p>
          <w:p w14:paraId="539924E3" w14:textId="77777777" w:rsidR="00A6382D" w:rsidRDefault="00000000" w:rsidP="00A6382D">
            <w:pPr>
              <w:spacing w:line="360" w:lineRule="auto"/>
              <w:rPr>
                <w:rFonts w:ascii="Garamond" w:eastAsia="Times New Roman" w:hAnsi="Garamond" w:cs="Times New Roman"/>
                <w:sz w:val="20"/>
                <w:szCs w:val="20"/>
                <w:lang w:val="pt-PT"/>
              </w:rPr>
            </w:pPr>
            <m:oMath>
              <m:sSub>
                <m:sSubPr>
                  <m:ctrlPr>
                    <w:rPr>
                      <w:rFonts w:ascii="Cambria Math" w:hAnsi="Cambria Math"/>
                      <w:sz w:val="20"/>
                      <w:szCs w:val="20"/>
                      <w:lang w:val="pt-PT"/>
                    </w:rPr>
                  </m:ctrlPr>
                </m:sSubPr>
                <m:e>
                  <m:r>
                    <w:rPr>
                      <w:rFonts w:ascii="Cambria Math" w:hAnsi="Cambria Math"/>
                      <w:sz w:val="20"/>
                      <w:szCs w:val="20"/>
                      <w:lang w:val="pt-PT"/>
                    </w:rPr>
                    <m:t>AF</m:t>
                  </m:r>
                </m:e>
                <m:sub>
                  <m:r>
                    <w:rPr>
                      <w:rFonts w:ascii="Cambria Math" w:hAnsi="Cambria Math"/>
                      <w:sz w:val="20"/>
                      <w:szCs w:val="20"/>
                      <w:lang w:val="pt-PT"/>
                    </w:rPr>
                    <m:t>i, t</m:t>
                  </m:r>
                </m:sub>
              </m:sSub>
            </m:oMath>
            <w:r w:rsidR="00A6382D" w:rsidRPr="002B2385">
              <w:rPr>
                <w:rFonts w:ascii="Garamond" w:eastAsia="Times New Roman" w:hAnsi="Garamond" w:cs="Times New Roman"/>
                <w:sz w:val="20"/>
                <w:szCs w:val="20"/>
                <w:lang w:val="pt-PT"/>
              </w:rPr>
              <w:t xml:space="preserve"> </w:t>
            </w:r>
            <w:r w:rsidR="00A6382D">
              <w:rPr>
                <w:rFonts w:ascii="Garamond" w:eastAsia="Times New Roman" w:hAnsi="Garamond" w:cs="Times New Roman"/>
                <w:sz w:val="20"/>
                <w:szCs w:val="20"/>
                <w:lang w:val="pt-PT"/>
              </w:rPr>
              <w:t xml:space="preserve">= </w:t>
            </w:r>
            <w:r w:rsidR="00A6382D" w:rsidRPr="00CB2914">
              <w:rPr>
                <w:rFonts w:ascii="Garamond" w:eastAsia="Times New Roman" w:hAnsi="Garamond" w:cs="Times New Roman"/>
                <w:sz w:val="20"/>
                <w:szCs w:val="20"/>
                <w:lang w:val="pt-PT"/>
              </w:rPr>
              <w:t>corresponde à autonomia financeira, que é calculada através do quociente entre o capital próprio e o total dos ativos</w:t>
            </w:r>
            <w:r w:rsidR="00A6382D">
              <w:rPr>
                <w:rFonts w:ascii="Garamond" w:eastAsia="Times New Roman" w:hAnsi="Garamond" w:cs="Times New Roman"/>
                <w:sz w:val="20"/>
                <w:szCs w:val="20"/>
                <w:lang w:val="pt-PT"/>
              </w:rPr>
              <w:t xml:space="preserve"> da empresa i;</w:t>
            </w:r>
          </w:p>
          <w:p w14:paraId="730FA1D2" w14:textId="6A89BB8C" w:rsidR="00A6382D" w:rsidRPr="00A6382D" w:rsidRDefault="00000000" w:rsidP="003704CB">
            <w:pPr>
              <w:spacing w:line="360" w:lineRule="auto"/>
              <w:rPr>
                <w:rFonts w:ascii="Garamond" w:eastAsia="Times New Roman" w:hAnsi="Garamond" w:cs="Times New Roman"/>
                <w:sz w:val="20"/>
                <w:szCs w:val="20"/>
                <w:lang w:val="pt-PT"/>
              </w:rPr>
            </w:pPr>
            <m:oMath>
              <m:sSub>
                <m:sSubPr>
                  <m:ctrlPr>
                    <w:rPr>
                      <w:rFonts w:ascii="Cambria Math" w:hAnsi="Cambria Math"/>
                      <w:sz w:val="20"/>
                      <w:szCs w:val="20"/>
                      <w:lang w:val="pt-PT"/>
                    </w:rPr>
                  </m:ctrlPr>
                </m:sSubPr>
                <m:e>
                  <m:r>
                    <w:rPr>
                      <w:rFonts w:ascii="Cambria Math" w:hAnsi="Cambria Math"/>
                      <w:sz w:val="20"/>
                      <w:szCs w:val="20"/>
                      <w:lang w:val="pt-PT"/>
                    </w:rPr>
                    <m:t>Treatment</m:t>
                  </m:r>
                </m:e>
                <m:sub>
                  <m:r>
                    <w:rPr>
                      <w:rFonts w:ascii="Cambria Math" w:hAnsi="Cambria Math"/>
                      <w:sz w:val="20"/>
                      <w:szCs w:val="20"/>
                      <w:lang w:val="pt-PT"/>
                    </w:rPr>
                    <m:t>i,t</m:t>
                  </m:r>
                </m:sub>
              </m:sSub>
            </m:oMath>
            <w:r w:rsidR="00A6382D" w:rsidRPr="002B2385">
              <w:rPr>
                <w:rFonts w:ascii="Garamond" w:eastAsia="Times New Roman" w:hAnsi="Garamond" w:cs="Times New Roman"/>
                <w:sz w:val="20"/>
                <w:szCs w:val="20"/>
                <w:lang w:val="pt-PT"/>
              </w:rPr>
              <w:t xml:space="preserve"> </w:t>
            </w:r>
            <w:r w:rsidR="00A6382D">
              <w:rPr>
                <w:rFonts w:ascii="Garamond" w:eastAsia="Times New Roman" w:hAnsi="Garamond" w:cs="Times New Roman"/>
                <w:sz w:val="20"/>
                <w:szCs w:val="20"/>
                <w:lang w:val="pt-PT"/>
              </w:rPr>
              <w:t xml:space="preserve">= variável </w:t>
            </w:r>
            <w:r w:rsidR="00A6382D" w:rsidRPr="00605348">
              <w:rPr>
                <w:rFonts w:ascii="Garamond" w:eastAsia="Times New Roman" w:hAnsi="Garamond" w:cs="Times New Roman"/>
                <w:i/>
                <w:iCs/>
                <w:sz w:val="20"/>
                <w:szCs w:val="20"/>
                <w:lang w:val="pt-PT"/>
              </w:rPr>
              <w:t>dummy</w:t>
            </w:r>
            <w:r w:rsidR="00A6382D">
              <w:rPr>
                <w:rFonts w:ascii="Garamond" w:eastAsia="Times New Roman" w:hAnsi="Garamond" w:cs="Times New Roman"/>
                <w:sz w:val="20"/>
                <w:szCs w:val="20"/>
                <w:lang w:val="pt-PT"/>
              </w:rPr>
              <w:t xml:space="preserve"> que assume o valor 1 se a empresa i beneficiou do CFEI II em determinado ano, e 0 caso contrário</w:t>
            </w:r>
            <w:r w:rsidR="00690008">
              <w:rPr>
                <w:rFonts w:ascii="Garamond" w:eastAsia="Times New Roman" w:hAnsi="Garamond" w:cs="Times New Roman"/>
                <w:sz w:val="20"/>
                <w:szCs w:val="20"/>
                <w:lang w:val="pt-PT"/>
              </w:rPr>
              <w:t>;</w:t>
            </w:r>
          </w:p>
          <w:p w14:paraId="1398F1FC" w14:textId="694F6CB9" w:rsidR="00F45E53" w:rsidRDefault="00000000" w:rsidP="003704CB">
            <w:pPr>
              <w:spacing w:line="360" w:lineRule="auto"/>
              <w:rPr>
                <w:rFonts w:ascii="Garamond" w:eastAsia="Times New Roman" w:hAnsi="Garamond" w:cs="Times New Roman"/>
                <w:sz w:val="20"/>
                <w:szCs w:val="20"/>
                <w:lang w:val="pt-PT"/>
              </w:rPr>
            </w:pPr>
            <m:oMath>
              <m:sSub>
                <m:sSubPr>
                  <m:ctrlPr>
                    <w:rPr>
                      <w:rFonts w:ascii="Cambria Math" w:hAnsi="Cambria Math"/>
                      <w:sz w:val="20"/>
                      <w:szCs w:val="20"/>
                      <w:lang w:val="pt-PT"/>
                    </w:rPr>
                  </m:ctrlPr>
                </m:sSubPr>
                <m:e>
                  <m:r>
                    <w:rPr>
                      <w:rFonts w:ascii="Cambria Math" w:hAnsi="Cambria Math"/>
                      <w:sz w:val="20"/>
                      <w:szCs w:val="20"/>
                      <w:lang w:val="pt-PT"/>
                    </w:rPr>
                    <m:t>Treatment</m:t>
                  </m:r>
                </m:e>
                <m:sub>
                  <m:r>
                    <w:rPr>
                      <w:rFonts w:ascii="Cambria Math" w:hAnsi="Cambria Math"/>
                      <w:sz w:val="20"/>
                      <w:szCs w:val="20"/>
                      <w:lang w:val="pt-PT"/>
                    </w:rPr>
                    <m:t>it</m:t>
                  </m:r>
                </m:sub>
              </m:sSub>
            </m:oMath>
            <w:r w:rsidR="00F45E53" w:rsidRPr="00F45E53">
              <w:rPr>
                <w:rFonts w:ascii="Garamond" w:eastAsia="Times New Roman" w:hAnsi="Garamond" w:cs="Times New Roman"/>
                <w:sz w:val="20"/>
                <w:szCs w:val="20"/>
                <w:lang w:val="pt-PT"/>
              </w:rPr>
              <w:t xml:space="preserve">* </w:t>
            </w:r>
            <m:oMath>
              <m:r>
                <m:rPr>
                  <m:sty m:val="p"/>
                </m:rPr>
                <w:rPr>
                  <w:rFonts w:ascii="Cambria Math" w:hAnsi="Cambria Math"/>
                  <w:sz w:val="20"/>
                  <w:szCs w:val="20"/>
                  <w:lang w:val="pt-PT"/>
                </w:rPr>
                <m:t>∆</m:t>
              </m:r>
              <m:sSub>
                <m:sSubPr>
                  <m:ctrlPr>
                    <w:rPr>
                      <w:rFonts w:ascii="Cambria Math" w:hAnsi="Cambria Math"/>
                      <w:sz w:val="20"/>
                      <w:szCs w:val="20"/>
                      <w:lang w:val="pt-PT"/>
                    </w:rPr>
                  </m:ctrlPr>
                </m:sSubPr>
                <m:e>
                  <m:r>
                    <w:rPr>
                      <w:rFonts w:ascii="Cambria Math" w:hAnsi="Cambria Math"/>
                      <w:sz w:val="20"/>
                      <w:szCs w:val="20"/>
                      <w:lang w:val="pt-PT"/>
                    </w:rPr>
                    <m:t>Inv</m:t>
                  </m:r>
                </m:e>
                <m:sub>
                  <m:r>
                    <w:rPr>
                      <w:rFonts w:ascii="Cambria Math" w:hAnsi="Cambria Math"/>
                      <w:sz w:val="20"/>
                      <w:szCs w:val="20"/>
                      <w:lang w:val="pt-PT"/>
                    </w:rPr>
                    <m:t>i, t</m:t>
                  </m:r>
                  <m:r>
                    <m:rPr>
                      <m:sty m:val="p"/>
                    </m:rPr>
                    <w:rPr>
                      <w:rFonts w:ascii="Cambria Math" w:hAnsi="Cambria Math"/>
                      <w:sz w:val="20"/>
                      <w:szCs w:val="20"/>
                      <w:lang w:val="pt-PT"/>
                    </w:rPr>
                    <m:t>-1</m:t>
                  </m:r>
                </m:sub>
              </m:sSub>
            </m:oMath>
            <w:r w:rsidR="00F45E53">
              <w:rPr>
                <w:rFonts w:ascii="Garamond" w:eastAsia="Times New Roman" w:hAnsi="Garamond" w:cs="Times New Roman"/>
                <w:sz w:val="20"/>
                <w:szCs w:val="20"/>
                <w:lang w:val="pt-PT"/>
              </w:rPr>
              <w:t xml:space="preserve"> = variável multiplicativa</w:t>
            </w:r>
            <w:r w:rsidR="00690008">
              <w:rPr>
                <w:rFonts w:ascii="Garamond" w:eastAsia="Times New Roman" w:hAnsi="Garamond" w:cs="Times New Roman"/>
                <w:sz w:val="20"/>
                <w:szCs w:val="20"/>
                <w:lang w:val="pt-PT"/>
              </w:rPr>
              <w:t>.</w:t>
            </w:r>
          </w:p>
          <w:p w14:paraId="7BCB3DA2" w14:textId="77777777" w:rsidR="00A6382D" w:rsidRDefault="00A6382D" w:rsidP="003704CB">
            <w:pPr>
              <w:spacing w:line="360" w:lineRule="auto"/>
              <w:rPr>
                <w:rFonts w:ascii="Garamond" w:eastAsia="Times New Roman" w:hAnsi="Garamond" w:cs="Times New Roman"/>
                <w:sz w:val="20"/>
                <w:szCs w:val="20"/>
                <w:lang w:val="pt-PT"/>
              </w:rPr>
            </w:pPr>
          </w:p>
          <w:p w14:paraId="3102EFBF" w14:textId="5606EDC9" w:rsidR="00665A5E" w:rsidRPr="00F45E53" w:rsidRDefault="00665A5E" w:rsidP="003704CB">
            <w:pPr>
              <w:spacing w:line="360" w:lineRule="auto"/>
              <w:rPr>
                <w:rFonts w:ascii="Garamond" w:eastAsia="Times New Roman" w:hAnsi="Garamond" w:cs="Times New Roman"/>
                <w:sz w:val="20"/>
                <w:szCs w:val="20"/>
                <w:lang w:val="pt-PT"/>
              </w:rPr>
            </w:pPr>
            <w:r w:rsidRPr="00665A5E">
              <w:rPr>
                <w:rFonts w:ascii="Garamond" w:eastAsia="Times New Roman" w:hAnsi="Garamond" w:cs="Times New Roman"/>
                <w:i/>
                <w:iCs/>
                <w:sz w:val="20"/>
                <w:szCs w:val="20"/>
                <w:lang w:val="pt-PT"/>
              </w:rPr>
              <w:t>* p &lt; 0.10, ** p &lt; 0.05, *** p &lt; 0.01</w:t>
            </w:r>
          </w:p>
        </w:tc>
      </w:tr>
    </w:tbl>
    <w:p w14:paraId="572E33E3" w14:textId="77777777" w:rsidR="005443C0" w:rsidRDefault="005443C0" w:rsidP="000942BF">
      <w:pPr>
        <w:spacing w:line="360" w:lineRule="auto"/>
        <w:rPr>
          <w:rFonts w:ascii="Garamond" w:hAnsi="Garamond"/>
          <w:sz w:val="24"/>
          <w:szCs w:val="24"/>
          <w:lang w:val="pt-PT"/>
        </w:rPr>
      </w:pPr>
    </w:p>
    <w:p w14:paraId="1C3B7C9C" w14:textId="56989F53" w:rsidR="005443C0" w:rsidRDefault="0002298F" w:rsidP="00642608">
      <w:pPr>
        <w:spacing w:line="360" w:lineRule="auto"/>
        <w:jc w:val="both"/>
        <w:rPr>
          <w:rFonts w:ascii="Garamond" w:hAnsi="Garamond"/>
          <w:sz w:val="24"/>
          <w:szCs w:val="24"/>
          <w:lang w:val="pt-PT"/>
        </w:rPr>
      </w:pPr>
      <w:r w:rsidRPr="0002298F">
        <w:rPr>
          <w:rFonts w:ascii="Garamond" w:hAnsi="Garamond"/>
          <w:sz w:val="24"/>
          <w:szCs w:val="24"/>
          <w:lang w:val="pt-PT"/>
        </w:rPr>
        <w:t>O modelo proposto é estatisticamente significativo (F-</w:t>
      </w:r>
      <w:proofErr w:type="spellStart"/>
      <w:r w:rsidRPr="0002298F">
        <w:rPr>
          <w:rFonts w:ascii="Garamond" w:hAnsi="Garamond"/>
          <w:sz w:val="24"/>
          <w:szCs w:val="24"/>
          <w:lang w:val="pt-PT"/>
        </w:rPr>
        <w:t>Statistic</w:t>
      </w:r>
      <w:proofErr w:type="spellEnd"/>
      <w:r w:rsidRPr="0002298F">
        <w:rPr>
          <w:rFonts w:ascii="Garamond" w:hAnsi="Garamond"/>
          <w:sz w:val="24"/>
          <w:szCs w:val="24"/>
          <w:lang w:val="pt-PT"/>
        </w:rPr>
        <w:t>, p-value &lt; 0</w:t>
      </w:r>
      <w:r w:rsidR="005278EC">
        <w:rPr>
          <w:rFonts w:ascii="Garamond" w:hAnsi="Garamond"/>
          <w:sz w:val="24"/>
          <w:szCs w:val="24"/>
          <w:lang w:val="pt-PT"/>
        </w:rPr>
        <w:t>.</w:t>
      </w:r>
      <w:r w:rsidRPr="0002298F">
        <w:rPr>
          <w:rFonts w:ascii="Garamond" w:hAnsi="Garamond"/>
          <w:sz w:val="24"/>
          <w:szCs w:val="24"/>
          <w:lang w:val="pt-PT"/>
        </w:rPr>
        <w:t xml:space="preserve">01). </w:t>
      </w:r>
    </w:p>
    <w:p w14:paraId="1F46D8E1" w14:textId="001A01D4" w:rsidR="0002298F" w:rsidRDefault="0002298F" w:rsidP="00642608">
      <w:pPr>
        <w:spacing w:line="360" w:lineRule="auto"/>
        <w:jc w:val="both"/>
        <w:rPr>
          <w:rFonts w:ascii="Garamond" w:eastAsia="Times New Roman" w:hAnsi="Garamond" w:cs="Times New Roman"/>
          <w:sz w:val="24"/>
          <w:szCs w:val="24"/>
          <w:lang w:val="pt-PT"/>
        </w:rPr>
      </w:pPr>
      <w:r>
        <w:rPr>
          <w:rFonts w:ascii="Garamond" w:hAnsi="Garamond"/>
          <w:sz w:val="24"/>
          <w:szCs w:val="24"/>
          <w:lang w:val="pt-PT"/>
        </w:rPr>
        <w:t>Analisando a tabela, verificamos</w:t>
      </w:r>
      <w:r w:rsidRPr="000A1545">
        <w:rPr>
          <w:rFonts w:ascii="Garamond" w:hAnsi="Garamond"/>
          <w:sz w:val="24"/>
          <w:szCs w:val="24"/>
          <w:lang w:val="pt-PT"/>
        </w:rPr>
        <w:t xml:space="preserve"> que</w:t>
      </w:r>
      <w:r>
        <w:rPr>
          <w:rFonts w:ascii="Garamond" w:hAnsi="Garamond"/>
          <w:sz w:val="24"/>
          <w:szCs w:val="24"/>
          <w:lang w:val="pt-PT"/>
        </w:rPr>
        <w:t>,</w:t>
      </w:r>
      <w:r w:rsidRPr="000A1545">
        <w:rPr>
          <w:rFonts w:ascii="Garamond" w:hAnsi="Garamond"/>
          <w:sz w:val="24"/>
          <w:szCs w:val="24"/>
          <w:lang w:val="pt-PT"/>
        </w:rPr>
        <w:t xml:space="preserve"> de acordo com o </w:t>
      </w:r>
      <w:r w:rsidRPr="000A1545">
        <w:rPr>
          <w:rFonts w:ascii="Garamond" w:hAnsi="Garamond"/>
          <w:i/>
          <w:iCs/>
          <w:sz w:val="24"/>
          <w:szCs w:val="24"/>
          <w:lang w:val="pt-PT"/>
        </w:rPr>
        <w:t>p-value</w:t>
      </w:r>
      <w:r w:rsidRPr="000A1545">
        <w:rPr>
          <w:rFonts w:ascii="Garamond" w:hAnsi="Garamond"/>
          <w:sz w:val="24"/>
          <w:szCs w:val="24"/>
          <w:lang w:val="pt-PT"/>
        </w:rPr>
        <w:t xml:space="preserve"> referente a cada uma das variáveis, os parâmetros são estatisticamente significativos (</w:t>
      </w:r>
      <w:r w:rsidRPr="000A1545">
        <w:rPr>
          <w:rFonts w:ascii="Garamond" w:hAnsi="Garamond"/>
          <w:i/>
          <w:iCs/>
          <w:sz w:val="24"/>
          <w:szCs w:val="24"/>
          <w:lang w:val="pt-PT"/>
        </w:rPr>
        <w:t>p-value</w:t>
      </w:r>
      <w:r w:rsidRPr="000A1545">
        <w:rPr>
          <w:rFonts w:ascii="Garamond" w:hAnsi="Garamond"/>
          <w:sz w:val="24"/>
          <w:szCs w:val="24"/>
          <w:lang w:val="pt-PT"/>
        </w:rPr>
        <w:t xml:space="preserve"> &lt; 0</w:t>
      </w:r>
      <w:r w:rsidR="005278EC">
        <w:rPr>
          <w:rFonts w:ascii="Garamond" w:hAnsi="Garamond"/>
          <w:sz w:val="24"/>
          <w:szCs w:val="24"/>
          <w:lang w:val="pt-PT"/>
        </w:rPr>
        <w:t>.</w:t>
      </w:r>
      <w:r w:rsidRPr="000A1545">
        <w:rPr>
          <w:rFonts w:ascii="Garamond" w:hAnsi="Garamond"/>
          <w:sz w:val="24"/>
          <w:szCs w:val="24"/>
          <w:lang w:val="pt-PT"/>
        </w:rPr>
        <w:t xml:space="preserve">01), </w:t>
      </w:r>
      <w:r>
        <w:rPr>
          <w:rFonts w:ascii="Garamond" w:hAnsi="Garamond"/>
          <w:sz w:val="24"/>
          <w:szCs w:val="24"/>
          <w:lang w:val="pt-PT"/>
        </w:rPr>
        <w:t>com exceção dos</w:t>
      </w:r>
      <w:r w:rsidRPr="000A1545">
        <w:rPr>
          <w:rFonts w:ascii="Garamond" w:hAnsi="Garamond"/>
          <w:sz w:val="24"/>
          <w:szCs w:val="24"/>
          <w:lang w:val="pt-PT"/>
        </w:rPr>
        <w:t xml:space="preserve"> coeficientes das variáveis </w:t>
      </w: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Pr="000A1545">
        <w:rPr>
          <w:rFonts w:ascii="Garamond" w:hAnsi="Garamond"/>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0A1545">
        <w:rPr>
          <w:rFonts w:ascii="Garamond" w:hAnsi="Garamond"/>
          <w:sz w:val="24"/>
          <w:szCs w:val="24"/>
          <w:lang w:val="pt-PT"/>
        </w:rPr>
        <w:t xml:space="preserve"> e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Pr="000A1545">
        <w:rPr>
          <w:rFonts w:ascii="Garamond" w:hAnsi="Garamond"/>
          <w:sz w:val="24"/>
          <w:szCs w:val="24"/>
          <w:lang w:val="pt-PT"/>
        </w:rPr>
        <w:t>.</w:t>
      </w:r>
      <w:r>
        <w:rPr>
          <w:rFonts w:ascii="Garamond" w:hAnsi="Garamond"/>
          <w:sz w:val="24"/>
          <w:szCs w:val="24"/>
          <w:lang w:val="pt-PT"/>
        </w:rPr>
        <w:t xml:space="preserve"> Assim, salientamos que </w:t>
      </w:r>
      <w:r w:rsidR="00C6268A">
        <w:rPr>
          <w:rFonts w:ascii="Garamond" w:hAnsi="Garamond"/>
          <w:sz w:val="24"/>
          <w:szCs w:val="24"/>
          <w:lang w:val="pt-PT"/>
        </w:rPr>
        <w:t xml:space="preserve">apesar da variável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C6268A">
        <w:rPr>
          <w:rFonts w:ascii="Garamond" w:hAnsi="Garamond"/>
          <w:sz w:val="24"/>
          <w:szCs w:val="24"/>
          <w:lang w:val="pt-PT"/>
        </w:rPr>
        <w:t xml:space="preserve"> não ser estatisticamente significativa, </w:t>
      </w:r>
      <w:r>
        <w:rPr>
          <w:rFonts w:ascii="Garamond" w:hAnsi="Garamond"/>
          <w:sz w:val="24"/>
          <w:szCs w:val="24"/>
          <w:lang w:val="pt-PT"/>
        </w:rPr>
        <w:t xml:space="preserve">a variável multiplicativa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Pr>
          <w:rFonts w:ascii="Garamond" w:eastAsia="Times New Roman" w:hAnsi="Garamond" w:cs="Times New Roman"/>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Pr>
          <w:rFonts w:ascii="Garamond" w:eastAsia="Times New Roman" w:hAnsi="Garamond" w:cs="Times New Roman"/>
          <w:sz w:val="24"/>
          <w:szCs w:val="24"/>
          <w:lang w:val="pt-PT"/>
        </w:rPr>
        <w:t xml:space="preserve"> </w:t>
      </w:r>
      <w:r w:rsidR="00C6268A">
        <w:rPr>
          <w:rFonts w:ascii="Garamond" w:eastAsia="Times New Roman" w:hAnsi="Garamond" w:cs="Times New Roman"/>
          <w:sz w:val="24"/>
          <w:szCs w:val="24"/>
          <w:lang w:val="pt-PT"/>
        </w:rPr>
        <w:t>é</w:t>
      </w:r>
      <w:r w:rsidR="002C7FBB">
        <w:rPr>
          <w:rFonts w:ascii="Garamond" w:eastAsia="Times New Roman" w:hAnsi="Garamond" w:cs="Times New Roman"/>
          <w:sz w:val="24"/>
          <w:szCs w:val="24"/>
          <w:lang w:val="pt-PT"/>
        </w:rPr>
        <w:t xml:space="preserve"> estatisticamente significativa.</w:t>
      </w:r>
    </w:p>
    <w:p w14:paraId="3EC0096F" w14:textId="56039CBC" w:rsidR="00EC3390" w:rsidRDefault="00EC3390" w:rsidP="00642608">
      <w:pPr>
        <w:spacing w:line="360" w:lineRule="auto"/>
        <w:jc w:val="both"/>
        <w:rPr>
          <w:rFonts w:ascii="Garamond" w:eastAsia="Times New Roman" w:hAnsi="Garamond" w:cs="Times New Roman"/>
          <w:sz w:val="24"/>
          <w:szCs w:val="24"/>
          <w:lang w:val="pt-PT"/>
        </w:rPr>
      </w:pPr>
      <w:r>
        <w:rPr>
          <w:rFonts w:ascii="Garamond" w:eastAsia="Times New Roman" w:hAnsi="Garamond" w:cs="Times New Roman"/>
          <w:sz w:val="24"/>
          <w:szCs w:val="24"/>
          <w:lang w:val="pt-PT"/>
        </w:rPr>
        <w:t>Neste modelo, os</w:t>
      </w:r>
      <w:r w:rsidRPr="00EC3390">
        <w:rPr>
          <w:rFonts w:ascii="Garamond" w:eastAsia="Times New Roman" w:hAnsi="Garamond" w:cs="Times New Roman"/>
          <w:sz w:val="24"/>
          <w:szCs w:val="24"/>
          <w:lang w:val="pt-PT"/>
        </w:rPr>
        <w:t xml:space="preserve"> sinais apresentados pelos coeficientes estimados para as variáveis, à exceção da variáve</w:t>
      </w:r>
      <w:r w:rsidR="005F71A9">
        <w:rPr>
          <w:rFonts w:ascii="Garamond" w:eastAsia="Times New Roman" w:hAnsi="Garamond" w:cs="Times New Roman"/>
          <w:sz w:val="24"/>
          <w:szCs w:val="24"/>
          <w:lang w:val="pt-PT"/>
        </w:rPr>
        <w:t>l</w:t>
      </w:r>
      <w:r w:rsidRPr="00EC3390">
        <w:rPr>
          <w:rFonts w:ascii="Garamond" w:eastAsia="Times New Roman" w:hAnsi="Garamond" w:cs="Times New Roman"/>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i,t</m:t>
            </m:r>
            <m:r>
              <m:rPr>
                <m:sty m:val="p"/>
              </m:rPr>
              <w:rPr>
                <w:rFonts w:ascii="Cambria Math" w:hAnsi="Cambria Math"/>
                <w:sz w:val="24"/>
                <w:szCs w:val="24"/>
                <w:lang w:val="pt-PT"/>
              </w:rPr>
              <m:t>-1</m:t>
            </m:r>
          </m:sub>
        </m:sSub>
      </m:oMath>
      <w:r w:rsidRPr="00EC3390">
        <w:rPr>
          <w:rFonts w:ascii="Garamond" w:eastAsia="Times New Roman" w:hAnsi="Garamond" w:cs="Times New Roman"/>
          <w:sz w:val="24"/>
          <w:szCs w:val="24"/>
          <w:lang w:val="pt-PT"/>
        </w:rPr>
        <w:t xml:space="preserve"> correspondem às expectativas com base na literatura analisada do capítulo 2</w:t>
      </w:r>
      <w:r w:rsidR="0064715C">
        <w:rPr>
          <w:rFonts w:ascii="Garamond" w:eastAsia="Times New Roman" w:hAnsi="Garamond" w:cs="Times New Roman"/>
          <w:sz w:val="24"/>
          <w:szCs w:val="24"/>
          <w:lang w:val="pt-PT"/>
        </w:rPr>
        <w:t xml:space="preserve"> e 4</w:t>
      </w:r>
      <w:r w:rsidRPr="00EC3390">
        <w:rPr>
          <w:rFonts w:ascii="Garamond" w:eastAsia="Times New Roman" w:hAnsi="Garamond" w:cs="Times New Roman"/>
          <w:sz w:val="24"/>
          <w:szCs w:val="24"/>
          <w:lang w:val="pt-PT"/>
        </w:rPr>
        <w:t>.</w:t>
      </w:r>
    </w:p>
    <w:p w14:paraId="30006CE5" w14:textId="20C07EDC" w:rsidR="009E1DA3" w:rsidRDefault="00EC3390" w:rsidP="00642608">
      <w:pPr>
        <w:spacing w:line="360" w:lineRule="auto"/>
        <w:jc w:val="both"/>
        <w:rPr>
          <w:rFonts w:ascii="Garamond" w:eastAsia="Times New Roman" w:hAnsi="Garamond" w:cs="Times New Roman"/>
          <w:sz w:val="24"/>
          <w:szCs w:val="24"/>
          <w:lang w:val="pt-PT"/>
        </w:rPr>
      </w:pPr>
      <w:r>
        <w:rPr>
          <w:rFonts w:ascii="Garamond" w:eastAsia="Times New Roman" w:hAnsi="Garamond" w:cs="Times New Roman"/>
          <w:sz w:val="24"/>
          <w:szCs w:val="24"/>
          <w:lang w:val="pt-PT"/>
        </w:rPr>
        <w:t xml:space="preserve">Uma vez que o parâmetro estimado para a variável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Pr>
          <w:rFonts w:ascii="Garamond" w:eastAsia="Times New Roman" w:hAnsi="Garamond" w:cs="Times New Roman"/>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Pr>
          <w:rFonts w:ascii="Garamond" w:eastAsia="Times New Roman" w:hAnsi="Garamond" w:cs="Times New Roman"/>
          <w:sz w:val="24"/>
          <w:szCs w:val="24"/>
          <w:lang w:val="pt-PT"/>
        </w:rPr>
        <w:t xml:space="preserve"> representa o efeito adicional da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Pr>
          <w:rFonts w:ascii="Garamond" w:eastAsia="Times New Roman" w:hAnsi="Garamond" w:cs="Times New Roman"/>
          <w:sz w:val="24"/>
          <w:szCs w:val="24"/>
          <w:lang w:val="pt-PT"/>
        </w:rPr>
        <w:t xml:space="preserve"> para as empresas que beneficiaram do CFEI II</w:t>
      </w:r>
      <w:r w:rsidR="00F45E53">
        <w:rPr>
          <w:rFonts w:ascii="Garamond" w:eastAsia="Times New Roman" w:hAnsi="Garamond" w:cs="Times New Roman"/>
          <w:sz w:val="24"/>
          <w:szCs w:val="24"/>
          <w:lang w:val="pt-PT"/>
        </w:rPr>
        <w:t xml:space="preserve"> em determinado ano</w:t>
      </w:r>
      <w:r>
        <w:rPr>
          <w:rFonts w:ascii="Garamond" w:eastAsia="Times New Roman" w:hAnsi="Garamond" w:cs="Times New Roman"/>
          <w:sz w:val="24"/>
          <w:szCs w:val="24"/>
          <w:lang w:val="pt-PT"/>
        </w:rPr>
        <w:t xml:space="preserve">, obtêm-se os seguintes coeficientes para 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r>
              <m:rPr>
                <m:sty m:val="p"/>
              </m:rPr>
              <w:rPr>
                <w:rFonts w:ascii="Cambria Math" w:hAnsi="Cambria Math"/>
                <w:sz w:val="24"/>
                <w:szCs w:val="24"/>
                <w:lang w:val="pt-PT"/>
              </w:rPr>
              <m:t>-1</m:t>
            </m:r>
          </m:sub>
        </m:sSub>
      </m:oMath>
      <w:r>
        <w:rPr>
          <w:rFonts w:ascii="Garamond" w:eastAsia="Times New Roman" w:hAnsi="Garamond" w:cs="Times New Roman"/>
          <w:sz w:val="24"/>
          <w:szCs w:val="24"/>
          <w:lang w:val="pt-PT"/>
        </w:rPr>
        <w:t xml:space="preserve"> </w:t>
      </w:r>
      <w:r w:rsidR="00F45E53">
        <w:rPr>
          <w:rFonts w:ascii="Garamond" w:eastAsia="Times New Roman" w:hAnsi="Garamond" w:cs="Times New Roman"/>
          <w:sz w:val="24"/>
          <w:szCs w:val="24"/>
          <w:lang w:val="pt-PT"/>
        </w:rPr>
        <w:t>para as empresas que beneficiaram e para as empresas que não beneficiaram</w:t>
      </w:r>
      <w:r>
        <w:rPr>
          <w:rFonts w:ascii="Garamond" w:eastAsia="Times New Roman" w:hAnsi="Garamond" w:cs="Times New Roman"/>
          <w:sz w:val="24"/>
          <w:szCs w:val="24"/>
          <w:lang w:val="pt-PT"/>
        </w:rPr>
        <w:t>:</w:t>
      </w:r>
    </w:p>
    <w:p w14:paraId="4883C57B" w14:textId="77777777" w:rsidR="004D6043" w:rsidRDefault="004D6043" w:rsidP="00642608">
      <w:pPr>
        <w:spacing w:line="360" w:lineRule="auto"/>
        <w:jc w:val="both"/>
        <w:rPr>
          <w:rFonts w:ascii="Garamond" w:eastAsia="Times New Roman" w:hAnsi="Garamond" w:cs="Times New Roman"/>
          <w:sz w:val="24"/>
          <w:szCs w:val="24"/>
          <w:lang w:val="pt-PT"/>
        </w:rPr>
      </w:pPr>
    </w:p>
    <w:p w14:paraId="51B7647D" w14:textId="1CCFE288" w:rsidR="00302B5E" w:rsidRPr="00D87F0B" w:rsidRDefault="00302B5E" w:rsidP="00302B5E">
      <w:pPr>
        <w:pStyle w:val="Caption"/>
        <w:keepNext/>
        <w:rPr>
          <w:i w:val="0"/>
          <w:iCs w:val="0"/>
          <w:color w:val="auto"/>
          <w:lang w:val="pt-PT"/>
        </w:rPr>
      </w:pPr>
      <w:bookmarkStart w:id="50" w:name="_Toc176855918"/>
      <w:r w:rsidRPr="008D6866">
        <w:rPr>
          <w:rFonts w:ascii="Garamond" w:hAnsi="Garamond"/>
          <w:b/>
          <w:bCs/>
          <w:i w:val="0"/>
          <w:iCs w:val="0"/>
          <w:color w:val="auto"/>
          <w:lang w:val="pt-PT"/>
        </w:rPr>
        <w:lastRenderedPageBreak/>
        <w:t xml:space="preserve">Tabela </w:t>
      </w:r>
      <w:r w:rsidRPr="008D6866">
        <w:rPr>
          <w:rFonts w:ascii="Garamond" w:hAnsi="Garamond"/>
          <w:b/>
          <w:bCs/>
          <w:i w:val="0"/>
          <w:iCs w:val="0"/>
          <w:color w:val="auto"/>
        </w:rPr>
        <w:fldChar w:fldCharType="begin"/>
      </w:r>
      <w:r w:rsidRPr="008D6866">
        <w:rPr>
          <w:rFonts w:ascii="Garamond" w:hAnsi="Garamond"/>
          <w:b/>
          <w:bCs/>
          <w:i w:val="0"/>
          <w:iCs w:val="0"/>
          <w:color w:val="auto"/>
          <w:lang w:val="pt-PT"/>
        </w:rPr>
        <w:instrText xml:space="preserve"> SEQ Tabela \* ARABIC </w:instrText>
      </w:r>
      <w:r w:rsidRPr="008D6866">
        <w:rPr>
          <w:rFonts w:ascii="Garamond" w:hAnsi="Garamond"/>
          <w:b/>
          <w:bCs/>
          <w:i w:val="0"/>
          <w:iCs w:val="0"/>
          <w:color w:val="auto"/>
        </w:rPr>
        <w:fldChar w:fldCharType="separate"/>
      </w:r>
      <w:r w:rsidR="00C01B43">
        <w:rPr>
          <w:rFonts w:ascii="Garamond" w:hAnsi="Garamond"/>
          <w:b/>
          <w:bCs/>
          <w:i w:val="0"/>
          <w:iCs w:val="0"/>
          <w:noProof/>
          <w:color w:val="auto"/>
          <w:lang w:val="pt-PT"/>
        </w:rPr>
        <w:t>6</w:t>
      </w:r>
      <w:r w:rsidRPr="008D6866">
        <w:rPr>
          <w:rFonts w:ascii="Garamond" w:hAnsi="Garamond"/>
          <w:b/>
          <w:bCs/>
          <w:i w:val="0"/>
          <w:iCs w:val="0"/>
          <w:color w:val="auto"/>
        </w:rPr>
        <w:fldChar w:fldCharType="end"/>
      </w:r>
      <w:r w:rsidRPr="008D6866">
        <w:rPr>
          <w:rFonts w:ascii="Garamond" w:hAnsi="Garamond"/>
          <w:i w:val="0"/>
          <w:iCs w:val="0"/>
          <w:color w:val="auto"/>
          <w:lang w:val="pt-PT"/>
        </w:rPr>
        <w:t xml:space="preserve"> -</w:t>
      </w:r>
      <w:r w:rsidRPr="00D87F0B">
        <w:rPr>
          <w:i w:val="0"/>
          <w:iCs w:val="0"/>
          <w:color w:val="auto"/>
          <w:lang w:val="pt-PT"/>
        </w:rPr>
        <w:t xml:space="preserve"> Parâmetros estimados da variável</w:t>
      </w:r>
      <w:r w:rsidR="0058603E" w:rsidRPr="00D87F0B">
        <w:rPr>
          <w:i w:val="0"/>
          <w:iCs w:val="0"/>
          <w:color w:val="auto"/>
          <w:lang w:val="pt-PT"/>
        </w:rPr>
        <w:t xml:space="preserve"> </w:t>
      </w:r>
      <m:oMath>
        <m:r>
          <w:rPr>
            <w:rFonts w:ascii="Cambria Math" w:hAnsi="Cambria Math"/>
            <w:color w:val="auto"/>
            <w:lang w:val="pt-PT"/>
          </w:rPr>
          <m:t>∆</m:t>
        </m:r>
        <m:sSub>
          <m:sSubPr>
            <m:ctrlPr>
              <w:rPr>
                <w:rFonts w:ascii="Cambria Math" w:hAnsi="Cambria Math"/>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0058603E" w:rsidRPr="00D87F0B">
        <w:rPr>
          <w:i w:val="0"/>
          <w:iCs w:val="0"/>
          <w:color w:val="auto"/>
          <w:lang w:val="pt-PT"/>
        </w:rPr>
        <w:t xml:space="preserve"> por empresas que beneficiaram ou não do CFEI II em determinado ano</w:t>
      </w:r>
      <w:bookmarkEnd w:id="50"/>
    </w:p>
    <w:tbl>
      <w:tblPr>
        <w:tblStyle w:val="TableGrid"/>
        <w:tblW w:w="8598" w:type="dxa"/>
        <w:tblInd w:w="5" w:type="dxa"/>
        <w:tblLook w:val="04A0" w:firstRow="1" w:lastRow="0" w:firstColumn="1" w:lastColumn="0" w:noHBand="0" w:noVBand="1"/>
      </w:tblPr>
      <w:tblGrid>
        <w:gridCol w:w="1696"/>
        <w:gridCol w:w="3261"/>
        <w:gridCol w:w="3641"/>
      </w:tblGrid>
      <w:tr w:rsidR="00084330" w:rsidRPr="00293549" w14:paraId="4C49EC85" w14:textId="77777777" w:rsidTr="00943B92">
        <w:trPr>
          <w:trHeight w:val="1462"/>
        </w:trPr>
        <w:tc>
          <w:tcPr>
            <w:tcW w:w="1696" w:type="dxa"/>
            <w:tcBorders>
              <w:left w:val="nil"/>
            </w:tcBorders>
          </w:tcPr>
          <w:p w14:paraId="7D646C44" w14:textId="77777777" w:rsidR="00084330" w:rsidRDefault="00084330" w:rsidP="0099476A">
            <w:pPr>
              <w:spacing w:line="360" w:lineRule="auto"/>
              <w:rPr>
                <w:rFonts w:ascii="Garamond" w:eastAsia="Times New Roman" w:hAnsi="Garamond" w:cs="Times New Roman"/>
                <w:sz w:val="24"/>
                <w:szCs w:val="24"/>
                <w:lang w:val="pt-PT"/>
              </w:rPr>
            </w:pPr>
          </w:p>
        </w:tc>
        <w:tc>
          <w:tcPr>
            <w:tcW w:w="3261" w:type="dxa"/>
            <w:vAlign w:val="center"/>
          </w:tcPr>
          <w:p w14:paraId="109A6D5C" w14:textId="44E7FA88" w:rsidR="00084330" w:rsidRPr="000336B6" w:rsidRDefault="00084330" w:rsidP="00943B92">
            <w:pPr>
              <w:spacing w:line="360" w:lineRule="auto"/>
              <w:jc w:val="center"/>
              <w:rPr>
                <w:rFonts w:ascii="Garamond" w:eastAsia="Times New Roman" w:hAnsi="Garamond" w:cs="Times New Roman"/>
                <w:b/>
                <w:bCs/>
                <w:sz w:val="24"/>
                <w:szCs w:val="24"/>
                <w:lang w:val="pt-PT"/>
              </w:rPr>
            </w:pPr>
            <w:r w:rsidRPr="000336B6">
              <w:rPr>
                <w:rFonts w:ascii="Garamond" w:eastAsia="Times New Roman" w:hAnsi="Garamond" w:cs="Times New Roman"/>
                <w:b/>
                <w:bCs/>
                <w:sz w:val="24"/>
                <w:szCs w:val="24"/>
                <w:lang w:val="pt-PT"/>
              </w:rPr>
              <w:t>Empresas que beneficiaram do CFEI II em determinado ano</w:t>
            </w:r>
            <w:r w:rsidR="00ED6DA6" w:rsidRPr="000336B6">
              <w:rPr>
                <w:rFonts w:ascii="Garamond" w:eastAsia="Times New Roman" w:hAnsi="Garamond" w:cs="Times New Roman"/>
                <w:b/>
                <w:bCs/>
                <w:sz w:val="24"/>
                <w:szCs w:val="24"/>
                <w:lang w:val="pt-PT"/>
              </w:rPr>
              <w:t xml:space="preserve"> (1)</w:t>
            </w:r>
          </w:p>
        </w:tc>
        <w:tc>
          <w:tcPr>
            <w:tcW w:w="3641" w:type="dxa"/>
            <w:tcBorders>
              <w:right w:val="nil"/>
            </w:tcBorders>
            <w:vAlign w:val="center"/>
          </w:tcPr>
          <w:p w14:paraId="0F621141" w14:textId="0D99C6E3" w:rsidR="00084330" w:rsidRPr="000336B6" w:rsidRDefault="00084330" w:rsidP="00943B92">
            <w:pPr>
              <w:spacing w:line="360" w:lineRule="auto"/>
              <w:jc w:val="center"/>
              <w:rPr>
                <w:rFonts w:ascii="Garamond" w:eastAsia="Times New Roman" w:hAnsi="Garamond" w:cs="Times New Roman"/>
                <w:b/>
                <w:bCs/>
                <w:sz w:val="24"/>
                <w:szCs w:val="24"/>
                <w:lang w:val="pt-PT"/>
              </w:rPr>
            </w:pPr>
            <w:r w:rsidRPr="000336B6">
              <w:rPr>
                <w:rFonts w:ascii="Garamond" w:eastAsia="Times New Roman" w:hAnsi="Garamond" w:cs="Times New Roman"/>
                <w:b/>
                <w:bCs/>
                <w:sz w:val="24"/>
                <w:szCs w:val="24"/>
                <w:lang w:val="pt-PT"/>
              </w:rPr>
              <w:t>Empresas que não beneficiaram do CFEI II em determinado ano</w:t>
            </w:r>
            <w:r w:rsidR="00ED6DA6" w:rsidRPr="000336B6">
              <w:rPr>
                <w:rFonts w:ascii="Garamond" w:eastAsia="Times New Roman" w:hAnsi="Garamond" w:cs="Times New Roman"/>
                <w:b/>
                <w:bCs/>
                <w:sz w:val="24"/>
                <w:szCs w:val="24"/>
                <w:lang w:val="pt-PT"/>
              </w:rPr>
              <w:t xml:space="preserve"> (2)</w:t>
            </w:r>
          </w:p>
        </w:tc>
      </w:tr>
      <w:tr w:rsidR="00084330" w14:paraId="62F69651" w14:textId="77777777" w:rsidTr="00943B92">
        <w:trPr>
          <w:trHeight w:val="529"/>
        </w:trPr>
        <w:tc>
          <w:tcPr>
            <w:tcW w:w="1696" w:type="dxa"/>
            <w:tcBorders>
              <w:left w:val="nil"/>
              <w:bottom w:val="dashSmallGap" w:sz="12" w:space="0" w:color="auto"/>
            </w:tcBorders>
            <w:vAlign w:val="center"/>
          </w:tcPr>
          <w:p w14:paraId="4B0390BE" w14:textId="07AA2869" w:rsidR="00084330" w:rsidRPr="00003F1C" w:rsidRDefault="00003F1C" w:rsidP="00943B92">
            <w:pPr>
              <w:spacing w:line="360" w:lineRule="auto"/>
              <w:jc w:val="center"/>
              <w:rPr>
                <w:rFonts w:ascii="Garamond" w:eastAsia="Times New Roman" w:hAnsi="Garamond" w:cs="Times New Roman"/>
                <w:bCs/>
                <w:sz w:val="24"/>
                <w:szCs w:val="24"/>
                <w:lang w:val="pt-PT"/>
              </w:rPr>
            </w:pPr>
            <w:bookmarkStart w:id="51" w:name="_Hlk173228085"/>
            <m:oMathPara>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r>
                      <m:rPr>
                        <m:sty m:val="p"/>
                      </m:rPr>
                      <w:rPr>
                        <w:rFonts w:ascii="Cambria Math" w:hAnsi="Cambria Math"/>
                        <w:sz w:val="24"/>
                        <w:szCs w:val="24"/>
                        <w:lang w:val="pt-PT"/>
                      </w:rPr>
                      <m:t>-1</m:t>
                    </m:r>
                  </m:sub>
                </m:sSub>
              </m:oMath>
            </m:oMathPara>
            <w:bookmarkEnd w:id="51"/>
          </w:p>
        </w:tc>
        <w:tc>
          <w:tcPr>
            <w:tcW w:w="3261" w:type="dxa"/>
            <w:tcBorders>
              <w:bottom w:val="dashSmallGap" w:sz="12" w:space="0" w:color="auto"/>
            </w:tcBorders>
            <w:vAlign w:val="center"/>
          </w:tcPr>
          <w:p w14:paraId="62D4AE79" w14:textId="665228C4" w:rsidR="00084330" w:rsidRDefault="00084330" w:rsidP="00943B92">
            <w:pPr>
              <w:spacing w:line="360" w:lineRule="auto"/>
              <w:jc w:val="center"/>
              <w:rPr>
                <w:rFonts w:ascii="Garamond" w:eastAsia="Times New Roman" w:hAnsi="Garamond" w:cs="Times New Roman"/>
                <w:sz w:val="24"/>
                <w:szCs w:val="24"/>
                <w:lang w:val="pt-PT"/>
              </w:rPr>
            </w:pPr>
            <w:r w:rsidRPr="00084330">
              <w:rPr>
                <w:rFonts w:ascii="Garamond" w:eastAsia="Times New Roman" w:hAnsi="Garamond" w:cs="Times New Roman"/>
                <w:sz w:val="24"/>
                <w:szCs w:val="24"/>
                <w:lang w:val="pt-PT"/>
              </w:rPr>
              <w:t>-0</w:t>
            </w:r>
            <w:r>
              <w:rPr>
                <w:rFonts w:ascii="Garamond" w:eastAsia="Times New Roman" w:hAnsi="Garamond" w:cs="Times New Roman"/>
                <w:sz w:val="24"/>
                <w:szCs w:val="24"/>
                <w:lang w:val="pt-PT"/>
              </w:rPr>
              <w:t>.</w:t>
            </w:r>
            <w:r w:rsidRPr="00084330">
              <w:rPr>
                <w:rFonts w:ascii="Garamond" w:eastAsia="Times New Roman" w:hAnsi="Garamond" w:cs="Times New Roman"/>
                <w:sz w:val="24"/>
                <w:szCs w:val="24"/>
                <w:lang w:val="pt-PT"/>
              </w:rPr>
              <w:t>2827798</w:t>
            </w:r>
          </w:p>
        </w:tc>
        <w:tc>
          <w:tcPr>
            <w:tcW w:w="3641" w:type="dxa"/>
            <w:tcBorders>
              <w:bottom w:val="dashSmallGap" w:sz="12" w:space="0" w:color="auto"/>
              <w:right w:val="nil"/>
            </w:tcBorders>
            <w:vAlign w:val="center"/>
          </w:tcPr>
          <w:p w14:paraId="143655EA" w14:textId="5442CA9A" w:rsidR="00084330" w:rsidRDefault="00084330" w:rsidP="00943B92">
            <w:pPr>
              <w:spacing w:line="360" w:lineRule="auto"/>
              <w:jc w:val="center"/>
              <w:rPr>
                <w:rFonts w:ascii="Garamond" w:eastAsia="Times New Roman" w:hAnsi="Garamond" w:cs="Times New Roman"/>
                <w:sz w:val="24"/>
                <w:szCs w:val="24"/>
                <w:lang w:val="pt-PT"/>
              </w:rPr>
            </w:pPr>
            <w:r w:rsidRPr="006A7886">
              <w:rPr>
                <w:rFonts w:ascii="Garamond" w:eastAsia="Times New Roman" w:hAnsi="Garamond" w:cs="Times New Roman"/>
                <w:sz w:val="24"/>
                <w:szCs w:val="24"/>
                <w:lang w:val="pt-PT"/>
              </w:rPr>
              <w:t>-0.2404856</w:t>
            </w:r>
          </w:p>
        </w:tc>
      </w:tr>
      <w:tr w:rsidR="00084330" w14:paraId="378D483F" w14:textId="77777777" w:rsidTr="00943B92">
        <w:trPr>
          <w:trHeight w:val="475"/>
        </w:trPr>
        <w:tc>
          <w:tcPr>
            <w:tcW w:w="1696" w:type="dxa"/>
            <w:tcBorders>
              <w:top w:val="dashSmallGap" w:sz="12" w:space="0" w:color="auto"/>
              <w:left w:val="nil"/>
            </w:tcBorders>
            <w:vAlign w:val="center"/>
          </w:tcPr>
          <w:p w14:paraId="28F18A41" w14:textId="77777777" w:rsidR="00084330" w:rsidRDefault="00084330" w:rsidP="00943B92">
            <w:pPr>
              <w:spacing w:line="360" w:lineRule="auto"/>
              <w:jc w:val="center"/>
              <w:rPr>
                <w:rFonts w:ascii="Garamond" w:eastAsia="Times New Roman" w:hAnsi="Garamond" w:cs="Times New Roman"/>
                <w:sz w:val="24"/>
                <w:szCs w:val="24"/>
                <w:lang w:val="pt-PT"/>
              </w:rPr>
            </w:pPr>
          </w:p>
        </w:tc>
        <w:tc>
          <w:tcPr>
            <w:tcW w:w="3261" w:type="dxa"/>
            <w:tcBorders>
              <w:top w:val="dashSmallGap" w:sz="12" w:space="0" w:color="auto"/>
            </w:tcBorders>
            <w:vAlign w:val="center"/>
          </w:tcPr>
          <w:p w14:paraId="55519782" w14:textId="66EED133" w:rsidR="00084330" w:rsidRDefault="00084330" w:rsidP="00943B92">
            <w:pPr>
              <w:spacing w:line="360" w:lineRule="auto"/>
              <w:jc w:val="center"/>
              <w:rPr>
                <w:rFonts w:ascii="Garamond" w:eastAsia="Times New Roman" w:hAnsi="Garamond" w:cs="Times New Roman"/>
                <w:sz w:val="24"/>
                <w:szCs w:val="24"/>
                <w:lang w:val="pt-PT"/>
              </w:rPr>
            </w:pPr>
            <w:r>
              <w:rPr>
                <w:rFonts w:ascii="Garamond" w:eastAsia="Times New Roman" w:hAnsi="Garamond" w:cs="Times New Roman"/>
                <w:sz w:val="24"/>
                <w:szCs w:val="24"/>
                <w:lang w:val="pt-PT"/>
              </w:rPr>
              <w:t>(β1+β7)</w:t>
            </w:r>
          </w:p>
        </w:tc>
        <w:tc>
          <w:tcPr>
            <w:tcW w:w="3641" w:type="dxa"/>
            <w:tcBorders>
              <w:top w:val="dashSmallGap" w:sz="12" w:space="0" w:color="auto"/>
              <w:right w:val="nil"/>
            </w:tcBorders>
            <w:vAlign w:val="center"/>
          </w:tcPr>
          <w:p w14:paraId="362E4366" w14:textId="3B9A8784" w:rsidR="00084330" w:rsidRDefault="00084330" w:rsidP="00943B92">
            <w:pPr>
              <w:spacing w:line="360" w:lineRule="auto"/>
              <w:jc w:val="center"/>
              <w:rPr>
                <w:rFonts w:ascii="Garamond" w:eastAsia="Times New Roman" w:hAnsi="Garamond" w:cs="Times New Roman"/>
                <w:sz w:val="24"/>
                <w:szCs w:val="24"/>
                <w:lang w:val="pt-PT"/>
              </w:rPr>
            </w:pPr>
            <w:r>
              <w:rPr>
                <w:rFonts w:ascii="Garamond" w:eastAsia="Times New Roman" w:hAnsi="Garamond" w:cs="Times New Roman"/>
                <w:sz w:val="24"/>
                <w:szCs w:val="24"/>
                <w:lang w:val="pt-PT"/>
              </w:rPr>
              <w:t>(β1)</w:t>
            </w:r>
          </w:p>
        </w:tc>
      </w:tr>
    </w:tbl>
    <w:p w14:paraId="3ADADC6E" w14:textId="77777777" w:rsidR="00F45E53" w:rsidRDefault="00F45E53" w:rsidP="0002298F">
      <w:pPr>
        <w:spacing w:line="360" w:lineRule="auto"/>
        <w:rPr>
          <w:rFonts w:ascii="Garamond" w:eastAsia="Times New Roman" w:hAnsi="Garamond" w:cs="Times New Roman"/>
          <w:sz w:val="24"/>
          <w:szCs w:val="24"/>
          <w:lang w:val="pt-PT"/>
        </w:rPr>
      </w:pPr>
    </w:p>
    <w:p w14:paraId="6FFD2750" w14:textId="3EF3D09C" w:rsidR="006E7F61" w:rsidRDefault="005C4BBD" w:rsidP="00642608">
      <w:pPr>
        <w:spacing w:line="360" w:lineRule="auto"/>
        <w:jc w:val="both"/>
        <w:rPr>
          <w:rFonts w:ascii="Garamond" w:eastAsia="Times New Roman" w:hAnsi="Garamond" w:cs="Times New Roman"/>
          <w:sz w:val="24"/>
          <w:szCs w:val="24"/>
          <w:lang w:val="pt-PT"/>
        </w:rPr>
      </w:pPr>
      <w:r>
        <w:rPr>
          <w:rFonts w:ascii="Garamond" w:eastAsia="Times New Roman" w:hAnsi="Garamond" w:cs="Times New Roman"/>
          <w:sz w:val="24"/>
          <w:szCs w:val="24"/>
          <w:lang w:val="pt-PT"/>
        </w:rPr>
        <w:t>Dado que o</w:t>
      </w:r>
      <w:r w:rsidR="00567A0E">
        <w:rPr>
          <w:rFonts w:ascii="Garamond" w:eastAsia="Times New Roman" w:hAnsi="Garamond" w:cs="Times New Roman"/>
          <w:sz w:val="24"/>
          <w:szCs w:val="24"/>
          <w:lang w:val="pt-PT"/>
        </w:rPr>
        <w:t xml:space="preserve"> parâmetro da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 xml:space="preserve"> i,t</m:t>
            </m:r>
            <m:r>
              <m:rPr>
                <m:sty m:val="p"/>
              </m:rPr>
              <w:rPr>
                <w:rFonts w:ascii="Cambria Math" w:hAnsi="Cambria Math"/>
                <w:sz w:val="24"/>
                <w:szCs w:val="24"/>
                <w:lang w:val="pt-PT"/>
              </w:rPr>
              <m:t>-1</m:t>
            </m:r>
          </m:sub>
        </m:sSub>
      </m:oMath>
      <w:r w:rsidR="00567A0E">
        <w:rPr>
          <w:rFonts w:ascii="Garamond" w:eastAsia="Times New Roman" w:hAnsi="Garamond" w:cs="Times New Roman"/>
          <w:sz w:val="24"/>
          <w:szCs w:val="24"/>
          <w:lang w:val="pt-PT"/>
        </w:rPr>
        <w:t xml:space="preserve"> (β1) </w:t>
      </w:r>
      <w:r>
        <w:rPr>
          <w:rFonts w:ascii="Garamond" w:eastAsia="Times New Roman" w:hAnsi="Garamond" w:cs="Times New Roman"/>
          <w:sz w:val="24"/>
          <w:szCs w:val="24"/>
          <w:lang w:val="pt-PT"/>
        </w:rPr>
        <w:t>reflete o</w:t>
      </w:r>
      <w:r w:rsidR="00567A0E" w:rsidRPr="00567A0E">
        <w:rPr>
          <w:rFonts w:ascii="Garamond" w:eastAsia="Times New Roman" w:hAnsi="Garamond" w:cs="Times New Roman"/>
          <w:sz w:val="24"/>
          <w:szCs w:val="24"/>
          <w:lang w:val="pt-PT"/>
        </w:rPr>
        <w:t xml:space="preserve"> efeito sobre as empresas que não </w:t>
      </w:r>
      <w:r w:rsidR="00567A0E">
        <w:rPr>
          <w:rFonts w:ascii="Garamond" w:eastAsia="Times New Roman" w:hAnsi="Garamond" w:cs="Times New Roman"/>
          <w:sz w:val="24"/>
          <w:szCs w:val="24"/>
          <w:lang w:val="pt-PT"/>
        </w:rPr>
        <w:t>beneficiaram do</w:t>
      </w:r>
      <w:r w:rsidR="00567A0E" w:rsidRPr="00567A0E">
        <w:rPr>
          <w:rFonts w:ascii="Garamond" w:eastAsia="Times New Roman" w:hAnsi="Garamond" w:cs="Times New Roman"/>
          <w:sz w:val="24"/>
          <w:szCs w:val="24"/>
          <w:lang w:val="pt-PT"/>
        </w:rPr>
        <w:t xml:space="preserve"> CFEI</w:t>
      </w:r>
      <w:r w:rsidR="00567A0E">
        <w:rPr>
          <w:rFonts w:ascii="Garamond" w:eastAsia="Times New Roman" w:hAnsi="Garamond" w:cs="Times New Roman"/>
          <w:sz w:val="24"/>
          <w:szCs w:val="24"/>
          <w:lang w:val="pt-PT"/>
        </w:rPr>
        <w:t xml:space="preserve"> II</w:t>
      </w:r>
      <w:r w:rsidR="0064715C">
        <w:rPr>
          <w:rFonts w:ascii="Garamond" w:eastAsia="Times New Roman" w:hAnsi="Garamond" w:cs="Times New Roman"/>
          <w:sz w:val="24"/>
          <w:szCs w:val="24"/>
          <w:lang w:val="pt-PT"/>
        </w:rPr>
        <w:t xml:space="preserve"> </w:t>
      </w:r>
      <w:r w:rsidR="001C64CD">
        <w:rPr>
          <w:rFonts w:ascii="Garamond" w:eastAsia="Times New Roman" w:hAnsi="Garamond" w:cs="Times New Roman"/>
          <w:sz w:val="24"/>
          <w:szCs w:val="24"/>
          <w:lang w:val="pt-PT"/>
        </w:rPr>
        <w:t>em</w:t>
      </w:r>
      <w:r w:rsidR="0064715C">
        <w:rPr>
          <w:rFonts w:ascii="Garamond" w:eastAsia="Times New Roman" w:hAnsi="Garamond" w:cs="Times New Roman"/>
          <w:sz w:val="24"/>
          <w:szCs w:val="24"/>
          <w:lang w:val="pt-PT"/>
        </w:rPr>
        <w:t xml:space="preserve"> determinado ano</w:t>
      </w:r>
      <w:r w:rsidR="00567A0E" w:rsidRPr="00567A0E">
        <w:rPr>
          <w:rFonts w:ascii="Garamond" w:eastAsia="Times New Roman" w:hAnsi="Garamond" w:cs="Times New Roman"/>
          <w:sz w:val="24"/>
          <w:szCs w:val="24"/>
          <w:lang w:val="pt-PT"/>
        </w:rPr>
        <w:t>, a soma deste parâmetro com o parâmetro da variável</w:t>
      </w:r>
      <w:r w:rsidR="00567A0E">
        <w:rPr>
          <w:rFonts w:ascii="Garamond" w:eastAsia="Times New Roman" w:hAnsi="Garamond" w:cs="Times New Roman"/>
          <w:sz w:val="24"/>
          <w:szCs w:val="24"/>
          <w:lang w:val="pt-PT"/>
        </w:rPr>
        <w:t xml:space="preserve"> </w:t>
      </w: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567A0E" w:rsidRPr="00567A0E">
        <w:rPr>
          <w:rFonts w:ascii="Garamond" w:eastAsia="Times New Roman" w:hAnsi="Garamond" w:cs="Times New Roman"/>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r>
              <m:rPr>
                <m:sty m:val="p"/>
              </m:rPr>
              <w:rPr>
                <w:rFonts w:ascii="Cambria Math" w:hAnsi="Cambria Math"/>
                <w:sz w:val="24"/>
                <w:szCs w:val="24"/>
                <w:lang w:val="pt-PT"/>
              </w:rPr>
              <m:t>-1</m:t>
            </m:r>
          </m:sub>
        </m:sSub>
      </m:oMath>
      <w:r>
        <w:rPr>
          <w:rFonts w:ascii="Garamond" w:eastAsia="Times New Roman" w:hAnsi="Garamond" w:cs="Times New Roman"/>
          <w:sz w:val="24"/>
          <w:szCs w:val="24"/>
          <w:lang w:val="pt-PT"/>
        </w:rPr>
        <w:t xml:space="preserve"> (β7) proporcionará o efeito da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 xml:space="preserve"> i,t</m:t>
            </m:r>
            <m:r>
              <m:rPr>
                <m:sty m:val="p"/>
              </m:rPr>
              <w:rPr>
                <w:rFonts w:ascii="Cambria Math" w:hAnsi="Cambria Math"/>
                <w:sz w:val="24"/>
                <w:szCs w:val="24"/>
                <w:lang w:val="pt-PT"/>
              </w:rPr>
              <m:t>-1</m:t>
            </m:r>
          </m:sub>
        </m:sSub>
      </m:oMath>
      <w:r>
        <w:rPr>
          <w:rFonts w:ascii="Garamond" w:eastAsia="Times New Roman" w:hAnsi="Garamond" w:cs="Times New Roman"/>
          <w:sz w:val="24"/>
          <w:szCs w:val="24"/>
          <w:lang w:val="pt-PT"/>
        </w:rPr>
        <w:t xml:space="preserve"> sobre a variável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m:t>
            </m:r>
          </m:sub>
        </m:sSub>
      </m:oMath>
      <w:r>
        <w:rPr>
          <w:rFonts w:ascii="Garamond" w:eastAsia="Times New Roman" w:hAnsi="Garamond" w:cs="Times New Roman"/>
          <w:sz w:val="24"/>
          <w:szCs w:val="24"/>
          <w:lang w:val="pt-PT"/>
        </w:rPr>
        <w:t xml:space="preserve"> para as empresas que beneficiaram do CFEI II</w:t>
      </w:r>
      <w:r w:rsidR="0064715C">
        <w:rPr>
          <w:rFonts w:ascii="Garamond" w:eastAsia="Times New Roman" w:hAnsi="Garamond" w:cs="Times New Roman"/>
          <w:sz w:val="24"/>
          <w:szCs w:val="24"/>
          <w:lang w:val="pt-PT"/>
        </w:rPr>
        <w:t xml:space="preserve"> em determinado ano</w:t>
      </w:r>
      <w:r>
        <w:rPr>
          <w:rFonts w:ascii="Garamond" w:eastAsia="Times New Roman" w:hAnsi="Garamond" w:cs="Times New Roman"/>
          <w:sz w:val="24"/>
          <w:szCs w:val="24"/>
          <w:lang w:val="pt-PT"/>
        </w:rPr>
        <w:t xml:space="preserve">. </w:t>
      </w:r>
    </w:p>
    <w:p w14:paraId="3B3ACF5D" w14:textId="7458B2EF" w:rsidR="006E7F61" w:rsidRDefault="005C4BBD" w:rsidP="00642608">
      <w:pPr>
        <w:spacing w:line="360" w:lineRule="auto"/>
        <w:jc w:val="both"/>
        <w:rPr>
          <w:rFonts w:ascii="Garamond" w:eastAsia="Times New Roman" w:hAnsi="Garamond" w:cs="Times New Roman"/>
          <w:sz w:val="24"/>
          <w:szCs w:val="24"/>
          <w:lang w:val="pt-PT"/>
        </w:rPr>
      </w:pPr>
      <w:r w:rsidRPr="005C4BBD">
        <w:rPr>
          <w:rFonts w:ascii="Garamond" w:eastAsia="Times New Roman" w:hAnsi="Garamond" w:cs="Times New Roman"/>
          <w:sz w:val="24"/>
          <w:szCs w:val="24"/>
          <w:lang w:val="pt-PT"/>
        </w:rPr>
        <w:t xml:space="preserve">A </w:t>
      </w:r>
      <w:r w:rsidRPr="00D87F0B">
        <w:rPr>
          <w:rFonts w:ascii="Garamond" w:eastAsia="Times New Roman" w:hAnsi="Garamond" w:cs="Times New Roman"/>
          <w:sz w:val="24"/>
          <w:szCs w:val="24"/>
          <w:lang w:val="pt-PT"/>
        </w:rPr>
        <w:t xml:space="preserve">Tabela </w:t>
      </w:r>
      <w:r w:rsidR="00C01290">
        <w:rPr>
          <w:rFonts w:ascii="Garamond" w:eastAsia="Times New Roman" w:hAnsi="Garamond" w:cs="Times New Roman"/>
          <w:sz w:val="24"/>
          <w:szCs w:val="24"/>
          <w:lang w:val="pt-PT"/>
        </w:rPr>
        <w:t>6</w:t>
      </w:r>
      <w:r w:rsidRPr="005C4BBD">
        <w:rPr>
          <w:rFonts w:ascii="Garamond" w:eastAsia="Times New Roman" w:hAnsi="Garamond" w:cs="Times New Roman"/>
          <w:sz w:val="24"/>
          <w:szCs w:val="24"/>
          <w:lang w:val="pt-PT"/>
        </w:rPr>
        <w:t xml:space="preserve"> </w:t>
      </w:r>
      <w:r>
        <w:rPr>
          <w:rFonts w:ascii="Garamond" w:eastAsia="Times New Roman" w:hAnsi="Garamond" w:cs="Times New Roman"/>
          <w:sz w:val="24"/>
          <w:szCs w:val="24"/>
          <w:lang w:val="pt-PT"/>
        </w:rPr>
        <w:t>de</w:t>
      </w:r>
      <w:r w:rsidRPr="005C4BBD">
        <w:rPr>
          <w:rFonts w:ascii="Garamond" w:eastAsia="Times New Roman" w:hAnsi="Garamond" w:cs="Times New Roman"/>
          <w:sz w:val="24"/>
          <w:szCs w:val="24"/>
          <w:lang w:val="pt-PT"/>
        </w:rPr>
        <w:t xml:space="preserve">mostra que </w:t>
      </w:r>
      <w:r w:rsidR="006E7F61">
        <w:rPr>
          <w:rFonts w:ascii="Garamond" w:eastAsia="Times New Roman" w:hAnsi="Garamond" w:cs="Times New Roman"/>
          <w:sz w:val="24"/>
          <w:szCs w:val="24"/>
          <w:lang w:val="pt-PT"/>
        </w:rPr>
        <w:t>o</w:t>
      </w:r>
      <w:r w:rsidR="006E7F61" w:rsidRPr="006E7F61">
        <w:rPr>
          <w:rFonts w:ascii="Garamond" w:eastAsia="Times New Roman" w:hAnsi="Garamond" w:cs="Times New Roman"/>
          <w:sz w:val="24"/>
          <w:szCs w:val="24"/>
          <w:lang w:val="pt-PT"/>
        </w:rPr>
        <w:t xml:space="preserve"> coeficiente negativo de -0.2827798 indica que, para as empresas que beneficiaram do CFEI II</w:t>
      </w:r>
      <w:r w:rsidR="0064715C">
        <w:rPr>
          <w:rFonts w:ascii="Garamond" w:eastAsia="Times New Roman" w:hAnsi="Garamond" w:cs="Times New Roman"/>
          <w:sz w:val="24"/>
          <w:szCs w:val="24"/>
          <w:lang w:val="pt-PT"/>
        </w:rPr>
        <w:t xml:space="preserve"> em determinado ano</w:t>
      </w:r>
      <w:r w:rsidR="006E7F61" w:rsidRPr="006E7F61">
        <w:rPr>
          <w:rFonts w:ascii="Garamond" w:eastAsia="Times New Roman" w:hAnsi="Garamond" w:cs="Times New Roman"/>
          <w:sz w:val="24"/>
          <w:szCs w:val="24"/>
          <w:lang w:val="pt-PT"/>
        </w:rPr>
        <w:t xml:space="preserve">, a variação do investimento no ano t-1 tem um efeito negativo significativo na variação do investimento no ano t. Isso sugere que, para essas empresas, um aumento no investimento no ano anterior está associado a uma redução no investimento no ano corrente. Esta relação negativa é consistente com a hipótese de que as empresas que beneficiaram do CFEI II anteciparam </w:t>
      </w:r>
      <w:r w:rsidR="00C53A6F">
        <w:rPr>
          <w:rFonts w:ascii="Garamond" w:eastAsia="Times New Roman" w:hAnsi="Garamond" w:cs="Times New Roman"/>
          <w:sz w:val="24"/>
          <w:szCs w:val="24"/>
          <w:lang w:val="pt-PT"/>
        </w:rPr>
        <w:t xml:space="preserve">os </w:t>
      </w:r>
      <w:r w:rsidR="006E7F61" w:rsidRPr="006E7F61">
        <w:rPr>
          <w:rFonts w:ascii="Garamond" w:eastAsia="Times New Roman" w:hAnsi="Garamond" w:cs="Times New Roman"/>
          <w:sz w:val="24"/>
          <w:szCs w:val="24"/>
          <w:lang w:val="pt-PT"/>
        </w:rPr>
        <w:t>seus investimentos para o período de vigência do incentivo fiscal.</w:t>
      </w:r>
    </w:p>
    <w:p w14:paraId="7ABC90C7" w14:textId="329AD4D1" w:rsidR="00DF13A8" w:rsidRDefault="00DF13A8" w:rsidP="00642608">
      <w:pPr>
        <w:spacing w:line="360" w:lineRule="auto"/>
        <w:jc w:val="both"/>
        <w:rPr>
          <w:rFonts w:ascii="Garamond" w:eastAsia="Times New Roman" w:hAnsi="Garamond" w:cs="Times New Roman"/>
          <w:sz w:val="24"/>
          <w:szCs w:val="24"/>
          <w:lang w:val="pt-PT"/>
        </w:rPr>
      </w:pPr>
      <w:r w:rsidRPr="00DF13A8">
        <w:rPr>
          <w:rFonts w:ascii="Garamond" w:eastAsia="Times New Roman" w:hAnsi="Garamond" w:cs="Times New Roman"/>
          <w:sz w:val="24"/>
          <w:szCs w:val="24"/>
          <w:lang w:val="pt-PT"/>
        </w:rPr>
        <w:t>O coeficiente negativo de -0.2404856 indica que, para as empresas que não beneficiaram do CFEI II</w:t>
      </w:r>
      <w:r w:rsidR="0064715C">
        <w:rPr>
          <w:rFonts w:ascii="Garamond" w:eastAsia="Times New Roman" w:hAnsi="Garamond" w:cs="Times New Roman"/>
          <w:sz w:val="24"/>
          <w:szCs w:val="24"/>
          <w:lang w:val="pt-PT"/>
        </w:rPr>
        <w:t xml:space="preserve"> em determinado ano</w:t>
      </w:r>
      <w:r w:rsidRPr="00DF13A8">
        <w:rPr>
          <w:rFonts w:ascii="Garamond" w:eastAsia="Times New Roman" w:hAnsi="Garamond" w:cs="Times New Roman"/>
          <w:sz w:val="24"/>
          <w:szCs w:val="24"/>
          <w:lang w:val="pt-PT"/>
        </w:rPr>
        <w:t>, a variação do investimento no ano t-1 também tem um efeito negativo significativo na variação do investimento no ano t. Embora também seja negativo, este coeficiente é ligeiramente menor em magnitude comparado ao coeficiente das empresas que beneficiaram do CFEI II</w:t>
      </w:r>
      <w:r w:rsidR="0064715C">
        <w:rPr>
          <w:rFonts w:ascii="Garamond" w:eastAsia="Times New Roman" w:hAnsi="Garamond" w:cs="Times New Roman"/>
          <w:sz w:val="24"/>
          <w:szCs w:val="24"/>
          <w:lang w:val="pt-PT"/>
        </w:rPr>
        <w:t xml:space="preserve"> num determinado período</w:t>
      </w:r>
      <w:r w:rsidR="009F2F39">
        <w:rPr>
          <w:rFonts w:ascii="Garamond" w:eastAsia="Times New Roman" w:hAnsi="Garamond" w:cs="Times New Roman"/>
          <w:sz w:val="24"/>
          <w:szCs w:val="24"/>
          <w:lang w:val="pt-PT"/>
        </w:rPr>
        <w:t xml:space="preserve">, e está em linha com </w:t>
      </w:r>
      <w:r w:rsidR="009F2F39" w:rsidRPr="009F2F39">
        <w:rPr>
          <w:rFonts w:ascii="Garamond" w:eastAsia="Times New Roman" w:hAnsi="Garamond" w:cs="Times New Roman"/>
          <w:sz w:val="24"/>
          <w:szCs w:val="24"/>
          <w:lang w:val="pt-PT"/>
        </w:rPr>
        <w:t xml:space="preserve">o período de análise </w:t>
      </w:r>
      <w:r w:rsidR="009F2F39">
        <w:rPr>
          <w:rFonts w:ascii="Garamond" w:eastAsia="Times New Roman" w:hAnsi="Garamond" w:cs="Times New Roman"/>
          <w:sz w:val="24"/>
          <w:szCs w:val="24"/>
          <w:lang w:val="pt-PT"/>
        </w:rPr>
        <w:t xml:space="preserve"> que </w:t>
      </w:r>
      <w:r w:rsidR="009F2F39" w:rsidRPr="009F2F39">
        <w:rPr>
          <w:rFonts w:ascii="Garamond" w:eastAsia="Times New Roman" w:hAnsi="Garamond" w:cs="Times New Roman"/>
          <w:sz w:val="24"/>
          <w:szCs w:val="24"/>
          <w:lang w:val="pt-PT"/>
        </w:rPr>
        <w:t>incluiu os anos de 2020 a 2022, um período marcado pela pandemia de COVID-19, que trouxe incertezas económicas e dificuldades financeiras para muitas empresas</w:t>
      </w:r>
    </w:p>
    <w:p w14:paraId="7A2F6817" w14:textId="1ACDFA23" w:rsidR="00DF13A8" w:rsidRDefault="00DF13A8" w:rsidP="00642608">
      <w:pPr>
        <w:spacing w:line="360" w:lineRule="auto"/>
        <w:jc w:val="both"/>
        <w:rPr>
          <w:rFonts w:ascii="Garamond" w:eastAsia="Times New Roman" w:hAnsi="Garamond" w:cs="Times New Roman"/>
          <w:sz w:val="24"/>
          <w:szCs w:val="24"/>
          <w:lang w:val="pt-PT"/>
        </w:rPr>
      </w:pPr>
      <w:r w:rsidRPr="00DF13A8">
        <w:rPr>
          <w:rFonts w:ascii="Garamond" w:eastAsia="Times New Roman" w:hAnsi="Garamond" w:cs="Times New Roman"/>
          <w:sz w:val="24"/>
          <w:szCs w:val="24"/>
          <w:lang w:val="pt-PT"/>
        </w:rPr>
        <w:t xml:space="preserve">A diferença entre os coeficientes (-0.2827798 para as empresas que beneficiaram do CFEI II </w:t>
      </w:r>
      <w:r w:rsidR="0064715C">
        <w:rPr>
          <w:rFonts w:ascii="Garamond" w:eastAsia="Times New Roman" w:hAnsi="Garamond" w:cs="Times New Roman"/>
          <w:sz w:val="24"/>
          <w:szCs w:val="24"/>
          <w:lang w:val="pt-PT"/>
        </w:rPr>
        <w:t xml:space="preserve">num determinado ano </w:t>
      </w:r>
      <w:r w:rsidRPr="00DF13A8">
        <w:rPr>
          <w:rFonts w:ascii="Garamond" w:eastAsia="Times New Roman" w:hAnsi="Garamond" w:cs="Times New Roman"/>
          <w:sz w:val="24"/>
          <w:szCs w:val="24"/>
          <w:lang w:val="pt-PT"/>
        </w:rPr>
        <w:t>e -0.2404856 para as empresas que não beneficiaram) sugere que as empresas que aproveitaram o incentivo fiscal tiveram uma reação mais pronunciada na redução do investimento no ano t, após um aumento no investimento no ano t-1.</w:t>
      </w:r>
      <w:r w:rsidR="008D2AB4">
        <w:rPr>
          <w:rFonts w:ascii="Garamond" w:eastAsia="Times New Roman" w:hAnsi="Garamond" w:cs="Times New Roman"/>
          <w:sz w:val="24"/>
          <w:szCs w:val="24"/>
          <w:lang w:val="pt-PT"/>
        </w:rPr>
        <w:t xml:space="preserve"> </w:t>
      </w:r>
      <w:r w:rsidR="008D2AB4" w:rsidRPr="008D2AB4">
        <w:rPr>
          <w:rFonts w:ascii="Garamond" w:eastAsia="Times New Roman" w:hAnsi="Garamond" w:cs="Times New Roman"/>
          <w:sz w:val="24"/>
          <w:szCs w:val="24"/>
          <w:lang w:val="pt-PT"/>
        </w:rPr>
        <w:t xml:space="preserve">Esta </w:t>
      </w:r>
      <w:r w:rsidR="008D2AB4" w:rsidRPr="008D2AB4">
        <w:rPr>
          <w:rFonts w:ascii="Garamond" w:eastAsia="Times New Roman" w:hAnsi="Garamond" w:cs="Times New Roman"/>
          <w:sz w:val="24"/>
          <w:szCs w:val="24"/>
          <w:lang w:val="pt-PT"/>
        </w:rPr>
        <w:lastRenderedPageBreak/>
        <w:t xml:space="preserve">diferença pode ser interpretada como evidência de que o CFEI II incentivou as empresas a anteciparem </w:t>
      </w:r>
      <w:r w:rsidR="003F79EF">
        <w:rPr>
          <w:rFonts w:ascii="Garamond" w:eastAsia="Times New Roman" w:hAnsi="Garamond" w:cs="Times New Roman"/>
          <w:sz w:val="24"/>
          <w:szCs w:val="24"/>
          <w:lang w:val="pt-PT"/>
        </w:rPr>
        <w:t xml:space="preserve">os </w:t>
      </w:r>
      <w:r w:rsidR="008D2AB4" w:rsidRPr="008D2AB4">
        <w:rPr>
          <w:rFonts w:ascii="Garamond" w:eastAsia="Times New Roman" w:hAnsi="Garamond" w:cs="Times New Roman"/>
          <w:sz w:val="24"/>
          <w:szCs w:val="24"/>
          <w:lang w:val="pt-PT"/>
        </w:rPr>
        <w:t xml:space="preserve">seus investimentos para os anos de vigência do benefício fiscal, resultando </w:t>
      </w:r>
      <w:r w:rsidR="003F79EF">
        <w:rPr>
          <w:rFonts w:ascii="Garamond" w:eastAsia="Times New Roman" w:hAnsi="Garamond" w:cs="Times New Roman"/>
          <w:sz w:val="24"/>
          <w:szCs w:val="24"/>
          <w:lang w:val="pt-PT"/>
        </w:rPr>
        <w:t>numa</w:t>
      </w:r>
      <w:r w:rsidR="008D2AB4" w:rsidRPr="008D2AB4">
        <w:rPr>
          <w:rFonts w:ascii="Garamond" w:eastAsia="Times New Roman" w:hAnsi="Garamond" w:cs="Times New Roman"/>
          <w:sz w:val="24"/>
          <w:szCs w:val="24"/>
          <w:lang w:val="pt-PT"/>
        </w:rPr>
        <w:t xml:space="preserve"> maior redução no investimento nos anos subsequentes.</w:t>
      </w:r>
    </w:p>
    <w:p w14:paraId="3157B6E6" w14:textId="01A125CD" w:rsidR="00343211" w:rsidRDefault="003F79EF" w:rsidP="00642608">
      <w:pPr>
        <w:spacing w:line="360" w:lineRule="auto"/>
        <w:jc w:val="both"/>
        <w:rPr>
          <w:rFonts w:ascii="Garamond" w:eastAsia="Times New Roman" w:hAnsi="Garamond" w:cs="Times New Roman"/>
          <w:sz w:val="24"/>
          <w:szCs w:val="24"/>
          <w:lang w:val="pt-PT"/>
        </w:rPr>
      </w:pPr>
      <w:r>
        <w:rPr>
          <w:rFonts w:ascii="Garamond" w:eastAsia="Times New Roman" w:hAnsi="Garamond" w:cs="Times New Roman"/>
          <w:sz w:val="24"/>
          <w:szCs w:val="24"/>
          <w:lang w:val="pt-PT"/>
        </w:rPr>
        <w:t>Assim, o</w:t>
      </w:r>
      <w:r w:rsidRPr="003F79EF">
        <w:rPr>
          <w:rFonts w:ascii="Garamond" w:eastAsia="Times New Roman" w:hAnsi="Garamond" w:cs="Times New Roman"/>
          <w:sz w:val="24"/>
          <w:szCs w:val="24"/>
          <w:lang w:val="pt-PT"/>
        </w:rPr>
        <w:t xml:space="preserve">s resultados são consistentes com a hipótese de que as empresas anteciparam os investimentos para se qualificarem para o CFEI II, resultando </w:t>
      </w:r>
      <w:r>
        <w:rPr>
          <w:rFonts w:ascii="Garamond" w:eastAsia="Times New Roman" w:hAnsi="Garamond" w:cs="Times New Roman"/>
          <w:sz w:val="24"/>
          <w:szCs w:val="24"/>
          <w:lang w:val="pt-PT"/>
        </w:rPr>
        <w:t>numa</w:t>
      </w:r>
      <w:r w:rsidRPr="003F79EF">
        <w:rPr>
          <w:rFonts w:ascii="Garamond" w:eastAsia="Times New Roman" w:hAnsi="Garamond" w:cs="Times New Roman"/>
          <w:sz w:val="24"/>
          <w:szCs w:val="24"/>
          <w:lang w:val="pt-PT"/>
        </w:rPr>
        <w:t xml:space="preserve"> relação negativa mais</w:t>
      </w:r>
      <w:r>
        <w:rPr>
          <w:rFonts w:ascii="Garamond" w:eastAsia="Times New Roman" w:hAnsi="Garamond" w:cs="Times New Roman"/>
          <w:sz w:val="24"/>
          <w:szCs w:val="24"/>
          <w:lang w:val="pt-PT"/>
        </w:rPr>
        <w:t xml:space="preserve"> forte entre as variáveis</w:t>
      </w:r>
      <w:r w:rsidRPr="003F79EF">
        <w:rPr>
          <w:rFonts w:ascii="Garamond" w:eastAsia="Times New Roman" w:hAnsi="Garamond" w:cs="Times New Roman"/>
          <w:sz w:val="24"/>
          <w:szCs w:val="24"/>
          <w:lang w:val="pt-PT"/>
        </w:rPr>
        <w:t xml:space="preserv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 xml:space="preserve"> i,t</m:t>
            </m:r>
            <m:r>
              <m:rPr>
                <m:sty m:val="p"/>
              </m:rPr>
              <w:rPr>
                <w:rFonts w:ascii="Cambria Math" w:hAnsi="Cambria Math"/>
                <w:sz w:val="24"/>
                <w:szCs w:val="24"/>
                <w:lang w:val="pt-PT"/>
              </w:rPr>
              <m:t>-1</m:t>
            </m:r>
          </m:sub>
        </m:sSub>
      </m:oMath>
      <w:r w:rsidRPr="003F79EF">
        <w:rPr>
          <w:rFonts w:ascii="Garamond" w:eastAsia="Times New Roman" w:hAnsi="Garamond" w:cs="Times New Roman"/>
          <w:sz w:val="24"/>
          <w:szCs w:val="24"/>
          <w:lang w:val="pt-PT"/>
        </w:rPr>
        <w:t xml:space="preserve"> e </w:t>
      </w:r>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 xml:space="preserve"> it</m:t>
            </m:r>
          </m:sub>
        </m:sSub>
      </m:oMath>
      <w:r w:rsidRPr="003F79EF">
        <w:rPr>
          <w:rFonts w:ascii="Garamond" w:eastAsia="Times New Roman" w:hAnsi="Garamond" w:cs="Times New Roman"/>
          <w:sz w:val="24"/>
          <w:szCs w:val="24"/>
          <w:lang w:val="pt-PT"/>
        </w:rPr>
        <w:t xml:space="preserve"> para as empresas que beneficiaram do incentivo fiscal</w:t>
      </w:r>
      <w:r>
        <w:rPr>
          <w:rFonts w:ascii="Garamond" w:eastAsia="Times New Roman" w:hAnsi="Garamond" w:cs="Times New Roman"/>
          <w:sz w:val="24"/>
          <w:szCs w:val="24"/>
          <w:lang w:val="pt-PT"/>
        </w:rPr>
        <w:t xml:space="preserve">, </w:t>
      </w:r>
      <w:r w:rsidRPr="003F79EF">
        <w:rPr>
          <w:rFonts w:ascii="Garamond" w:eastAsia="Times New Roman" w:hAnsi="Garamond" w:cs="Times New Roman"/>
          <w:sz w:val="24"/>
          <w:szCs w:val="24"/>
          <w:lang w:val="pt-PT"/>
        </w:rPr>
        <w:t>corroborando a hipótese de que o incentivo fiscal influenciou as decisões de investimento das empresas</w:t>
      </w:r>
      <w:r w:rsidR="00F3276B">
        <w:rPr>
          <w:rFonts w:ascii="Garamond" w:eastAsia="Times New Roman" w:hAnsi="Garamond" w:cs="Times New Roman"/>
          <w:sz w:val="24"/>
          <w:szCs w:val="24"/>
          <w:lang w:val="pt-PT"/>
        </w:rPr>
        <w:t>, conclusão que também já tinha sido antecipada anteriormente, na análise das estatísticas descritivas.</w:t>
      </w:r>
    </w:p>
    <w:p w14:paraId="6AAF374A" w14:textId="2F0F832C" w:rsidR="0066206C" w:rsidRDefault="0066206C">
      <w:pPr>
        <w:spacing w:line="259" w:lineRule="auto"/>
        <w:rPr>
          <w:rFonts w:ascii="Garamond" w:hAnsi="Garamond"/>
          <w:b/>
          <w:bCs/>
          <w:sz w:val="28"/>
          <w:szCs w:val="24"/>
          <w:lang w:val="pt-PT"/>
        </w:rPr>
      </w:pPr>
    </w:p>
    <w:p w14:paraId="11CECA92" w14:textId="77777777" w:rsidR="00275E97" w:rsidRDefault="00275E97">
      <w:pPr>
        <w:spacing w:line="259" w:lineRule="auto"/>
        <w:rPr>
          <w:rFonts w:ascii="Garamond" w:hAnsi="Garamond"/>
          <w:b/>
          <w:bCs/>
          <w:sz w:val="28"/>
          <w:szCs w:val="24"/>
          <w:lang w:val="pt-PT"/>
        </w:rPr>
      </w:pPr>
      <w:r w:rsidRPr="00446A32">
        <w:rPr>
          <w:lang w:val="pt-PT"/>
        </w:rPr>
        <w:br w:type="page"/>
      </w:r>
    </w:p>
    <w:p w14:paraId="4B760F8D" w14:textId="6CBBBAED" w:rsidR="00D96772" w:rsidRDefault="00D96772" w:rsidP="00D96772">
      <w:pPr>
        <w:pStyle w:val="TtuloPrincipalTese"/>
      </w:pPr>
      <w:bookmarkStart w:id="52" w:name="_Toc176458061"/>
      <w:r>
        <w:lastRenderedPageBreak/>
        <w:t>Conclusões</w:t>
      </w:r>
      <w:bookmarkEnd w:id="52"/>
    </w:p>
    <w:p w14:paraId="3E593ABB" w14:textId="7968FB1A" w:rsidR="00F87C25" w:rsidRDefault="00C4253F" w:rsidP="00EB18E4">
      <w:pPr>
        <w:spacing w:line="360" w:lineRule="auto"/>
        <w:jc w:val="both"/>
        <w:rPr>
          <w:rFonts w:ascii="Garamond" w:hAnsi="Garamond"/>
          <w:sz w:val="24"/>
          <w:szCs w:val="24"/>
          <w:lang w:val="pt-PT"/>
        </w:rPr>
      </w:pPr>
      <w:r w:rsidRPr="00843668">
        <w:rPr>
          <w:rFonts w:ascii="Garamond" w:hAnsi="Garamond"/>
          <w:sz w:val="24"/>
          <w:szCs w:val="24"/>
          <w:lang w:val="pt-PT"/>
        </w:rPr>
        <w:t>Neste estudo, explor</w:t>
      </w:r>
      <w:r w:rsidR="003F3D15">
        <w:rPr>
          <w:rFonts w:ascii="Garamond" w:hAnsi="Garamond"/>
          <w:sz w:val="24"/>
          <w:szCs w:val="24"/>
          <w:lang w:val="pt-PT"/>
        </w:rPr>
        <w:t xml:space="preserve">amos </w:t>
      </w:r>
      <w:r w:rsidRPr="00843668">
        <w:rPr>
          <w:rFonts w:ascii="Garamond" w:hAnsi="Garamond"/>
          <w:sz w:val="24"/>
          <w:szCs w:val="24"/>
          <w:lang w:val="pt-PT"/>
        </w:rPr>
        <w:t xml:space="preserve">a eficácia do Crédito Fiscal Extraordinário de Investimento II como um incentivo para promover o investimento empresarial em Portugal. </w:t>
      </w:r>
      <w:r w:rsidR="004C1903" w:rsidRPr="00843668">
        <w:rPr>
          <w:rFonts w:ascii="Garamond" w:hAnsi="Garamond"/>
          <w:sz w:val="24"/>
          <w:szCs w:val="24"/>
          <w:lang w:val="pt-PT"/>
        </w:rPr>
        <w:t>Esta</w:t>
      </w:r>
      <w:r w:rsidRPr="00843668">
        <w:rPr>
          <w:rFonts w:ascii="Garamond" w:hAnsi="Garamond"/>
          <w:sz w:val="24"/>
          <w:szCs w:val="24"/>
          <w:lang w:val="pt-PT"/>
        </w:rPr>
        <w:t xml:space="preserve"> dissertação </w:t>
      </w:r>
      <w:r w:rsidR="004C1903" w:rsidRPr="00843668">
        <w:rPr>
          <w:rFonts w:ascii="Garamond" w:hAnsi="Garamond"/>
          <w:sz w:val="24"/>
          <w:szCs w:val="24"/>
          <w:lang w:val="pt-PT"/>
        </w:rPr>
        <w:t>teve como objetivo</w:t>
      </w:r>
      <w:r w:rsidRPr="00843668">
        <w:rPr>
          <w:rFonts w:ascii="Garamond" w:hAnsi="Garamond"/>
          <w:sz w:val="24"/>
          <w:szCs w:val="24"/>
          <w:lang w:val="pt-PT"/>
        </w:rPr>
        <w:t xml:space="preserve"> avaliar se o CFEI II </w:t>
      </w:r>
      <w:r w:rsidR="00F87C25">
        <w:rPr>
          <w:rFonts w:ascii="Garamond" w:hAnsi="Garamond"/>
          <w:sz w:val="24"/>
          <w:szCs w:val="24"/>
          <w:lang w:val="pt-PT"/>
        </w:rPr>
        <w:t>influenciou as</w:t>
      </w:r>
      <w:r w:rsidRPr="00843668">
        <w:rPr>
          <w:rFonts w:ascii="Garamond" w:hAnsi="Garamond"/>
          <w:sz w:val="24"/>
          <w:szCs w:val="24"/>
          <w:lang w:val="pt-PT"/>
        </w:rPr>
        <w:t xml:space="preserve"> empresas a antecipar</w:t>
      </w:r>
      <w:r w:rsidR="003F3D15">
        <w:rPr>
          <w:rFonts w:ascii="Garamond" w:hAnsi="Garamond"/>
          <w:sz w:val="24"/>
          <w:szCs w:val="24"/>
          <w:lang w:val="pt-PT"/>
        </w:rPr>
        <w:t>em</w:t>
      </w:r>
      <w:r w:rsidRPr="00843668">
        <w:rPr>
          <w:rFonts w:ascii="Garamond" w:hAnsi="Garamond"/>
          <w:sz w:val="24"/>
          <w:szCs w:val="24"/>
          <w:lang w:val="pt-PT"/>
        </w:rPr>
        <w:t xml:space="preserve"> os seus investimentos previamente planeados para </w:t>
      </w:r>
      <w:r w:rsidR="00D37F5A" w:rsidRPr="00843668">
        <w:rPr>
          <w:rFonts w:ascii="Garamond" w:hAnsi="Garamond"/>
          <w:sz w:val="24"/>
          <w:szCs w:val="24"/>
          <w:lang w:val="pt-PT"/>
        </w:rPr>
        <w:t>usufruír</w:t>
      </w:r>
      <w:r w:rsidR="00D37F5A">
        <w:rPr>
          <w:rFonts w:ascii="Garamond" w:hAnsi="Garamond"/>
          <w:sz w:val="24"/>
          <w:szCs w:val="24"/>
          <w:lang w:val="pt-PT"/>
        </w:rPr>
        <w:t>em</w:t>
      </w:r>
      <w:r w:rsidRPr="00843668">
        <w:rPr>
          <w:rFonts w:ascii="Garamond" w:hAnsi="Garamond"/>
          <w:sz w:val="24"/>
          <w:szCs w:val="24"/>
          <w:lang w:val="pt-PT"/>
        </w:rPr>
        <w:t xml:space="preserve"> dos benefícios fiscais oferecidos por este incentivo. </w:t>
      </w:r>
    </w:p>
    <w:p w14:paraId="4DAF24FE" w14:textId="58237537" w:rsidR="00C4253F" w:rsidRDefault="00C4253F" w:rsidP="00642608">
      <w:pPr>
        <w:spacing w:line="360" w:lineRule="auto"/>
        <w:jc w:val="both"/>
        <w:rPr>
          <w:rFonts w:ascii="Garamond" w:hAnsi="Garamond"/>
          <w:sz w:val="24"/>
          <w:szCs w:val="24"/>
          <w:lang w:val="pt-PT"/>
        </w:rPr>
      </w:pPr>
      <w:r w:rsidRPr="00843668">
        <w:rPr>
          <w:rFonts w:ascii="Garamond" w:hAnsi="Garamond"/>
          <w:sz w:val="24"/>
          <w:szCs w:val="24"/>
          <w:lang w:val="pt-PT"/>
        </w:rPr>
        <w:t xml:space="preserve">Com base em dados recolhidos a partir do Portal da Autoridade Tributária e Aduaneira e da base de dados SABI, </w:t>
      </w:r>
      <w:r w:rsidR="00D37F5A" w:rsidRPr="00843668">
        <w:rPr>
          <w:rFonts w:ascii="Garamond" w:hAnsi="Garamond"/>
          <w:sz w:val="24"/>
          <w:szCs w:val="24"/>
          <w:lang w:val="pt-PT"/>
        </w:rPr>
        <w:t>analisa</w:t>
      </w:r>
      <w:r w:rsidR="00D37F5A">
        <w:rPr>
          <w:rFonts w:ascii="Garamond" w:hAnsi="Garamond"/>
          <w:sz w:val="24"/>
          <w:szCs w:val="24"/>
          <w:lang w:val="pt-PT"/>
        </w:rPr>
        <w:t xml:space="preserve">mos </w:t>
      </w:r>
      <w:r w:rsidRPr="00843668">
        <w:rPr>
          <w:rFonts w:ascii="Garamond" w:hAnsi="Garamond"/>
          <w:sz w:val="24"/>
          <w:szCs w:val="24"/>
          <w:lang w:val="pt-PT"/>
        </w:rPr>
        <w:t>informações de empresas que beneficiaram e não beneficiaram do CFEI II entre 2020 e 2022.</w:t>
      </w:r>
      <w:r w:rsidR="00F87C25">
        <w:rPr>
          <w:rFonts w:ascii="Garamond" w:hAnsi="Garamond"/>
          <w:sz w:val="24"/>
          <w:szCs w:val="24"/>
          <w:lang w:val="pt-PT"/>
        </w:rPr>
        <w:t xml:space="preserve"> Assim, criamos uma subamostra de empresas que beneficiaram do incentivo fiscal, e para efeitos de controlo definimos uma subamostra de empresas que não beneficiaram dos incentivos proporcionados pelo CFEI II.</w:t>
      </w:r>
    </w:p>
    <w:p w14:paraId="0CFADA49" w14:textId="63763A18" w:rsidR="00D37F5A" w:rsidRDefault="00F87C25" w:rsidP="00642608">
      <w:pPr>
        <w:spacing w:line="360" w:lineRule="auto"/>
        <w:jc w:val="both"/>
        <w:rPr>
          <w:rFonts w:ascii="Garamond" w:hAnsi="Garamond"/>
          <w:sz w:val="24"/>
          <w:szCs w:val="24"/>
          <w:lang w:val="pt-PT"/>
        </w:rPr>
      </w:pPr>
      <w:r>
        <w:rPr>
          <w:rFonts w:ascii="Garamond" w:hAnsi="Garamond"/>
          <w:sz w:val="24"/>
          <w:szCs w:val="24"/>
          <w:lang w:val="pt-PT"/>
        </w:rPr>
        <w:t xml:space="preserve">Após a definição da amostra, iniciamos o teste da hipótese formulada: </w:t>
      </w:r>
      <w:r w:rsidR="0043025B" w:rsidRPr="003F3D15">
        <w:rPr>
          <w:rFonts w:ascii="Garamond" w:hAnsi="Garamond"/>
          <w:i/>
          <w:iCs/>
          <w:sz w:val="24"/>
          <w:szCs w:val="24"/>
          <w:lang w:val="pt-PT"/>
        </w:rPr>
        <w:t>O CFEI II conduziu as empresas a antecipar investimentos com o objetivo de beneficiarem do incentivo fiscal.</w:t>
      </w:r>
      <w:r w:rsidR="003F3D15">
        <w:rPr>
          <w:rFonts w:ascii="Garamond" w:hAnsi="Garamond"/>
          <w:i/>
          <w:iCs/>
          <w:sz w:val="24"/>
          <w:szCs w:val="24"/>
          <w:lang w:val="pt-PT"/>
        </w:rPr>
        <w:t xml:space="preserve"> </w:t>
      </w:r>
      <w:r w:rsidR="003F3D15" w:rsidRPr="003F3D15">
        <w:rPr>
          <w:rFonts w:ascii="Garamond" w:hAnsi="Garamond"/>
          <w:sz w:val="24"/>
          <w:szCs w:val="24"/>
          <w:lang w:val="pt-PT"/>
        </w:rPr>
        <w:t xml:space="preserve">A expectativa </w:t>
      </w:r>
      <w:r w:rsidR="003F3D15">
        <w:rPr>
          <w:rFonts w:ascii="Garamond" w:hAnsi="Garamond"/>
          <w:sz w:val="24"/>
          <w:szCs w:val="24"/>
          <w:lang w:val="pt-PT"/>
        </w:rPr>
        <w:t>seria</w:t>
      </w:r>
      <w:r w:rsidR="003F3D15" w:rsidRPr="003F3D15">
        <w:rPr>
          <w:rFonts w:ascii="Garamond" w:hAnsi="Garamond"/>
          <w:sz w:val="24"/>
          <w:szCs w:val="24"/>
          <w:lang w:val="pt-PT"/>
        </w:rPr>
        <w:t xml:space="preserve"> que os resultados </w:t>
      </w:r>
      <w:r w:rsidR="003F3D15">
        <w:rPr>
          <w:rFonts w:ascii="Garamond" w:hAnsi="Garamond"/>
          <w:sz w:val="24"/>
          <w:szCs w:val="24"/>
          <w:lang w:val="pt-PT"/>
        </w:rPr>
        <w:t>de</w:t>
      </w:r>
      <w:r w:rsidR="003F3D15" w:rsidRPr="003F3D15">
        <w:rPr>
          <w:rFonts w:ascii="Garamond" w:hAnsi="Garamond"/>
          <w:sz w:val="24"/>
          <w:szCs w:val="24"/>
          <w:lang w:val="pt-PT"/>
        </w:rPr>
        <w:t>mo</w:t>
      </w:r>
      <w:r w:rsidR="003F3D15">
        <w:rPr>
          <w:rFonts w:ascii="Garamond" w:hAnsi="Garamond"/>
          <w:sz w:val="24"/>
          <w:szCs w:val="24"/>
          <w:lang w:val="pt-PT"/>
        </w:rPr>
        <w:t>n</w:t>
      </w:r>
      <w:r w:rsidR="003F3D15" w:rsidRPr="003F3D15">
        <w:rPr>
          <w:rFonts w:ascii="Garamond" w:hAnsi="Garamond"/>
          <w:sz w:val="24"/>
          <w:szCs w:val="24"/>
          <w:lang w:val="pt-PT"/>
        </w:rPr>
        <w:t>strassem evidências de que as empresas de fa</w:t>
      </w:r>
      <w:r w:rsidR="003F3D15">
        <w:rPr>
          <w:rFonts w:ascii="Garamond" w:hAnsi="Garamond"/>
          <w:sz w:val="24"/>
          <w:szCs w:val="24"/>
          <w:lang w:val="pt-PT"/>
        </w:rPr>
        <w:t>c</w:t>
      </w:r>
      <w:r w:rsidR="003F3D15" w:rsidRPr="003F3D15">
        <w:rPr>
          <w:rFonts w:ascii="Garamond" w:hAnsi="Garamond"/>
          <w:sz w:val="24"/>
          <w:szCs w:val="24"/>
          <w:lang w:val="pt-PT"/>
        </w:rPr>
        <w:t>to anteciparam investimentos para aproveitar</w:t>
      </w:r>
      <w:r w:rsidR="003F3D15">
        <w:rPr>
          <w:rFonts w:ascii="Garamond" w:hAnsi="Garamond"/>
          <w:sz w:val="24"/>
          <w:szCs w:val="24"/>
          <w:lang w:val="pt-PT"/>
        </w:rPr>
        <w:t>em</w:t>
      </w:r>
      <w:r w:rsidR="003F3D15" w:rsidRPr="003F3D15">
        <w:rPr>
          <w:rFonts w:ascii="Garamond" w:hAnsi="Garamond"/>
          <w:sz w:val="24"/>
          <w:szCs w:val="24"/>
          <w:lang w:val="pt-PT"/>
        </w:rPr>
        <w:t xml:space="preserve"> </w:t>
      </w:r>
      <w:r w:rsidR="003F3D15">
        <w:rPr>
          <w:rFonts w:ascii="Garamond" w:hAnsi="Garamond"/>
          <w:sz w:val="24"/>
          <w:szCs w:val="24"/>
          <w:lang w:val="pt-PT"/>
        </w:rPr>
        <w:t>as vantagens oferecidas por este</w:t>
      </w:r>
      <w:r w:rsidR="003F3D15" w:rsidRPr="003F3D15">
        <w:rPr>
          <w:rFonts w:ascii="Garamond" w:hAnsi="Garamond"/>
          <w:sz w:val="24"/>
          <w:szCs w:val="24"/>
          <w:lang w:val="pt-PT"/>
        </w:rPr>
        <w:t xml:space="preserve"> benefício fiscal. </w:t>
      </w:r>
      <w:r w:rsidR="00D37F5A">
        <w:rPr>
          <w:rFonts w:ascii="Garamond" w:hAnsi="Garamond"/>
          <w:sz w:val="24"/>
          <w:szCs w:val="24"/>
          <w:lang w:val="pt-PT"/>
        </w:rPr>
        <w:t xml:space="preserve">A nossa expectativa teve em consideração o facto de o CFEI II ter </w:t>
      </w:r>
      <w:r w:rsidR="004748BE">
        <w:rPr>
          <w:rFonts w:ascii="Garamond" w:hAnsi="Garamond"/>
          <w:sz w:val="24"/>
          <w:szCs w:val="24"/>
          <w:lang w:val="pt-PT"/>
        </w:rPr>
        <w:t>como objetivo incentivar as empresas</w:t>
      </w:r>
      <w:r w:rsidR="004748BE" w:rsidRPr="004748BE">
        <w:rPr>
          <w:rFonts w:ascii="Garamond" w:hAnsi="Garamond"/>
          <w:sz w:val="24"/>
          <w:szCs w:val="24"/>
          <w:lang w:val="pt-PT"/>
        </w:rPr>
        <w:t xml:space="preserve"> ao investimento, numa época marcada pelos efeitos da pandemia de COVID-19</w:t>
      </w:r>
      <w:r w:rsidR="004748BE">
        <w:rPr>
          <w:rFonts w:ascii="Garamond" w:hAnsi="Garamond"/>
          <w:sz w:val="24"/>
          <w:szCs w:val="24"/>
          <w:lang w:val="pt-PT"/>
        </w:rPr>
        <w:t>, pouco propício ao investimento empresarial.</w:t>
      </w:r>
    </w:p>
    <w:p w14:paraId="63044160" w14:textId="77777777" w:rsidR="0097028C" w:rsidRDefault="00413D35" w:rsidP="00642608">
      <w:pPr>
        <w:spacing w:line="360" w:lineRule="auto"/>
        <w:jc w:val="both"/>
        <w:rPr>
          <w:rFonts w:ascii="Garamond" w:hAnsi="Garamond"/>
          <w:sz w:val="24"/>
          <w:szCs w:val="24"/>
          <w:lang w:val="pt-PT"/>
        </w:rPr>
      </w:pPr>
      <w:r>
        <w:rPr>
          <w:rFonts w:ascii="Garamond" w:hAnsi="Garamond"/>
          <w:sz w:val="24"/>
          <w:szCs w:val="24"/>
          <w:lang w:val="pt-PT"/>
        </w:rPr>
        <w:t>A</w:t>
      </w:r>
      <w:r w:rsidRPr="00413D35">
        <w:rPr>
          <w:rFonts w:ascii="Garamond" w:hAnsi="Garamond"/>
          <w:sz w:val="24"/>
          <w:szCs w:val="24"/>
          <w:lang w:val="pt-PT"/>
        </w:rPr>
        <w:t xml:space="preserve"> investigação empírica confirmou a hipótese formulada no início do estudo. </w:t>
      </w:r>
      <w:r>
        <w:rPr>
          <w:rFonts w:ascii="Garamond" w:hAnsi="Garamond"/>
          <w:sz w:val="24"/>
          <w:szCs w:val="24"/>
          <w:lang w:val="pt-PT"/>
        </w:rPr>
        <w:t xml:space="preserve">Foi </w:t>
      </w:r>
      <w:r w:rsidRPr="00413D35">
        <w:rPr>
          <w:rFonts w:ascii="Garamond" w:hAnsi="Garamond"/>
          <w:sz w:val="24"/>
          <w:szCs w:val="24"/>
          <w:lang w:val="pt-PT"/>
        </w:rPr>
        <w:t>evidente a diferença no comportamento de variação de investimento entre as empresas que aproveitaram o benefício fiscal do CFEI II e aquelas que não o fizeram. Este comportamento distinto é particularmente notável quando se observa a antecipação dos investimentos pelos beneficiários do CFEI II durante os anos de 2020 e 2021,</w:t>
      </w:r>
      <w:r>
        <w:rPr>
          <w:rFonts w:ascii="Garamond" w:hAnsi="Garamond"/>
          <w:sz w:val="24"/>
          <w:szCs w:val="24"/>
          <w:lang w:val="pt-PT"/>
        </w:rPr>
        <w:t xml:space="preserve"> ano em que o incentivo estava em vigor,</w:t>
      </w:r>
      <w:r w:rsidRPr="00413D35">
        <w:rPr>
          <w:rFonts w:ascii="Garamond" w:hAnsi="Garamond"/>
          <w:sz w:val="24"/>
          <w:szCs w:val="24"/>
          <w:lang w:val="pt-PT"/>
        </w:rPr>
        <w:t xml:space="preserve"> em comparação com as empresas que não </w:t>
      </w:r>
      <w:r>
        <w:rPr>
          <w:rFonts w:ascii="Garamond" w:hAnsi="Garamond"/>
          <w:sz w:val="24"/>
          <w:szCs w:val="24"/>
          <w:lang w:val="pt-PT"/>
        </w:rPr>
        <w:t>usufruíram deste</w:t>
      </w:r>
      <w:r w:rsidRPr="00413D35">
        <w:rPr>
          <w:rFonts w:ascii="Garamond" w:hAnsi="Garamond"/>
          <w:sz w:val="24"/>
          <w:szCs w:val="24"/>
          <w:lang w:val="pt-PT"/>
        </w:rPr>
        <w:t xml:space="preserve"> incentivo.</w:t>
      </w:r>
      <w:r>
        <w:rPr>
          <w:rFonts w:ascii="Garamond" w:hAnsi="Garamond"/>
          <w:sz w:val="24"/>
          <w:szCs w:val="24"/>
          <w:lang w:val="pt-PT"/>
        </w:rPr>
        <w:t xml:space="preserve"> Para as empresas que beneficiaram do CFEI II </w:t>
      </w:r>
      <w:r w:rsidRPr="00413D35">
        <w:rPr>
          <w:rFonts w:ascii="Garamond" w:hAnsi="Garamond"/>
          <w:sz w:val="24"/>
          <w:szCs w:val="24"/>
          <w:lang w:val="pt-PT"/>
        </w:rPr>
        <w:t>verificou-se uma tendência de diminuição</w:t>
      </w:r>
      <w:r>
        <w:rPr>
          <w:rFonts w:ascii="Garamond" w:hAnsi="Garamond"/>
          <w:sz w:val="24"/>
          <w:szCs w:val="24"/>
          <w:lang w:val="pt-PT"/>
        </w:rPr>
        <w:t xml:space="preserve"> significativa</w:t>
      </w:r>
      <w:r w:rsidRPr="00413D35">
        <w:rPr>
          <w:rFonts w:ascii="Garamond" w:hAnsi="Garamond"/>
          <w:sz w:val="24"/>
          <w:szCs w:val="24"/>
          <w:lang w:val="pt-PT"/>
        </w:rPr>
        <w:t xml:space="preserve"> do investimento no ano de 2022,</w:t>
      </w:r>
      <w:r>
        <w:rPr>
          <w:rFonts w:ascii="Garamond" w:hAnsi="Garamond"/>
          <w:sz w:val="24"/>
          <w:szCs w:val="24"/>
          <w:lang w:val="pt-PT"/>
        </w:rPr>
        <w:t xml:space="preserve"> enquanto as empresas que não beneficiaram tiveram um aumento na variação do investimento no ano 2022,</w:t>
      </w:r>
      <w:r w:rsidRPr="00413D35">
        <w:rPr>
          <w:rFonts w:ascii="Garamond" w:hAnsi="Garamond"/>
          <w:sz w:val="24"/>
          <w:szCs w:val="24"/>
          <w:lang w:val="pt-PT"/>
        </w:rPr>
        <w:t xml:space="preserve"> o que reforça a ideia de que o incentivo fiscal encorajou as empresas a a</w:t>
      </w:r>
      <w:r>
        <w:rPr>
          <w:rFonts w:ascii="Garamond" w:hAnsi="Garamond"/>
          <w:sz w:val="24"/>
          <w:szCs w:val="24"/>
          <w:lang w:val="pt-PT"/>
        </w:rPr>
        <w:t xml:space="preserve">ntecipar </w:t>
      </w:r>
      <w:r w:rsidRPr="00413D35">
        <w:rPr>
          <w:rFonts w:ascii="Garamond" w:hAnsi="Garamond"/>
          <w:sz w:val="24"/>
          <w:szCs w:val="24"/>
          <w:lang w:val="pt-PT"/>
        </w:rPr>
        <w:t>os seus investimentos nos anos em que o benefício estava disponível.</w:t>
      </w:r>
      <w:r>
        <w:rPr>
          <w:rFonts w:ascii="Garamond" w:hAnsi="Garamond"/>
          <w:sz w:val="24"/>
          <w:szCs w:val="24"/>
          <w:lang w:val="pt-PT"/>
        </w:rPr>
        <w:t xml:space="preserve"> </w:t>
      </w:r>
    </w:p>
    <w:p w14:paraId="0CF595D9" w14:textId="21D0D190" w:rsidR="009A5B10" w:rsidRPr="002C7D4B" w:rsidRDefault="009A5B10" w:rsidP="00642608">
      <w:pPr>
        <w:spacing w:line="360" w:lineRule="auto"/>
        <w:jc w:val="both"/>
        <w:rPr>
          <w:rFonts w:ascii="Garamond" w:hAnsi="Garamond"/>
          <w:sz w:val="24"/>
          <w:szCs w:val="24"/>
          <w:lang w:val="pt-PT"/>
        </w:rPr>
      </w:pPr>
      <w:r w:rsidRPr="002C7D4B">
        <w:rPr>
          <w:rFonts w:ascii="Garamond" w:hAnsi="Garamond"/>
          <w:sz w:val="24"/>
          <w:szCs w:val="24"/>
          <w:lang w:val="pt-PT"/>
        </w:rPr>
        <w:t xml:space="preserve">Este estudo oferece vários contributos significativos para a literatura existente </w:t>
      </w:r>
      <w:r w:rsidR="00690CFD" w:rsidRPr="002C7D4B">
        <w:rPr>
          <w:rFonts w:ascii="Garamond" w:hAnsi="Garamond"/>
          <w:sz w:val="24"/>
          <w:szCs w:val="24"/>
          <w:lang w:val="pt-PT"/>
        </w:rPr>
        <w:t>acerca das</w:t>
      </w:r>
      <w:r w:rsidRPr="002C7D4B">
        <w:rPr>
          <w:rFonts w:ascii="Garamond" w:hAnsi="Garamond"/>
          <w:sz w:val="24"/>
          <w:szCs w:val="24"/>
          <w:lang w:val="pt-PT"/>
        </w:rPr>
        <w:t xml:space="preserve"> finanças empresariais e </w:t>
      </w:r>
      <w:r w:rsidR="00690CFD" w:rsidRPr="002C7D4B">
        <w:rPr>
          <w:rFonts w:ascii="Garamond" w:hAnsi="Garamond"/>
          <w:sz w:val="24"/>
          <w:szCs w:val="24"/>
          <w:lang w:val="pt-PT"/>
        </w:rPr>
        <w:t xml:space="preserve">das </w:t>
      </w:r>
      <w:r w:rsidRPr="002C7D4B">
        <w:rPr>
          <w:rFonts w:ascii="Garamond" w:hAnsi="Garamond"/>
          <w:sz w:val="24"/>
          <w:szCs w:val="24"/>
          <w:lang w:val="pt-PT"/>
        </w:rPr>
        <w:t xml:space="preserve">políticas fiscais. Através de uma análise empírica detalhada, foram </w:t>
      </w:r>
      <w:r w:rsidRPr="002C7D4B">
        <w:rPr>
          <w:rFonts w:ascii="Garamond" w:hAnsi="Garamond"/>
          <w:sz w:val="24"/>
          <w:szCs w:val="24"/>
          <w:lang w:val="pt-PT"/>
        </w:rPr>
        <w:lastRenderedPageBreak/>
        <w:t xml:space="preserve">obtidas várias conclusões que enriquecem o conhecimento sobre a relação entre </w:t>
      </w:r>
      <w:r w:rsidR="00690CFD" w:rsidRPr="002C7D4B">
        <w:rPr>
          <w:rFonts w:ascii="Garamond" w:hAnsi="Garamond"/>
          <w:sz w:val="24"/>
          <w:szCs w:val="24"/>
          <w:lang w:val="pt-PT"/>
        </w:rPr>
        <w:t xml:space="preserve">os </w:t>
      </w:r>
      <w:r w:rsidRPr="002C7D4B">
        <w:rPr>
          <w:rFonts w:ascii="Garamond" w:hAnsi="Garamond"/>
          <w:sz w:val="24"/>
          <w:szCs w:val="24"/>
          <w:lang w:val="pt-PT"/>
        </w:rPr>
        <w:t xml:space="preserve">incentivos fiscais e </w:t>
      </w:r>
      <w:r w:rsidR="00690CFD" w:rsidRPr="002C7D4B">
        <w:rPr>
          <w:rFonts w:ascii="Garamond" w:hAnsi="Garamond"/>
          <w:sz w:val="24"/>
          <w:szCs w:val="24"/>
          <w:lang w:val="pt-PT"/>
        </w:rPr>
        <w:t xml:space="preserve">as </w:t>
      </w:r>
      <w:r w:rsidRPr="002C7D4B">
        <w:rPr>
          <w:rFonts w:ascii="Garamond" w:hAnsi="Garamond"/>
          <w:sz w:val="24"/>
          <w:szCs w:val="24"/>
          <w:lang w:val="pt-PT"/>
        </w:rPr>
        <w:t>decisões de investimento das empresas.</w:t>
      </w:r>
    </w:p>
    <w:p w14:paraId="14F55625" w14:textId="77777777" w:rsidR="0097028C" w:rsidRDefault="009A5B10" w:rsidP="00642608">
      <w:pPr>
        <w:spacing w:line="360" w:lineRule="auto"/>
        <w:jc w:val="both"/>
        <w:rPr>
          <w:rFonts w:ascii="Garamond" w:hAnsi="Garamond"/>
          <w:sz w:val="24"/>
          <w:szCs w:val="24"/>
          <w:lang w:val="pt-PT"/>
        </w:rPr>
      </w:pPr>
      <w:r w:rsidRPr="002C7D4B">
        <w:rPr>
          <w:rFonts w:ascii="Garamond" w:hAnsi="Garamond"/>
          <w:sz w:val="24"/>
          <w:szCs w:val="24"/>
          <w:lang w:val="pt-PT"/>
        </w:rPr>
        <w:t xml:space="preserve">O estudo valida empiricamente algumas das teorias clássicas de investimento, como a teoria neoclássica, ao analisar como diferentes fatores financeiros influenciam as decisões de investimento. Ao mesmo tempo, contribui para a discussão académica ao </w:t>
      </w:r>
      <w:r w:rsidR="00690CFD" w:rsidRPr="002C7D4B">
        <w:rPr>
          <w:rFonts w:ascii="Garamond" w:hAnsi="Garamond"/>
          <w:sz w:val="24"/>
          <w:szCs w:val="24"/>
          <w:lang w:val="pt-PT"/>
        </w:rPr>
        <w:t>demonstrar</w:t>
      </w:r>
      <w:r w:rsidRPr="002C7D4B">
        <w:rPr>
          <w:rFonts w:ascii="Garamond" w:hAnsi="Garamond"/>
          <w:sz w:val="24"/>
          <w:szCs w:val="24"/>
          <w:lang w:val="pt-PT"/>
        </w:rPr>
        <w:t xml:space="preserve"> que o incentivo fiscal CFEI</w:t>
      </w:r>
      <w:r w:rsidR="003C204D" w:rsidRPr="002C7D4B">
        <w:rPr>
          <w:rFonts w:ascii="Garamond" w:hAnsi="Garamond"/>
          <w:sz w:val="24"/>
          <w:szCs w:val="24"/>
          <w:lang w:val="pt-PT"/>
        </w:rPr>
        <w:t xml:space="preserve"> </w:t>
      </w:r>
      <w:r w:rsidRPr="002C7D4B">
        <w:rPr>
          <w:rFonts w:ascii="Garamond" w:hAnsi="Garamond"/>
          <w:sz w:val="24"/>
          <w:szCs w:val="24"/>
          <w:lang w:val="pt-PT"/>
        </w:rPr>
        <w:t xml:space="preserve">II, teve o impacto esperado sobre o investimento empresarial. </w:t>
      </w:r>
    </w:p>
    <w:p w14:paraId="04923729" w14:textId="5BEAD40D" w:rsidR="009A5B10" w:rsidRPr="002C7D4B" w:rsidRDefault="002C7D4B" w:rsidP="00642608">
      <w:pPr>
        <w:spacing w:line="360" w:lineRule="auto"/>
        <w:jc w:val="both"/>
        <w:rPr>
          <w:rFonts w:ascii="Garamond" w:hAnsi="Garamond"/>
          <w:sz w:val="24"/>
          <w:szCs w:val="24"/>
          <w:lang w:val="pt-PT"/>
        </w:rPr>
      </w:pPr>
      <w:r w:rsidRPr="002C7D4B">
        <w:rPr>
          <w:rFonts w:ascii="Garamond" w:hAnsi="Garamond"/>
          <w:sz w:val="24"/>
          <w:szCs w:val="24"/>
          <w:lang w:val="pt-PT"/>
        </w:rPr>
        <w:t>Por fim, a</w:t>
      </w:r>
      <w:r w:rsidR="009A5B10" w:rsidRPr="002C7D4B">
        <w:rPr>
          <w:rFonts w:ascii="Garamond" w:hAnsi="Garamond"/>
          <w:sz w:val="24"/>
          <w:szCs w:val="24"/>
          <w:lang w:val="pt-PT"/>
        </w:rPr>
        <w:t>pesar dos contributos significativos, este estudo apresenta algumas limitações que devem ser consideradas ao interpretar os resultados</w:t>
      </w:r>
      <w:r w:rsidR="00CE114D" w:rsidRPr="002C7D4B">
        <w:rPr>
          <w:rFonts w:ascii="Garamond" w:hAnsi="Garamond"/>
          <w:sz w:val="24"/>
          <w:szCs w:val="24"/>
          <w:lang w:val="pt-PT"/>
        </w:rPr>
        <w:t>.</w:t>
      </w:r>
      <w:r w:rsidRPr="002C7D4B">
        <w:rPr>
          <w:rFonts w:ascii="Garamond" w:hAnsi="Garamond"/>
          <w:sz w:val="24"/>
          <w:szCs w:val="24"/>
          <w:lang w:val="pt-PT"/>
        </w:rPr>
        <w:t xml:space="preserve"> </w:t>
      </w:r>
      <w:r w:rsidR="009A5B10" w:rsidRPr="002C7D4B">
        <w:rPr>
          <w:rFonts w:ascii="Garamond" w:hAnsi="Garamond"/>
          <w:sz w:val="24"/>
          <w:szCs w:val="24"/>
          <w:lang w:val="pt-PT"/>
        </w:rPr>
        <w:t>A análise foi conduzida num período específico (2020-2022), que coincidiu com a pandemia de COVID-19. Este evento económico extremo pode ter distorcido os resultados, uma vez que as decisões de investimento das empresas durante este período foram fortemente influenciadas por incertezas e restrições económicas.</w:t>
      </w:r>
    </w:p>
    <w:p w14:paraId="2ACC84EF" w14:textId="42C711DB" w:rsidR="009A5B10" w:rsidRPr="002C7D4B" w:rsidRDefault="009A5B10" w:rsidP="00642608">
      <w:pPr>
        <w:spacing w:line="360" w:lineRule="auto"/>
        <w:jc w:val="both"/>
        <w:rPr>
          <w:rFonts w:ascii="Garamond" w:hAnsi="Garamond"/>
          <w:sz w:val="24"/>
          <w:szCs w:val="24"/>
          <w:lang w:val="pt-PT"/>
        </w:rPr>
      </w:pPr>
      <w:r w:rsidRPr="002C7D4B">
        <w:rPr>
          <w:rFonts w:ascii="Garamond" w:hAnsi="Garamond"/>
          <w:sz w:val="24"/>
          <w:szCs w:val="24"/>
          <w:lang w:val="pt-PT"/>
        </w:rPr>
        <w:t>Embora o modelo inclua várias variáveis explicativas importantes, há outros fatores que podem influenciar as decisões de investimento e que não foram considerados, como condições de mercado específicas por setor.</w:t>
      </w:r>
    </w:p>
    <w:p w14:paraId="166B8839" w14:textId="138D3AEF" w:rsidR="00646539" w:rsidRPr="002C7D4B" w:rsidRDefault="00646539" w:rsidP="00642608">
      <w:pPr>
        <w:spacing w:line="360" w:lineRule="auto"/>
        <w:jc w:val="both"/>
        <w:rPr>
          <w:rFonts w:ascii="Garamond" w:hAnsi="Garamond"/>
          <w:sz w:val="24"/>
          <w:szCs w:val="24"/>
          <w:lang w:val="pt-PT"/>
        </w:rPr>
      </w:pPr>
      <w:r w:rsidRPr="002C7D4B">
        <w:rPr>
          <w:rFonts w:ascii="Garamond" w:hAnsi="Garamond"/>
          <w:sz w:val="24"/>
          <w:szCs w:val="24"/>
          <w:lang w:val="pt-PT"/>
        </w:rPr>
        <w:t>Adicionalmente, em relação às subamostras definidas para esta investigação, é importante destacar as limitações inerentes aos critérios de seleção utilizados. A subamostra principal inclui apenas empresas que beneficiaram do CFEI II nos anos analisados, enquanto a subamostra de controlo inclui empresas que não beneficiaram no mesmo período. Isso exclui as empresas que investiram e calcularam o benefício, mas que, devido à insuficiência de coleta de IRC, não puderam utilizar o crédito fiscal</w:t>
      </w:r>
      <w:r w:rsidR="002C7D4B" w:rsidRPr="002C7D4B">
        <w:rPr>
          <w:rFonts w:ascii="Garamond" w:hAnsi="Garamond"/>
          <w:sz w:val="24"/>
          <w:szCs w:val="24"/>
          <w:lang w:val="pt-PT"/>
        </w:rPr>
        <w:t xml:space="preserve"> nesse ano</w:t>
      </w:r>
      <w:r w:rsidRPr="002C7D4B">
        <w:rPr>
          <w:rFonts w:ascii="Garamond" w:hAnsi="Garamond"/>
          <w:sz w:val="24"/>
          <w:szCs w:val="24"/>
          <w:lang w:val="pt-PT"/>
        </w:rPr>
        <w:t>.</w:t>
      </w:r>
    </w:p>
    <w:p w14:paraId="5BC31E45" w14:textId="6F5F46BE" w:rsidR="009A5B10" w:rsidRDefault="001C4E07" w:rsidP="00642608">
      <w:pPr>
        <w:spacing w:line="360" w:lineRule="auto"/>
        <w:jc w:val="both"/>
        <w:rPr>
          <w:rFonts w:ascii="Garamond" w:hAnsi="Garamond"/>
          <w:sz w:val="24"/>
          <w:szCs w:val="24"/>
          <w:lang w:val="pt-PT"/>
        </w:rPr>
      </w:pPr>
      <w:r w:rsidRPr="002C7D4B">
        <w:rPr>
          <w:rFonts w:ascii="Garamond" w:hAnsi="Garamond"/>
          <w:sz w:val="24"/>
          <w:szCs w:val="24"/>
          <w:lang w:val="pt-PT"/>
        </w:rPr>
        <w:t>Por fim, o</w:t>
      </w:r>
      <w:r w:rsidR="009A5B10" w:rsidRPr="002C7D4B">
        <w:rPr>
          <w:rFonts w:ascii="Garamond" w:hAnsi="Garamond"/>
          <w:sz w:val="24"/>
          <w:szCs w:val="24"/>
          <w:lang w:val="pt-PT"/>
        </w:rPr>
        <w:t xml:space="preserve"> estudo centrou-se especificamente no impacto do CFEI</w:t>
      </w:r>
      <w:r w:rsidR="003C204D" w:rsidRPr="002C7D4B">
        <w:rPr>
          <w:rFonts w:ascii="Garamond" w:hAnsi="Garamond"/>
          <w:sz w:val="24"/>
          <w:szCs w:val="24"/>
          <w:lang w:val="pt-PT"/>
        </w:rPr>
        <w:t xml:space="preserve"> </w:t>
      </w:r>
      <w:r w:rsidR="009A5B10" w:rsidRPr="002C7D4B">
        <w:rPr>
          <w:rFonts w:ascii="Garamond" w:hAnsi="Garamond"/>
          <w:sz w:val="24"/>
          <w:szCs w:val="24"/>
          <w:lang w:val="pt-PT"/>
        </w:rPr>
        <w:t xml:space="preserve">II. Embora isto forneça </w:t>
      </w:r>
      <w:r w:rsidR="005339E6" w:rsidRPr="002C7D4B">
        <w:rPr>
          <w:rFonts w:ascii="Garamond" w:hAnsi="Garamond"/>
          <w:sz w:val="24"/>
          <w:szCs w:val="24"/>
          <w:lang w:val="pt-PT"/>
        </w:rPr>
        <w:t>conclusões</w:t>
      </w:r>
      <w:r w:rsidR="009A5B10" w:rsidRPr="002C7D4B">
        <w:rPr>
          <w:rFonts w:ascii="Garamond" w:hAnsi="Garamond"/>
          <w:sz w:val="24"/>
          <w:szCs w:val="24"/>
          <w:lang w:val="pt-PT"/>
        </w:rPr>
        <w:t xml:space="preserve"> </w:t>
      </w:r>
      <w:r w:rsidR="005339E6" w:rsidRPr="002C7D4B">
        <w:rPr>
          <w:rFonts w:ascii="Garamond" w:hAnsi="Garamond"/>
          <w:sz w:val="24"/>
          <w:szCs w:val="24"/>
          <w:lang w:val="pt-PT"/>
        </w:rPr>
        <w:t>relevantes</w:t>
      </w:r>
      <w:r w:rsidR="009A5B10" w:rsidRPr="002C7D4B">
        <w:rPr>
          <w:rFonts w:ascii="Garamond" w:hAnsi="Garamond"/>
          <w:sz w:val="24"/>
          <w:szCs w:val="24"/>
          <w:lang w:val="pt-PT"/>
        </w:rPr>
        <w:t xml:space="preserve"> sobre este incentivo fiscal, limita a generalização dos resultados para outros tipos de incentivos fiscais ou políticas de </w:t>
      </w:r>
      <w:r w:rsidR="005339E6" w:rsidRPr="002C7D4B">
        <w:rPr>
          <w:rFonts w:ascii="Garamond" w:hAnsi="Garamond"/>
          <w:sz w:val="24"/>
          <w:szCs w:val="24"/>
          <w:lang w:val="pt-PT"/>
        </w:rPr>
        <w:t>incentivo</w:t>
      </w:r>
      <w:r w:rsidR="009A5B10" w:rsidRPr="002C7D4B">
        <w:rPr>
          <w:rFonts w:ascii="Garamond" w:hAnsi="Garamond"/>
          <w:sz w:val="24"/>
          <w:szCs w:val="24"/>
          <w:lang w:val="pt-PT"/>
        </w:rPr>
        <w:t xml:space="preserve"> ao investimento.</w:t>
      </w:r>
    </w:p>
    <w:p w14:paraId="5E5AED3C" w14:textId="77777777" w:rsidR="008824C8" w:rsidRPr="006F2562" w:rsidRDefault="009A5B10" w:rsidP="00642608">
      <w:pPr>
        <w:spacing w:line="360" w:lineRule="auto"/>
        <w:jc w:val="both"/>
        <w:rPr>
          <w:rFonts w:ascii="Garamond" w:hAnsi="Garamond"/>
          <w:sz w:val="24"/>
          <w:szCs w:val="24"/>
          <w:lang w:val="pt-PT"/>
        </w:rPr>
      </w:pPr>
      <w:r w:rsidRPr="006F2562">
        <w:rPr>
          <w:rFonts w:ascii="Garamond" w:hAnsi="Garamond"/>
          <w:sz w:val="24"/>
          <w:szCs w:val="24"/>
          <w:lang w:val="pt-PT"/>
        </w:rPr>
        <w:t>Para aprofundar a compreensão d</w:t>
      </w:r>
      <w:r w:rsidR="00DE0A6E" w:rsidRPr="006F2562">
        <w:rPr>
          <w:rFonts w:ascii="Garamond" w:hAnsi="Garamond"/>
          <w:sz w:val="24"/>
          <w:szCs w:val="24"/>
          <w:lang w:val="pt-PT"/>
        </w:rPr>
        <w:t>as</w:t>
      </w:r>
      <w:r w:rsidRPr="006F2562">
        <w:rPr>
          <w:rFonts w:ascii="Garamond" w:hAnsi="Garamond"/>
          <w:sz w:val="24"/>
          <w:szCs w:val="24"/>
          <w:lang w:val="pt-PT"/>
        </w:rPr>
        <w:t xml:space="preserve"> determinantes do investimento empresarial e a eficácia dos incentivos fiscais, sugere-se a realização de investigações futuras </w:t>
      </w:r>
      <w:r w:rsidR="00DE0A6E" w:rsidRPr="006F2562">
        <w:rPr>
          <w:rFonts w:ascii="Garamond" w:hAnsi="Garamond"/>
          <w:sz w:val="24"/>
          <w:szCs w:val="24"/>
          <w:lang w:val="pt-PT"/>
        </w:rPr>
        <w:t>que incorporem variáveis adicionais, estudos comparativos entre diferentes tipos de incentivos fiscais e políticas de incentivo ao investimento, tanto a nível nacional como internacional e análises específicas por setor.</w:t>
      </w:r>
    </w:p>
    <w:p w14:paraId="47AE2AB3" w14:textId="77777777" w:rsidR="00275E97" w:rsidRDefault="00275E97">
      <w:pPr>
        <w:spacing w:line="259" w:lineRule="auto"/>
        <w:rPr>
          <w:rFonts w:ascii="Garamond" w:hAnsi="Garamond"/>
          <w:b/>
          <w:bCs/>
          <w:sz w:val="28"/>
          <w:szCs w:val="24"/>
          <w:lang w:val="pt-PT"/>
        </w:rPr>
      </w:pPr>
      <w:r w:rsidRPr="00446A32">
        <w:rPr>
          <w:lang w:val="pt-PT"/>
        </w:rPr>
        <w:br w:type="page"/>
      </w:r>
    </w:p>
    <w:p w14:paraId="5C344DE0" w14:textId="050B8810" w:rsidR="00193D32" w:rsidRDefault="005A3564" w:rsidP="00EB18E4">
      <w:pPr>
        <w:pStyle w:val="TtuloPrincipalTese"/>
        <w:jc w:val="both"/>
      </w:pPr>
      <w:bookmarkStart w:id="53" w:name="_Toc176458062"/>
      <w:r>
        <w:lastRenderedPageBreak/>
        <w:t>Apêndices</w:t>
      </w:r>
      <w:bookmarkEnd w:id="53"/>
    </w:p>
    <w:p w14:paraId="5D9C7EAA" w14:textId="45511074" w:rsidR="00193D32" w:rsidRDefault="00193D32" w:rsidP="00FA0134">
      <w:pPr>
        <w:pStyle w:val="TtuloSecundrioTese"/>
      </w:pPr>
      <w:bookmarkStart w:id="54" w:name="_Toc176458063"/>
      <w:r>
        <w:t xml:space="preserve">Apêndice </w:t>
      </w:r>
      <w:r w:rsidR="004216E3">
        <w:t>A</w:t>
      </w:r>
      <w:bookmarkEnd w:id="54"/>
      <w:r>
        <w:t xml:space="preserve"> </w:t>
      </w:r>
    </w:p>
    <w:p w14:paraId="57B41600" w14:textId="7947E5FD" w:rsidR="00193D32" w:rsidRDefault="00193D32" w:rsidP="00193D32">
      <w:pPr>
        <w:rPr>
          <w:b/>
          <w:bCs/>
          <w:sz w:val="24"/>
          <w:szCs w:val="24"/>
          <w:lang w:val="pt-PT"/>
        </w:rPr>
      </w:pPr>
      <w:r>
        <w:rPr>
          <w:rFonts w:ascii="Garamond" w:hAnsi="Garamond"/>
          <w:b/>
          <w:bCs/>
          <w:sz w:val="24"/>
          <w:szCs w:val="24"/>
          <w:lang w:val="pt-PT"/>
        </w:rPr>
        <w:t xml:space="preserve">Estatísticas descritivas </w:t>
      </w:r>
    </w:p>
    <w:p w14:paraId="32BCDA76" w14:textId="6110488E" w:rsidR="00193D32" w:rsidRPr="00F11D1A" w:rsidRDefault="00193D32" w:rsidP="00193D32">
      <w:pPr>
        <w:pStyle w:val="Caption"/>
        <w:keepNext/>
        <w:rPr>
          <w:rFonts w:ascii="Garamond" w:hAnsi="Garamond"/>
          <w:i w:val="0"/>
          <w:iCs w:val="0"/>
          <w:color w:val="auto"/>
          <w:lang w:val="pt-PT"/>
        </w:rPr>
      </w:pPr>
      <w:bookmarkStart w:id="55" w:name="_Toc176855919"/>
      <w:r w:rsidRPr="00AC4E8A">
        <w:rPr>
          <w:rFonts w:ascii="Garamond" w:hAnsi="Garamond"/>
          <w:b/>
          <w:bCs/>
          <w:i w:val="0"/>
          <w:iCs w:val="0"/>
          <w:color w:val="auto"/>
          <w:lang w:val="pt-PT"/>
        </w:rPr>
        <w:t xml:space="preserve">Tabela </w:t>
      </w:r>
      <w:r w:rsidRPr="00AC4E8A">
        <w:rPr>
          <w:rFonts w:ascii="Garamond" w:hAnsi="Garamond"/>
          <w:b/>
          <w:bCs/>
          <w:i w:val="0"/>
          <w:iCs w:val="0"/>
          <w:color w:val="auto"/>
        </w:rPr>
        <w:fldChar w:fldCharType="begin"/>
      </w:r>
      <w:r w:rsidRPr="00AC4E8A">
        <w:rPr>
          <w:rFonts w:ascii="Garamond" w:hAnsi="Garamond"/>
          <w:b/>
          <w:bCs/>
          <w:i w:val="0"/>
          <w:iCs w:val="0"/>
          <w:color w:val="auto"/>
          <w:lang w:val="pt-PT"/>
        </w:rPr>
        <w:instrText xml:space="preserve"> SEQ Tabela \* ARABIC </w:instrText>
      </w:r>
      <w:r w:rsidRPr="00AC4E8A">
        <w:rPr>
          <w:rFonts w:ascii="Garamond" w:hAnsi="Garamond"/>
          <w:b/>
          <w:bCs/>
          <w:i w:val="0"/>
          <w:iCs w:val="0"/>
          <w:color w:val="auto"/>
        </w:rPr>
        <w:fldChar w:fldCharType="separate"/>
      </w:r>
      <w:r w:rsidR="00C01B43">
        <w:rPr>
          <w:rFonts w:ascii="Garamond" w:hAnsi="Garamond"/>
          <w:b/>
          <w:bCs/>
          <w:i w:val="0"/>
          <w:iCs w:val="0"/>
          <w:noProof/>
          <w:color w:val="auto"/>
          <w:lang w:val="pt-PT"/>
        </w:rPr>
        <w:t>7</w:t>
      </w:r>
      <w:r w:rsidRPr="00AC4E8A">
        <w:rPr>
          <w:rFonts w:ascii="Garamond" w:hAnsi="Garamond"/>
          <w:b/>
          <w:bCs/>
          <w:i w:val="0"/>
          <w:iCs w:val="0"/>
          <w:color w:val="auto"/>
        </w:rPr>
        <w:fldChar w:fldCharType="end"/>
      </w:r>
      <w:r w:rsidRPr="00F11D1A">
        <w:rPr>
          <w:rFonts w:ascii="Garamond" w:hAnsi="Garamond"/>
          <w:i w:val="0"/>
          <w:iCs w:val="0"/>
          <w:color w:val="auto"/>
          <w:lang w:val="pt-PT"/>
        </w:rPr>
        <w:t xml:space="preserve"> - Estatísticas descritivas</w:t>
      </w:r>
      <w:bookmarkEnd w:id="55"/>
      <w:r w:rsidRPr="00F11D1A">
        <w:rPr>
          <w:rFonts w:ascii="Garamond" w:hAnsi="Garamond"/>
          <w:i w:val="0"/>
          <w:iCs w:val="0"/>
          <w:color w:val="auto"/>
          <w:lang w:val="pt-PT"/>
        </w:rPr>
        <w:t xml:space="preserve"> </w:t>
      </w:r>
    </w:p>
    <w:tbl>
      <w:tblPr>
        <w:tblW w:w="8429" w:type="dxa"/>
        <w:tblLook w:val="04A0" w:firstRow="1" w:lastRow="0" w:firstColumn="1" w:lastColumn="0" w:noHBand="0" w:noVBand="1"/>
      </w:tblPr>
      <w:tblGrid>
        <w:gridCol w:w="1387"/>
        <w:gridCol w:w="927"/>
        <w:gridCol w:w="1125"/>
        <w:gridCol w:w="1324"/>
        <w:gridCol w:w="1085"/>
        <w:gridCol w:w="1134"/>
        <w:gridCol w:w="1447"/>
      </w:tblGrid>
      <w:tr w:rsidR="00193D32" w:rsidRPr="00544405" w14:paraId="02A4BF75" w14:textId="77777777" w:rsidTr="00B86ABF">
        <w:trPr>
          <w:trHeight w:val="288"/>
        </w:trPr>
        <w:tc>
          <w:tcPr>
            <w:tcW w:w="1387" w:type="dxa"/>
            <w:tcBorders>
              <w:top w:val="nil"/>
              <w:left w:val="nil"/>
              <w:bottom w:val="single" w:sz="4" w:space="0" w:color="auto"/>
              <w:right w:val="nil"/>
            </w:tcBorders>
            <w:shd w:val="clear" w:color="auto" w:fill="auto"/>
            <w:noWrap/>
            <w:vAlign w:val="bottom"/>
            <w:hideMark/>
          </w:tcPr>
          <w:p w14:paraId="1215C041"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Variable</w:t>
            </w:r>
          </w:p>
        </w:tc>
        <w:tc>
          <w:tcPr>
            <w:tcW w:w="927" w:type="dxa"/>
            <w:tcBorders>
              <w:top w:val="nil"/>
              <w:left w:val="nil"/>
              <w:bottom w:val="single" w:sz="4" w:space="0" w:color="auto"/>
              <w:right w:val="single" w:sz="4" w:space="0" w:color="auto"/>
            </w:tcBorders>
            <w:shd w:val="clear" w:color="auto" w:fill="auto"/>
            <w:noWrap/>
            <w:vAlign w:val="bottom"/>
            <w:hideMark/>
          </w:tcPr>
          <w:p w14:paraId="677D39DB"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p>
        </w:tc>
        <w:tc>
          <w:tcPr>
            <w:tcW w:w="1125" w:type="dxa"/>
            <w:tcBorders>
              <w:top w:val="nil"/>
              <w:left w:val="single" w:sz="4" w:space="0" w:color="auto"/>
              <w:bottom w:val="single" w:sz="4" w:space="0" w:color="auto"/>
              <w:right w:val="nil"/>
            </w:tcBorders>
            <w:shd w:val="clear" w:color="auto" w:fill="auto"/>
            <w:noWrap/>
            <w:vAlign w:val="bottom"/>
            <w:hideMark/>
          </w:tcPr>
          <w:p w14:paraId="4A2161E5" w14:textId="77777777" w:rsidR="00193D32" w:rsidRPr="00544405" w:rsidRDefault="00193D32" w:rsidP="00B86ABF">
            <w:pPr>
              <w:spacing w:after="0" w:line="240" w:lineRule="auto"/>
              <w:jc w:val="right"/>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Mean</w:t>
            </w:r>
          </w:p>
        </w:tc>
        <w:tc>
          <w:tcPr>
            <w:tcW w:w="1324" w:type="dxa"/>
            <w:tcBorders>
              <w:top w:val="nil"/>
              <w:left w:val="nil"/>
              <w:bottom w:val="single" w:sz="4" w:space="0" w:color="auto"/>
              <w:right w:val="nil"/>
            </w:tcBorders>
            <w:shd w:val="clear" w:color="auto" w:fill="auto"/>
            <w:noWrap/>
            <w:vAlign w:val="bottom"/>
            <w:hideMark/>
          </w:tcPr>
          <w:p w14:paraId="7DB57823" w14:textId="77777777" w:rsidR="00193D32" w:rsidRPr="00544405" w:rsidRDefault="00193D32" w:rsidP="00B86ABF">
            <w:pPr>
              <w:spacing w:after="0" w:line="240" w:lineRule="auto"/>
              <w:jc w:val="right"/>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Std. dev.</w:t>
            </w:r>
          </w:p>
        </w:tc>
        <w:tc>
          <w:tcPr>
            <w:tcW w:w="1085" w:type="dxa"/>
            <w:tcBorders>
              <w:top w:val="nil"/>
              <w:left w:val="nil"/>
              <w:bottom w:val="single" w:sz="4" w:space="0" w:color="auto"/>
              <w:right w:val="nil"/>
            </w:tcBorders>
            <w:shd w:val="clear" w:color="auto" w:fill="auto"/>
            <w:noWrap/>
            <w:vAlign w:val="bottom"/>
            <w:hideMark/>
          </w:tcPr>
          <w:p w14:paraId="35CED0C6" w14:textId="77777777" w:rsidR="00193D32" w:rsidRPr="00544405" w:rsidRDefault="00193D32" w:rsidP="00B86ABF">
            <w:pPr>
              <w:spacing w:after="0" w:line="240" w:lineRule="auto"/>
              <w:jc w:val="right"/>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Min</w:t>
            </w:r>
          </w:p>
        </w:tc>
        <w:tc>
          <w:tcPr>
            <w:tcW w:w="1134" w:type="dxa"/>
            <w:tcBorders>
              <w:top w:val="nil"/>
              <w:left w:val="nil"/>
              <w:bottom w:val="single" w:sz="4" w:space="0" w:color="auto"/>
              <w:right w:val="single" w:sz="4" w:space="0" w:color="auto"/>
            </w:tcBorders>
            <w:shd w:val="clear" w:color="auto" w:fill="auto"/>
            <w:noWrap/>
            <w:vAlign w:val="bottom"/>
            <w:hideMark/>
          </w:tcPr>
          <w:p w14:paraId="5A2C11B9" w14:textId="77777777" w:rsidR="00193D32" w:rsidRPr="00544405" w:rsidRDefault="00193D32" w:rsidP="00B86ABF">
            <w:pPr>
              <w:spacing w:after="0" w:line="240" w:lineRule="auto"/>
              <w:jc w:val="right"/>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Max</w:t>
            </w:r>
          </w:p>
        </w:tc>
        <w:tc>
          <w:tcPr>
            <w:tcW w:w="1447" w:type="dxa"/>
            <w:tcBorders>
              <w:top w:val="nil"/>
              <w:left w:val="single" w:sz="4" w:space="0" w:color="auto"/>
              <w:bottom w:val="single" w:sz="4" w:space="0" w:color="auto"/>
              <w:right w:val="nil"/>
            </w:tcBorders>
            <w:shd w:val="clear" w:color="auto" w:fill="auto"/>
            <w:noWrap/>
            <w:vAlign w:val="bottom"/>
            <w:hideMark/>
          </w:tcPr>
          <w:p w14:paraId="67B0BF38"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7E7B0D">
              <w:rPr>
                <w:rFonts w:ascii="Garamond" w:eastAsia="Times New Roman" w:hAnsi="Garamond" w:cs="Calibri"/>
                <w:color w:val="000000"/>
                <w:sz w:val="22"/>
                <w:szCs w:val="22"/>
                <w:lang w:eastAsia="en-GB"/>
              </w:rPr>
              <w:t>Obse</w:t>
            </w:r>
            <w:r w:rsidRPr="00544405">
              <w:rPr>
                <w:rFonts w:ascii="Garamond" w:eastAsia="Times New Roman" w:hAnsi="Garamond" w:cs="Calibri"/>
                <w:color w:val="000000"/>
                <w:sz w:val="22"/>
                <w:szCs w:val="22"/>
                <w:lang w:eastAsia="en-GB"/>
              </w:rPr>
              <w:t>rvations</w:t>
            </w:r>
          </w:p>
        </w:tc>
      </w:tr>
      <w:tr w:rsidR="00193D32" w:rsidRPr="00544405" w14:paraId="7895283D" w14:textId="77777777" w:rsidTr="00B86ABF">
        <w:trPr>
          <w:trHeight w:val="288"/>
        </w:trPr>
        <w:tc>
          <w:tcPr>
            <w:tcW w:w="1387" w:type="dxa"/>
            <w:tcBorders>
              <w:top w:val="single" w:sz="4" w:space="0" w:color="auto"/>
              <w:left w:val="nil"/>
              <w:bottom w:val="nil"/>
              <w:right w:val="nil"/>
            </w:tcBorders>
            <w:shd w:val="clear" w:color="auto" w:fill="auto"/>
            <w:noWrap/>
            <w:vAlign w:val="bottom"/>
            <w:hideMark/>
          </w:tcPr>
          <w:p w14:paraId="0551A581" w14:textId="77777777" w:rsidR="00193D32" w:rsidRPr="00544405" w:rsidRDefault="00193D32" w:rsidP="00B86ABF">
            <w:pPr>
              <w:spacing w:after="0" w:line="240" w:lineRule="auto"/>
              <w:jc w:val="both"/>
              <w:rPr>
                <w:rFonts w:ascii="Garamond" w:eastAsia="Times New Roman" w:hAnsi="Garamond" w:cs="Calibri"/>
                <w:bCs/>
                <w:color w:val="000000"/>
                <w:sz w:val="22"/>
                <w:szCs w:val="22"/>
                <w:lang w:eastAsia="en-GB"/>
              </w:rPr>
            </w:pPr>
            <m:oMathPara>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m:oMathPara>
          </w:p>
        </w:tc>
        <w:tc>
          <w:tcPr>
            <w:tcW w:w="927" w:type="dxa"/>
            <w:tcBorders>
              <w:top w:val="single" w:sz="4" w:space="0" w:color="auto"/>
              <w:left w:val="nil"/>
              <w:bottom w:val="nil"/>
              <w:right w:val="single" w:sz="4" w:space="0" w:color="auto"/>
            </w:tcBorders>
            <w:shd w:val="clear" w:color="auto" w:fill="auto"/>
            <w:noWrap/>
            <w:vAlign w:val="bottom"/>
            <w:hideMark/>
          </w:tcPr>
          <w:p w14:paraId="2846E99C"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overall</w:t>
            </w:r>
          </w:p>
        </w:tc>
        <w:tc>
          <w:tcPr>
            <w:tcW w:w="1125" w:type="dxa"/>
            <w:tcBorders>
              <w:top w:val="single" w:sz="4" w:space="0" w:color="auto"/>
              <w:left w:val="single" w:sz="4" w:space="0" w:color="auto"/>
              <w:bottom w:val="nil"/>
              <w:right w:val="nil"/>
            </w:tcBorders>
            <w:shd w:val="clear" w:color="auto" w:fill="auto"/>
            <w:noWrap/>
            <w:vAlign w:val="bottom"/>
            <w:hideMark/>
          </w:tcPr>
          <w:p w14:paraId="437CC26E"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-.0061652</w:t>
            </w:r>
          </w:p>
        </w:tc>
        <w:tc>
          <w:tcPr>
            <w:tcW w:w="1324" w:type="dxa"/>
            <w:tcBorders>
              <w:top w:val="single" w:sz="4" w:space="0" w:color="auto"/>
              <w:left w:val="nil"/>
              <w:bottom w:val="nil"/>
              <w:right w:val="nil"/>
            </w:tcBorders>
            <w:shd w:val="clear" w:color="auto" w:fill="auto"/>
            <w:noWrap/>
            <w:vAlign w:val="bottom"/>
            <w:hideMark/>
          </w:tcPr>
          <w:p w14:paraId="243BCC78"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.1815087</w:t>
            </w:r>
          </w:p>
        </w:tc>
        <w:tc>
          <w:tcPr>
            <w:tcW w:w="1085" w:type="dxa"/>
            <w:tcBorders>
              <w:top w:val="single" w:sz="4" w:space="0" w:color="auto"/>
              <w:left w:val="nil"/>
              <w:bottom w:val="nil"/>
              <w:right w:val="nil"/>
            </w:tcBorders>
            <w:shd w:val="clear" w:color="auto" w:fill="auto"/>
            <w:noWrap/>
            <w:vAlign w:val="bottom"/>
            <w:hideMark/>
          </w:tcPr>
          <w:p w14:paraId="251FD2F0"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-18.56392</w:t>
            </w:r>
          </w:p>
        </w:tc>
        <w:tc>
          <w:tcPr>
            <w:tcW w:w="1134" w:type="dxa"/>
            <w:tcBorders>
              <w:top w:val="single" w:sz="4" w:space="0" w:color="auto"/>
              <w:left w:val="nil"/>
              <w:bottom w:val="nil"/>
              <w:right w:val="single" w:sz="4" w:space="0" w:color="auto"/>
            </w:tcBorders>
            <w:shd w:val="clear" w:color="auto" w:fill="auto"/>
            <w:noWrap/>
            <w:vAlign w:val="bottom"/>
            <w:hideMark/>
          </w:tcPr>
          <w:p w14:paraId="50EC15A2"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17.10321</w:t>
            </w:r>
          </w:p>
        </w:tc>
        <w:tc>
          <w:tcPr>
            <w:tcW w:w="1447" w:type="dxa"/>
            <w:tcBorders>
              <w:top w:val="single" w:sz="4" w:space="0" w:color="auto"/>
              <w:left w:val="single" w:sz="4" w:space="0" w:color="auto"/>
              <w:bottom w:val="nil"/>
              <w:right w:val="nil"/>
            </w:tcBorders>
            <w:shd w:val="clear" w:color="auto" w:fill="auto"/>
            <w:noWrap/>
            <w:vAlign w:val="bottom"/>
            <w:hideMark/>
          </w:tcPr>
          <w:p w14:paraId="0C06B688"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N = 187911</w:t>
            </w:r>
          </w:p>
        </w:tc>
      </w:tr>
      <w:tr w:rsidR="00193D32" w:rsidRPr="00544405" w14:paraId="35254D8B" w14:textId="77777777" w:rsidTr="00597122">
        <w:trPr>
          <w:trHeight w:val="288"/>
        </w:trPr>
        <w:tc>
          <w:tcPr>
            <w:tcW w:w="1387" w:type="dxa"/>
            <w:tcBorders>
              <w:top w:val="nil"/>
              <w:left w:val="nil"/>
              <w:bottom w:val="nil"/>
              <w:right w:val="nil"/>
            </w:tcBorders>
            <w:shd w:val="clear" w:color="auto" w:fill="auto"/>
            <w:noWrap/>
            <w:vAlign w:val="bottom"/>
            <w:hideMark/>
          </w:tcPr>
          <w:p w14:paraId="0D35AC24"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w:p>
        </w:tc>
        <w:tc>
          <w:tcPr>
            <w:tcW w:w="927" w:type="dxa"/>
            <w:tcBorders>
              <w:top w:val="nil"/>
              <w:left w:val="nil"/>
              <w:bottom w:val="nil"/>
              <w:right w:val="single" w:sz="4" w:space="0" w:color="auto"/>
            </w:tcBorders>
            <w:shd w:val="clear" w:color="auto" w:fill="auto"/>
            <w:noWrap/>
            <w:vAlign w:val="bottom"/>
          </w:tcPr>
          <w:p w14:paraId="5F199DD8" w14:textId="2AEC8117" w:rsidR="00193D32" w:rsidRPr="00544405" w:rsidRDefault="00193D32" w:rsidP="00B86ABF">
            <w:pPr>
              <w:spacing w:after="0" w:line="240" w:lineRule="auto"/>
              <w:rPr>
                <w:rFonts w:ascii="Garamond" w:eastAsia="Times New Roman" w:hAnsi="Garamond" w:cs="Calibri"/>
                <w:color w:val="000000"/>
                <w:sz w:val="22"/>
                <w:szCs w:val="22"/>
                <w:lang w:eastAsia="en-GB"/>
              </w:rPr>
            </w:pPr>
          </w:p>
        </w:tc>
        <w:tc>
          <w:tcPr>
            <w:tcW w:w="1125" w:type="dxa"/>
            <w:tcBorders>
              <w:top w:val="nil"/>
              <w:left w:val="single" w:sz="4" w:space="0" w:color="auto"/>
              <w:bottom w:val="nil"/>
              <w:right w:val="nil"/>
            </w:tcBorders>
            <w:shd w:val="clear" w:color="auto" w:fill="auto"/>
            <w:noWrap/>
            <w:vAlign w:val="bottom"/>
          </w:tcPr>
          <w:p w14:paraId="74C94D38"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324" w:type="dxa"/>
            <w:tcBorders>
              <w:top w:val="nil"/>
              <w:left w:val="nil"/>
              <w:bottom w:val="nil"/>
              <w:right w:val="nil"/>
            </w:tcBorders>
            <w:shd w:val="clear" w:color="auto" w:fill="auto"/>
            <w:noWrap/>
            <w:vAlign w:val="bottom"/>
          </w:tcPr>
          <w:p w14:paraId="69A450CE" w14:textId="1FF8E81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085" w:type="dxa"/>
            <w:tcBorders>
              <w:top w:val="nil"/>
              <w:left w:val="nil"/>
              <w:bottom w:val="nil"/>
              <w:right w:val="nil"/>
            </w:tcBorders>
            <w:shd w:val="clear" w:color="auto" w:fill="auto"/>
            <w:noWrap/>
            <w:vAlign w:val="bottom"/>
          </w:tcPr>
          <w:p w14:paraId="5FBCEB97" w14:textId="368B7AF5"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134" w:type="dxa"/>
            <w:tcBorders>
              <w:top w:val="nil"/>
              <w:left w:val="nil"/>
              <w:bottom w:val="nil"/>
              <w:right w:val="single" w:sz="4" w:space="0" w:color="auto"/>
            </w:tcBorders>
            <w:shd w:val="clear" w:color="auto" w:fill="auto"/>
            <w:noWrap/>
            <w:vAlign w:val="bottom"/>
          </w:tcPr>
          <w:p w14:paraId="6DA6EA40" w14:textId="0CF88ED0"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47" w:type="dxa"/>
            <w:tcBorders>
              <w:top w:val="nil"/>
              <w:left w:val="single" w:sz="4" w:space="0" w:color="auto"/>
              <w:bottom w:val="nil"/>
              <w:right w:val="nil"/>
            </w:tcBorders>
            <w:shd w:val="clear" w:color="auto" w:fill="auto"/>
            <w:noWrap/>
            <w:vAlign w:val="bottom"/>
            <w:hideMark/>
          </w:tcPr>
          <w:p w14:paraId="377596C1"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n = 62637</w:t>
            </w:r>
          </w:p>
        </w:tc>
      </w:tr>
      <w:tr w:rsidR="00193D32" w:rsidRPr="00544405" w14:paraId="2F20A482" w14:textId="77777777" w:rsidTr="00597122">
        <w:trPr>
          <w:trHeight w:val="288"/>
        </w:trPr>
        <w:tc>
          <w:tcPr>
            <w:tcW w:w="1387" w:type="dxa"/>
            <w:tcBorders>
              <w:top w:val="nil"/>
              <w:left w:val="nil"/>
              <w:bottom w:val="nil"/>
              <w:right w:val="nil"/>
            </w:tcBorders>
            <w:shd w:val="clear" w:color="auto" w:fill="auto"/>
            <w:noWrap/>
            <w:vAlign w:val="bottom"/>
            <w:hideMark/>
          </w:tcPr>
          <w:p w14:paraId="6FFCFA2E" w14:textId="77777777" w:rsidR="00193D32" w:rsidRPr="00544405" w:rsidRDefault="00193D32" w:rsidP="00B86ABF">
            <w:pPr>
              <w:spacing w:after="0" w:line="240" w:lineRule="auto"/>
              <w:jc w:val="both"/>
              <w:rPr>
                <w:rFonts w:ascii="Garamond" w:eastAsia="Times New Roman" w:hAnsi="Garamond" w:cs="Calibri"/>
                <w:bCs/>
                <w:color w:val="000000"/>
                <w:sz w:val="22"/>
                <w:szCs w:val="22"/>
                <w:lang w:eastAsia="en-GB"/>
              </w:rPr>
            </w:pPr>
            <m:oMathPara>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m:oMathPara>
          </w:p>
        </w:tc>
        <w:tc>
          <w:tcPr>
            <w:tcW w:w="927" w:type="dxa"/>
            <w:tcBorders>
              <w:top w:val="nil"/>
              <w:left w:val="nil"/>
              <w:bottom w:val="nil"/>
              <w:right w:val="single" w:sz="4" w:space="0" w:color="auto"/>
            </w:tcBorders>
            <w:shd w:val="clear" w:color="auto" w:fill="auto"/>
            <w:noWrap/>
            <w:vAlign w:val="bottom"/>
            <w:hideMark/>
          </w:tcPr>
          <w:p w14:paraId="5716A71A"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overall</w:t>
            </w:r>
          </w:p>
        </w:tc>
        <w:tc>
          <w:tcPr>
            <w:tcW w:w="1125" w:type="dxa"/>
            <w:tcBorders>
              <w:top w:val="nil"/>
              <w:left w:val="single" w:sz="4" w:space="0" w:color="auto"/>
              <w:bottom w:val="nil"/>
              <w:right w:val="nil"/>
            </w:tcBorders>
            <w:shd w:val="clear" w:color="auto" w:fill="auto"/>
            <w:noWrap/>
            <w:vAlign w:val="bottom"/>
            <w:hideMark/>
          </w:tcPr>
          <w:p w14:paraId="1B157BF8"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.0005013</w:t>
            </w:r>
          </w:p>
        </w:tc>
        <w:tc>
          <w:tcPr>
            <w:tcW w:w="1324" w:type="dxa"/>
            <w:tcBorders>
              <w:top w:val="nil"/>
              <w:left w:val="nil"/>
              <w:bottom w:val="nil"/>
              <w:right w:val="nil"/>
            </w:tcBorders>
            <w:shd w:val="clear" w:color="auto" w:fill="auto"/>
            <w:noWrap/>
            <w:vAlign w:val="bottom"/>
            <w:hideMark/>
          </w:tcPr>
          <w:p w14:paraId="2241A5AC"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.1984652</w:t>
            </w:r>
          </w:p>
        </w:tc>
        <w:tc>
          <w:tcPr>
            <w:tcW w:w="1085" w:type="dxa"/>
            <w:tcBorders>
              <w:top w:val="nil"/>
              <w:left w:val="nil"/>
              <w:bottom w:val="nil"/>
              <w:right w:val="nil"/>
            </w:tcBorders>
            <w:shd w:val="clear" w:color="auto" w:fill="auto"/>
            <w:noWrap/>
            <w:vAlign w:val="bottom"/>
            <w:hideMark/>
          </w:tcPr>
          <w:p w14:paraId="4B7D8363"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-21.4979</w:t>
            </w:r>
          </w:p>
        </w:tc>
        <w:tc>
          <w:tcPr>
            <w:tcW w:w="1134" w:type="dxa"/>
            <w:tcBorders>
              <w:top w:val="nil"/>
              <w:left w:val="nil"/>
              <w:bottom w:val="nil"/>
              <w:right w:val="single" w:sz="4" w:space="0" w:color="auto"/>
            </w:tcBorders>
            <w:shd w:val="clear" w:color="auto" w:fill="auto"/>
            <w:noWrap/>
            <w:vAlign w:val="bottom"/>
            <w:hideMark/>
          </w:tcPr>
          <w:p w14:paraId="292646E1"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15.57389</w:t>
            </w:r>
          </w:p>
        </w:tc>
        <w:tc>
          <w:tcPr>
            <w:tcW w:w="1447" w:type="dxa"/>
            <w:tcBorders>
              <w:top w:val="nil"/>
              <w:left w:val="single" w:sz="4" w:space="0" w:color="auto"/>
              <w:bottom w:val="nil"/>
              <w:right w:val="nil"/>
            </w:tcBorders>
            <w:shd w:val="clear" w:color="auto" w:fill="auto"/>
            <w:noWrap/>
            <w:vAlign w:val="bottom"/>
          </w:tcPr>
          <w:p w14:paraId="3C79FE61" w14:textId="2506BF62"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41500D9D" w14:textId="77777777" w:rsidTr="00597122">
        <w:trPr>
          <w:trHeight w:val="288"/>
        </w:trPr>
        <w:tc>
          <w:tcPr>
            <w:tcW w:w="1387" w:type="dxa"/>
            <w:tcBorders>
              <w:top w:val="nil"/>
              <w:left w:val="nil"/>
              <w:bottom w:val="nil"/>
              <w:right w:val="nil"/>
            </w:tcBorders>
            <w:shd w:val="clear" w:color="auto" w:fill="auto"/>
            <w:noWrap/>
            <w:vAlign w:val="bottom"/>
            <w:hideMark/>
          </w:tcPr>
          <w:p w14:paraId="5B384757"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w:p>
        </w:tc>
        <w:tc>
          <w:tcPr>
            <w:tcW w:w="927" w:type="dxa"/>
            <w:tcBorders>
              <w:top w:val="nil"/>
              <w:left w:val="nil"/>
              <w:bottom w:val="nil"/>
              <w:right w:val="single" w:sz="4" w:space="0" w:color="auto"/>
            </w:tcBorders>
            <w:shd w:val="clear" w:color="auto" w:fill="auto"/>
            <w:noWrap/>
            <w:vAlign w:val="bottom"/>
            <w:hideMark/>
          </w:tcPr>
          <w:p w14:paraId="1915AC6D" w14:textId="77777777" w:rsidR="00193D32" w:rsidRPr="00544405" w:rsidRDefault="00193D32" w:rsidP="00B86ABF">
            <w:pPr>
              <w:spacing w:after="0" w:line="240" w:lineRule="auto"/>
              <w:rPr>
                <w:rFonts w:ascii="Garamond" w:eastAsia="Times New Roman" w:hAnsi="Garamond" w:cs="Times New Roman"/>
                <w:sz w:val="20"/>
                <w:szCs w:val="20"/>
                <w:lang w:eastAsia="en-GB"/>
              </w:rPr>
            </w:pPr>
          </w:p>
        </w:tc>
        <w:tc>
          <w:tcPr>
            <w:tcW w:w="1125" w:type="dxa"/>
            <w:tcBorders>
              <w:top w:val="nil"/>
              <w:left w:val="single" w:sz="4" w:space="0" w:color="auto"/>
              <w:bottom w:val="nil"/>
              <w:right w:val="nil"/>
            </w:tcBorders>
            <w:shd w:val="clear" w:color="auto" w:fill="auto"/>
            <w:noWrap/>
            <w:vAlign w:val="bottom"/>
            <w:hideMark/>
          </w:tcPr>
          <w:p w14:paraId="6F848093" w14:textId="77777777" w:rsidR="00193D32" w:rsidRPr="00544405" w:rsidRDefault="00193D32" w:rsidP="00B86ABF">
            <w:pPr>
              <w:spacing w:after="0" w:line="240" w:lineRule="auto"/>
              <w:jc w:val="right"/>
              <w:rPr>
                <w:rFonts w:ascii="Garamond" w:eastAsia="Times New Roman" w:hAnsi="Garamond" w:cs="Times New Roman"/>
                <w:b/>
                <w:bCs/>
                <w:sz w:val="20"/>
                <w:szCs w:val="20"/>
                <w:lang w:eastAsia="en-GB"/>
              </w:rPr>
            </w:pPr>
          </w:p>
        </w:tc>
        <w:tc>
          <w:tcPr>
            <w:tcW w:w="1324" w:type="dxa"/>
            <w:tcBorders>
              <w:top w:val="nil"/>
              <w:left w:val="nil"/>
              <w:bottom w:val="nil"/>
              <w:right w:val="nil"/>
            </w:tcBorders>
            <w:shd w:val="clear" w:color="auto" w:fill="auto"/>
            <w:noWrap/>
            <w:vAlign w:val="bottom"/>
          </w:tcPr>
          <w:p w14:paraId="49458355" w14:textId="77777777" w:rsidR="00193D32" w:rsidRPr="00544405" w:rsidRDefault="00193D32" w:rsidP="00B86ABF">
            <w:pPr>
              <w:spacing w:after="0" w:line="240" w:lineRule="auto"/>
              <w:jc w:val="right"/>
              <w:rPr>
                <w:rFonts w:ascii="Garamond" w:eastAsia="Times New Roman" w:hAnsi="Garamond" w:cs="Times New Roman"/>
                <w:b/>
                <w:bCs/>
                <w:sz w:val="20"/>
                <w:szCs w:val="20"/>
                <w:lang w:eastAsia="en-GB"/>
              </w:rPr>
            </w:pPr>
          </w:p>
        </w:tc>
        <w:tc>
          <w:tcPr>
            <w:tcW w:w="1085" w:type="dxa"/>
            <w:tcBorders>
              <w:top w:val="nil"/>
              <w:left w:val="nil"/>
              <w:bottom w:val="nil"/>
              <w:right w:val="nil"/>
            </w:tcBorders>
            <w:shd w:val="clear" w:color="auto" w:fill="auto"/>
            <w:noWrap/>
            <w:vAlign w:val="bottom"/>
          </w:tcPr>
          <w:p w14:paraId="0ACC3E81" w14:textId="77777777" w:rsidR="00193D32" w:rsidRPr="00544405" w:rsidRDefault="00193D32" w:rsidP="00B86ABF">
            <w:pPr>
              <w:spacing w:after="0" w:line="240" w:lineRule="auto"/>
              <w:jc w:val="right"/>
              <w:rPr>
                <w:rFonts w:ascii="Garamond" w:eastAsia="Times New Roman" w:hAnsi="Garamond" w:cs="Times New Roman"/>
                <w:b/>
                <w:bCs/>
                <w:sz w:val="20"/>
                <w:szCs w:val="20"/>
                <w:lang w:eastAsia="en-GB"/>
              </w:rPr>
            </w:pPr>
          </w:p>
        </w:tc>
        <w:tc>
          <w:tcPr>
            <w:tcW w:w="1134" w:type="dxa"/>
            <w:tcBorders>
              <w:top w:val="nil"/>
              <w:left w:val="nil"/>
              <w:bottom w:val="nil"/>
              <w:right w:val="single" w:sz="4" w:space="0" w:color="auto"/>
            </w:tcBorders>
            <w:shd w:val="clear" w:color="auto" w:fill="auto"/>
            <w:noWrap/>
            <w:vAlign w:val="bottom"/>
          </w:tcPr>
          <w:p w14:paraId="5886A08C" w14:textId="77777777" w:rsidR="00193D32" w:rsidRPr="00544405" w:rsidRDefault="00193D32" w:rsidP="00B86ABF">
            <w:pPr>
              <w:spacing w:after="0" w:line="240" w:lineRule="auto"/>
              <w:jc w:val="right"/>
              <w:rPr>
                <w:rFonts w:ascii="Garamond" w:eastAsia="Times New Roman" w:hAnsi="Garamond" w:cs="Times New Roman"/>
                <w:b/>
                <w:bCs/>
                <w:sz w:val="20"/>
                <w:szCs w:val="20"/>
                <w:lang w:eastAsia="en-GB"/>
              </w:rPr>
            </w:pPr>
          </w:p>
        </w:tc>
        <w:tc>
          <w:tcPr>
            <w:tcW w:w="1447" w:type="dxa"/>
            <w:tcBorders>
              <w:top w:val="nil"/>
              <w:left w:val="single" w:sz="4" w:space="0" w:color="auto"/>
              <w:bottom w:val="nil"/>
              <w:right w:val="nil"/>
            </w:tcBorders>
            <w:shd w:val="clear" w:color="auto" w:fill="auto"/>
            <w:noWrap/>
            <w:vAlign w:val="bottom"/>
          </w:tcPr>
          <w:p w14:paraId="3FC9F1DA" w14:textId="77777777" w:rsidR="00193D32" w:rsidRPr="00544405" w:rsidRDefault="00193D32" w:rsidP="00B86ABF">
            <w:pPr>
              <w:spacing w:after="0" w:line="240" w:lineRule="auto"/>
              <w:rPr>
                <w:rFonts w:ascii="Garamond" w:eastAsia="Times New Roman" w:hAnsi="Garamond" w:cs="Times New Roman"/>
                <w:sz w:val="20"/>
                <w:szCs w:val="20"/>
                <w:lang w:eastAsia="en-GB"/>
              </w:rPr>
            </w:pPr>
          </w:p>
        </w:tc>
      </w:tr>
      <w:tr w:rsidR="00193D32" w:rsidRPr="00544405" w14:paraId="55F97540" w14:textId="77777777" w:rsidTr="00597122">
        <w:trPr>
          <w:trHeight w:val="288"/>
        </w:trPr>
        <w:tc>
          <w:tcPr>
            <w:tcW w:w="1387" w:type="dxa"/>
            <w:tcBorders>
              <w:top w:val="nil"/>
              <w:left w:val="nil"/>
              <w:bottom w:val="nil"/>
              <w:right w:val="nil"/>
            </w:tcBorders>
            <w:shd w:val="clear" w:color="auto" w:fill="auto"/>
            <w:noWrap/>
            <w:vAlign w:val="bottom"/>
            <w:hideMark/>
          </w:tcPr>
          <w:p w14:paraId="37271C93" w14:textId="77777777" w:rsidR="00193D32" w:rsidRPr="00544405" w:rsidRDefault="00000000" w:rsidP="00B86ABF">
            <w:pPr>
              <w:spacing w:after="0" w:line="240" w:lineRule="auto"/>
              <w:jc w:val="both"/>
              <w:rPr>
                <w:rFonts w:ascii="Garamond" w:eastAsia="Times New Roman" w:hAnsi="Garamond" w:cs="Calibri"/>
                <w:color w:val="000000"/>
                <w:sz w:val="22"/>
                <w:szCs w:val="22"/>
                <w:lang w:eastAsia="en-GB"/>
              </w:rPr>
            </w:pPr>
            <m:oMathPara>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m:oMathPara>
          </w:p>
        </w:tc>
        <w:tc>
          <w:tcPr>
            <w:tcW w:w="927" w:type="dxa"/>
            <w:tcBorders>
              <w:top w:val="nil"/>
              <w:left w:val="nil"/>
              <w:bottom w:val="nil"/>
              <w:right w:val="single" w:sz="4" w:space="0" w:color="auto"/>
            </w:tcBorders>
            <w:shd w:val="clear" w:color="auto" w:fill="auto"/>
            <w:noWrap/>
            <w:vAlign w:val="bottom"/>
            <w:hideMark/>
          </w:tcPr>
          <w:p w14:paraId="727FF363"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overall</w:t>
            </w:r>
          </w:p>
        </w:tc>
        <w:tc>
          <w:tcPr>
            <w:tcW w:w="1125" w:type="dxa"/>
            <w:tcBorders>
              <w:top w:val="nil"/>
              <w:left w:val="single" w:sz="4" w:space="0" w:color="auto"/>
              <w:bottom w:val="nil"/>
              <w:right w:val="nil"/>
            </w:tcBorders>
            <w:shd w:val="clear" w:color="auto" w:fill="auto"/>
            <w:noWrap/>
            <w:vAlign w:val="bottom"/>
            <w:hideMark/>
          </w:tcPr>
          <w:p w14:paraId="31A921D0"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.0724268</w:t>
            </w:r>
          </w:p>
        </w:tc>
        <w:tc>
          <w:tcPr>
            <w:tcW w:w="1324" w:type="dxa"/>
            <w:tcBorders>
              <w:top w:val="nil"/>
              <w:left w:val="nil"/>
              <w:bottom w:val="nil"/>
              <w:right w:val="nil"/>
            </w:tcBorders>
            <w:shd w:val="clear" w:color="auto" w:fill="auto"/>
            <w:noWrap/>
            <w:vAlign w:val="bottom"/>
            <w:hideMark/>
          </w:tcPr>
          <w:p w14:paraId="4083045A"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1.113136</w:t>
            </w:r>
          </w:p>
        </w:tc>
        <w:tc>
          <w:tcPr>
            <w:tcW w:w="1085" w:type="dxa"/>
            <w:tcBorders>
              <w:top w:val="nil"/>
              <w:left w:val="nil"/>
              <w:bottom w:val="nil"/>
              <w:right w:val="nil"/>
            </w:tcBorders>
            <w:shd w:val="clear" w:color="auto" w:fill="auto"/>
            <w:noWrap/>
            <w:vAlign w:val="bottom"/>
            <w:hideMark/>
          </w:tcPr>
          <w:p w14:paraId="7D4AB7B9"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-461.3195</w:t>
            </w:r>
          </w:p>
        </w:tc>
        <w:tc>
          <w:tcPr>
            <w:tcW w:w="1134" w:type="dxa"/>
            <w:tcBorders>
              <w:top w:val="nil"/>
              <w:left w:val="nil"/>
              <w:bottom w:val="nil"/>
              <w:right w:val="single" w:sz="4" w:space="0" w:color="auto"/>
            </w:tcBorders>
            <w:shd w:val="clear" w:color="auto" w:fill="auto"/>
            <w:noWrap/>
            <w:vAlign w:val="bottom"/>
            <w:hideMark/>
          </w:tcPr>
          <w:p w14:paraId="36773BE7"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43.85674</w:t>
            </w:r>
          </w:p>
        </w:tc>
        <w:tc>
          <w:tcPr>
            <w:tcW w:w="1447" w:type="dxa"/>
            <w:tcBorders>
              <w:top w:val="nil"/>
              <w:left w:val="single" w:sz="4" w:space="0" w:color="auto"/>
              <w:bottom w:val="nil"/>
              <w:right w:val="nil"/>
            </w:tcBorders>
            <w:shd w:val="clear" w:color="auto" w:fill="auto"/>
            <w:noWrap/>
            <w:vAlign w:val="bottom"/>
          </w:tcPr>
          <w:p w14:paraId="1741E4F6" w14:textId="13FAF3D2"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02286625" w14:textId="77777777" w:rsidTr="00597122">
        <w:trPr>
          <w:trHeight w:val="288"/>
        </w:trPr>
        <w:tc>
          <w:tcPr>
            <w:tcW w:w="1387" w:type="dxa"/>
            <w:tcBorders>
              <w:top w:val="nil"/>
              <w:left w:val="nil"/>
              <w:bottom w:val="nil"/>
              <w:right w:val="nil"/>
            </w:tcBorders>
            <w:shd w:val="clear" w:color="auto" w:fill="auto"/>
            <w:noWrap/>
            <w:vAlign w:val="bottom"/>
            <w:hideMark/>
          </w:tcPr>
          <w:p w14:paraId="5E1407D1"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w:p>
        </w:tc>
        <w:tc>
          <w:tcPr>
            <w:tcW w:w="927" w:type="dxa"/>
            <w:tcBorders>
              <w:top w:val="nil"/>
              <w:left w:val="nil"/>
              <w:bottom w:val="nil"/>
              <w:right w:val="single" w:sz="4" w:space="0" w:color="auto"/>
            </w:tcBorders>
            <w:shd w:val="clear" w:color="auto" w:fill="auto"/>
            <w:noWrap/>
            <w:vAlign w:val="bottom"/>
          </w:tcPr>
          <w:p w14:paraId="417CC886" w14:textId="3AE696BF" w:rsidR="00193D32" w:rsidRPr="00544405" w:rsidRDefault="00193D32" w:rsidP="00B86ABF">
            <w:pPr>
              <w:spacing w:after="0" w:line="240" w:lineRule="auto"/>
              <w:rPr>
                <w:rFonts w:ascii="Garamond" w:eastAsia="Times New Roman" w:hAnsi="Garamond" w:cs="Calibri"/>
                <w:color w:val="000000"/>
                <w:sz w:val="22"/>
                <w:szCs w:val="22"/>
                <w:lang w:eastAsia="en-GB"/>
              </w:rPr>
            </w:pPr>
          </w:p>
        </w:tc>
        <w:tc>
          <w:tcPr>
            <w:tcW w:w="1125" w:type="dxa"/>
            <w:tcBorders>
              <w:top w:val="nil"/>
              <w:left w:val="single" w:sz="4" w:space="0" w:color="auto"/>
              <w:bottom w:val="nil"/>
              <w:right w:val="nil"/>
            </w:tcBorders>
            <w:shd w:val="clear" w:color="auto" w:fill="auto"/>
            <w:noWrap/>
            <w:vAlign w:val="bottom"/>
          </w:tcPr>
          <w:p w14:paraId="6B259039"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324" w:type="dxa"/>
            <w:tcBorders>
              <w:top w:val="nil"/>
              <w:left w:val="nil"/>
              <w:bottom w:val="nil"/>
              <w:right w:val="nil"/>
            </w:tcBorders>
            <w:shd w:val="clear" w:color="auto" w:fill="auto"/>
            <w:noWrap/>
            <w:vAlign w:val="bottom"/>
          </w:tcPr>
          <w:p w14:paraId="1B1AC8DB" w14:textId="6FC02F61"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085" w:type="dxa"/>
            <w:tcBorders>
              <w:top w:val="nil"/>
              <w:left w:val="nil"/>
              <w:bottom w:val="nil"/>
              <w:right w:val="nil"/>
            </w:tcBorders>
            <w:shd w:val="clear" w:color="auto" w:fill="auto"/>
            <w:noWrap/>
            <w:vAlign w:val="bottom"/>
          </w:tcPr>
          <w:p w14:paraId="6D982DA2" w14:textId="290CEBD6"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134" w:type="dxa"/>
            <w:tcBorders>
              <w:top w:val="nil"/>
              <w:left w:val="nil"/>
              <w:bottom w:val="nil"/>
              <w:right w:val="single" w:sz="4" w:space="0" w:color="auto"/>
            </w:tcBorders>
            <w:shd w:val="clear" w:color="auto" w:fill="auto"/>
            <w:noWrap/>
            <w:vAlign w:val="bottom"/>
          </w:tcPr>
          <w:p w14:paraId="021B82E9" w14:textId="101C4EEF"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47" w:type="dxa"/>
            <w:tcBorders>
              <w:top w:val="nil"/>
              <w:left w:val="single" w:sz="4" w:space="0" w:color="auto"/>
              <w:bottom w:val="nil"/>
              <w:right w:val="nil"/>
            </w:tcBorders>
            <w:shd w:val="clear" w:color="auto" w:fill="auto"/>
            <w:noWrap/>
            <w:vAlign w:val="bottom"/>
          </w:tcPr>
          <w:p w14:paraId="7479DD36" w14:textId="1D68692D"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294FF9D7" w14:textId="77777777" w:rsidTr="00597122">
        <w:trPr>
          <w:trHeight w:val="288"/>
        </w:trPr>
        <w:tc>
          <w:tcPr>
            <w:tcW w:w="1387" w:type="dxa"/>
            <w:tcBorders>
              <w:top w:val="nil"/>
              <w:left w:val="nil"/>
              <w:bottom w:val="nil"/>
              <w:right w:val="nil"/>
            </w:tcBorders>
            <w:shd w:val="clear" w:color="auto" w:fill="auto"/>
            <w:noWrap/>
            <w:vAlign w:val="bottom"/>
            <w:hideMark/>
          </w:tcPr>
          <w:p w14:paraId="0DB08FD1"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m:oMathPara>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 t</m:t>
                    </m:r>
                    <m:r>
                      <m:rPr>
                        <m:sty m:val="p"/>
                      </m:rPr>
                      <w:rPr>
                        <w:rFonts w:ascii="Cambria Math" w:hAnsi="Cambria Math"/>
                        <w:sz w:val="24"/>
                        <w:szCs w:val="24"/>
                        <w:lang w:val="pt-PT"/>
                      </w:rPr>
                      <m:t>-1</m:t>
                    </m:r>
                  </m:sub>
                </m:sSub>
              </m:oMath>
            </m:oMathPara>
          </w:p>
        </w:tc>
        <w:tc>
          <w:tcPr>
            <w:tcW w:w="927" w:type="dxa"/>
            <w:tcBorders>
              <w:top w:val="nil"/>
              <w:left w:val="nil"/>
              <w:bottom w:val="nil"/>
              <w:right w:val="single" w:sz="4" w:space="0" w:color="auto"/>
            </w:tcBorders>
            <w:shd w:val="clear" w:color="auto" w:fill="auto"/>
            <w:noWrap/>
            <w:vAlign w:val="bottom"/>
            <w:hideMark/>
          </w:tcPr>
          <w:p w14:paraId="4989F81A"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overall</w:t>
            </w:r>
          </w:p>
        </w:tc>
        <w:tc>
          <w:tcPr>
            <w:tcW w:w="1125" w:type="dxa"/>
            <w:tcBorders>
              <w:top w:val="nil"/>
              <w:left w:val="single" w:sz="4" w:space="0" w:color="auto"/>
              <w:bottom w:val="nil"/>
              <w:right w:val="nil"/>
            </w:tcBorders>
            <w:shd w:val="clear" w:color="auto" w:fill="auto"/>
            <w:noWrap/>
            <w:vAlign w:val="bottom"/>
            <w:hideMark/>
          </w:tcPr>
          <w:p w14:paraId="4CFFD99B"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-.0129637</w:t>
            </w:r>
          </w:p>
        </w:tc>
        <w:tc>
          <w:tcPr>
            <w:tcW w:w="1324" w:type="dxa"/>
            <w:tcBorders>
              <w:top w:val="nil"/>
              <w:left w:val="nil"/>
              <w:bottom w:val="nil"/>
              <w:right w:val="nil"/>
            </w:tcBorders>
            <w:shd w:val="clear" w:color="auto" w:fill="auto"/>
            <w:noWrap/>
            <w:vAlign w:val="bottom"/>
            <w:hideMark/>
          </w:tcPr>
          <w:p w14:paraId="0E4BF930"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1.26893</w:t>
            </w:r>
          </w:p>
        </w:tc>
        <w:tc>
          <w:tcPr>
            <w:tcW w:w="1085" w:type="dxa"/>
            <w:tcBorders>
              <w:top w:val="nil"/>
              <w:left w:val="nil"/>
              <w:bottom w:val="nil"/>
              <w:right w:val="nil"/>
            </w:tcBorders>
            <w:shd w:val="clear" w:color="auto" w:fill="auto"/>
            <w:noWrap/>
            <w:vAlign w:val="bottom"/>
            <w:hideMark/>
          </w:tcPr>
          <w:p w14:paraId="13A34CCE"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-526.4329</w:t>
            </w:r>
          </w:p>
        </w:tc>
        <w:tc>
          <w:tcPr>
            <w:tcW w:w="1134" w:type="dxa"/>
            <w:tcBorders>
              <w:top w:val="nil"/>
              <w:left w:val="nil"/>
              <w:bottom w:val="nil"/>
              <w:right w:val="single" w:sz="4" w:space="0" w:color="auto"/>
            </w:tcBorders>
            <w:shd w:val="clear" w:color="auto" w:fill="auto"/>
            <w:noWrap/>
            <w:vAlign w:val="bottom"/>
            <w:hideMark/>
          </w:tcPr>
          <w:p w14:paraId="7AC62E4F"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27.20066</w:t>
            </w:r>
          </w:p>
        </w:tc>
        <w:tc>
          <w:tcPr>
            <w:tcW w:w="1447" w:type="dxa"/>
            <w:tcBorders>
              <w:top w:val="nil"/>
              <w:left w:val="single" w:sz="4" w:space="0" w:color="auto"/>
              <w:bottom w:val="nil"/>
              <w:right w:val="nil"/>
            </w:tcBorders>
            <w:shd w:val="clear" w:color="auto" w:fill="auto"/>
            <w:noWrap/>
            <w:vAlign w:val="bottom"/>
          </w:tcPr>
          <w:p w14:paraId="1FEB84BD" w14:textId="5A986AC2"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7E824826" w14:textId="77777777" w:rsidTr="00597122">
        <w:trPr>
          <w:trHeight w:val="288"/>
        </w:trPr>
        <w:tc>
          <w:tcPr>
            <w:tcW w:w="1387" w:type="dxa"/>
            <w:tcBorders>
              <w:top w:val="nil"/>
              <w:left w:val="nil"/>
              <w:bottom w:val="nil"/>
              <w:right w:val="nil"/>
            </w:tcBorders>
            <w:shd w:val="clear" w:color="auto" w:fill="auto"/>
            <w:noWrap/>
            <w:vAlign w:val="bottom"/>
          </w:tcPr>
          <w:p w14:paraId="7C3062E7"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w:p>
        </w:tc>
        <w:tc>
          <w:tcPr>
            <w:tcW w:w="927" w:type="dxa"/>
            <w:tcBorders>
              <w:top w:val="nil"/>
              <w:left w:val="nil"/>
              <w:bottom w:val="nil"/>
              <w:right w:val="single" w:sz="4" w:space="0" w:color="auto"/>
            </w:tcBorders>
            <w:shd w:val="clear" w:color="auto" w:fill="auto"/>
            <w:noWrap/>
            <w:vAlign w:val="bottom"/>
          </w:tcPr>
          <w:p w14:paraId="674F21CA" w14:textId="33628E5D" w:rsidR="00193D32" w:rsidRPr="00544405" w:rsidRDefault="00193D32" w:rsidP="00B86ABF">
            <w:pPr>
              <w:spacing w:after="0" w:line="240" w:lineRule="auto"/>
              <w:rPr>
                <w:rFonts w:ascii="Garamond" w:eastAsia="Times New Roman" w:hAnsi="Garamond" w:cs="Calibri"/>
                <w:color w:val="000000"/>
                <w:sz w:val="22"/>
                <w:szCs w:val="22"/>
                <w:lang w:eastAsia="en-GB"/>
              </w:rPr>
            </w:pPr>
          </w:p>
        </w:tc>
        <w:tc>
          <w:tcPr>
            <w:tcW w:w="1125" w:type="dxa"/>
            <w:tcBorders>
              <w:top w:val="nil"/>
              <w:left w:val="single" w:sz="4" w:space="0" w:color="auto"/>
              <w:bottom w:val="nil"/>
              <w:right w:val="nil"/>
            </w:tcBorders>
            <w:shd w:val="clear" w:color="auto" w:fill="auto"/>
            <w:noWrap/>
            <w:vAlign w:val="bottom"/>
          </w:tcPr>
          <w:p w14:paraId="61D0358C"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324" w:type="dxa"/>
            <w:tcBorders>
              <w:top w:val="nil"/>
              <w:left w:val="nil"/>
              <w:bottom w:val="nil"/>
              <w:right w:val="nil"/>
            </w:tcBorders>
            <w:shd w:val="clear" w:color="auto" w:fill="auto"/>
            <w:noWrap/>
            <w:vAlign w:val="bottom"/>
          </w:tcPr>
          <w:p w14:paraId="0BA31CAC" w14:textId="7EA8F8ED"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085" w:type="dxa"/>
            <w:tcBorders>
              <w:top w:val="nil"/>
              <w:left w:val="nil"/>
              <w:bottom w:val="nil"/>
              <w:right w:val="nil"/>
            </w:tcBorders>
            <w:shd w:val="clear" w:color="auto" w:fill="auto"/>
            <w:noWrap/>
            <w:vAlign w:val="bottom"/>
          </w:tcPr>
          <w:p w14:paraId="0B8F99AD" w14:textId="4FDA2421"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134" w:type="dxa"/>
            <w:tcBorders>
              <w:top w:val="nil"/>
              <w:left w:val="nil"/>
              <w:bottom w:val="nil"/>
              <w:right w:val="single" w:sz="4" w:space="0" w:color="auto"/>
            </w:tcBorders>
            <w:shd w:val="clear" w:color="auto" w:fill="auto"/>
            <w:noWrap/>
            <w:vAlign w:val="bottom"/>
          </w:tcPr>
          <w:p w14:paraId="1F073540" w14:textId="0761D94D"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47" w:type="dxa"/>
            <w:tcBorders>
              <w:top w:val="nil"/>
              <w:left w:val="single" w:sz="4" w:space="0" w:color="auto"/>
              <w:bottom w:val="nil"/>
              <w:right w:val="nil"/>
            </w:tcBorders>
            <w:shd w:val="clear" w:color="auto" w:fill="auto"/>
            <w:noWrap/>
            <w:vAlign w:val="bottom"/>
          </w:tcPr>
          <w:p w14:paraId="7292A2F3" w14:textId="24447F7A"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69B03E4C" w14:textId="77777777" w:rsidTr="00597122">
        <w:trPr>
          <w:trHeight w:val="288"/>
        </w:trPr>
        <w:tc>
          <w:tcPr>
            <w:tcW w:w="1387" w:type="dxa"/>
            <w:tcBorders>
              <w:top w:val="nil"/>
              <w:left w:val="nil"/>
              <w:bottom w:val="nil"/>
              <w:right w:val="nil"/>
            </w:tcBorders>
            <w:shd w:val="clear" w:color="auto" w:fill="auto"/>
            <w:noWrap/>
            <w:vAlign w:val="bottom"/>
            <w:hideMark/>
          </w:tcPr>
          <w:p w14:paraId="7A565295" w14:textId="77777777" w:rsidR="00193D32" w:rsidRPr="00544405" w:rsidRDefault="00000000" w:rsidP="00B86ABF">
            <w:pPr>
              <w:spacing w:after="0" w:line="240" w:lineRule="auto"/>
              <w:jc w:val="both"/>
              <w:rPr>
                <w:rFonts w:ascii="Garamond" w:eastAsia="Times New Roman" w:hAnsi="Garamond" w:cs="Calibri"/>
                <w:color w:val="000000"/>
                <w:sz w:val="22"/>
                <w:szCs w:val="22"/>
                <w:lang w:eastAsia="en-GB"/>
              </w:rPr>
            </w:pPr>
            <m:oMathPara>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m:oMathPara>
          </w:p>
        </w:tc>
        <w:tc>
          <w:tcPr>
            <w:tcW w:w="927" w:type="dxa"/>
            <w:tcBorders>
              <w:top w:val="nil"/>
              <w:left w:val="nil"/>
              <w:bottom w:val="nil"/>
              <w:right w:val="single" w:sz="4" w:space="0" w:color="auto"/>
            </w:tcBorders>
            <w:shd w:val="clear" w:color="auto" w:fill="auto"/>
            <w:noWrap/>
            <w:vAlign w:val="bottom"/>
            <w:hideMark/>
          </w:tcPr>
          <w:p w14:paraId="5CAB150A"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overall</w:t>
            </w:r>
          </w:p>
        </w:tc>
        <w:tc>
          <w:tcPr>
            <w:tcW w:w="1125" w:type="dxa"/>
            <w:tcBorders>
              <w:top w:val="nil"/>
              <w:left w:val="single" w:sz="4" w:space="0" w:color="auto"/>
              <w:bottom w:val="nil"/>
              <w:right w:val="nil"/>
            </w:tcBorders>
            <w:shd w:val="clear" w:color="auto" w:fill="auto"/>
            <w:noWrap/>
            <w:vAlign w:val="bottom"/>
            <w:hideMark/>
          </w:tcPr>
          <w:p w14:paraId="2A5304AA"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.4335801</w:t>
            </w:r>
          </w:p>
        </w:tc>
        <w:tc>
          <w:tcPr>
            <w:tcW w:w="1324" w:type="dxa"/>
            <w:tcBorders>
              <w:top w:val="nil"/>
              <w:left w:val="nil"/>
              <w:bottom w:val="nil"/>
              <w:right w:val="nil"/>
            </w:tcBorders>
            <w:shd w:val="clear" w:color="auto" w:fill="auto"/>
            <w:noWrap/>
            <w:vAlign w:val="bottom"/>
            <w:hideMark/>
          </w:tcPr>
          <w:p w14:paraId="4DE6B40A"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.4099323</w:t>
            </w:r>
          </w:p>
        </w:tc>
        <w:tc>
          <w:tcPr>
            <w:tcW w:w="1085" w:type="dxa"/>
            <w:tcBorders>
              <w:top w:val="nil"/>
              <w:left w:val="nil"/>
              <w:bottom w:val="nil"/>
              <w:right w:val="nil"/>
            </w:tcBorders>
            <w:shd w:val="clear" w:color="auto" w:fill="auto"/>
            <w:noWrap/>
            <w:vAlign w:val="bottom"/>
            <w:hideMark/>
          </w:tcPr>
          <w:p w14:paraId="2695CC03"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-34.33577</w:t>
            </w:r>
          </w:p>
        </w:tc>
        <w:tc>
          <w:tcPr>
            <w:tcW w:w="1134" w:type="dxa"/>
            <w:tcBorders>
              <w:top w:val="nil"/>
              <w:left w:val="nil"/>
              <w:bottom w:val="nil"/>
              <w:right w:val="single" w:sz="4" w:space="0" w:color="auto"/>
            </w:tcBorders>
            <w:shd w:val="clear" w:color="auto" w:fill="auto"/>
            <w:noWrap/>
            <w:vAlign w:val="bottom"/>
            <w:hideMark/>
          </w:tcPr>
          <w:p w14:paraId="5BC0438A"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1.599026</w:t>
            </w:r>
          </w:p>
        </w:tc>
        <w:tc>
          <w:tcPr>
            <w:tcW w:w="1447" w:type="dxa"/>
            <w:tcBorders>
              <w:top w:val="nil"/>
              <w:left w:val="single" w:sz="4" w:space="0" w:color="auto"/>
              <w:bottom w:val="nil"/>
              <w:right w:val="nil"/>
            </w:tcBorders>
            <w:shd w:val="clear" w:color="auto" w:fill="auto"/>
            <w:noWrap/>
            <w:vAlign w:val="bottom"/>
          </w:tcPr>
          <w:p w14:paraId="79EBE4AA" w14:textId="5D6CB06F"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4521F19B" w14:textId="77777777" w:rsidTr="00597122">
        <w:trPr>
          <w:trHeight w:val="288"/>
        </w:trPr>
        <w:tc>
          <w:tcPr>
            <w:tcW w:w="1387" w:type="dxa"/>
            <w:tcBorders>
              <w:top w:val="nil"/>
              <w:left w:val="nil"/>
              <w:bottom w:val="nil"/>
              <w:right w:val="nil"/>
            </w:tcBorders>
            <w:shd w:val="clear" w:color="auto" w:fill="auto"/>
            <w:noWrap/>
            <w:vAlign w:val="bottom"/>
            <w:hideMark/>
          </w:tcPr>
          <w:p w14:paraId="2952E338"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w:p>
        </w:tc>
        <w:tc>
          <w:tcPr>
            <w:tcW w:w="927" w:type="dxa"/>
            <w:tcBorders>
              <w:top w:val="nil"/>
              <w:left w:val="nil"/>
              <w:bottom w:val="nil"/>
              <w:right w:val="single" w:sz="4" w:space="0" w:color="auto"/>
            </w:tcBorders>
            <w:shd w:val="clear" w:color="auto" w:fill="auto"/>
            <w:noWrap/>
            <w:vAlign w:val="bottom"/>
          </w:tcPr>
          <w:p w14:paraId="6BE3AD9D" w14:textId="5CCFCA56" w:rsidR="00193D32" w:rsidRPr="00544405" w:rsidRDefault="00193D32" w:rsidP="00B86ABF">
            <w:pPr>
              <w:spacing w:after="0" w:line="240" w:lineRule="auto"/>
              <w:rPr>
                <w:rFonts w:ascii="Garamond" w:eastAsia="Times New Roman" w:hAnsi="Garamond" w:cs="Calibri"/>
                <w:color w:val="000000"/>
                <w:sz w:val="22"/>
                <w:szCs w:val="22"/>
                <w:lang w:eastAsia="en-GB"/>
              </w:rPr>
            </w:pPr>
          </w:p>
        </w:tc>
        <w:tc>
          <w:tcPr>
            <w:tcW w:w="1125" w:type="dxa"/>
            <w:tcBorders>
              <w:top w:val="nil"/>
              <w:left w:val="single" w:sz="4" w:space="0" w:color="auto"/>
              <w:bottom w:val="nil"/>
              <w:right w:val="nil"/>
            </w:tcBorders>
            <w:shd w:val="clear" w:color="auto" w:fill="auto"/>
            <w:noWrap/>
            <w:vAlign w:val="bottom"/>
          </w:tcPr>
          <w:p w14:paraId="18884AD0"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324" w:type="dxa"/>
            <w:tcBorders>
              <w:top w:val="nil"/>
              <w:left w:val="nil"/>
              <w:bottom w:val="nil"/>
              <w:right w:val="nil"/>
            </w:tcBorders>
            <w:shd w:val="clear" w:color="auto" w:fill="auto"/>
            <w:noWrap/>
            <w:vAlign w:val="bottom"/>
          </w:tcPr>
          <w:p w14:paraId="3FAABAE5" w14:textId="42B9611F"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085" w:type="dxa"/>
            <w:tcBorders>
              <w:top w:val="nil"/>
              <w:left w:val="nil"/>
              <w:bottom w:val="nil"/>
              <w:right w:val="nil"/>
            </w:tcBorders>
            <w:shd w:val="clear" w:color="auto" w:fill="auto"/>
            <w:noWrap/>
            <w:vAlign w:val="bottom"/>
          </w:tcPr>
          <w:p w14:paraId="13D0B8EA" w14:textId="392B070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134" w:type="dxa"/>
            <w:tcBorders>
              <w:top w:val="nil"/>
              <w:left w:val="nil"/>
              <w:bottom w:val="nil"/>
              <w:right w:val="single" w:sz="4" w:space="0" w:color="auto"/>
            </w:tcBorders>
            <w:shd w:val="clear" w:color="auto" w:fill="auto"/>
            <w:noWrap/>
            <w:vAlign w:val="bottom"/>
          </w:tcPr>
          <w:p w14:paraId="495294B1" w14:textId="51620A1E"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47" w:type="dxa"/>
            <w:tcBorders>
              <w:top w:val="nil"/>
              <w:left w:val="single" w:sz="4" w:space="0" w:color="auto"/>
              <w:bottom w:val="nil"/>
              <w:right w:val="nil"/>
            </w:tcBorders>
            <w:shd w:val="clear" w:color="auto" w:fill="auto"/>
            <w:noWrap/>
            <w:vAlign w:val="bottom"/>
          </w:tcPr>
          <w:p w14:paraId="001F202C" w14:textId="2DB969C4"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0DF1D410" w14:textId="77777777" w:rsidTr="00597122">
        <w:trPr>
          <w:trHeight w:val="288"/>
        </w:trPr>
        <w:tc>
          <w:tcPr>
            <w:tcW w:w="1387" w:type="dxa"/>
            <w:tcBorders>
              <w:top w:val="nil"/>
              <w:left w:val="nil"/>
              <w:bottom w:val="nil"/>
              <w:right w:val="nil"/>
            </w:tcBorders>
            <w:shd w:val="clear" w:color="auto" w:fill="auto"/>
            <w:noWrap/>
            <w:vAlign w:val="bottom"/>
            <w:hideMark/>
          </w:tcPr>
          <w:p w14:paraId="46D33FB7"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m:oMathPara>
              <m:oMath>
                <m:r>
                  <m:rPr>
                    <m:sty m:val="p"/>
                  </m:rP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m:t>
                    </m:r>
                  </m:e>
                  <m:sub>
                    <m:r>
                      <w:rPr>
                        <w:rFonts w:ascii="Cambria Math" w:hAnsi="Cambria Math"/>
                        <w:sz w:val="24"/>
                        <w:szCs w:val="24"/>
                        <w:lang w:val="pt-PT"/>
                      </w:rPr>
                      <m:t>i, t</m:t>
                    </m:r>
                    <m:r>
                      <m:rPr>
                        <m:sty m:val="p"/>
                      </m:rPr>
                      <w:rPr>
                        <w:rFonts w:ascii="Cambria Math" w:hAnsi="Cambria Math"/>
                        <w:sz w:val="24"/>
                        <w:szCs w:val="24"/>
                        <w:lang w:val="pt-PT"/>
                      </w:rPr>
                      <m:t>-1</m:t>
                    </m:r>
                  </m:sub>
                </m:sSub>
              </m:oMath>
            </m:oMathPara>
          </w:p>
        </w:tc>
        <w:tc>
          <w:tcPr>
            <w:tcW w:w="927" w:type="dxa"/>
            <w:tcBorders>
              <w:top w:val="nil"/>
              <w:left w:val="nil"/>
              <w:bottom w:val="nil"/>
              <w:right w:val="single" w:sz="4" w:space="0" w:color="auto"/>
            </w:tcBorders>
            <w:shd w:val="clear" w:color="auto" w:fill="auto"/>
            <w:noWrap/>
            <w:vAlign w:val="bottom"/>
            <w:hideMark/>
          </w:tcPr>
          <w:p w14:paraId="31401B29" w14:textId="77777777" w:rsidR="00193D32" w:rsidRPr="00544405" w:rsidRDefault="00193D32" w:rsidP="00B86ABF">
            <w:pPr>
              <w:spacing w:after="0" w:line="240" w:lineRule="auto"/>
              <w:rPr>
                <w:rFonts w:ascii="Garamond" w:eastAsia="Times New Roman" w:hAnsi="Garamond" w:cs="Calibri"/>
                <w:color w:val="000000"/>
                <w:sz w:val="22"/>
                <w:szCs w:val="22"/>
                <w:lang w:eastAsia="en-GB"/>
              </w:rPr>
            </w:pPr>
            <w:r w:rsidRPr="00544405">
              <w:rPr>
                <w:rFonts w:ascii="Garamond" w:eastAsia="Times New Roman" w:hAnsi="Garamond" w:cs="Calibri"/>
                <w:color w:val="000000"/>
                <w:sz w:val="22"/>
                <w:szCs w:val="22"/>
                <w:lang w:eastAsia="en-GB"/>
              </w:rPr>
              <w:t>overall</w:t>
            </w:r>
          </w:p>
        </w:tc>
        <w:tc>
          <w:tcPr>
            <w:tcW w:w="1125" w:type="dxa"/>
            <w:tcBorders>
              <w:top w:val="nil"/>
              <w:left w:val="single" w:sz="4" w:space="0" w:color="auto"/>
              <w:bottom w:val="nil"/>
              <w:right w:val="nil"/>
            </w:tcBorders>
            <w:shd w:val="clear" w:color="auto" w:fill="auto"/>
            <w:noWrap/>
            <w:vAlign w:val="bottom"/>
            <w:hideMark/>
          </w:tcPr>
          <w:p w14:paraId="035EB8E8"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.0269438</w:t>
            </w:r>
          </w:p>
        </w:tc>
        <w:tc>
          <w:tcPr>
            <w:tcW w:w="1324" w:type="dxa"/>
            <w:tcBorders>
              <w:top w:val="nil"/>
              <w:left w:val="nil"/>
              <w:bottom w:val="nil"/>
              <w:right w:val="nil"/>
            </w:tcBorders>
            <w:shd w:val="clear" w:color="auto" w:fill="auto"/>
            <w:noWrap/>
            <w:vAlign w:val="bottom"/>
            <w:hideMark/>
          </w:tcPr>
          <w:p w14:paraId="63E85AEB"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.4368076</w:t>
            </w:r>
          </w:p>
        </w:tc>
        <w:tc>
          <w:tcPr>
            <w:tcW w:w="1085" w:type="dxa"/>
            <w:tcBorders>
              <w:top w:val="nil"/>
              <w:left w:val="nil"/>
              <w:bottom w:val="nil"/>
              <w:right w:val="nil"/>
            </w:tcBorders>
            <w:shd w:val="clear" w:color="auto" w:fill="auto"/>
            <w:noWrap/>
            <w:vAlign w:val="bottom"/>
            <w:hideMark/>
          </w:tcPr>
          <w:p w14:paraId="63F4E3E1"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-44.89188</w:t>
            </w:r>
          </w:p>
        </w:tc>
        <w:tc>
          <w:tcPr>
            <w:tcW w:w="1134" w:type="dxa"/>
            <w:tcBorders>
              <w:top w:val="nil"/>
              <w:left w:val="nil"/>
              <w:bottom w:val="nil"/>
              <w:right w:val="single" w:sz="4" w:space="0" w:color="auto"/>
            </w:tcBorders>
            <w:shd w:val="clear" w:color="auto" w:fill="auto"/>
            <w:noWrap/>
            <w:vAlign w:val="bottom"/>
            <w:hideMark/>
          </w:tcPr>
          <w:p w14:paraId="44D707E7"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r w:rsidRPr="00544405">
              <w:rPr>
                <w:rFonts w:ascii="Garamond" w:eastAsia="Times New Roman" w:hAnsi="Garamond" w:cs="Calibri"/>
                <w:b/>
                <w:bCs/>
                <w:color w:val="000000"/>
                <w:sz w:val="22"/>
                <w:szCs w:val="22"/>
                <w:lang w:eastAsia="en-GB"/>
              </w:rPr>
              <w:t>32.76745</w:t>
            </w:r>
          </w:p>
        </w:tc>
        <w:tc>
          <w:tcPr>
            <w:tcW w:w="1447" w:type="dxa"/>
            <w:tcBorders>
              <w:top w:val="nil"/>
              <w:left w:val="single" w:sz="4" w:space="0" w:color="auto"/>
              <w:bottom w:val="nil"/>
              <w:right w:val="nil"/>
            </w:tcBorders>
            <w:shd w:val="clear" w:color="auto" w:fill="auto"/>
            <w:noWrap/>
            <w:vAlign w:val="bottom"/>
          </w:tcPr>
          <w:p w14:paraId="0857089B" w14:textId="5DCE3F59" w:rsidR="00193D32" w:rsidRPr="00544405" w:rsidRDefault="00193D32" w:rsidP="00B86ABF">
            <w:pPr>
              <w:spacing w:after="0" w:line="240" w:lineRule="auto"/>
              <w:rPr>
                <w:rFonts w:ascii="Garamond" w:eastAsia="Times New Roman" w:hAnsi="Garamond" w:cs="Calibri"/>
                <w:color w:val="000000"/>
                <w:sz w:val="22"/>
                <w:szCs w:val="22"/>
                <w:lang w:eastAsia="en-GB"/>
              </w:rPr>
            </w:pPr>
          </w:p>
        </w:tc>
      </w:tr>
      <w:tr w:rsidR="00193D32" w:rsidRPr="00544405" w14:paraId="390C2A7C" w14:textId="77777777" w:rsidTr="00597122">
        <w:trPr>
          <w:trHeight w:val="288"/>
        </w:trPr>
        <w:tc>
          <w:tcPr>
            <w:tcW w:w="1387" w:type="dxa"/>
            <w:tcBorders>
              <w:top w:val="nil"/>
              <w:left w:val="nil"/>
              <w:bottom w:val="nil"/>
              <w:right w:val="nil"/>
            </w:tcBorders>
            <w:shd w:val="clear" w:color="auto" w:fill="auto"/>
            <w:noWrap/>
            <w:vAlign w:val="bottom"/>
            <w:hideMark/>
          </w:tcPr>
          <w:p w14:paraId="116134AB" w14:textId="77777777" w:rsidR="00193D32" w:rsidRPr="00544405" w:rsidRDefault="00193D32" w:rsidP="00B86ABF">
            <w:pPr>
              <w:spacing w:after="0" w:line="240" w:lineRule="auto"/>
              <w:jc w:val="both"/>
              <w:rPr>
                <w:rFonts w:ascii="Garamond" w:eastAsia="Times New Roman" w:hAnsi="Garamond" w:cs="Calibri"/>
                <w:color w:val="000000"/>
                <w:sz w:val="22"/>
                <w:szCs w:val="22"/>
                <w:lang w:eastAsia="en-GB"/>
              </w:rPr>
            </w:pPr>
          </w:p>
        </w:tc>
        <w:tc>
          <w:tcPr>
            <w:tcW w:w="927" w:type="dxa"/>
            <w:tcBorders>
              <w:top w:val="nil"/>
              <w:left w:val="nil"/>
              <w:bottom w:val="nil"/>
              <w:right w:val="single" w:sz="4" w:space="0" w:color="auto"/>
            </w:tcBorders>
            <w:shd w:val="clear" w:color="auto" w:fill="auto"/>
            <w:noWrap/>
            <w:vAlign w:val="bottom"/>
          </w:tcPr>
          <w:p w14:paraId="592E4934" w14:textId="47EB612E" w:rsidR="00193D32" w:rsidRPr="00544405" w:rsidRDefault="00193D32" w:rsidP="00B86ABF">
            <w:pPr>
              <w:spacing w:after="0" w:line="240" w:lineRule="auto"/>
              <w:rPr>
                <w:rFonts w:ascii="Garamond" w:eastAsia="Times New Roman" w:hAnsi="Garamond" w:cs="Calibri"/>
                <w:color w:val="000000"/>
                <w:sz w:val="22"/>
                <w:szCs w:val="22"/>
                <w:lang w:eastAsia="en-GB"/>
              </w:rPr>
            </w:pPr>
          </w:p>
        </w:tc>
        <w:tc>
          <w:tcPr>
            <w:tcW w:w="1125" w:type="dxa"/>
            <w:tcBorders>
              <w:top w:val="nil"/>
              <w:left w:val="single" w:sz="4" w:space="0" w:color="auto"/>
              <w:bottom w:val="nil"/>
              <w:right w:val="nil"/>
            </w:tcBorders>
            <w:shd w:val="clear" w:color="auto" w:fill="auto"/>
            <w:noWrap/>
            <w:vAlign w:val="bottom"/>
          </w:tcPr>
          <w:p w14:paraId="5FBB3BDC" w14:textId="77777777"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324" w:type="dxa"/>
            <w:tcBorders>
              <w:top w:val="nil"/>
              <w:left w:val="nil"/>
              <w:bottom w:val="nil"/>
              <w:right w:val="nil"/>
            </w:tcBorders>
            <w:shd w:val="clear" w:color="auto" w:fill="auto"/>
            <w:noWrap/>
            <w:vAlign w:val="bottom"/>
          </w:tcPr>
          <w:p w14:paraId="2CF45D4F" w14:textId="3F916563"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085" w:type="dxa"/>
            <w:tcBorders>
              <w:top w:val="nil"/>
              <w:left w:val="nil"/>
              <w:bottom w:val="nil"/>
              <w:right w:val="nil"/>
            </w:tcBorders>
            <w:shd w:val="clear" w:color="auto" w:fill="auto"/>
            <w:noWrap/>
            <w:vAlign w:val="bottom"/>
          </w:tcPr>
          <w:p w14:paraId="35AC793D" w14:textId="120AB368"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134" w:type="dxa"/>
            <w:tcBorders>
              <w:top w:val="nil"/>
              <w:left w:val="nil"/>
              <w:bottom w:val="nil"/>
              <w:right w:val="single" w:sz="4" w:space="0" w:color="auto"/>
            </w:tcBorders>
            <w:shd w:val="clear" w:color="auto" w:fill="auto"/>
            <w:noWrap/>
            <w:vAlign w:val="bottom"/>
          </w:tcPr>
          <w:p w14:paraId="34B3F553" w14:textId="7F3792E1" w:rsidR="00193D32" w:rsidRPr="00544405"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47" w:type="dxa"/>
            <w:tcBorders>
              <w:top w:val="nil"/>
              <w:left w:val="single" w:sz="4" w:space="0" w:color="auto"/>
              <w:bottom w:val="nil"/>
              <w:right w:val="nil"/>
            </w:tcBorders>
            <w:shd w:val="clear" w:color="auto" w:fill="auto"/>
            <w:noWrap/>
            <w:vAlign w:val="bottom"/>
          </w:tcPr>
          <w:p w14:paraId="76D734A9" w14:textId="4C6121EE" w:rsidR="00193D32" w:rsidRPr="00544405" w:rsidRDefault="00193D32" w:rsidP="00B86ABF">
            <w:pPr>
              <w:spacing w:after="0" w:line="240" w:lineRule="auto"/>
              <w:rPr>
                <w:rFonts w:ascii="Garamond" w:eastAsia="Times New Roman" w:hAnsi="Garamond" w:cs="Calibri"/>
                <w:color w:val="000000"/>
                <w:sz w:val="22"/>
                <w:szCs w:val="22"/>
                <w:lang w:eastAsia="en-GB"/>
              </w:rPr>
            </w:pPr>
          </w:p>
        </w:tc>
      </w:tr>
    </w:tbl>
    <w:p w14:paraId="539259AB" w14:textId="2851EA94" w:rsidR="00ED4177" w:rsidRPr="00ED4177" w:rsidRDefault="00ED4177" w:rsidP="00ED4177">
      <w:pPr>
        <w:pStyle w:val="Caption"/>
        <w:keepNext/>
        <w:rPr>
          <w:lang w:val="pt-PT"/>
        </w:rPr>
      </w:pPr>
    </w:p>
    <w:p w14:paraId="27B1CA9B" w14:textId="77777777" w:rsidR="00FA0134" w:rsidRDefault="00FA0134">
      <w:pPr>
        <w:spacing w:line="259" w:lineRule="auto"/>
        <w:rPr>
          <w:rFonts w:ascii="Garamond" w:hAnsi="Garamond"/>
          <w:b/>
          <w:bCs/>
          <w:sz w:val="24"/>
          <w:szCs w:val="24"/>
          <w:lang w:val="pt-PT"/>
        </w:rPr>
      </w:pPr>
    </w:p>
    <w:p w14:paraId="3733F60D" w14:textId="77777777" w:rsidR="00FA0134" w:rsidRDefault="00FA0134">
      <w:pPr>
        <w:spacing w:line="259" w:lineRule="auto"/>
        <w:rPr>
          <w:rFonts w:ascii="Garamond" w:hAnsi="Garamond"/>
          <w:b/>
          <w:bCs/>
          <w:sz w:val="24"/>
          <w:szCs w:val="24"/>
          <w:lang w:val="pt-PT"/>
        </w:rPr>
      </w:pPr>
    </w:p>
    <w:p w14:paraId="6507C2B9" w14:textId="77777777" w:rsidR="0077188A" w:rsidRDefault="0077188A">
      <w:pPr>
        <w:spacing w:line="259" w:lineRule="auto"/>
        <w:rPr>
          <w:rFonts w:ascii="Garamond" w:hAnsi="Garamond"/>
          <w:b/>
          <w:bCs/>
          <w:sz w:val="24"/>
          <w:szCs w:val="24"/>
          <w:lang w:val="pt-PT"/>
        </w:rPr>
      </w:pPr>
      <w:r>
        <w:br w:type="page"/>
      </w:r>
    </w:p>
    <w:p w14:paraId="4504F62D" w14:textId="66339C80" w:rsidR="00193D32" w:rsidRPr="00EB18E4" w:rsidRDefault="00193D32" w:rsidP="00EB18E4">
      <w:pPr>
        <w:pStyle w:val="TtuloSecundrioTese"/>
      </w:pPr>
      <w:r w:rsidRPr="00EB18E4">
        <w:lastRenderedPageBreak/>
        <w:t xml:space="preserve"> </w:t>
      </w:r>
      <w:bookmarkStart w:id="56" w:name="_Toc176458064"/>
      <w:r w:rsidRPr="00EB18E4">
        <w:t xml:space="preserve">Apêndice </w:t>
      </w:r>
      <w:r w:rsidR="004216E3" w:rsidRPr="00EB18E4">
        <w:t>B</w:t>
      </w:r>
      <w:bookmarkEnd w:id="56"/>
    </w:p>
    <w:p w14:paraId="6A64F210" w14:textId="77777777" w:rsidR="00193D32" w:rsidRPr="006F2562" w:rsidRDefault="00193D32" w:rsidP="00193D32">
      <w:pPr>
        <w:rPr>
          <w:rFonts w:ascii="Garamond" w:hAnsi="Garamond"/>
          <w:b/>
          <w:bCs/>
          <w:sz w:val="24"/>
          <w:szCs w:val="24"/>
        </w:rPr>
      </w:pPr>
      <w:r w:rsidRPr="006F2562">
        <w:rPr>
          <w:rFonts w:ascii="Garamond" w:hAnsi="Garamond"/>
          <w:b/>
          <w:bCs/>
          <w:sz w:val="24"/>
          <w:szCs w:val="24"/>
        </w:rPr>
        <w:t>Paired t test</w:t>
      </w:r>
    </w:p>
    <w:p w14:paraId="3DA74839" w14:textId="344594EB" w:rsidR="00193D32" w:rsidRPr="000F608A" w:rsidRDefault="00193D32" w:rsidP="00193D32">
      <w:pPr>
        <w:pStyle w:val="Caption"/>
        <w:keepNext/>
        <w:rPr>
          <w:rFonts w:ascii="Garamond" w:hAnsi="Garamond"/>
          <w:i w:val="0"/>
          <w:iCs w:val="0"/>
          <w:color w:val="auto"/>
          <w:lang w:val="pt-PT"/>
        </w:rPr>
      </w:pPr>
      <w:bookmarkStart w:id="57" w:name="_Toc176855920"/>
      <w:r w:rsidRPr="00AC4E8A">
        <w:rPr>
          <w:rFonts w:ascii="Garamond" w:hAnsi="Garamond"/>
          <w:b/>
          <w:bCs/>
          <w:i w:val="0"/>
          <w:iCs w:val="0"/>
          <w:color w:val="auto"/>
          <w:lang w:val="pt-PT"/>
        </w:rPr>
        <w:t xml:space="preserve">Tabela </w:t>
      </w:r>
      <w:r w:rsidRPr="00AC4E8A">
        <w:rPr>
          <w:rFonts w:ascii="Garamond" w:hAnsi="Garamond"/>
          <w:b/>
          <w:bCs/>
          <w:i w:val="0"/>
          <w:iCs w:val="0"/>
          <w:color w:val="auto"/>
        </w:rPr>
        <w:fldChar w:fldCharType="begin"/>
      </w:r>
      <w:r w:rsidRPr="00AC4E8A">
        <w:rPr>
          <w:rFonts w:ascii="Garamond" w:hAnsi="Garamond"/>
          <w:b/>
          <w:bCs/>
          <w:i w:val="0"/>
          <w:iCs w:val="0"/>
          <w:color w:val="auto"/>
          <w:lang w:val="pt-PT"/>
        </w:rPr>
        <w:instrText xml:space="preserve"> SEQ Tabela \* ARABIC </w:instrText>
      </w:r>
      <w:r w:rsidRPr="00AC4E8A">
        <w:rPr>
          <w:rFonts w:ascii="Garamond" w:hAnsi="Garamond"/>
          <w:b/>
          <w:bCs/>
          <w:i w:val="0"/>
          <w:iCs w:val="0"/>
          <w:color w:val="auto"/>
        </w:rPr>
        <w:fldChar w:fldCharType="separate"/>
      </w:r>
      <w:r w:rsidR="00C01B43">
        <w:rPr>
          <w:rFonts w:ascii="Garamond" w:hAnsi="Garamond"/>
          <w:b/>
          <w:bCs/>
          <w:i w:val="0"/>
          <w:iCs w:val="0"/>
          <w:noProof/>
          <w:color w:val="auto"/>
          <w:lang w:val="pt-PT"/>
        </w:rPr>
        <w:t>8</w:t>
      </w:r>
      <w:r w:rsidRPr="00AC4E8A">
        <w:rPr>
          <w:rFonts w:ascii="Garamond" w:hAnsi="Garamond"/>
          <w:b/>
          <w:bCs/>
          <w:i w:val="0"/>
          <w:iCs w:val="0"/>
          <w:color w:val="auto"/>
        </w:rPr>
        <w:fldChar w:fldCharType="end"/>
      </w:r>
      <w:r w:rsidRPr="00AC4E8A">
        <w:rPr>
          <w:rFonts w:ascii="Garamond" w:hAnsi="Garamond"/>
          <w:b/>
          <w:bCs/>
          <w:i w:val="0"/>
          <w:iCs w:val="0"/>
          <w:color w:val="auto"/>
          <w:lang w:val="pt-PT"/>
        </w:rPr>
        <w:t xml:space="preserve"> </w:t>
      </w:r>
      <w:r w:rsidRPr="000F608A">
        <w:rPr>
          <w:rFonts w:ascii="Garamond" w:hAnsi="Garamond"/>
          <w:i w:val="0"/>
          <w:iCs w:val="0"/>
          <w:color w:val="auto"/>
          <w:lang w:val="pt-PT"/>
        </w:rPr>
        <w:t xml:space="preserve">– </w:t>
      </w:r>
      <w:proofErr w:type="spellStart"/>
      <w:r w:rsidRPr="000F608A">
        <w:rPr>
          <w:rFonts w:ascii="Garamond" w:hAnsi="Garamond"/>
          <w:i w:val="0"/>
          <w:iCs w:val="0"/>
          <w:color w:val="auto"/>
          <w:lang w:val="pt-PT"/>
        </w:rPr>
        <w:t>Paired</w:t>
      </w:r>
      <w:proofErr w:type="spellEnd"/>
      <w:r w:rsidRPr="000F608A">
        <w:rPr>
          <w:rFonts w:ascii="Garamond" w:hAnsi="Garamond"/>
          <w:i w:val="0"/>
          <w:iCs w:val="0"/>
          <w:color w:val="auto"/>
          <w:lang w:val="pt-PT"/>
        </w:rPr>
        <w:t xml:space="preserve"> t </w:t>
      </w:r>
      <w:proofErr w:type="spellStart"/>
      <w:r w:rsidRPr="000F608A">
        <w:rPr>
          <w:rFonts w:ascii="Garamond" w:hAnsi="Garamond"/>
          <w:i w:val="0"/>
          <w:iCs w:val="0"/>
          <w:color w:val="auto"/>
          <w:lang w:val="pt-PT"/>
        </w:rPr>
        <w:t>test</w:t>
      </w:r>
      <w:proofErr w:type="spellEnd"/>
      <w:r w:rsidRPr="000F608A">
        <w:rPr>
          <w:rFonts w:ascii="Garamond" w:hAnsi="Garamond"/>
          <w:i w:val="0"/>
          <w:iCs w:val="0"/>
          <w:color w:val="auto"/>
          <w:lang w:val="pt-PT"/>
        </w:rPr>
        <w:t xml:space="preserve"> entre as variáveis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m:t>
            </m:r>
          </m:sub>
        </m:sSub>
      </m:oMath>
      <w:r w:rsidRPr="000F608A">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Pr="000F608A">
        <w:rPr>
          <w:rFonts w:ascii="Garamond" w:hAnsi="Garamond"/>
          <w:bCs/>
          <w:i w:val="0"/>
          <w:iCs w:val="0"/>
          <w:color w:val="auto"/>
          <w:lang w:val="pt-PT"/>
        </w:rPr>
        <w:t xml:space="preserve"> </w:t>
      </w:r>
      <w:r w:rsidRPr="000F608A">
        <w:rPr>
          <w:rFonts w:ascii="Garamond" w:hAnsi="Garamond"/>
          <w:i w:val="0"/>
          <w:iCs w:val="0"/>
          <w:color w:val="auto"/>
          <w:lang w:val="pt-PT"/>
        </w:rPr>
        <w:t>da subamostra principal do ano 2020</w:t>
      </w:r>
      <w:bookmarkEnd w:id="57"/>
    </w:p>
    <w:tbl>
      <w:tblPr>
        <w:tblW w:w="8475" w:type="dxa"/>
        <w:tblLook w:val="04A0" w:firstRow="1" w:lastRow="0" w:firstColumn="1" w:lastColumn="0" w:noHBand="0" w:noVBand="1"/>
      </w:tblPr>
      <w:tblGrid>
        <w:gridCol w:w="1659"/>
        <w:gridCol w:w="269"/>
        <w:gridCol w:w="588"/>
        <w:gridCol w:w="309"/>
        <w:gridCol w:w="847"/>
        <w:gridCol w:w="184"/>
        <w:gridCol w:w="872"/>
        <w:gridCol w:w="922"/>
        <w:gridCol w:w="134"/>
        <w:gridCol w:w="1235"/>
        <w:gridCol w:w="1456"/>
      </w:tblGrid>
      <w:tr w:rsidR="00193D32" w:rsidRPr="004812DC" w14:paraId="32027979" w14:textId="77777777" w:rsidTr="00B86ABF">
        <w:trPr>
          <w:trHeight w:val="288"/>
        </w:trPr>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558A8893"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Variable</w:t>
            </w:r>
          </w:p>
        </w:tc>
        <w:tc>
          <w:tcPr>
            <w:tcW w:w="857" w:type="dxa"/>
            <w:gridSpan w:val="2"/>
            <w:tcBorders>
              <w:top w:val="single" w:sz="4" w:space="0" w:color="auto"/>
              <w:left w:val="single" w:sz="4" w:space="0" w:color="auto"/>
              <w:bottom w:val="single" w:sz="4" w:space="0" w:color="auto"/>
              <w:right w:val="nil"/>
            </w:tcBorders>
            <w:shd w:val="clear" w:color="auto" w:fill="auto"/>
            <w:noWrap/>
            <w:vAlign w:val="bottom"/>
            <w:hideMark/>
          </w:tcPr>
          <w:p w14:paraId="3EA64F63"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Obs</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0D405698"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Mean</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7846BF96"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 xml:space="preserve">Std. </w:t>
            </w:r>
            <w:proofErr w:type="gramStart"/>
            <w:r w:rsidRPr="00CD3136">
              <w:rPr>
                <w:rFonts w:ascii="Garamond" w:eastAsia="Times New Roman" w:hAnsi="Garamond" w:cs="Calibri"/>
                <w:color w:val="000000"/>
                <w:sz w:val="22"/>
                <w:szCs w:val="22"/>
                <w:lang w:eastAsia="en-GB"/>
              </w:rPr>
              <w:t>err</w:t>
            </w:r>
            <w:proofErr w:type="gramEnd"/>
            <w:r w:rsidRPr="00CD3136">
              <w:rPr>
                <w:rFonts w:ascii="Garamond" w:eastAsia="Times New Roman" w:hAnsi="Garamond" w:cs="Calibri"/>
                <w:color w:val="000000"/>
                <w:sz w:val="22"/>
                <w:szCs w:val="22"/>
                <w:lang w:eastAsia="en-GB"/>
              </w:rPr>
              <w:t>.</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4D30CA70"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Std. dev.</w:t>
            </w:r>
          </w:p>
        </w:tc>
        <w:tc>
          <w:tcPr>
            <w:tcW w:w="2691" w:type="dxa"/>
            <w:gridSpan w:val="2"/>
            <w:tcBorders>
              <w:top w:val="single" w:sz="4" w:space="0" w:color="auto"/>
              <w:left w:val="nil"/>
              <w:bottom w:val="single" w:sz="4" w:space="0" w:color="auto"/>
              <w:right w:val="nil"/>
            </w:tcBorders>
            <w:shd w:val="clear" w:color="auto" w:fill="auto"/>
            <w:noWrap/>
            <w:vAlign w:val="bottom"/>
            <w:hideMark/>
          </w:tcPr>
          <w:p w14:paraId="63D308B8" w14:textId="77777777" w:rsidR="00193D32" w:rsidRPr="00CD3136" w:rsidRDefault="00193D32" w:rsidP="00B86ABF">
            <w:pPr>
              <w:spacing w:after="0" w:line="240" w:lineRule="auto"/>
              <w:jc w:val="center"/>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[95% conf.</w:t>
            </w:r>
            <w:r w:rsidRPr="004812DC">
              <w:rPr>
                <w:rFonts w:ascii="Garamond" w:eastAsia="Times New Roman" w:hAnsi="Garamond" w:cs="Calibri"/>
                <w:color w:val="000000"/>
                <w:sz w:val="22"/>
                <w:szCs w:val="22"/>
                <w:lang w:eastAsia="en-GB"/>
              </w:rPr>
              <w:t xml:space="preserve"> </w:t>
            </w:r>
            <w:r w:rsidRPr="00CD3136">
              <w:rPr>
                <w:rFonts w:ascii="Garamond" w:eastAsia="Times New Roman" w:hAnsi="Garamond" w:cs="Calibri"/>
                <w:color w:val="000000"/>
                <w:sz w:val="22"/>
                <w:szCs w:val="22"/>
                <w:lang w:eastAsia="en-GB"/>
              </w:rPr>
              <w:t>interval]</w:t>
            </w:r>
          </w:p>
        </w:tc>
      </w:tr>
      <w:tr w:rsidR="00193D32" w:rsidRPr="004812DC" w14:paraId="2D2CFEAE" w14:textId="77777777" w:rsidTr="00B86ABF">
        <w:trPr>
          <w:trHeight w:val="288"/>
        </w:trPr>
        <w:tc>
          <w:tcPr>
            <w:tcW w:w="1659" w:type="dxa"/>
            <w:tcBorders>
              <w:top w:val="single" w:sz="4" w:space="0" w:color="auto"/>
              <w:left w:val="nil"/>
              <w:bottom w:val="nil"/>
              <w:right w:val="single" w:sz="4" w:space="0" w:color="auto"/>
            </w:tcBorders>
            <w:shd w:val="clear" w:color="auto" w:fill="auto"/>
            <w:noWrap/>
            <w:vAlign w:val="bottom"/>
            <w:hideMark/>
          </w:tcPr>
          <w:p w14:paraId="23FAEFC0"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single" w:sz="4" w:space="0" w:color="auto"/>
              <w:left w:val="single" w:sz="4" w:space="0" w:color="auto"/>
              <w:bottom w:val="nil"/>
              <w:right w:val="nil"/>
            </w:tcBorders>
            <w:shd w:val="clear" w:color="auto" w:fill="auto"/>
            <w:noWrap/>
            <w:vAlign w:val="bottom"/>
          </w:tcPr>
          <w:p w14:paraId="6CCC5597"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single" w:sz="4" w:space="0" w:color="auto"/>
              <w:left w:val="nil"/>
              <w:bottom w:val="nil"/>
              <w:right w:val="nil"/>
            </w:tcBorders>
            <w:shd w:val="clear" w:color="auto" w:fill="auto"/>
            <w:noWrap/>
            <w:vAlign w:val="bottom"/>
          </w:tcPr>
          <w:p w14:paraId="75FC6E93"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-.0016252</w:t>
            </w:r>
          </w:p>
        </w:tc>
        <w:tc>
          <w:tcPr>
            <w:tcW w:w="1056" w:type="dxa"/>
            <w:gridSpan w:val="2"/>
            <w:tcBorders>
              <w:top w:val="single" w:sz="4" w:space="0" w:color="auto"/>
              <w:left w:val="nil"/>
              <w:bottom w:val="nil"/>
              <w:right w:val="nil"/>
            </w:tcBorders>
            <w:shd w:val="clear" w:color="auto" w:fill="auto"/>
            <w:noWrap/>
            <w:vAlign w:val="bottom"/>
          </w:tcPr>
          <w:p w14:paraId="702AECD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.0015371</w:t>
            </w:r>
          </w:p>
        </w:tc>
        <w:tc>
          <w:tcPr>
            <w:tcW w:w="1056" w:type="dxa"/>
            <w:gridSpan w:val="2"/>
            <w:tcBorders>
              <w:top w:val="single" w:sz="4" w:space="0" w:color="auto"/>
              <w:left w:val="nil"/>
              <w:bottom w:val="nil"/>
              <w:right w:val="nil"/>
            </w:tcBorders>
            <w:shd w:val="clear" w:color="auto" w:fill="auto"/>
            <w:noWrap/>
            <w:vAlign w:val="bottom"/>
          </w:tcPr>
          <w:p w14:paraId="39CC1206"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.1321269</w:t>
            </w:r>
          </w:p>
        </w:tc>
        <w:tc>
          <w:tcPr>
            <w:tcW w:w="1235" w:type="dxa"/>
            <w:tcBorders>
              <w:top w:val="single" w:sz="4" w:space="0" w:color="auto"/>
              <w:left w:val="nil"/>
              <w:bottom w:val="nil"/>
              <w:right w:val="nil"/>
            </w:tcBorders>
            <w:shd w:val="clear" w:color="auto" w:fill="auto"/>
            <w:noWrap/>
            <w:vAlign w:val="bottom"/>
          </w:tcPr>
          <w:p w14:paraId="64DC530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-.0046384</w:t>
            </w:r>
          </w:p>
        </w:tc>
        <w:tc>
          <w:tcPr>
            <w:tcW w:w="1456" w:type="dxa"/>
            <w:tcBorders>
              <w:top w:val="single" w:sz="4" w:space="0" w:color="auto"/>
              <w:left w:val="nil"/>
              <w:bottom w:val="nil"/>
              <w:right w:val="nil"/>
            </w:tcBorders>
            <w:shd w:val="clear" w:color="auto" w:fill="auto"/>
            <w:noWrap/>
            <w:vAlign w:val="bottom"/>
          </w:tcPr>
          <w:p w14:paraId="736963F7"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.0013879</w:t>
            </w:r>
          </w:p>
        </w:tc>
      </w:tr>
      <w:tr w:rsidR="00193D32" w:rsidRPr="004812DC" w14:paraId="1046F31F" w14:textId="77777777" w:rsidTr="00B86ABF">
        <w:trPr>
          <w:trHeight w:val="288"/>
        </w:trPr>
        <w:tc>
          <w:tcPr>
            <w:tcW w:w="1659" w:type="dxa"/>
            <w:tcBorders>
              <w:top w:val="nil"/>
              <w:left w:val="nil"/>
              <w:bottom w:val="single" w:sz="4" w:space="0" w:color="auto"/>
              <w:right w:val="single" w:sz="4" w:space="0" w:color="auto"/>
            </w:tcBorders>
            <w:shd w:val="clear" w:color="auto" w:fill="auto"/>
            <w:noWrap/>
            <w:vAlign w:val="bottom"/>
            <w:hideMark/>
          </w:tcPr>
          <w:p w14:paraId="32332E1B"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nil"/>
              <w:left w:val="single" w:sz="4" w:space="0" w:color="auto"/>
              <w:bottom w:val="single" w:sz="4" w:space="0" w:color="auto"/>
              <w:right w:val="nil"/>
            </w:tcBorders>
            <w:shd w:val="clear" w:color="auto" w:fill="auto"/>
            <w:noWrap/>
            <w:vAlign w:val="bottom"/>
          </w:tcPr>
          <w:p w14:paraId="707C93ED"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nil"/>
              <w:left w:val="nil"/>
              <w:bottom w:val="single" w:sz="4" w:space="0" w:color="auto"/>
              <w:right w:val="nil"/>
            </w:tcBorders>
            <w:shd w:val="clear" w:color="auto" w:fill="auto"/>
            <w:noWrap/>
            <w:vAlign w:val="bottom"/>
          </w:tcPr>
          <w:p w14:paraId="7643EE4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.0063785</w:t>
            </w:r>
          </w:p>
        </w:tc>
        <w:tc>
          <w:tcPr>
            <w:tcW w:w="1056" w:type="dxa"/>
            <w:gridSpan w:val="2"/>
            <w:tcBorders>
              <w:top w:val="nil"/>
              <w:left w:val="nil"/>
              <w:bottom w:val="single" w:sz="4" w:space="0" w:color="auto"/>
              <w:right w:val="nil"/>
            </w:tcBorders>
            <w:shd w:val="clear" w:color="auto" w:fill="auto"/>
            <w:noWrap/>
            <w:vAlign w:val="bottom"/>
          </w:tcPr>
          <w:p w14:paraId="2719B58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.0017309</w:t>
            </w:r>
          </w:p>
        </w:tc>
        <w:tc>
          <w:tcPr>
            <w:tcW w:w="1056" w:type="dxa"/>
            <w:gridSpan w:val="2"/>
            <w:tcBorders>
              <w:top w:val="nil"/>
              <w:left w:val="nil"/>
              <w:bottom w:val="single" w:sz="4" w:space="0" w:color="auto"/>
              <w:right w:val="nil"/>
            </w:tcBorders>
            <w:shd w:val="clear" w:color="auto" w:fill="auto"/>
            <w:noWrap/>
            <w:vAlign w:val="bottom"/>
          </w:tcPr>
          <w:p w14:paraId="205690E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.1487885</w:t>
            </w:r>
          </w:p>
        </w:tc>
        <w:tc>
          <w:tcPr>
            <w:tcW w:w="1235" w:type="dxa"/>
            <w:tcBorders>
              <w:top w:val="nil"/>
              <w:left w:val="nil"/>
              <w:bottom w:val="single" w:sz="4" w:space="0" w:color="auto"/>
              <w:right w:val="nil"/>
            </w:tcBorders>
            <w:shd w:val="clear" w:color="auto" w:fill="auto"/>
            <w:noWrap/>
            <w:vAlign w:val="bottom"/>
          </w:tcPr>
          <w:p w14:paraId="3401CDF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.0029855</w:t>
            </w:r>
          </w:p>
        </w:tc>
        <w:tc>
          <w:tcPr>
            <w:tcW w:w="1456" w:type="dxa"/>
            <w:tcBorders>
              <w:top w:val="nil"/>
              <w:left w:val="nil"/>
              <w:bottom w:val="single" w:sz="4" w:space="0" w:color="auto"/>
              <w:right w:val="nil"/>
            </w:tcBorders>
            <w:shd w:val="clear" w:color="auto" w:fill="auto"/>
            <w:noWrap/>
            <w:vAlign w:val="bottom"/>
          </w:tcPr>
          <w:p w14:paraId="4447C46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.0097716</w:t>
            </w:r>
          </w:p>
        </w:tc>
      </w:tr>
      <w:tr w:rsidR="00193D32" w:rsidRPr="004812DC" w14:paraId="6774F227" w14:textId="77777777" w:rsidTr="00B86ABF">
        <w:trPr>
          <w:trHeight w:val="288"/>
        </w:trPr>
        <w:tc>
          <w:tcPr>
            <w:tcW w:w="1659" w:type="dxa"/>
            <w:tcBorders>
              <w:top w:val="single" w:sz="4" w:space="0" w:color="auto"/>
              <w:left w:val="nil"/>
              <w:bottom w:val="single" w:sz="4" w:space="0" w:color="FFFFFF" w:themeColor="background1"/>
              <w:right w:val="single" w:sz="4" w:space="0" w:color="auto"/>
            </w:tcBorders>
            <w:shd w:val="clear" w:color="auto" w:fill="auto"/>
            <w:noWrap/>
            <w:vAlign w:val="bottom"/>
            <w:hideMark/>
          </w:tcPr>
          <w:p w14:paraId="0CE9B339"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diff</w:t>
            </w:r>
          </w:p>
        </w:tc>
        <w:tc>
          <w:tcPr>
            <w:tcW w:w="857" w:type="dxa"/>
            <w:gridSpan w:val="2"/>
            <w:tcBorders>
              <w:top w:val="single" w:sz="4" w:space="0" w:color="auto"/>
              <w:left w:val="single" w:sz="4" w:space="0" w:color="auto"/>
              <w:bottom w:val="single" w:sz="4" w:space="0" w:color="FFFFFF" w:themeColor="background1"/>
              <w:right w:val="nil"/>
            </w:tcBorders>
            <w:shd w:val="clear" w:color="auto" w:fill="auto"/>
            <w:noWrap/>
            <w:vAlign w:val="bottom"/>
          </w:tcPr>
          <w:p w14:paraId="7C8D45B4"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single" w:sz="4" w:space="0" w:color="auto"/>
              <w:left w:val="nil"/>
              <w:bottom w:val="single" w:sz="4" w:space="0" w:color="auto"/>
              <w:right w:val="nil"/>
            </w:tcBorders>
            <w:shd w:val="clear" w:color="auto" w:fill="auto"/>
            <w:noWrap/>
            <w:vAlign w:val="bottom"/>
          </w:tcPr>
          <w:p w14:paraId="52B80CD7"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-.0080038</w:t>
            </w:r>
          </w:p>
        </w:tc>
        <w:tc>
          <w:tcPr>
            <w:tcW w:w="1056" w:type="dxa"/>
            <w:gridSpan w:val="2"/>
            <w:tcBorders>
              <w:top w:val="single" w:sz="4" w:space="0" w:color="auto"/>
              <w:left w:val="nil"/>
              <w:bottom w:val="single" w:sz="4" w:space="0" w:color="auto"/>
              <w:right w:val="nil"/>
            </w:tcBorders>
            <w:shd w:val="clear" w:color="auto" w:fill="auto"/>
            <w:noWrap/>
            <w:vAlign w:val="bottom"/>
          </w:tcPr>
          <w:p w14:paraId="79D1771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.0022318</w:t>
            </w:r>
          </w:p>
        </w:tc>
        <w:tc>
          <w:tcPr>
            <w:tcW w:w="1056" w:type="dxa"/>
            <w:gridSpan w:val="2"/>
            <w:tcBorders>
              <w:top w:val="single" w:sz="4" w:space="0" w:color="auto"/>
              <w:left w:val="nil"/>
              <w:bottom w:val="single" w:sz="4" w:space="0" w:color="auto"/>
              <w:right w:val="nil"/>
            </w:tcBorders>
            <w:shd w:val="clear" w:color="auto" w:fill="auto"/>
            <w:noWrap/>
            <w:vAlign w:val="bottom"/>
          </w:tcPr>
          <w:p w14:paraId="73D25EC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.1918478</w:t>
            </w:r>
          </w:p>
        </w:tc>
        <w:tc>
          <w:tcPr>
            <w:tcW w:w="1235" w:type="dxa"/>
            <w:tcBorders>
              <w:top w:val="single" w:sz="4" w:space="0" w:color="auto"/>
              <w:left w:val="nil"/>
              <w:bottom w:val="single" w:sz="4" w:space="0" w:color="auto"/>
              <w:right w:val="nil"/>
            </w:tcBorders>
            <w:shd w:val="clear" w:color="auto" w:fill="auto"/>
            <w:noWrap/>
            <w:vAlign w:val="bottom"/>
          </w:tcPr>
          <w:p w14:paraId="688C008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-.0123788</w:t>
            </w:r>
          </w:p>
        </w:tc>
        <w:tc>
          <w:tcPr>
            <w:tcW w:w="1456" w:type="dxa"/>
            <w:tcBorders>
              <w:top w:val="single" w:sz="4" w:space="0" w:color="auto"/>
              <w:left w:val="nil"/>
              <w:bottom w:val="single" w:sz="4" w:space="0" w:color="auto"/>
              <w:right w:val="nil"/>
            </w:tcBorders>
            <w:shd w:val="clear" w:color="auto" w:fill="auto"/>
            <w:noWrap/>
            <w:vAlign w:val="bottom"/>
          </w:tcPr>
          <w:p w14:paraId="5DFDAA23"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-.0036287</w:t>
            </w:r>
          </w:p>
        </w:tc>
      </w:tr>
      <w:tr w:rsidR="00193D32" w:rsidRPr="004812DC" w14:paraId="2B52DFDD" w14:textId="77777777" w:rsidTr="00B86ABF">
        <w:trPr>
          <w:trHeight w:val="288"/>
        </w:trPr>
        <w:tc>
          <w:tcPr>
            <w:tcW w:w="5784" w:type="dxa"/>
            <w:gridSpan w:val="9"/>
            <w:tcBorders>
              <w:top w:val="single" w:sz="4" w:space="0" w:color="auto"/>
              <w:left w:val="nil"/>
              <w:bottom w:val="single" w:sz="4" w:space="0" w:color="FFFFFF" w:themeColor="background1"/>
              <w:right w:val="nil"/>
            </w:tcBorders>
            <w:shd w:val="clear" w:color="auto" w:fill="auto"/>
            <w:noWrap/>
            <w:vAlign w:val="bottom"/>
          </w:tcPr>
          <w:p w14:paraId="0C7AC286"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mean(diff) = </w:t>
            </w:r>
            <w:proofErr w:type="gramStart"/>
            <w:r w:rsidRPr="004812DC">
              <w:rPr>
                <w:rFonts w:ascii="Garamond" w:eastAsia="Times New Roman" w:hAnsi="Garamond" w:cs="Calibri"/>
                <w:color w:val="000000"/>
                <w:sz w:val="22"/>
                <w:szCs w:val="22"/>
                <w:lang w:eastAsia="en-GB"/>
              </w:rPr>
              <w:t>mean(</w:t>
            </w:r>
            <w:proofErr w:type="gramEnd"/>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sub>
              </m:sSub>
            </m:oMath>
            <w:r w:rsidRPr="004812DC">
              <w:rPr>
                <w:rFonts w:ascii="Garamond" w:eastAsia="Times New Roman" w:hAnsi="Garamond" w:cs="Calibri"/>
                <w:b/>
                <w:color w:val="000000"/>
                <w:sz w:val="22"/>
                <w:szCs w:val="22"/>
                <w:lang w:eastAsia="en-GB"/>
              </w:rPr>
              <w:t xml:space="preserve">- </w:t>
            </w:r>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r>
                    <m:rPr>
                      <m:sty m:val="bi"/>
                    </m:rPr>
                    <w:rPr>
                      <w:rFonts w:ascii="Cambria Math" w:hAnsi="Cambria Math"/>
                      <w:sz w:val="24"/>
                      <w:szCs w:val="24"/>
                    </w:rPr>
                    <m:t>-1</m:t>
                  </m:r>
                </m:sub>
              </m:sSub>
            </m:oMath>
            <w:r w:rsidRPr="004812DC">
              <w:rPr>
                <w:rFonts w:ascii="Garamond" w:eastAsia="Times New Roman" w:hAnsi="Garamond" w:cs="Calibri"/>
                <w:color w:val="000000"/>
                <w:sz w:val="22"/>
                <w:szCs w:val="22"/>
                <w:lang w:eastAsia="en-GB"/>
              </w:rPr>
              <w:t>)</w:t>
            </w:r>
          </w:p>
        </w:tc>
        <w:tc>
          <w:tcPr>
            <w:tcW w:w="1235" w:type="dxa"/>
            <w:tcBorders>
              <w:top w:val="single" w:sz="4" w:space="0" w:color="auto"/>
              <w:left w:val="nil"/>
              <w:bottom w:val="single" w:sz="4" w:space="0" w:color="FFFFFF" w:themeColor="background1"/>
              <w:right w:val="nil"/>
            </w:tcBorders>
            <w:shd w:val="clear" w:color="auto" w:fill="auto"/>
            <w:noWrap/>
            <w:vAlign w:val="bottom"/>
          </w:tcPr>
          <w:p w14:paraId="5C8547EC"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56" w:type="dxa"/>
            <w:tcBorders>
              <w:top w:val="single" w:sz="4" w:space="0" w:color="auto"/>
              <w:left w:val="nil"/>
              <w:bottom w:val="single" w:sz="4" w:space="0" w:color="FFFFFF" w:themeColor="background1"/>
              <w:right w:val="nil"/>
            </w:tcBorders>
            <w:shd w:val="clear" w:color="auto" w:fill="auto"/>
            <w:noWrap/>
            <w:vAlign w:val="bottom"/>
          </w:tcPr>
          <w:p w14:paraId="0025204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t = </w:t>
            </w:r>
            <w:r w:rsidRPr="004812DC">
              <w:rPr>
                <w:rFonts w:ascii="Garamond" w:eastAsia="Times New Roman" w:hAnsi="Garamond" w:cs="Calibri"/>
                <w:b/>
                <w:bCs/>
                <w:color w:val="000000"/>
                <w:sz w:val="22"/>
                <w:szCs w:val="22"/>
                <w:lang w:eastAsia="en-GB"/>
              </w:rPr>
              <w:t xml:space="preserve">-3.5862   </w:t>
            </w:r>
          </w:p>
        </w:tc>
      </w:tr>
      <w:tr w:rsidR="00193D32" w:rsidRPr="004812DC" w14:paraId="736C350D" w14:textId="77777777" w:rsidTr="00B86ABF">
        <w:trPr>
          <w:trHeight w:val="288"/>
        </w:trPr>
        <w:tc>
          <w:tcPr>
            <w:tcW w:w="1928"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14:paraId="2562E5FF"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H0: mean(diff) = 0</w:t>
            </w:r>
          </w:p>
        </w:tc>
        <w:tc>
          <w:tcPr>
            <w:tcW w:w="1928"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5E1E3F27"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4619" w:type="dxa"/>
            <w:gridSpan w:val="5"/>
            <w:tcBorders>
              <w:top w:val="single" w:sz="4" w:space="0" w:color="FFFFFF" w:themeColor="background1"/>
              <w:left w:val="nil"/>
              <w:bottom w:val="single" w:sz="4" w:space="0" w:color="FFFFFF" w:themeColor="background1"/>
              <w:right w:val="nil"/>
            </w:tcBorders>
            <w:shd w:val="clear" w:color="auto" w:fill="auto"/>
            <w:vAlign w:val="bottom"/>
          </w:tcPr>
          <w:p w14:paraId="49699B0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Degrees of </w:t>
            </w:r>
            <w:proofErr w:type="spellStart"/>
            <w:r w:rsidRPr="004812DC">
              <w:rPr>
                <w:rFonts w:ascii="Garamond" w:eastAsia="Times New Roman" w:hAnsi="Garamond" w:cs="Calibri"/>
                <w:color w:val="000000"/>
                <w:sz w:val="22"/>
                <w:szCs w:val="22"/>
                <w:lang w:eastAsia="en-GB"/>
              </w:rPr>
              <w:t>feedom</w:t>
            </w:r>
            <w:proofErr w:type="spellEnd"/>
            <w:r w:rsidRPr="004812DC">
              <w:rPr>
                <w:rFonts w:ascii="Garamond" w:eastAsia="Times New Roman" w:hAnsi="Garamond" w:cs="Calibri"/>
                <w:b/>
                <w:bCs/>
                <w:color w:val="000000"/>
                <w:sz w:val="22"/>
                <w:szCs w:val="22"/>
                <w:lang w:eastAsia="en-GB"/>
              </w:rPr>
              <w:t xml:space="preserve"> = 7388 </w:t>
            </w:r>
          </w:p>
        </w:tc>
      </w:tr>
      <w:tr w:rsidR="00193D32" w:rsidRPr="004812DC" w14:paraId="351FB243"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93C1CB3"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3225C4F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6E00F0B8"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r>
      <w:tr w:rsidR="00193D32" w:rsidRPr="004812DC" w14:paraId="04CC3D0C"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C069214"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&lt; 0</w:t>
            </w: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431EC5A8"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w:t>
            </w:r>
            <w:proofErr w:type="gramStart"/>
            <w:r w:rsidRPr="004812DC">
              <w:rPr>
                <w:rFonts w:ascii="Garamond" w:eastAsia="Times New Roman" w:hAnsi="Garamond" w:cs="Calibri"/>
                <w:color w:val="000000"/>
                <w:sz w:val="22"/>
                <w:szCs w:val="22"/>
                <w:lang w:eastAsia="en-GB"/>
              </w:rPr>
              <w:t>) !</w:t>
            </w:r>
            <w:proofErr w:type="gramEnd"/>
            <w:r w:rsidRPr="004812DC">
              <w:rPr>
                <w:rFonts w:ascii="Garamond" w:eastAsia="Times New Roman" w:hAnsi="Garamond" w:cs="Calibri"/>
                <w:color w:val="000000"/>
                <w:sz w:val="22"/>
                <w:szCs w:val="22"/>
                <w:lang w:eastAsia="en-GB"/>
              </w:rPr>
              <w:t>= 0</w:t>
            </w: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0E91A74F" w14:textId="77777777" w:rsidR="00193D32" w:rsidRPr="004812DC" w:rsidRDefault="00193D32" w:rsidP="00B86ABF">
            <w:pPr>
              <w:spacing w:after="0" w:line="240" w:lineRule="auto"/>
              <w:jc w:val="right"/>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&gt; 0</w:t>
            </w:r>
          </w:p>
        </w:tc>
      </w:tr>
      <w:tr w:rsidR="00193D32" w:rsidRPr="004812DC" w14:paraId="6089292E" w14:textId="77777777" w:rsidTr="00B86ABF">
        <w:trPr>
          <w:trHeight w:val="288"/>
        </w:trPr>
        <w:tc>
          <w:tcPr>
            <w:tcW w:w="2825" w:type="dxa"/>
            <w:gridSpan w:val="4"/>
            <w:tcBorders>
              <w:top w:val="single" w:sz="4" w:space="0" w:color="FFFFFF" w:themeColor="background1"/>
              <w:left w:val="nil"/>
              <w:bottom w:val="single" w:sz="4" w:space="0" w:color="auto"/>
              <w:right w:val="nil"/>
            </w:tcBorders>
            <w:shd w:val="clear" w:color="auto" w:fill="auto"/>
            <w:noWrap/>
            <w:vAlign w:val="bottom"/>
          </w:tcPr>
          <w:p w14:paraId="2A4EA371"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&lt; t) =</w:t>
            </w:r>
            <w:r w:rsidRPr="004812DC">
              <w:rPr>
                <w:rFonts w:ascii="Garamond" w:eastAsia="Times New Roman" w:hAnsi="Garamond" w:cs="Calibri"/>
                <w:b/>
                <w:bCs/>
                <w:color w:val="000000"/>
                <w:sz w:val="22"/>
                <w:szCs w:val="22"/>
                <w:lang w:eastAsia="en-GB"/>
              </w:rPr>
              <w:t xml:space="preserve"> 0.0002</w:t>
            </w:r>
          </w:p>
        </w:tc>
        <w:tc>
          <w:tcPr>
            <w:tcW w:w="2825" w:type="dxa"/>
            <w:gridSpan w:val="4"/>
            <w:tcBorders>
              <w:top w:val="single" w:sz="4" w:space="0" w:color="FFFFFF" w:themeColor="background1"/>
              <w:left w:val="nil"/>
              <w:bottom w:val="single" w:sz="4" w:space="0" w:color="auto"/>
              <w:right w:val="nil"/>
            </w:tcBorders>
            <w:shd w:val="clear" w:color="auto" w:fill="auto"/>
            <w:vAlign w:val="bottom"/>
          </w:tcPr>
          <w:p w14:paraId="25E0F4BA"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 =</w:t>
            </w:r>
            <w:r w:rsidRPr="004812DC">
              <w:rPr>
                <w:rFonts w:ascii="Garamond" w:eastAsia="Times New Roman" w:hAnsi="Garamond" w:cs="Calibri"/>
                <w:b/>
                <w:bCs/>
                <w:color w:val="000000"/>
                <w:sz w:val="22"/>
                <w:szCs w:val="22"/>
                <w:lang w:eastAsia="en-GB"/>
              </w:rPr>
              <w:t xml:space="preserve"> 0.0003</w:t>
            </w:r>
          </w:p>
        </w:tc>
        <w:tc>
          <w:tcPr>
            <w:tcW w:w="2825" w:type="dxa"/>
            <w:gridSpan w:val="3"/>
            <w:tcBorders>
              <w:top w:val="single" w:sz="4" w:space="0" w:color="FFFFFF" w:themeColor="background1"/>
              <w:left w:val="nil"/>
              <w:bottom w:val="single" w:sz="4" w:space="0" w:color="auto"/>
              <w:right w:val="nil"/>
            </w:tcBorders>
            <w:shd w:val="clear" w:color="auto" w:fill="auto"/>
            <w:vAlign w:val="bottom"/>
          </w:tcPr>
          <w:p w14:paraId="421952C5"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w:t>
            </w:r>
            <w:r w:rsidRPr="004812DC">
              <w:rPr>
                <w:rFonts w:ascii="Garamond" w:eastAsia="Times New Roman" w:hAnsi="Garamond" w:cs="Calibri"/>
                <w:b/>
                <w:bCs/>
                <w:color w:val="000000"/>
                <w:sz w:val="22"/>
                <w:szCs w:val="22"/>
                <w:lang w:eastAsia="en-GB"/>
              </w:rPr>
              <w:t xml:space="preserve"> = 0.9998 </w:t>
            </w:r>
          </w:p>
        </w:tc>
      </w:tr>
    </w:tbl>
    <w:p w14:paraId="08FDACD8" w14:textId="77777777" w:rsidR="00193D32" w:rsidRDefault="00193D32" w:rsidP="00193D32">
      <w:pPr>
        <w:pStyle w:val="TtuloSecundrioTese"/>
        <w:numPr>
          <w:ilvl w:val="0"/>
          <w:numId w:val="0"/>
        </w:numPr>
      </w:pPr>
    </w:p>
    <w:p w14:paraId="0BAA0CDA" w14:textId="77777777" w:rsidR="00210A69" w:rsidRPr="004812DC" w:rsidRDefault="00210A69" w:rsidP="00193D32">
      <w:pPr>
        <w:pStyle w:val="TtuloSecundrioTese"/>
        <w:numPr>
          <w:ilvl w:val="0"/>
          <w:numId w:val="0"/>
        </w:numPr>
      </w:pPr>
    </w:p>
    <w:p w14:paraId="06DC99DD" w14:textId="2C24A7A8" w:rsidR="00193D32" w:rsidRPr="004812DC" w:rsidRDefault="00193D32" w:rsidP="00193D32">
      <w:pPr>
        <w:pStyle w:val="Caption"/>
        <w:keepNext/>
        <w:rPr>
          <w:rFonts w:ascii="Garamond" w:hAnsi="Garamond"/>
          <w:i w:val="0"/>
          <w:iCs w:val="0"/>
          <w:color w:val="auto"/>
          <w:lang w:val="pt-PT"/>
        </w:rPr>
      </w:pPr>
      <w:bookmarkStart w:id="58" w:name="_Toc176855921"/>
      <w:r w:rsidRPr="00AC4E8A">
        <w:rPr>
          <w:rFonts w:ascii="Garamond" w:hAnsi="Garamond"/>
          <w:b/>
          <w:bCs/>
          <w:i w:val="0"/>
          <w:iCs w:val="0"/>
          <w:color w:val="auto"/>
          <w:lang w:val="pt-PT"/>
        </w:rPr>
        <w:t xml:space="preserve">Tabela </w:t>
      </w:r>
      <w:r w:rsidRPr="00AC4E8A">
        <w:rPr>
          <w:rFonts w:ascii="Garamond" w:hAnsi="Garamond"/>
          <w:b/>
          <w:bCs/>
          <w:i w:val="0"/>
          <w:iCs w:val="0"/>
          <w:color w:val="auto"/>
        </w:rPr>
        <w:fldChar w:fldCharType="begin"/>
      </w:r>
      <w:r w:rsidRPr="00AC4E8A">
        <w:rPr>
          <w:rFonts w:ascii="Garamond" w:hAnsi="Garamond"/>
          <w:b/>
          <w:bCs/>
          <w:i w:val="0"/>
          <w:iCs w:val="0"/>
          <w:color w:val="auto"/>
          <w:lang w:val="pt-PT"/>
        </w:rPr>
        <w:instrText xml:space="preserve"> SEQ Tabela \* ARABIC </w:instrText>
      </w:r>
      <w:r w:rsidRPr="00AC4E8A">
        <w:rPr>
          <w:rFonts w:ascii="Garamond" w:hAnsi="Garamond"/>
          <w:b/>
          <w:bCs/>
          <w:i w:val="0"/>
          <w:iCs w:val="0"/>
          <w:color w:val="auto"/>
        </w:rPr>
        <w:fldChar w:fldCharType="separate"/>
      </w:r>
      <w:r w:rsidR="00C01B43">
        <w:rPr>
          <w:rFonts w:ascii="Garamond" w:hAnsi="Garamond"/>
          <w:b/>
          <w:bCs/>
          <w:i w:val="0"/>
          <w:iCs w:val="0"/>
          <w:noProof/>
          <w:color w:val="auto"/>
          <w:lang w:val="pt-PT"/>
        </w:rPr>
        <w:t>9</w:t>
      </w:r>
      <w:r w:rsidRPr="00AC4E8A">
        <w:rPr>
          <w:rFonts w:ascii="Garamond" w:hAnsi="Garamond"/>
          <w:b/>
          <w:bCs/>
          <w:i w:val="0"/>
          <w:iCs w:val="0"/>
          <w:color w:val="auto"/>
        </w:rPr>
        <w:fldChar w:fldCharType="end"/>
      </w:r>
      <w:r w:rsidRPr="004812DC">
        <w:rPr>
          <w:rFonts w:ascii="Garamond" w:hAnsi="Garamond"/>
          <w:i w:val="0"/>
          <w:iCs w:val="0"/>
          <w:color w:val="auto"/>
          <w:lang w:val="pt-PT"/>
        </w:rPr>
        <w:t xml:space="preserve"> - </w:t>
      </w:r>
      <w:proofErr w:type="spellStart"/>
      <w:r w:rsidRPr="004812DC">
        <w:rPr>
          <w:rFonts w:ascii="Garamond" w:hAnsi="Garamond"/>
          <w:i w:val="0"/>
          <w:iCs w:val="0"/>
          <w:color w:val="auto"/>
          <w:lang w:val="pt-PT"/>
        </w:rPr>
        <w:t>Paired</w:t>
      </w:r>
      <w:proofErr w:type="spellEnd"/>
      <w:r w:rsidRPr="004812DC">
        <w:rPr>
          <w:rFonts w:ascii="Garamond" w:hAnsi="Garamond"/>
          <w:i w:val="0"/>
          <w:iCs w:val="0"/>
          <w:color w:val="auto"/>
          <w:lang w:val="pt-PT"/>
        </w:rPr>
        <w:t xml:space="preserve"> t </w:t>
      </w:r>
      <w:proofErr w:type="spellStart"/>
      <w:r w:rsidRPr="004812DC">
        <w:rPr>
          <w:rFonts w:ascii="Garamond" w:hAnsi="Garamond"/>
          <w:i w:val="0"/>
          <w:iCs w:val="0"/>
          <w:color w:val="auto"/>
          <w:lang w:val="pt-PT"/>
        </w:rPr>
        <w:t>test</w:t>
      </w:r>
      <w:proofErr w:type="spellEnd"/>
      <w:r w:rsidRPr="004812DC">
        <w:rPr>
          <w:rFonts w:ascii="Garamond" w:hAnsi="Garamond"/>
          <w:i w:val="0"/>
          <w:iCs w:val="0"/>
          <w:color w:val="auto"/>
          <w:lang w:val="pt-PT"/>
        </w:rPr>
        <w:t xml:space="preserve"> entre as variáveis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m:t>
            </m:r>
          </m:sub>
        </m:sSub>
      </m:oMath>
      <w:r w:rsidRPr="004812DC">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Pr="004812DC">
        <w:rPr>
          <w:rFonts w:ascii="Garamond" w:hAnsi="Garamond"/>
          <w:bCs/>
          <w:i w:val="0"/>
          <w:iCs w:val="0"/>
          <w:color w:val="auto"/>
          <w:lang w:val="pt-PT"/>
        </w:rPr>
        <w:t xml:space="preserve"> </w:t>
      </w:r>
      <w:r w:rsidRPr="004812DC">
        <w:rPr>
          <w:rFonts w:ascii="Garamond" w:hAnsi="Garamond"/>
          <w:i w:val="0"/>
          <w:iCs w:val="0"/>
          <w:color w:val="auto"/>
          <w:lang w:val="pt-PT"/>
        </w:rPr>
        <w:t>da subamostra principal do ano 2021</w:t>
      </w:r>
      <w:bookmarkEnd w:id="58"/>
    </w:p>
    <w:tbl>
      <w:tblPr>
        <w:tblW w:w="8475" w:type="dxa"/>
        <w:tblLook w:val="04A0" w:firstRow="1" w:lastRow="0" w:firstColumn="1" w:lastColumn="0" w:noHBand="0" w:noVBand="1"/>
      </w:tblPr>
      <w:tblGrid>
        <w:gridCol w:w="1659"/>
        <w:gridCol w:w="269"/>
        <w:gridCol w:w="588"/>
        <w:gridCol w:w="309"/>
        <w:gridCol w:w="847"/>
        <w:gridCol w:w="184"/>
        <w:gridCol w:w="872"/>
        <w:gridCol w:w="922"/>
        <w:gridCol w:w="134"/>
        <w:gridCol w:w="1235"/>
        <w:gridCol w:w="1456"/>
      </w:tblGrid>
      <w:tr w:rsidR="00193D32" w:rsidRPr="004812DC" w14:paraId="5394C6E7" w14:textId="77777777" w:rsidTr="00B86ABF">
        <w:trPr>
          <w:trHeight w:val="288"/>
        </w:trPr>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58075A06"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Variable</w:t>
            </w:r>
          </w:p>
        </w:tc>
        <w:tc>
          <w:tcPr>
            <w:tcW w:w="857" w:type="dxa"/>
            <w:gridSpan w:val="2"/>
            <w:tcBorders>
              <w:top w:val="single" w:sz="4" w:space="0" w:color="auto"/>
              <w:left w:val="single" w:sz="4" w:space="0" w:color="auto"/>
              <w:bottom w:val="single" w:sz="4" w:space="0" w:color="auto"/>
              <w:right w:val="nil"/>
            </w:tcBorders>
            <w:shd w:val="clear" w:color="auto" w:fill="auto"/>
            <w:noWrap/>
            <w:vAlign w:val="bottom"/>
            <w:hideMark/>
          </w:tcPr>
          <w:p w14:paraId="2D156E80"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Obs</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2A3CE191"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Mean</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7CA652EF"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 xml:space="preserve">Std. </w:t>
            </w:r>
            <w:proofErr w:type="gramStart"/>
            <w:r w:rsidRPr="00CD3136">
              <w:rPr>
                <w:rFonts w:ascii="Garamond" w:eastAsia="Times New Roman" w:hAnsi="Garamond" w:cs="Calibri"/>
                <w:color w:val="000000"/>
                <w:sz w:val="22"/>
                <w:szCs w:val="22"/>
                <w:lang w:eastAsia="en-GB"/>
              </w:rPr>
              <w:t>err</w:t>
            </w:r>
            <w:proofErr w:type="gramEnd"/>
            <w:r w:rsidRPr="00CD3136">
              <w:rPr>
                <w:rFonts w:ascii="Garamond" w:eastAsia="Times New Roman" w:hAnsi="Garamond" w:cs="Calibri"/>
                <w:color w:val="000000"/>
                <w:sz w:val="22"/>
                <w:szCs w:val="22"/>
                <w:lang w:eastAsia="en-GB"/>
              </w:rPr>
              <w:t>.</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13C8A42C"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Std. dev.</w:t>
            </w:r>
          </w:p>
        </w:tc>
        <w:tc>
          <w:tcPr>
            <w:tcW w:w="2691" w:type="dxa"/>
            <w:gridSpan w:val="2"/>
            <w:tcBorders>
              <w:top w:val="single" w:sz="4" w:space="0" w:color="auto"/>
              <w:left w:val="nil"/>
              <w:bottom w:val="single" w:sz="4" w:space="0" w:color="auto"/>
              <w:right w:val="nil"/>
            </w:tcBorders>
            <w:shd w:val="clear" w:color="auto" w:fill="auto"/>
            <w:noWrap/>
            <w:vAlign w:val="bottom"/>
            <w:hideMark/>
          </w:tcPr>
          <w:p w14:paraId="134EDD84" w14:textId="77777777" w:rsidR="00193D32" w:rsidRPr="00CD3136" w:rsidRDefault="00193D32" w:rsidP="00B86ABF">
            <w:pPr>
              <w:spacing w:after="0" w:line="240" w:lineRule="auto"/>
              <w:jc w:val="center"/>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[95% conf.</w:t>
            </w:r>
            <w:r w:rsidRPr="004812DC">
              <w:rPr>
                <w:rFonts w:ascii="Garamond" w:eastAsia="Times New Roman" w:hAnsi="Garamond" w:cs="Calibri"/>
                <w:color w:val="000000"/>
                <w:sz w:val="22"/>
                <w:szCs w:val="22"/>
                <w:lang w:eastAsia="en-GB"/>
              </w:rPr>
              <w:t xml:space="preserve"> </w:t>
            </w:r>
            <w:r w:rsidRPr="00CD3136">
              <w:rPr>
                <w:rFonts w:ascii="Garamond" w:eastAsia="Times New Roman" w:hAnsi="Garamond" w:cs="Calibri"/>
                <w:color w:val="000000"/>
                <w:sz w:val="22"/>
                <w:szCs w:val="22"/>
                <w:lang w:eastAsia="en-GB"/>
              </w:rPr>
              <w:t>interval]</w:t>
            </w:r>
          </w:p>
        </w:tc>
      </w:tr>
      <w:tr w:rsidR="00193D32" w:rsidRPr="004812DC" w14:paraId="448EBCEF" w14:textId="77777777" w:rsidTr="00B86ABF">
        <w:trPr>
          <w:trHeight w:val="288"/>
        </w:trPr>
        <w:tc>
          <w:tcPr>
            <w:tcW w:w="1659" w:type="dxa"/>
            <w:tcBorders>
              <w:top w:val="single" w:sz="4" w:space="0" w:color="auto"/>
              <w:left w:val="nil"/>
              <w:bottom w:val="nil"/>
              <w:right w:val="single" w:sz="4" w:space="0" w:color="auto"/>
            </w:tcBorders>
            <w:shd w:val="clear" w:color="auto" w:fill="auto"/>
            <w:noWrap/>
            <w:vAlign w:val="bottom"/>
            <w:hideMark/>
          </w:tcPr>
          <w:p w14:paraId="0D9F5D5E"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single" w:sz="4" w:space="0" w:color="auto"/>
              <w:left w:val="single" w:sz="4" w:space="0" w:color="auto"/>
              <w:bottom w:val="nil"/>
              <w:right w:val="nil"/>
            </w:tcBorders>
            <w:shd w:val="clear" w:color="auto" w:fill="auto"/>
            <w:noWrap/>
            <w:vAlign w:val="bottom"/>
          </w:tcPr>
          <w:p w14:paraId="35CDA3A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single" w:sz="4" w:space="0" w:color="auto"/>
              <w:left w:val="nil"/>
              <w:bottom w:val="nil"/>
              <w:right w:val="nil"/>
            </w:tcBorders>
            <w:shd w:val="clear" w:color="auto" w:fill="auto"/>
            <w:noWrap/>
            <w:vAlign w:val="bottom"/>
          </w:tcPr>
          <w:p w14:paraId="2D0B587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-.0015474</w:t>
            </w:r>
          </w:p>
        </w:tc>
        <w:tc>
          <w:tcPr>
            <w:tcW w:w="1056" w:type="dxa"/>
            <w:gridSpan w:val="2"/>
            <w:tcBorders>
              <w:top w:val="single" w:sz="4" w:space="0" w:color="auto"/>
              <w:left w:val="nil"/>
              <w:bottom w:val="nil"/>
              <w:right w:val="nil"/>
            </w:tcBorders>
            <w:shd w:val="clear" w:color="auto" w:fill="auto"/>
            <w:noWrap/>
            <w:vAlign w:val="bottom"/>
          </w:tcPr>
          <w:p w14:paraId="274CB1A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.0014178</w:t>
            </w:r>
          </w:p>
        </w:tc>
        <w:tc>
          <w:tcPr>
            <w:tcW w:w="1056" w:type="dxa"/>
            <w:gridSpan w:val="2"/>
            <w:tcBorders>
              <w:top w:val="single" w:sz="4" w:space="0" w:color="auto"/>
              <w:left w:val="nil"/>
              <w:bottom w:val="nil"/>
              <w:right w:val="nil"/>
            </w:tcBorders>
            <w:shd w:val="clear" w:color="auto" w:fill="auto"/>
            <w:noWrap/>
            <w:vAlign w:val="bottom"/>
          </w:tcPr>
          <w:p w14:paraId="444936C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.1218745</w:t>
            </w:r>
          </w:p>
        </w:tc>
        <w:tc>
          <w:tcPr>
            <w:tcW w:w="1235" w:type="dxa"/>
            <w:tcBorders>
              <w:top w:val="single" w:sz="4" w:space="0" w:color="auto"/>
              <w:left w:val="nil"/>
              <w:bottom w:val="nil"/>
              <w:right w:val="nil"/>
            </w:tcBorders>
            <w:shd w:val="clear" w:color="auto" w:fill="auto"/>
            <w:noWrap/>
            <w:vAlign w:val="bottom"/>
          </w:tcPr>
          <w:p w14:paraId="47C65C16"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-.0043267</w:t>
            </w:r>
          </w:p>
        </w:tc>
        <w:tc>
          <w:tcPr>
            <w:tcW w:w="1456" w:type="dxa"/>
            <w:tcBorders>
              <w:top w:val="single" w:sz="4" w:space="0" w:color="auto"/>
              <w:left w:val="nil"/>
              <w:bottom w:val="nil"/>
              <w:right w:val="nil"/>
            </w:tcBorders>
            <w:shd w:val="clear" w:color="auto" w:fill="auto"/>
            <w:noWrap/>
            <w:vAlign w:val="bottom"/>
          </w:tcPr>
          <w:p w14:paraId="1FC786E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.0012319</w:t>
            </w:r>
          </w:p>
        </w:tc>
      </w:tr>
      <w:tr w:rsidR="00193D32" w:rsidRPr="004812DC" w14:paraId="4EB36445" w14:textId="77777777" w:rsidTr="00B86ABF">
        <w:trPr>
          <w:trHeight w:val="288"/>
        </w:trPr>
        <w:tc>
          <w:tcPr>
            <w:tcW w:w="1659" w:type="dxa"/>
            <w:tcBorders>
              <w:top w:val="nil"/>
              <w:left w:val="nil"/>
              <w:bottom w:val="single" w:sz="4" w:space="0" w:color="auto"/>
              <w:right w:val="single" w:sz="4" w:space="0" w:color="auto"/>
            </w:tcBorders>
            <w:shd w:val="clear" w:color="auto" w:fill="auto"/>
            <w:noWrap/>
            <w:vAlign w:val="bottom"/>
            <w:hideMark/>
          </w:tcPr>
          <w:p w14:paraId="32F2EA14"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nil"/>
              <w:left w:val="single" w:sz="4" w:space="0" w:color="auto"/>
              <w:bottom w:val="single" w:sz="4" w:space="0" w:color="auto"/>
              <w:right w:val="nil"/>
            </w:tcBorders>
            <w:shd w:val="clear" w:color="auto" w:fill="auto"/>
            <w:noWrap/>
            <w:vAlign w:val="bottom"/>
          </w:tcPr>
          <w:p w14:paraId="2C0ABF2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nil"/>
              <w:left w:val="nil"/>
              <w:bottom w:val="single" w:sz="4" w:space="0" w:color="auto"/>
              <w:right w:val="nil"/>
            </w:tcBorders>
            <w:shd w:val="clear" w:color="auto" w:fill="auto"/>
            <w:noWrap/>
            <w:vAlign w:val="bottom"/>
          </w:tcPr>
          <w:p w14:paraId="33543CB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-.0024623</w:t>
            </w:r>
          </w:p>
        </w:tc>
        <w:tc>
          <w:tcPr>
            <w:tcW w:w="1056" w:type="dxa"/>
            <w:gridSpan w:val="2"/>
            <w:tcBorders>
              <w:top w:val="nil"/>
              <w:left w:val="nil"/>
              <w:bottom w:val="single" w:sz="4" w:space="0" w:color="auto"/>
              <w:right w:val="nil"/>
            </w:tcBorders>
            <w:shd w:val="clear" w:color="auto" w:fill="auto"/>
            <w:noWrap/>
            <w:vAlign w:val="bottom"/>
          </w:tcPr>
          <w:p w14:paraId="41AA3AD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.0013918</w:t>
            </w:r>
          </w:p>
        </w:tc>
        <w:tc>
          <w:tcPr>
            <w:tcW w:w="1056" w:type="dxa"/>
            <w:gridSpan w:val="2"/>
            <w:tcBorders>
              <w:top w:val="nil"/>
              <w:left w:val="nil"/>
              <w:bottom w:val="single" w:sz="4" w:space="0" w:color="auto"/>
              <w:right w:val="nil"/>
            </w:tcBorders>
            <w:shd w:val="clear" w:color="auto" w:fill="auto"/>
            <w:noWrap/>
            <w:vAlign w:val="bottom"/>
          </w:tcPr>
          <w:p w14:paraId="3AA0BF7F"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.1196359</w:t>
            </w:r>
          </w:p>
        </w:tc>
        <w:tc>
          <w:tcPr>
            <w:tcW w:w="1235" w:type="dxa"/>
            <w:tcBorders>
              <w:top w:val="nil"/>
              <w:left w:val="nil"/>
              <w:bottom w:val="single" w:sz="4" w:space="0" w:color="auto"/>
              <w:right w:val="nil"/>
            </w:tcBorders>
            <w:shd w:val="clear" w:color="auto" w:fill="auto"/>
            <w:noWrap/>
            <w:vAlign w:val="bottom"/>
          </w:tcPr>
          <w:p w14:paraId="43DF401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-.0051906</w:t>
            </w:r>
          </w:p>
        </w:tc>
        <w:tc>
          <w:tcPr>
            <w:tcW w:w="1456" w:type="dxa"/>
            <w:tcBorders>
              <w:top w:val="nil"/>
              <w:left w:val="nil"/>
              <w:bottom w:val="single" w:sz="4" w:space="0" w:color="auto"/>
              <w:right w:val="nil"/>
            </w:tcBorders>
            <w:shd w:val="clear" w:color="auto" w:fill="auto"/>
            <w:noWrap/>
            <w:vAlign w:val="bottom"/>
          </w:tcPr>
          <w:p w14:paraId="66AB24E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.000266</w:t>
            </w:r>
          </w:p>
        </w:tc>
      </w:tr>
      <w:tr w:rsidR="00193D32" w:rsidRPr="004812DC" w14:paraId="5B88C246" w14:textId="77777777" w:rsidTr="00B86ABF">
        <w:trPr>
          <w:trHeight w:val="288"/>
        </w:trPr>
        <w:tc>
          <w:tcPr>
            <w:tcW w:w="1659" w:type="dxa"/>
            <w:tcBorders>
              <w:top w:val="single" w:sz="4" w:space="0" w:color="auto"/>
              <w:left w:val="nil"/>
              <w:bottom w:val="single" w:sz="4" w:space="0" w:color="FFFFFF" w:themeColor="background1"/>
              <w:right w:val="single" w:sz="4" w:space="0" w:color="auto"/>
            </w:tcBorders>
            <w:shd w:val="clear" w:color="auto" w:fill="auto"/>
            <w:noWrap/>
            <w:vAlign w:val="bottom"/>
            <w:hideMark/>
          </w:tcPr>
          <w:p w14:paraId="531A874D"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diff</w:t>
            </w:r>
          </w:p>
        </w:tc>
        <w:tc>
          <w:tcPr>
            <w:tcW w:w="857" w:type="dxa"/>
            <w:gridSpan w:val="2"/>
            <w:tcBorders>
              <w:top w:val="single" w:sz="4" w:space="0" w:color="auto"/>
              <w:left w:val="single" w:sz="4" w:space="0" w:color="auto"/>
              <w:bottom w:val="single" w:sz="4" w:space="0" w:color="FFFFFF" w:themeColor="background1"/>
              <w:right w:val="nil"/>
            </w:tcBorders>
            <w:shd w:val="clear" w:color="auto" w:fill="auto"/>
            <w:noWrap/>
            <w:vAlign w:val="bottom"/>
          </w:tcPr>
          <w:p w14:paraId="3BC585D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single" w:sz="4" w:space="0" w:color="auto"/>
              <w:left w:val="nil"/>
              <w:bottom w:val="single" w:sz="4" w:space="0" w:color="auto"/>
              <w:right w:val="nil"/>
            </w:tcBorders>
            <w:shd w:val="clear" w:color="auto" w:fill="auto"/>
            <w:noWrap/>
            <w:vAlign w:val="bottom"/>
          </w:tcPr>
          <w:p w14:paraId="23AB6B8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.0009149</w:t>
            </w:r>
          </w:p>
        </w:tc>
        <w:tc>
          <w:tcPr>
            <w:tcW w:w="1056" w:type="dxa"/>
            <w:gridSpan w:val="2"/>
            <w:tcBorders>
              <w:top w:val="single" w:sz="4" w:space="0" w:color="auto"/>
              <w:left w:val="nil"/>
              <w:bottom w:val="single" w:sz="4" w:space="0" w:color="auto"/>
              <w:right w:val="nil"/>
            </w:tcBorders>
            <w:shd w:val="clear" w:color="auto" w:fill="auto"/>
            <w:noWrap/>
            <w:vAlign w:val="bottom"/>
          </w:tcPr>
          <w:p w14:paraId="02491AA0"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.0019089</w:t>
            </w:r>
          </w:p>
        </w:tc>
        <w:tc>
          <w:tcPr>
            <w:tcW w:w="1056" w:type="dxa"/>
            <w:gridSpan w:val="2"/>
            <w:tcBorders>
              <w:top w:val="single" w:sz="4" w:space="0" w:color="auto"/>
              <w:left w:val="nil"/>
              <w:bottom w:val="single" w:sz="4" w:space="0" w:color="auto"/>
              <w:right w:val="nil"/>
            </w:tcBorders>
            <w:shd w:val="clear" w:color="auto" w:fill="auto"/>
            <w:noWrap/>
            <w:vAlign w:val="bottom"/>
          </w:tcPr>
          <w:p w14:paraId="498F13E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.1640904</w:t>
            </w:r>
          </w:p>
        </w:tc>
        <w:tc>
          <w:tcPr>
            <w:tcW w:w="1235" w:type="dxa"/>
            <w:tcBorders>
              <w:top w:val="single" w:sz="4" w:space="0" w:color="auto"/>
              <w:left w:val="nil"/>
              <w:bottom w:val="single" w:sz="4" w:space="0" w:color="auto"/>
              <w:right w:val="nil"/>
            </w:tcBorders>
            <w:shd w:val="clear" w:color="auto" w:fill="auto"/>
            <w:noWrap/>
            <w:vAlign w:val="bottom"/>
          </w:tcPr>
          <w:p w14:paraId="10FBBCC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-.0028271</w:t>
            </w:r>
          </w:p>
        </w:tc>
        <w:tc>
          <w:tcPr>
            <w:tcW w:w="1456" w:type="dxa"/>
            <w:tcBorders>
              <w:top w:val="single" w:sz="4" w:space="0" w:color="auto"/>
              <w:left w:val="nil"/>
              <w:bottom w:val="single" w:sz="4" w:space="0" w:color="auto"/>
              <w:right w:val="nil"/>
            </w:tcBorders>
            <w:shd w:val="clear" w:color="auto" w:fill="auto"/>
            <w:noWrap/>
            <w:vAlign w:val="bottom"/>
          </w:tcPr>
          <w:p w14:paraId="24869ED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.004657</w:t>
            </w:r>
          </w:p>
        </w:tc>
      </w:tr>
      <w:tr w:rsidR="00193D32" w:rsidRPr="004812DC" w14:paraId="19832751" w14:textId="77777777" w:rsidTr="00B86ABF">
        <w:trPr>
          <w:trHeight w:val="288"/>
        </w:trPr>
        <w:tc>
          <w:tcPr>
            <w:tcW w:w="5784" w:type="dxa"/>
            <w:gridSpan w:val="9"/>
            <w:tcBorders>
              <w:top w:val="single" w:sz="4" w:space="0" w:color="auto"/>
              <w:left w:val="nil"/>
              <w:bottom w:val="single" w:sz="4" w:space="0" w:color="FFFFFF" w:themeColor="background1"/>
              <w:right w:val="nil"/>
            </w:tcBorders>
            <w:shd w:val="clear" w:color="auto" w:fill="auto"/>
            <w:noWrap/>
            <w:vAlign w:val="bottom"/>
          </w:tcPr>
          <w:p w14:paraId="2891D04C"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mean(diff) = </w:t>
            </w:r>
            <w:proofErr w:type="gramStart"/>
            <w:r w:rsidRPr="004812DC">
              <w:rPr>
                <w:rFonts w:ascii="Garamond" w:eastAsia="Times New Roman" w:hAnsi="Garamond" w:cs="Calibri"/>
                <w:color w:val="000000"/>
                <w:sz w:val="22"/>
                <w:szCs w:val="22"/>
                <w:lang w:eastAsia="en-GB"/>
              </w:rPr>
              <w:t>mean(</w:t>
            </w:r>
            <w:proofErr w:type="gramEnd"/>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sub>
              </m:sSub>
            </m:oMath>
            <w:r w:rsidRPr="004812DC">
              <w:rPr>
                <w:rFonts w:ascii="Garamond" w:eastAsia="Times New Roman" w:hAnsi="Garamond" w:cs="Calibri"/>
                <w:b/>
                <w:color w:val="000000"/>
                <w:sz w:val="22"/>
                <w:szCs w:val="22"/>
                <w:lang w:eastAsia="en-GB"/>
              </w:rPr>
              <w:t xml:space="preserve">- </w:t>
            </w:r>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r>
                    <m:rPr>
                      <m:sty m:val="bi"/>
                    </m:rPr>
                    <w:rPr>
                      <w:rFonts w:ascii="Cambria Math" w:hAnsi="Cambria Math"/>
                      <w:sz w:val="24"/>
                      <w:szCs w:val="24"/>
                    </w:rPr>
                    <m:t>-1</m:t>
                  </m:r>
                </m:sub>
              </m:sSub>
            </m:oMath>
            <w:r w:rsidRPr="004812DC">
              <w:rPr>
                <w:rFonts w:ascii="Garamond" w:eastAsia="Times New Roman" w:hAnsi="Garamond" w:cs="Calibri"/>
                <w:color w:val="000000"/>
                <w:sz w:val="22"/>
                <w:szCs w:val="22"/>
                <w:lang w:eastAsia="en-GB"/>
              </w:rPr>
              <w:t>)</w:t>
            </w:r>
          </w:p>
        </w:tc>
        <w:tc>
          <w:tcPr>
            <w:tcW w:w="1235" w:type="dxa"/>
            <w:tcBorders>
              <w:top w:val="single" w:sz="4" w:space="0" w:color="auto"/>
              <w:left w:val="nil"/>
              <w:bottom w:val="single" w:sz="4" w:space="0" w:color="FFFFFF" w:themeColor="background1"/>
              <w:right w:val="nil"/>
            </w:tcBorders>
            <w:shd w:val="clear" w:color="auto" w:fill="auto"/>
            <w:noWrap/>
            <w:vAlign w:val="bottom"/>
          </w:tcPr>
          <w:p w14:paraId="7CF0B76B"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56" w:type="dxa"/>
            <w:tcBorders>
              <w:top w:val="single" w:sz="4" w:space="0" w:color="auto"/>
              <w:left w:val="nil"/>
              <w:bottom w:val="single" w:sz="4" w:space="0" w:color="FFFFFF" w:themeColor="background1"/>
              <w:right w:val="nil"/>
            </w:tcBorders>
            <w:shd w:val="clear" w:color="auto" w:fill="auto"/>
            <w:noWrap/>
            <w:vAlign w:val="bottom"/>
          </w:tcPr>
          <w:p w14:paraId="39B96C79"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t = </w:t>
            </w:r>
            <w:r w:rsidRPr="004812DC">
              <w:rPr>
                <w:rFonts w:ascii="Garamond" w:eastAsia="Times New Roman" w:hAnsi="Garamond" w:cs="Calibri"/>
                <w:b/>
                <w:bCs/>
                <w:color w:val="000000"/>
                <w:sz w:val="22"/>
                <w:szCs w:val="22"/>
                <w:lang w:eastAsia="en-GB"/>
              </w:rPr>
              <w:t xml:space="preserve">0.4793   </w:t>
            </w:r>
          </w:p>
        </w:tc>
      </w:tr>
      <w:tr w:rsidR="00193D32" w:rsidRPr="004812DC" w14:paraId="0D2EDB12" w14:textId="77777777" w:rsidTr="00B86ABF">
        <w:trPr>
          <w:trHeight w:val="288"/>
        </w:trPr>
        <w:tc>
          <w:tcPr>
            <w:tcW w:w="1928"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14:paraId="5787FB3B"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H0: mean(diff) = 0</w:t>
            </w:r>
          </w:p>
        </w:tc>
        <w:tc>
          <w:tcPr>
            <w:tcW w:w="1928"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16BDF81A"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4619" w:type="dxa"/>
            <w:gridSpan w:val="5"/>
            <w:tcBorders>
              <w:top w:val="single" w:sz="4" w:space="0" w:color="FFFFFF" w:themeColor="background1"/>
              <w:left w:val="nil"/>
              <w:bottom w:val="single" w:sz="4" w:space="0" w:color="FFFFFF" w:themeColor="background1"/>
              <w:right w:val="nil"/>
            </w:tcBorders>
            <w:shd w:val="clear" w:color="auto" w:fill="auto"/>
            <w:vAlign w:val="bottom"/>
          </w:tcPr>
          <w:p w14:paraId="10E3C5FB"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Degrees of </w:t>
            </w:r>
            <w:proofErr w:type="spellStart"/>
            <w:r w:rsidRPr="004812DC">
              <w:rPr>
                <w:rFonts w:ascii="Garamond" w:eastAsia="Times New Roman" w:hAnsi="Garamond" w:cs="Calibri"/>
                <w:color w:val="000000"/>
                <w:sz w:val="22"/>
                <w:szCs w:val="22"/>
                <w:lang w:eastAsia="en-GB"/>
              </w:rPr>
              <w:t>feedom</w:t>
            </w:r>
            <w:proofErr w:type="spellEnd"/>
            <w:r w:rsidRPr="004812DC">
              <w:rPr>
                <w:rFonts w:ascii="Garamond" w:eastAsia="Times New Roman" w:hAnsi="Garamond" w:cs="Calibri"/>
                <w:b/>
                <w:bCs/>
                <w:color w:val="000000"/>
                <w:sz w:val="22"/>
                <w:szCs w:val="22"/>
                <w:lang w:eastAsia="en-GB"/>
              </w:rPr>
              <w:t xml:space="preserve"> = 7388 </w:t>
            </w:r>
          </w:p>
        </w:tc>
      </w:tr>
      <w:tr w:rsidR="00193D32" w:rsidRPr="004812DC" w14:paraId="5ABB8033"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5996ED72"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0E201931"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00731A1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r>
      <w:tr w:rsidR="00193D32" w:rsidRPr="004812DC" w14:paraId="39D492C6"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6631FAB2"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&lt; 0</w:t>
            </w: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266B5FA0"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w:t>
            </w:r>
            <w:proofErr w:type="gramStart"/>
            <w:r w:rsidRPr="004812DC">
              <w:rPr>
                <w:rFonts w:ascii="Garamond" w:eastAsia="Times New Roman" w:hAnsi="Garamond" w:cs="Calibri"/>
                <w:color w:val="000000"/>
                <w:sz w:val="22"/>
                <w:szCs w:val="22"/>
                <w:lang w:eastAsia="en-GB"/>
              </w:rPr>
              <w:t>) !</w:t>
            </w:r>
            <w:proofErr w:type="gramEnd"/>
            <w:r w:rsidRPr="004812DC">
              <w:rPr>
                <w:rFonts w:ascii="Garamond" w:eastAsia="Times New Roman" w:hAnsi="Garamond" w:cs="Calibri"/>
                <w:color w:val="000000"/>
                <w:sz w:val="22"/>
                <w:szCs w:val="22"/>
                <w:lang w:eastAsia="en-GB"/>
              </w:rPr>
              <w:t>= 0</w:t>
            </w: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00403241" w14:textId="77777777" w:rsidR="00193D32" w:rsidRPr="004812DC" w:rsidRDefault="00193D32" w:rsidP="00B86ABF">
            <w:pPr>
              <w:spacing w:after="0" w:line="240" w:lineRule="auto"/>
              <w:jc w:val="right"/>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&gt; 0</w:t>
            </w:r>
          </w:p>
        </w:tc>
      </w:tr>
      <w:tr w:rsidR="00193D32" w:rsidRPr="004812DC" w14:paraId="4CBF3686" w14:textId="77777777" w:rsidTr="00B86ABF">
        <w:trPr>
          <w:trHeight w:val="288"/>
        </w:trPr>
        <w:tc>
          <w:tcPr>
            <w:tcW w:w="2825" w:type="dxa"/>
            <w:gridSpan w:val="4"/>
            <w:tcBorders>
              <w:top w:val="single" w:sz="4" w:space="0" w:color="FFFFFF" w:themeColor="background1"/>
              <w:left w:val="nil"/>
              <w:bottom w:val="single" w:sz="4" w:space="0" w:color="auto"/>
              <w:right w:val="nil"/>
            </w:tcBorders>
            <w:shd w:val="clear" w:color="auto" w:fill="auto"/>
            <w:noWrap/>
            <w:vAlign w:val="bottom"/>
          </w:tcPr>
          <w:p w14:paraId="2B0F8163"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&lt; t) =</w:t>
            </w:r>
            <w:r w:rsidRPr="004812DC">
              <w:rPr>
                <w:rFonts w:ascii="Garamond" w:eastAsia="Times New Roman" w:hAnsi="Garamond" w:cs="Calibri"/>
                <w:b/>
                <w:bCs/>
                <w:color w:val="000000"/>
                <w:sz w:val="22"/>
                <w:szCs w:val="22"/>
                <w:lang w:eastAsia="en-GB"/>
              </w:rPr>
              <w:t xml:space="preserve">  0.6841</w:t>
            </w:r>
          </w:p>
        </w:tc>
        <w:tc>
          <w:tcPr>
            <w:tcW w:w="2825" w:type="dxa"/>
            <w:gridSpan w:val="4"/>
            <w:tcBorders>
              <w:top w:val="single" w:sz="4" w:space="0" w:color="FFFFFF" w:themeColor="background1"/>
              <w:left w:val="nil"/>
              <w:bottom w:val="single" w:sz="4" w:space="0" w:color="auto"/>
              <w:right w:val="nil"/>
            </w:tcBorders>
            <w:shd w:val="clear" w:color="auto" w:fill="auto"/>
            <w:vAlign w:val="bottom"/>
          </w:tcPr>
          <w:p w14:paraId="0CE37175"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 =</w:t>
            </w:r>
            <w:r w:rsidRPr="004812DC">
              <w:rPr>
                <w:rFonts w:ascii="Garamond" w:eastAsia="Times New Roman" w:hAnsi="Garamond" w:cs="Calibri"/>
                <w:b/>
                <w:bCs/>
                <w:color w:val="000000"/>
                <w:sz w:val="22"/>
                <w:szCs w:val="22"/>
                <w:lang w:eastAsia="en-GB"/>
              </w:rPr>
              <w:t xml:space="preserve"> 0.6318</w:t>
            </w:r>
          </w:p>
        </w:tc>
        <w:tc>
          <w:tcPr>
            <w:tcW w:w="2825" w:type="dxa"/>
            <w:gridSpan w:val="3"/>
            <w:tcBorders>
              <w:top w:val="single" w:sz="4" w:space="0" w:color="FFFFFF" w:themeColor="background1"/>
              <w:left w:val="nil"/>
              <w:bottom w:val="single" w:sz="4" w:space="0" w:color="auto"/>
              <w:right w:val="nil"/>
            </w:tcBorders>
            <w:shd w:val="clear" w:color="auto" w:fill="auto"/>
            <w:vAlign w:val="bottom"/>
          </w:tcPr>
          <w:p w14:paraId="0C845BB7"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w:t>
            </w:r>
            <w:r w:rsidRPr="004812DC">
              <w:rPr>
                <w:rFonts w:ascii="Garamond" w:eastAsia="Times New Roman" w:hAnsi="Garamond" w:cs="Calibri"/>
                <w:b/>
                <w:bCs/>
                <w:color w:val="000000"/>
                <w:sz w:val="22"/>
                <w:szCs w:val="22"/>
                <w:lang w:eastAsia="en-GB"/>
              </w:rPr>
              <w:t xml:space="preserve"> = 0.3159  </w:t>
            </w:r>
          </w:p>
        </w:tc>
      </w:tr>
    </w:tbl>
    <w:p w14:paraId="5E9B919D" w14:textId="77777777" w:rsidR="00193D32" w:rsidRDefault="00193D32" w:rsidP="00193D32">
      <w:pPr>
        <w:pStyle w:val="TtuloSecundrioTese"/>
        <w:numPr>
          <w:ilvl w:val="0"/>
          <w:numId w:val="0"/>
        </w:numPr>
      </w:pPr>
    </w:p>
    <w:p w14:paraId="0D55F63F" w14:textId="77777777" w:rsidR="003308D8" w:rsidRPr="004812DC" w:rsidRDefault="003308D8" w:rsidP="00193D32">
      <w:pPr>
        <w:pStyle w:val="TtuloSecundrioTese"/>
        <w:numPr>
          <w:ilvl w:val="0"/>
          <w:numId w:val="0"/>
        </w:numPr>
      </w:pPr>
    </w:p>
    <w:p w14:paraId="112E1333" w14:textId="40988857" w:rsidR="00193D32" w:rsidRPr="004812DC" w:rsidRDefault="00193D32" w:rsidP="00193D32">
      <w:pPr>
        <w:pStyle w:val="Caption"/>
        <w:keepNext/>
        <w:rPr>
          <w:rFonts w:ascii="Garamond" w:hAnsi="Garamond"/>
          <w:i w:val="0"/>
          <w:iCs w:val="0"/>
          <w:lang w:val="pt-PT"/>
        </w:rPr>
      </w:pPr>
      <w:bookmarkStart w:id="59" w:name="_Toc176855922"/>
      <w:r w:rsidRPr="00AC4E8A">
        <w:rPr>
          <w:rFonts w:ascii="Garamond" w:hAnsi="Garamond"/>
          <w:b/>
          <w:bCs/>
          <w:i w:val="0"/>
          <w:iCs w:val="0"/>
          <w:color w:val="auto"/>
          <w:lang w:val="pt-PT"/>
        </w:rPr>
        <w:t xml:space="preserve">Tabela </w:t>
      </w:r>
      <w:r w:rsidRPr="00AC4E8A">
        <w:rPr>
          <w:rFonts w:ascii="Garamond" w:hAnsi="Garamond"/>
          <w:b/>
          <w:bCs/>
          <w:i w:val="0"/>
          <w:iCs w:val="0"/>
          <w:color w:val="auto"/>
        </w:rPr>
        <w:fldChar w:fldCharType="begin"/>
      </w:r>
      <w:r w:rsidRPr="00AC4E8A">
        <w:rPr>
          <w:rFonts w:ascii="Garamond" w:hAnsi="Garamond"/>
          <w:b/>
          <w:bCs/>
          <w:i w:val="0"/>
          <w:iCs w:val="0"/>
          <w:color w:val="auto"/>
          <w:lang w:val="pt-PT"/>
        </w:rPr>
        <w:instrText xml:space="preserve"> SEQ Tabela \* ARABIC </w:instrText>
      </w:r>
      <w:r w:rsidRPr="00AC4E8A">
        <w:rPr>
          <w:rFonts w:ascii="Garamond" w:hAnsi="Garamond"/>
          <w:b/>
          <w:bCs/>
          <w:i w:val="0"/>
          <w:iCs w:val="0"/>
          <w:color w:val="auto"/>
        </w:rPr>
        <w:fldChar w:fldCharType="separate"/>
      </w:r>
      <w:r w:rsidR="00C01B43">
        <w:rPr>
          <w:rFonts w:ascii="Garamond" w:hAnsi="Garamond"/>
          <w:b/>
          <w:bCs/>
          <w:i w:val="0"/>
          <w:iCs w:val="0"/>
          <w:noProof/>
          <w:color w:val="auto"/>
          <w:lang w:val="pt-PT"/>
        </w:rPr>
        <w:t>10</w:t>
      </w:r>
      <w:r w:rsidRPr="00AC4E8A">
        <w:rPr>
          <w:rFonts w:ascii="Garamond" w:hAnsi="Garamond"/>
          <w:b/>
          <w:bCs/>
          <w:i w:val="0"/>
          <w:iCs w:val="0"/>
          <w:color w:val="auto"/>
        </w:rPr>
        <w:fldChar w:fldCharType="end"/>
      </w:r>
      <w:r w:rsidRPr="0085122B">
        <w:rPr>
          <w:rFonts w:ascii="Garamond" w:hAnsi="Garamond"/>
          <w:i w:val="0"/>
          <w:iCs w:val="0"/>
          <w:color w:val="auto"/>
          <w:lang w:val="pt-PT"/>
        </w:rPr>
        <w:t xml:space="preserve"> - </w:t>
      </w:r>
      <w:proofErr w:type="spellStart"/>
      <w:r w:rsidRPr="0085122B">
        <w:rPr>
          <w:rFonts w:ascii="Garamond" w:hAnsi="Garamond"/>
          <w:i w:val="0"/>
          <w:iCs w:val="0"/>
          <w:color w:val="auto"/>
          <w:lang w:val="pt-PT"/>
        </w:rPr>
        <w:t>Paired</w:t>
      </w:r>
      <w:proofErr w:type="spellEnd"/>
      <w:r w:rsidRPr="0085122B">
        <w:rPr>
          <w:rFonts w:ascii="Garamond" w:hAnsi="Garamond"/>
          <w:i w:val="0"/>
          <w:iCs w:val="0"/>
          <w:color w:val="auto"/>
          <w:lang w:val="pt-PT"/>
        </w:rPr>
        <w:t xml:space="preserve"> </w:t>
      </w:r>
      <w:r w:rsidRPr="004812DC">
        <w:rPr>
          <w:rFonts w:ascii="Garamond" w:hAnsi="Garamond"/>
          <w:i w:val="0"/>
          <w:iCs w:val="0"/>
          <w:color w:val="auto"/>
          <w:lang w:val="pt-PT"/>
        </w:rPr>
        <w:t xml:space="preserve">t </w:t>
      </w:r>
      <w:proofErr w:type="spellStart"/>
      <w:r w:rsidRPr="004812DC">
        <w:rPr>
          <w:rFonts w:ascii="Garamond" w:hAnsi="Garamond"/>
          <w:i w:val="0"/>
          <w:iCs w:val="0"/>
          <w:color w:val="auto"/>
          <w:lang w:val="pt-PT"/>
        </w:rPr>
        <w:t>test</w:t>
      </w:r>
      <w:proofErr w:type="spellEnd"/>
      <w:r w:rsidRPr="004812DC">
        <w:rPr>
          <w:rFonts w:ascii="Garamond" w:hAnsi="Garamond"/>
          <w:i w:val="0"/>
          <w:iCs w:val="0"/>
          <w:color w:val="auto"/>
          <w:lang w:val="pt-PT"/>
        </w:rPr>
        <w:t xml:space="preserve"> entre as variáveis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m:t>
            </m:r>
          </m:sub>
        </m:sSub>
      </m:oMath>
      <w:r w:rsidRPr="004812DC">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Pr="004812DC">
        <w:rPr>
          <w:rFonts w:ascii="Garamond" w:hAnsi="Garamond"/>
          <w:bCs/>
          <w:i w:val="0"/>
          <w:iCs w:val="0"/>
          <w:color w:val="auto"/>
          <w:lang w:val="pt-PT"/>
        </w:rPr>
        <w:t xml:space="preserve"> </w:t>
      </w:r>
      <w:r w:rsidRPr="004812DC">
        <w:rPr>
          <w:rFonts w:ascii="Garamond" w:hAnsi="Garamond"/>
          <w:i w:val="0"/>
          <w:iCs w:val="0"/>
          <w:color w:val="auto"/>
          <w:lang w:val="pt-PT"/>
        </w:rPr>
        <w:t>da subamostra principal do ano 20224</w:t>
      </w:r>
      <w:bookmarkEnd w:id="59"/>
    </w:p>
    <w:tbl>
      <w:tblPr>
        <w:tblW w:w="8475" w:type="dxa"/>
        <w:tblLook w:val="04A0" w:firstRow="1" w:lastRow="0" w:firstColumn="1" w:lastColumn="0" w:noHBand="0" w:noVBand="1"/>
      </w:tblPr>
      <w:tblGrid>
        <w:gridCol w:w="1659"/>
        <w:gridCol w:w="269"/>
        <w:gridCol w:w="588"/>
        <w:gridCol w:w="309"/>
        <w:gridCol w:w="847"/>
        <w:gridCol w:w="184"/>
        <w:gridCol w:w="872"/>
        <w:gridCol w:w="922"/>
        <w:gridCol w:w="134"/>
        <w:gridCol w:w="1235"/>
        <w:gridCol w:w="1456"/>
      </w:tblGrid>
      <w:tr w:rsidR="00193D32" w:rsidRPr="004812DC" w14:paraId="1C11A282" w14:textId="77777777" w:rsidTr="00B86ABF">
        <w:trPr>
          <w:trHeight w:val="288"/>
        </w:trPr>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2FA332DE"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Variable</w:t>
            </w:r>
          </w:p>
        </w:tc>
        <w:tc>
          <w:tcPr>
            <w:tcW w:w="857" w:type="dxa"/>
            <w:gridSpan w:val="2"/>
            <w:tcBorders>
              <w:top w:val="single" w:sz="4" w:space="0" w:color="auto"/>
              <w:left w:val="single" w:sz="4" w:space="0" w:color="auto"/>
              <w:bottom w:val="single" w:sz="4" w:space="0" w:color="auto"/>
              <w:right w:val="nil"/>
            </w:tcBorders>
            <w:shd w:val="clear" w:color="auto" w:fill="auto"/>
            <w:noWrap/>
            <w:vAlign w:val="bottom"/>
            <w:hideMark/>
          </w:tcPr>
          <w:p w14:paraId="22E32FFD"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Obs</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00B4BF60"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Mean</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311E7DC6"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 xml:space="preserve">Std. </w:t>
            </w:r>
            <w:proofErr w:type="gramStart"/>
            <w:r w:rsidRPr="00CD3136">
              <w:rPr>
                <w:rFonts w:ascii="Garamond" w:eastAsia="Times New Roman" w:hAnsi="Garamond" w:cs="Calibri"/>
                <w:color w:val="000000"/>
                <w:sz w:val="22"/>
                <w:szCs w:val="22"/>
                <w:lang w:eastAsia="en-GB"/>
              </w:rPr>
              <w:t>err</w:t>
            </w:r>
            <w:proofErr w:type="gramEnd"/>
            <w:r w:rsidRPr="00CD3136">
              <w:rPr>
                <w:rFonts w:ascii="Garamond" w:eastAsia="Times New Roman" w:hAnsi="Garamond" w:cs="Calibri"/>
                <w:color w:val="000000"/>
                <w:sz w:val="22"/>
                <w:szCs w:val="22"/>
                <w:lang w:eastAsia="en-GB"/>
              </w:rPr>
              <w:t>.</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79CBDBBC"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Std. dev.</w:t>
            </w:r>
          </w:p>
        </w:tc>
        <w:tc>
          <w:tcPr>
            <w:tcW w:w="2691" w:type="dxa"/>
            <w:gridSpan w:val="2"/>
            <w:tcBorders>
              <w:top w:val="single" w:sz="4" w:space="0" w:color="auto"/>
              <w:left w:val="nil"/>
              <w:bottom w:val="single" w:sz="4" w:space="0" w:color="auto"/>
              <w:right w:val="nil"/>
            </w:tcBorders>
            <w:shd w:val="clear" w:color="auto" w:fill="auto"/>
            <w:noWrap/>
            <w:vAlign w:val="bottom"/>
            <w:hideMark/>
          </w:tcPr>
          <w:p w14:paraId="1CB9B997" w14:textId="77777777" w:rsidR="00193D32" w:rsidRPr="00CD3136" w:rsidRDefault="00193D32" w:rsidP="00B86ABF">
            <w:pPr>
              <w:spacing w:after="0" w:line="240" w:lineRule="auto"/>
              <w:jc w:val="center"/>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[95% conf.</w:t>
            </w:r>
            <w:r w:rsidRPr="004812DC">
              <w:rPr>
                <w:rFonts w:ascii="Garamond" w:eastAsia="Times New Roman" w:hAnsi="Garamond" w:cs="Calibri"/>
                <w:color w:val="000000"/>
                <w:sz w:val="22"/>
                <w:szCs w:val="22"/>
                <w:lang w:eastAsia="en-GB"/>
              </w:rPr>
              <w:t xml:space="preserve"> </w:t>
            </w:r>
            <w:r w:rsidRPr="00CD3136">
              <w:rPr>
                <w:rFonts w:ascii="Garamond" w:eastAsia="Times New Roman" w:hAnsi="Garamond" w:cs="Calibri"/>
                <w:color w:val="000000"/>
                <w:sz w:val="22"/>
                <w:szCs w:val="22"/>
                <w:lang w:eastAsia="en-GB"/>
              </w:rPr>
              <w:t>interval]</w:t>
            </w:r>
          </w:p>
        </w:tc>
      </w:tr>
      <w:tr w:rsidR="00193D32" w:rsidRPr="004812DC" w14:paraId="2CD2B9DC" w14:textId="77777777" w:rsidTr="00B86ABF">
        <w:trPr>
          <w:trHeight w:val="288"/>
        </w:trPr>
        <w:tc>
          <w:tcPr>
            <w:tcW w:w="1659" w:type="dxa"/>
            <w:tcBorders>
              <w:top w:val="single" w:sz="4" w:space="0" w:color="auto"/>
              <w:left w:val="nil"/>
              <w:bottom w:val="nil"/>
              <w:right w:val="single" w:sz="4" w:space="0" w:color="auto"/>
            </w:tcBorders>
            <w:shd w:val="clear" w:color="auto" w:fill="auto"/>
            <w:noWrap/>
            <w:vAlign w:val="bottom"/>
            <w:hideMark/>
          </w:tcPr>
          <w:p w14:paraId="6B942818"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single" w:sz="4" w:space="0" w:color="auto"/>
              <w:left w:val="single" w:sz="4" w:space="0" w:color="auto"/>
              <w:bottom w:val="nil"/>
              <w:right w:val="nil"/>
            </w:tcBorders>
            <w:shd w:val="clear" w:color="auto" w:fill="auto"/>
            <w:noWrap/>
            <w:vAlign w:val="bottom"/>
          </w:tcPr>
          <w:p w14:paraId="2DD31CE0"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single" w:sz="4" w:space="0" w:color="auto"/>
              <w:left w:val="nil"/>
              <w:bottom w:val="nil"/>
              <w:right w:val="nil"/>
            </w:tcBorders>
            <w:shd w:val="clear" w:color="auto" w:fill="auto"/>
            <w:noWrap/>
            <w:vAlign w:val="bottom"/>
          </w:tcPr>
          <w:p w14:paraId="1707967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-.0090899</w:t>
            </w:r>
          </w:p>
        </w:tc>
        <w:tc>
          <w:tcPr>
            <w:tcW w:w="1056" w:type="dxa"/>
            <w:gridSpan w:val="2"/>
            <w:tcBorders>
              <w:top w:val="single" w:sz="4" w:space="0" w:color="auto"/>
              <w:left w:val="nil"/>
              <w:bottom w:val="nil"/>
              <w:right w:val="nil"/>
            </w:tcBorders>
            <w:shd w:val="clear" w:color="auto" w:fill="auto"/>
            <w:noWrap/>
            <w:vAlign w:val="bottom"/>
          </w:tcPr>
          <w:p w14:paraId="19242BF3"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.0014832</w:t>
            </w:r>
          </w:p>
        </w:tc>
        <w:tc>
          <w:tcPr>
            <w:tcW w:w="1056" w:type="dxa"/>
            <w:gridSpan w:val="2"/>
            <w:tcBorders>
              <w:top w:val="single" w:sz="4" w:space="0" w:color="auto"/>
              <w:left w:val="nil"/>
              <w:bottom w:val="nil"/>
              <w:right w:val="nil"/>
            </w:tcBorders>
            <w:shd w:val="clear" w:color="auto" w:fill="auto"/>
            <w:noWrap/>
            <w:vAlign w:val="bottom"/>
          </w:tcPr>
          <w:p w14:paraId="1BB6BF27"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.127499</w:t>
            </w:r>
          </w:p>
        </w:tc>
        <w:tc>
          <w:tcPr>
            <w:tcW w:w="1235" w:type="dxa"/>
            <w:tcBorders>
              <w:top w:val="single" w:sz="4" w:space="0" w:color="auto"/>
              <w:left w:val="nil"/>
              <w:bottom w:val="nil"/>
              <w:right w:val="nil"/>
            </w:tcBorders>
            <w:shd w:val="clear" w:color="auto" w:fill="auto"/>
            <w:noWrap/>
            <w:vAlign w:val="bottom"/>
          </w:tcPr>
          <w:p w14:paraId="4CD005A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-.0119975</w:t>
            </w:r>
          </w:p>
        </w:tc>
        <w:tc>
          <w:tcPr>
            <w:tcW w:w="1456" w:type="dxa"/>
            <w:tcBorders>
              <w:top w:val="single" w:sz="4" w:space="0" w:color="auto"/>
              <w:left w:val="nil"/>
              <w:bottom w:val="nil"/>
              <w:right w:val="nil"/>
            </w:tcBorders>
            <w:shd w:val="clear" w:color="auto" w:fill="auto"/>
            <w:noWrap/>
            <w:vAlign w:val="bottom"/>
          </w:tcPr>
          <w:p w14:paraId="637579E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-.0061824</w:t>
            </w:r>
          </w:p>
        </w:tc>
      </w:tr>
      <w:tr w:rsidR="00193D32" w:rsidRPr="004812DC" w14:paraId="64FE8865" w14:textId="77777777" w:rsidTr="00B86ABF">
        <w:trPr>
          <w:trHeight w:val="288"/>
        </w:trPr>
        <w:tc>
          <w:tcPr>
            <w:tcW w:w="1659" w:type="dxa"/>
            <w:tcBorders>
              <w:top w:val="nil"/>
              <w:left w:val="nil"/>
              <w:bottom w:val="single" w:sz="4" w:space="0" w:color="auto"/>
              <w:right w:val="single" w:sz="4" w:space="0" w:color="auto"/>
            </w:tcBorders>
            <w:shd w:val="clear" w:color="auto" w:fill="auto"/>
            <w:noWrap/>
            <w:vAlign w:val="bottom"/>
            <w:hideMark/>
          </w:tcPr>
          <w:p w14:paraId="2B30FB13"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nil"/>
              <w:left w:val="single" w:sz="4" w:space="0" w:color="auto"/>
              <w:bottom w:val="single" w:sz="4" w:space="0" w:color="auto"/>
              <w:right w:val="nil"/>
            </w:tcBorders>
            <w:shd w:val="clear" w:color="auto" w:fill="auto"/>
            <w:noWrap/>
            <w:vAlign w:val="bottom"/>
          </w:tcPr>
          <w:p w14:paraId="111CCCB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nil"/>
              <w:left w:val="nil"/>
              <w:bottom w:val="single" w:sz="4" w:space="0" w:color="auto"/>
              <w:right w:val="nil"/>
            </w:tcBorders>
            <w:shd w:val="clear" w:color="auto" w:fill="auto"/>
            <w:noWrap/>
            <w:vAlign w:val="bottom"/>
          </w:tcPr>
          <w:p w14:paraId="18E54C0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-.0026392</w:t>
            </w:r>
          </w:p>
        </w:tc>
        <w:tc>
          <w:tcPr>
            <w:tcW w:w="1056" w:type="dxa"/>
            <w:gridSpan w:val="2"/>
            <w:tcBorders>
              <w:top w:val="nil"/>
              <w:left w:val="nil"/>
              <w:bottom w:val="single" w:sz="4" w:space="0" w:color="auto"/>
              <w:right w:val="nil"/>
            </w:tcBorders>
            <w:shd w:val="clear" w:color="auto" w:fill="auto"/>
            <w:noWrap/>
            <w:vAlign w:val="bottom"/>
          </w:tcPr>
          <w:p w14:paraId="2FA2D5C7"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.0014061</w:t>
            </w:r>
          </w:p>
        </w:tc>
        <w:tc>
          <w:tcPr>
            <w:tcW w:w="1056" w:type="dxa"/>
            <w:gridSpan w:val="2"/>
            <w:tcBorders>
              <w:top w:val="nil"/>
              <w:left w:val="nil"/>
              <w:bottom w:val="single" w:sz="4" w:space="0" w:color="auto"/>
              <w:right w:val="nil"/>
            </w:tcBorders>
            <w:shd w:val="clear" w:color="auto" w:fill="auto"/>
            <w:noWrap/>
            <w:vAlign w:val="bottom"/>
          </w:tcPr>
          <w:p w14:paraId="14F00B56"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.1208663</w:t>
            </w:r>
          </w:p>
        </w:tc>
        <w:tc>
          <w:tcPr>
            <w:tcW w:w="1235" w:type="dxa"/>
            <w:tcBorders>
              <w:top w:val="nil"/>
              <w:left w:val="nil"/>
              <w:bottom w:val="single" w:sz="4" w:space="0" w:color="auto"/>
              <w:right w:val="nil"/>
            </w:tcBorders>
            <w:shd w:val="clear" w:color="auto" w:fill="auto"/>
            <w:noWrap/>
            <w:vAlign w:val="bottom"/>
          </w:tcPr>
          <w:p w14:paraId="57EFA620"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-.0053955</w:t>
            </w:r>
          </w:p>
        </w:tc>
        <w:tc>
          <w:tcPr>
            <w:tcW w:w="1456" w:type="dxa"/>
            <w:tcBorders>
              <w:top w:val="nil"/>
              <w:left w:val="nil"/>
              <w:bottom w:val="single" w:sz="4" w:space="0" w:color="auto"/>
              <w:right w:val="nil"/>
            </w:tcBorders>
            <w:shd w:val="clear" w:color="auto" w:fill="auto"/>
            <w:noWrap/>
            <w:vAlign w:val="bottom"/>
          </w:tcPr>
          <w:p w14:paraId="1FC5093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.0001171</w:t>
            </w:r>
          </w:p>
        </w:tc>
      </w:tr>
      <w:tr w:rsidR="00193D32" w:rsidRPr="004812DC" w14:paraId="4F327FA6" w14:textId="77777777" w:rsidTr="00B86ABF">
        <w:trPr>
          <w:trHeight w:val="288"/>
        </w:trPr>
        <w:tc>
          <w:tcPr>
            <w:tcW w:w="1659" w:type="dxa"/>
            <w:tcBorders>
              <w:top w:val="single" w:sz="4" w:space="0" w:color="auto"/>
              <w:left w:val="nil"/>
              <w:bottom w:val="single" w:sz="4" w:space="0" w:color="FFFFFF" w:themeColor="background1"/>
              <w:right w:val="single" w:sz="4" w:space="0" w:color="auto"/>
            </w:tcBorders>
            <w:shd w:val="clear" w:color="auto" w:fill="auto"/>
            <w:noWrap/>
            <w:vAlign w:val="bottom"/>
            <w:hideMark/>
          </w:tcPr>
          <w:p w14:paraId="13C3849A"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diff</w:t>
            </w:r>
          </w:p>
        </w:tc>
        <w:tc>
          <w:tcPr>
            <w:tcW w:w="857" w:type="dxa"/>
            <w:gridSpan w:val="2"/>
            <w:tcBorders>
              <w:top w:val="single" w:sz="4" w:space="0" w:color="auto"/>
              <w:left w:val="single" w:sz="4" w:space="0" w:color="auto"/>
              <w:bottom w:val="single" w:sz="4" w:space="0" w:color="FFFFFF" w:themeColor="background1"/>
              <w:right w:val="nil"/>
            </w:tcBorders>
            <w:shd w:val="clear" w:color="auto" w:fill="auto"/>
            <w:noWrap/>
            <w:vAlign w:val="bottom"/>
          </w:tcPr>
          <w:p w14:paraId="4EC2CFB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7,389</w:t>
            </w:r>
          </w:p>
        </w:tc>
        <w:tc>
          <w:tcPr>
            <w:tcW w:w="1156" w:type="dxa"/>
            <w:gridSpan w:val="2"/>
            <w:tcBorders>
              <w:top w:val="single" w:sz="4" w:space="0" w:color="auto"/>
              <w:left w:val="nil"/>
              <w:bottom w:val="single" w:sz="4" w:space="0" w:color="auto"/>
              <w:right w:val="nil"/>
            </w:tcBorders>
            <w:shd w:val="clear" w:color="auto" w:fill="auto"/>
            <w:noWrap/>
            <w:vAlign w:val="bottom"/>
          </w:tcPr>
          <w:p w14:paraId="22A7ECD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-.0064507</w:t>
            </w:r>
          </w:p>
        </w:tc>
        <w:tc>
          <w:tcPr>
            <w:tcW w:w="1056" w:type="dxa"/>
            <w:gridSpan w:val="2"/>
            <w:tcBorders>
              <w:top w:val="single" w:sz="4" w:space="0" w:color="auto"/>
              <w:left w:val="nil"/>
              <w:bottom w:val="single" w:sz="4" w:space="0" w:color="auto"/>
              <w:right w:val="nil"/>
            </w:tcBorders>
            <w:shd w:val="clear" w:color="auto" w:fill="auto"/>
            <w:noWrap/>
            <w:vAlign w:val="bottom"/>
          </w:tcPr>
          <w:p w14:paraId="1F36890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.0020193</w:t>
            </w:r>
          </w:p>
        </w:tc>
        <w:tc>
          <w:tcPr>
            <w:tcW w:w="1056" w:type="dxa"/>
            <w:gridSpan w:val="2"/>
            <w:tcBorders>
              <w:top w:val="single" w:sz="4" w:space="0" w:color="auto"/>
              <w:left w:val="nil"/>
              <w:bottom w:val="single" w:sz="4" w:space="0" w:color="auto"/>
              <w:right w:val="nil"/>
            </w:tcBorders>
            <w:shd w:val="clear" w:color="auto" w:fill="auto"/>
            <w:noWrap/>
            <w:vAlign w:val="bottom"/>
          </w:tcPr>
          <w:p w14:paraId="0A342BA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.1735794</w:t>
            </w:r>
          </w:p>
        </w:tc>
        <w:tc>
          <w:tcPr>
            <w:tcW w:w="1235" w:type="dxa"/>
            <w:tcBorders>
              <w:top w:val="single" w:sz="4" w:space="0" w:color="auto"/>
              <w:left w:val="nil"/>
              <w:bottom w:val="single" w:sz="4" w:space="0" w:color="auto"/>
              <w:right w:val="nil"/>
            </w:tcBorders>
            <w:shd w:val="clear" w:color="auto" w:fill="auto"/>
            <w:noWrap/>
            <w:vAlign w:val="bottom"/>
          </w:tcPr>
          <w:p w14:paraId="0E7BC2DF"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-.0104092</w:t>
            </w:r>
          </w:p>
        </w:tc>
        <w:tc>
          <w:tcPr>
            <w:tcW w:w="1456" w:type="dxa"/>
            <w:tcBorders>
              <w:top w:val="single" w:sz="4" w:space="0" w:color="auto"/>
              <w:left w:val="nil"/>
              <w:bottom w:val="single" w:sz="4" w:space="0" w:color="auto"/>
              <w:right w:val="nil"/>
            </w:tcBorders>
            <w:shd w:val="clear" w:color="auto" w:fill="auto"/>
            <w:noWrap/>
            <w:vAlign w:val="bottom"/>
          </w:tcPr>
          <w:p w14:paraId="3CEF9BA3"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-.0024923</w:t>
            </w:r>
          </w:p>
        </w:tc>
      </w:tr>
      <w:tr w:rsidR="00193D32" w:rsidRPr="004812DC" w14:paraId="7DE4E6CB" w14:textId="77777777" w:rsidTr="00B86ABF">
        <w:trPr>
          <w:trHeight w:val="288"/>
        </w:trPr>
        <w:tc>
          <w:tcPr>
            <w:tcW w:w="5784" w:type="dxa"/>
            <w:gridSpan w:val="9"/>
            <w:tcBorders>
              <w:top w:val="single" w:sz="4" w:space="0" w:color="auto"/>
              <w:left w:val="nil"/>
              <w:bottom w:val="single" w:sz="4" w:space="0" w:color="FFFFFF" w:themeColor="background1"/>
              <w:right w:val="nil"/>
            </w:tcBorders>
            <w:shd w:val="clear" w:color="auto" w:fill="auto"/>
            <w:noWrap/>
            <w:vAlign w:val="bottom"/>
          </w:tcPr>
          <w:p w14:paraId="5F57EF6D"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mean(diff) = </w:t>
            </w:r>
            <w:proofErr w:type="gramStart"/>
            <w:r w:rsidRPr="004812DC">
              <w:rPr>
                <w:rFonts w:ascii="Garamond" w:eastAsia="Times New Roman" w:hAnsi="Garamond" w:cs="Calibri"/>
                <w:color w:val="000000"/>
                <w:sz w:val="22"/>
                <w:szCs w:val="22"/>
                <w:lang w:eastAsia="en-GB"/>
              </w:rPr>
              <w:t>mean(</w:t>
            </w:r>
            <w:proofErr w:type="gramEnd"/>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sub>
              </m:sSub>
            </m:oMath>
            <w:r w:rsidRPr="004812DC">
              <w:rPr>
                <w:rFonts w:ascii="Garamond" w:eastAsia="Times New Roman" w:hAnsi="Garamond" w:cs="Calibri"/>
                <w:b/>
                <w:color w:val="000000"/>
                <w:sz w:val="22"/>
                <w:szCs w:val="22"/>
                <w:lang w:eastAsia="en-GB"/>
              </w:rPr>
              <w:t xml:space="preserve">- </w:t>
            </w:r>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r>
                    <m:rPr>
                      <m:sty m:val="bi"/>
                    </m:rPr>
                    <w:rPr>
                      <w:rFonts w:ascii="Cambria Math" w:hAnsi="Cambria Math"/>
                      <w:sz w:val="24"/>
                      <w:szCs w:val="24"/>
                    </w:rPr>
                    <m:t>-1</m:t>
                  </m:r>
                </m:sub>
              </m:sSub>
            </m:oMath>
            <w:r w:rsidRPr="004812DC">
              <w:rPr>
                <w:rFonts w:ascii="Garamond" w:eastAsia="Times New Roman" w:hAnsi="Garamond" w:cs="Calibri"/>
                <w:color w:val="000000"/>
                <w:sz w:val="22"/>
                <w:szCs w:val="22"/>
                <w:lang w:eastAsia="en-GB"/>
              </w:rPr>
              <w:t>)</w:t>
            </w:r>
          </w:p>
        </w:tc>
        <w:tc>
          <w:tcPr>
            <w:tcW w:w="1235" w:type="dxa"/>
            <w:tcBorders>
              <w:top w:val="single" w:sz="4" w:space="0" w:color="auto"/>
              <w:left w:val="nil"/>
              <w:bottom w:val="single" w:sz="4" w:space="0" w:color="FFFFFF" w:themeColor="background1"/>
              <w:right w:val="nil"/>
            </w:tcBorders>
            <w:shd w:val="clear" w:color="auto" w:fill="auto"/>
            <w:noWrap/>
            <w:vAlign w:val="bottom"/>
          </w:tcPr>
          <w:p w14:paraId="4B89068F"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56" w:type="dxa"/>
            <w:tcBorders>
              <w:top w:val="single" w:sz="4" w:space="0" w:color="auto"/>
              <w:left w:val="nil"/>
              <w:bottom w:val="single" w:sz="4" w:space="0" w:color="FFFFFF" w:themeColor="background1"/>
              <w:right w:val="nil"/>
            </w:tcBorders>
            <w:shd w:val="clear" w:color="auto" w:fill="auto"/>
            <w:noWrap/>
            <w:vAlign w:val="bottom"/>
          </w:tcPr>
          <w:p w14:paraId="62CD6D3F"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t = </w:t>
            </w:r>
            <w:r w:rsidRPr="004812DC">
              <w:rPr>
                <w:rFonts w:ascii="Garamond" w:eastAsia="Times New Roman" w:hAnsi="Garamond" w:cs="Calibri"/>
                <w:b/>
                <w:bCs/>
                <w:color w:val="000000"/>
                <w:sz w:val="22"/>
                <w:szCs w:val="22"/>
                <w:lang w:eastAsia="en-GB"/>
              </w:rPr>
              <w:t>-3.1945</w:t>
            </w:r>
            <w:r w:rsidRPr="004812DC">
              <w:rPr>
                <w:rFonts w:ascii="Garamond" w:eastAsia="Times New Roman" w:hAnsi="Garamond" w:cs="Calibri"/>
                <w:color w:val="000000"/>
                <w:sz w:val="22"/>
                <w:szCs w:val="22"/>
                <w:lang w:eastAsia="en-GB"/>
              </w:rPr>
              <w:t xml:space="preserve"> </w:t>
            </w:r>
          </w:p>
        </w:tc>
      </w:tr>
      <w:tr w:rsidR="00193D32" w:rsidRPr="004812DC" w14:paraId="421AF792" w14:textId="77777777" w:rsidTr="00B86ABF">
        <w:trPr>
          <w:trHeight w:val="288"/>
        </w:trPr>
        <w:tc>
          <w:tcPr>
            <w:tcW w:w="1928"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14:paraId="517702F0"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H0: mean(diff) = 0</w:t>
            </w:r>
          </w:p>
        </w:tc>
        <w:tc>
          <w:tcPr>
            <w:tcW w:w="1928"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5DB8A181"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4619" w:type="dxa"/>
            <w:gridSpan w:val="5"/>
            <w:tcBorders>
              <w:top w:val="single" w:sz="4" w:space="0" w:color="FFFFFF" w:themeColor="background1"/>
              <w:left w:val="nil"/>
              <w:bottom w:val="single" w:sz="4" w:space="0" w:color="FFFFFF" w:themeColor="background1"/>
              <w:right w:val="nil"/>
            </w:tcBorders>
            <w:shd w:val="clear" w:color="auto" w:fill="auto"/>
            <w:vAlign w:val="bottom"/>
          </w:tcPr>
          <w:p w14:paraId="0F18B66C"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Degrees of </w:t>
            </w:r>
            <w:proofErr w:type="spellStart"/>
            <w:r w:rsidRPr="004812DC">
              <w:rPr>
                <w:rFonts w:ascii="Garamond" w:eastAsia="Times New Roman" w:hAnsi="Garamond" w:cs="Calibri"/>
                <w:color w:val="000000"/>
                <w:sz w:val="22"/>
                <w:szCs w:val="22"/>
                <w:lang w:eastAsia="en-GB"/>
              </w:rPr>
              <w:t>feedom</w:t>
            </w:r>
            <w:proofErr w:type="spellEnd"/>
            <w:r w:rsidRPr="004812DC">
              <w:rPr>
                <w:rFonts w:ascii="Garamond" w:eastAsia="Times New Roman" w:hAnsi="Garamond" w:cs="Calibri"/>
                <w:b/>
                <w:bCs/>
                <w:color w:val="000000"/>
                <w:sz w:val="22"/>
                <w:szCs w:val="22"/>
                <w:lang w:eastAsia="en-GB"/>
              </w:rPr>
              <w:t xml:space="preserve"> = 7388 </w:t>
            </w:r>
          </w:p>
        </w:tc>
      </w:tr>
      <w:tr w:rsidR="00193D32" w:rsidRPr="004812DC" w14:paraId="4EC27A44"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F986792"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34CA031D"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44E6366B"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r>
      <w:tr w:rsidR="00193D32" w:rsidRPr="004812DC" w14:paraId="76A0438C"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5D962EA"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&lt; 0</w:t>
            </w: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4FB4672D"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w:t>
            </w:r>
            <w:proofErr w:type="gramStart"/>
            <w:r w:rsidRPr="004812DC">
              <w:rPr>
                <w:rFonts w:ascii="Garamond" w:eastAsia="Times New Roman" w:hAnsi="Garamond" w:cs="Calibri"/>
                <w:color w:val="000000"/>
                <w:sz w:val="22"/>
                <w:szCs w:val="22"/>
                <w:lang w:eastAsia="en-GB"/>
              </w:rPr>
              <w:t>) !</w:t>
            </w:r>
            <w:proofErr w:type="gramEnd"/>
            <w:r w:rsidRPr="004812DC">
              <w:rPr>
                <w:rFonts w:ascii="Garamond" w:eastAsia="Times New Roman" w:hAnsi="Garamond" w:cs="Calibri"/>
                <w:color w:val="000000"/>
                <w:sz w:val="22"/>
                <w:szCs w:val="22"/>
                <w:lang w:eastAsia="en-GB"/>
              </w:rPr>
              <w:t>= 0</w:t>
            </w: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56E6FDB7" w14:textId="77777777" w:rsidR="00193D32" w:rsidRPr="004812DC" w:rsidRDefault="00193D32" w:rsidP="00B86ABF">
            <w:pPr>
              <w:spacing w:after="0" w:line="240" w:lineRule="auto"/>
              <w:jc w:val="right"/>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&gt; 0</w:t>
            </w:r>
          </w:p>
        </w:tc>
      </w:tr>
      <w:tr w:rsidR="00193D32" w:rsidRPr="004812DC" w14:paraId="2D0AF438" w14:textId="77777777" w:rsidTr="00B86ABF">
        <w:trPr>
          <w:trHeight w:val="288"/>
        </w:trPr>
        <w:tc>
          <w:tcPr>
            <w:tcW w:w="2825" w:type="dxa"/>
            <w:gridSpan w:val="4"/>
            <w:tcBorders>
              <w:top w:val="single" w:sz="4" w:space="0" w:color="FFFFFF" w:themeColor="background1"/>
              <w:left w:val="nil"/>
              <w:bottom w:val="single" w:sz="4" w:space="0" w:color="auto"/>
              <w:right w:val="nil"/>
            </w:tcBorders>
            <w:shd w:val="clear" w:color="auto" w:fill="auto"/>
            <w:noWrap/>
            <w:vAlign w:val="bottom"/>
          </w:tcPr>
          <w:p w14:paraId="7D4C4B8A"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&lt; t) =</w:t>
            </w:r>
            <w:r w:rsidRPr="004812DC">
              <w:rPr>
                <w:rFonts w:ascii="Garamond" w:eastAsia="Times New Roman" w:hAnsi="Garamond" w:cs="Calibri"/>
                <w:b/>
                <w:bCs/>
                <w:color w:val="000000"/>
                <w:sz w:val="22"/>
                <w:szCs w:val="22"/>
                <w:lang w:eastAsia="en-GB"/>
              </w:rPr>
              <w:t xml:space="preserve">  0.0007</w:t>
            </w:r>
          </w:p>
        </w:tc>
        <w:tc>
          <w:tcPr>
            <w:tcW w:w="2825" w:type="dxa"/>
            <w:gridSpan w:val="4"/>
            <w:tcBorders>
              <w:top w:val="single" w:sz="4" w:space="0" w:color="FFFFFF" w:themeColor="background1"/>
              <w:left w:val="nil"/>
              <w:bottom w:val="single" w:sz="4" w:space="0" w:color="auto"/>
              <w:right w:val="nil"/>
            </w:tcBorders>
            <w:shd w:val="clear" w:color="auto" w:fill="auto"/>
            <w:vAlign w:val="bottom"/>
          </w:tcPr>
          <w:p w14:paraId="72FAECBC"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 =</w:t>
            </w:r>
            <w:r w:rsidRPr="004812DC">
              <w:rPr>
                <w:rFonts w:ascii="Garamond" w:eastAsia="Times New Roman" w:hAnsi="Garamond" w:cs="Calibri"/>
                <w:b/>
                <w:bCs/>
                <w:color w:val="000000"/>
                <w:sz w:val="22"/>
                <w:szCs w:val="22"/>
                <w:lang w:eastAsia="en-GB"/>
              </w:rPr>
              <w:t xml:space="preserve"> 0.0014</w:t>
            </w:r>
          </w:p>
        </w:tc>
        <w:tc>
          <w:tcPr>
            <w:tcW w:w="2825" w:type="dxa"/>
            <w:gridSpan w:val="3"/>
            <w:tcBorders>
              <w:top w:val="single" w:sz="4" w:space="0" w:color="FFFFFF" w:themeColor="background1"/>
              <w:left w:val="nil"/>
              <w:bottom w:val="single" w:sz="4" w:space="0" w:color="auto"/>
              <w:right w:val="nil"/>
            </w:tcBorders>
            <w:shd w:val="clear" w:color="auto" w:fill="auto"/>
            <w:vAlign w:val="bottom"/>
          </w:tcPr>
          <w:p w14:paraId="1F58CF07"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w:t>
            </w:r>
            <w:r w:rsidRPr="004812DC">
              <w:rPr>
                <w:rFonts w:ascii="Garamond" w:eastAsia="Times New Roman" w:hAnsi="Garamond" w:cs="Calibri"/>
                <w:b/>
                <w:bCs/>
                <w:color w:val="000000"/>
                <w:sz w:val="22"/>
                <w:szCs w:val="22"/>
                <w:lang w:eastAsia="en-GB"/>
              </w:rPr>
              <w:t xml:space="preserve"> = 0.9993 </w:t>
            </w:r>
          </w:p>
        </w:tc>
      </w:tr>
    </w:tbl>
    <w:p w14:paraId="1847D66C" w14:textId="77777777" w:rsidR="00193D32" w:rsidRDefault="00193D32" w:rsidP="00193D32">
      <w:pPr>
        <w:pStyle w:val="TtuloSecundrioTese"/>
        <w:numPr>
          <w:ilvl w:val="0"/>
          <w:numId w:val="0"/>
        </w:numPr>
      </w:pPr>
    </w:p>
    <w:p w14:paraId="0323E5F2" w14:textId="77777777" w:rsidR="00193D32" w:rsidRDefault="00193D32" w:rsidP="00193D32">
      <w:pPr>
        <w:pStyle w:val="TtuloSecundrioTese"/>
        <w:numPr>
          <w:ilvl w:val="0"/>
          <w:numId w:val="0"/>
        </w:numPr>
      </w:pPr>
    </w:p>
    <w:p w14:paraId="13392EB0" w14:textId="7BEA35D7" w:rsidR="00193D32" w:rsidRPr="009737F7" w:rsidRDefault="00193D32" w:rsidP="00193D32">
      <w:pPr>
        <w:pStyle w:val="Caption"/>
        <w:keepNext/>
        <w:rPr>
          <w:rFonts w:ascii="Garamond" w:hAnsi="Garamond"/>
          <w:i w:val="0"/>
          <w:iCs w:val="0"/>
          <w:color w:val="auto"/>
          <w:lang w:val="pt-PT"/>
        </w:rPr>
      </w:pPr>
      <w:bookmarkStart w:id="60" w:name="_Toc176855923"/>
      <w:r w:rsidRPr="00AC4E8A">
        <w:rPr>
          <w:rFonts w:ascii="Garamond" w:hAnsi="Garamond"/>
          <w:b/>
          <w:bCs/>
          <w:i w:val="0"/>
          <w:iCs w:val="0"/>
          <w:color w:val="auto"/>
          <w:lang w:val="pt-PT"/>
        </w:rPr>
        <w:t xml:space="preserve">Tabela </w:t>
      </w:r>
      <w:r w:rsidRPr="00AC4E8A">
        <w:rPr>
          <w:rFonts w:ascii="Garamond" w:hAnsi="Garamond"/>
          <w:b/>
          <w:bCs/>
          <w:i w:val="0"/>
          <w:iCs w:val="0"/>
          <w:color w:val="auto"/>
        </w:rPr>
        <w:fldChar w:fldCharType="begin"/>
      </w:r>
      <w:r w:rsidRPr="00AC4E8A">
        <w:rPr>
          <w:rFonts w:ascii="Garamond" w:hAnsi="Garamond"/>
          <w:b/>
          <w:bCs/>
          <w:i w:val="0"/>
          <w:iCs w:val="0"/>
          <w:color w:val="auto"/>
          <w:lang w:val="pt-PT"/>
        </w:rPr>
        <w:instrText xml:space="preserve"> SEQ Tabela \* ARABIC </w:instrText>
      </w:r>
      <w:r w:rsidRPr="00AC4E8A">
        <w:rPr>
          <w:rFonts w:ascii="Garamond" w:hAnsi="Garamond"/>
          <w:b/>
          <w:bCs/>
          <w:i w:val="0"/>
          <w:iCs w:val="0"/>
          <w:color w:val="auto"/>
        </w:rPr>
        <w:fldChar w:fldCharType="separate"/>
      </w:r>
      <w:r w:rsidR="00C01B43">
        <w:rPr>
          <w:rFonts w:ascii="Garamond" w:hAnsi="Garamond"/>
          <w:b/>
          <w:bCs/>
          <w:i w:val="0"/>
          <w:iCs w:val="0"/>
          <w:noProof/>
          <w:color w:val="auto"/>
          <w:lang w:val="pt-PT"/>
        </w:rPr>
        <w:t>11</w:t>
      </w:r>
      <w:r w:rsidRPr="00AC4E8A">
        <w:rPr>
          <w:rFonts w:ascii="Garamond" w:hAnsi="Garamond"/>
          <w:b/>
          <w:bCs/>
          <w:i w:val="0"/>
          <w:iCs w:val="0"/>
          <w:color w:val="auto"/>
        </w:rPr>
        <w:fldChar w:fldCharType="end"/>
      </w:r>
      <w:r w:rsidRPr="009737F7">
        <w:rPr>
          <w:rFonts w:ascii="Garamond" w:hAnsi="Garamond"/>
          <w:i w:val="0"/>
          <w:iCs w:val="0"/>
          <w:color w:val="auto"/>
          <w:lang w:val="pt-PT"/>
        </w:rPr>
        <w:t xml:space="preserve"> - </w:t>
      </w:r>
      <w:proofErr w:type="spellStart"/>
      <w:r w:rsidRPr="009737F7">
        <w:rPr>
          <w:rFonts w:ascii="Garamond" w:hAnsi="Garamond"/>
          <w:i w:val="0"/>
          <w:iCs w:val="0"/>
          <w:color w:val="auto"/>
          <w:lang w:val="pt-PT"/>
        </w:rPr>
        <w:t>Paired</w:t>
      </w:r>
      <w:proofErr w:type="spellEnd"/>
      <w:r w:rsidRPr="009737F7">
        <w:rPr>
          <w:rFonts w:ascii="Garamond" w:hAnsi="Garamond"/>
          <w:i w:val="0"/>
          <w:iCs w:val="0"/>
          <w:color w:val="auto"/>
          <w:lang w:val="pt-PT"/>
        </w:rPr>
        <w:t xml:space="preserve"> t </w:t>
      </w:r>
      <w:proofErr w:type="spellStart"/>
      <w:r w:rsidRPr="009737F7">
        <w:rPr>
          <w:rFonts w:ascii="Garamond" w:hAnsi="Garamond"/>
          <w:i w:val="0"/>
          <w:iCs w:val="0"/>
          <w:color w:val="auto"/>
          <w:lang w:val="pt-PT"/>
        </w:rPr>
        <w:t>test</w:t>
      </w:r>
      <w:proofErr w:type="spellEnd"/>
      <w:r w:rsidRPr="009737F7">
        <w:rPr>
          <w:rFonts w:ascii="Garamond" w:hAnsi="Garamond"/>
          <w:i w:val="0"/>
          <w:iCs w:val="0"/>
          <w:color w:val="auto"/>
          <w:lang w:val="pt-PT"/>
        </w:rPr>
        <w:t xml:space="preserve"> entre as variáveis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m:t>
            </m:r>
          </m:sub>
        </m:sSub>
      </m:oMath>
      <w:r w:rsidRPr="009737F7">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Pr="009737F7">
        <w:rPr>
          <w:rFonts w:ascii="Garamond" w:hAnsi="Garamond"/>
          <w:bCs/>
          <w:i w:val="0"/>
          <w:iCs w:val="0"/>
          <w:color w:val="auto"/>
          <w:lang w:val="pt-PT"/>
        </w:rPr>
        <w:t xml:space="preserve"> </w:t>
      </w:r>
      <w:r w:rsidRPr="009737F7">
        <w:rPr>
          <w:rFonts w:ascii="Garamond" w:hAnsi="Garamond"/>
          <w:i w:val="0"/>
          <w:iCs w:val="0"/>
          <w:color w:val="auto"/>
          <w:lang w:val="pt-PT"/>
        </w:rPr>
        <w:t>da subamostra de controlo do ano 2020</w:t>
      </w:r>
      <w:bookmarkEnd w:id="60"/>
    </w:p>
    <w:tbl>
      <w:tblPr>
        <w:tblW w:w="8475" w:type="dxa"/>
        <w:tblLook w:val="04A0" w:firstRow="1" w:lastRow="0" w:firstColumn="1" w:lastColumn="0" w:noHBand="0" w:noVBand="1"/>
      </w:tblPr>
      <w:tblGrid>
        <w:gridCol w:w="1659"/>
        <w:gridCol w:w="269"/>
        <w:gridCol w:w="588"/>
        <w:gridCol w:w="309"/>
        <w:gridCol w:w="847"/>
        <w:gridCol w:w="184"/>
        <w:gridCol w:w="872"/>
        <w:gridCol w:w="922"/>
        <w:gridCol w:w="134"/>
        <w:gridCol w:w="1235"/>
        <w:gridCol w:w="1456"/>
      </w:tblGrid>
      <w:tr w:rsidR="00193D32" w:rsidRPr="004812DC" w14:paraId="176B2736" w14:textId="77777777" w:rsidTr="00B86ABF">
        <w:trPr>
          <w:trHeight w:val="288"/>
        </w:trPr>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13C0CB24"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Variable</w:t>
            </w:r>
          </w:p>
        </w:tc>
        <w:tc>
          <w:tcPr>
            <w:tcW w:w="857" w:type="dxa"/>
            <w:gridSpan w:val="2"/>
            <w:tcBorders>
              <w:top w:val="single" w:sz="4" w:space="0" w:color="auto"/>
              <w:left w:val="single" w:sz="4" w:space="0" w:color="auto"/>
              <w:bottom w:val="single" w:sz="4" w:space="0" w:color="auto"/>
              <w:right w:val="nil"/>
            </w:tcBorders>
            <w:shd w:val="clear" w:color="auto" w:fill="auto"/>
            <w:noWrap/>
            <w:vAlign w:val="bottom"/>
            <w:hideMark/>
          </w:tcPr>
          <w:p w14:paraId="663DED35"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Obs</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70C1EEE1"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Mean</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5AF62BC4"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 xml:space="preserve">Std. </w:t>
            </w:r>
            <w:proofErr w:type="gramStart"/>
            <w:r w:rsidRPr="00CD3136">
              <w:rPr>
                <w:rFonts w:ascii="Garamond" w:eastAsia="Times New Roman" w:hAnsi="Garamond" w:cs="Calibri"/>
                <w:color w:val="000000"/>
                <w:sz w:val="22"/>
                <w:szCs w:val="22"/>
                <w:lang w:eastAsia="en-GB"/>
              </w:rPr>
              <w:t>err</w:t>
            </w:r>
            <w:proofErr w:type="gramEnd"/>
            <w:r w:rsidRPr="00CD3136">
              <w:rPr>
                <w:rFonts w:ascii="Garamond" w:eastAsia="Times New Roman" w:hAnsi="Garamond" w:cs="Calibri"/>
                <w:color w:val="000000"/>
                <w:sz w:val="22"/>
                <w:szCs w:val="22"/>
                <w:lang w:eastAsia="en-GB"/>
              </w:rPr>
              <w:t>.</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30F9EC20"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Std. dev.</w:t>
            </w:r>
          </w:p>
        </w:tc>
        <w:tc>
          <w:tcPr>
            <w:tcW w:w="2691" w:type="dxa"/>
            <w:gridSpan w:val="2"/>
            <w:tcBorders>
              <w:top w:val="single" w:sz="4" w:space="0" w:color="auto"/>
              <w:left w:val="nil"/>
              <w:bottom w:val="single" w:sz="4" w:space="0" w:color="auto"/>
              <w:right w:val="nil"/>
            </w:tcBorders>
            <w:shd w:val="clear" w:color="auto" w:fill="auto"/>
            <w:noWrap/>
            <w:vAlign w:val="bottom"/>
            <w:hideMark/>
          </w:tcPr>
          <w:p w14:paraId="7EE44D01" w14:textId="77777777" w:rsidR="00193D32" w:rsidRPr="00CD3136" w:rsidRDefault="00193D32" w:rsidP="00B86ABF">
            <w:pPr>
              <w:spacing w:after="0" w:line="240" w:lineRule="auto"/>
              <w:jc w:val="center"/>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[95% conf.</w:t>
            </w:r>
            <w:r w:rsidRPr="004812DC">
              <w:rPr>
                <w:rFonts w:ascii="Garamond" w:eastAsia="Times New Roman" w:hAnsi="Garamond" w:cs="Calibri"/>
                <w:color w:val="000000"/>
                <w:sz w:val="22"/>
                <w:szCs w:val="22"/>
                <w:lang w:eastAsia="en-GB"/>
              </w:rPr>
              <w:t xml:space="preserve"> </w:t>
            </w:r>
            <w:r w:rsidRPr="00CD3136">
              <w:rPr>
                <w:rFonts w:ascii="Garamond" w:eastAsia="Times New Roman" w:hAnsi="Garamond" w:cs="Calibri"/>
                <w:color w:val="000000"/>
                <w:sz w:val="22"/>
                <w:szCs w:val="22"/>
                <w:lang w:eastAsia="en-GB"/>
              </w:rPr>
              <w:t>interval]</w:t>
            </w:r>
          </w:p>
        </w:tc>
      </w:tr>
      <w:tr w:rsidR="00193D32" w:rsidRPr="004812DC" w14:paraId="138832EC" w14:textId="77777777" w:rsidTr="00B86ABF">
        <w:trPr>
          <w:trHeight w:val="288"/>
        </w:trPr>
        <w:tc>
          <w:tcPr>
            <w:tcW w:w="1659" w:type="dxa"/>
            <w:tcBorders>
              <w:top w:val="single" w:sz="4" w:space="0" w:color="auto"/>
              <w:left w:val="nil"/>
              <w:bottom w:val="nil"/>
              <w:right w:val="single" w:sz="4" w:space="0" w:color="auto"/>
            </w:tcBorders>
            <w:shd w:val="clear" w:color="auto" w:fill="auto"/>
            <w:noWrap/>
            <w:vAlign w:val="bottom"/>
            <w:hideMark/>
          </w:tcPr>
          <w:p w14:paraId="04CC023C"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single" w:sz="4" w:space="0" w:color="auto"/>
              <w:left w:val="single" w:sz="4" w:space="0" w:color="auto"/>
              <w:bottom w:val="nil"/>
              <w:right w:val="nil"/>
            </w:tcBorders>
            <w:shd w:val="clear" w:color="auto" w:fill="auto"/>
            <w:noWrap/>
            <w:vAlign w:val="bottom"/>
            <w:hideMark/>
          </w:tcPr>
          <w:p w14:paraId="217E737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55,248</w:t>
            </w:r>
          </w:p>
        </w:tc>
        <w:tc>
          <w:tcPr>
            <w:tcW w:w="1156" w:type="dxa"/>
            <w:gridSpan w:val="2"/>
            <w:tcBorders>
              <w:top w:val="single" w:sz="4" w:space="0" w:color="auto"/>
              <w:left w:val="nil"/>
              <w:bottom w:val="nil"/>
              <w:right w:val="nil"/>
            </w:tcBorders>
            <w:shd w:val="clear" w:color="auto" w:fill="auto"/>
            <w:noWrap/>
            <w:vAlign w:val="bottom"/>
            <w:hideMark/>
          </w:tcPr>
          <w:p w14:paraId="0B1F800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-.0053622</w:t>
            </w:r>
          </w:p>
        </w:tc>
        <w:tc>
          <w:tcPr>
            <w:tcW w:w="1056" w:type="dxa"/>
            <w:gridSpan w:val="2"/>
            <w:tcBorders>
              <w:top w:val="single" w:sz="4" w:space="0" w:color="auto"/>
              <w:left w:val="nil"/>
              <w:bottom w:val="nil"/>
              <w:right w:val="nil"/>
            </w:tcBorders>
            <w:shd w:val="clear" w:color="auto" w:fill="auto"/>
            <w:noWrap/>
            <w:vAlign w:val="bottom"/>
            <w:hideMark/>
          </w:tcPr>
          <w:p w14:paraId="527E8AE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.0007879</w:t>
            </w:r>
          </w:p>
        </w:tc>
        <w:tc>
          <w:tcPr>
            <w:tcW w:w="1056" w:type="dxa"/>
            <w:gridSpan w:val="2"/>
            <w:tcBorders>
              <w:top w:val="single" w:sz="4" w:space="0" w:color="auto"/>
              <w:left w:val="nil"/>
              <w:bottom w:val="nil"/>
              <w:right w:val="nil"/>
            </w:tcBorders>
            <w:shd w:val="clear" w:color="auto" w:fill="auto"/>
            <w:noWrap/>
            <w:vAlign w:val="bottom"/>
            <w:hideMark/>
          </w:tcPr>
          <w:p w14:paraId="5BA42A1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.1852015</w:t>
            </w:r>
          </w:p>
        </w:tc>
        <w:tc>
          <w:tcPr>
            <w:tcW w:w="1235" w:type="dxa"/>
            <w:tcBorders>
              <w:top w:val="single" w:sz="4" w:space="0" w:color="auto"/>
              <w:left w:val="nil"/>
              <w:bottom w:val="nil"/>
              <w:right w:val="nil"/>
            </w:tcBorders>
            <w:shd w:val="clear" w:color="auto" w:fill="auto"/>
            <w:noWrap/>
            <w:vAlign w:val="bottom"/>
            <w:hideMark/>
          </w:tcPr>
          <w:p w14:paraId="43EEC01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-.0069066</w:t>
            </w:r>
          </w:p>
        </w:tc>
        <w:tc>
          <w:tcPr>
            <w:tcW w:w="1456" w:type="dxa"/>
            <w:tcBorders>
              <w:top w:val="single" w:sz="4" w:space="0" w:color="auto"/>
              <w:left w:val="nil"/>
              <w:bottom w:val="nil"/>
              <w:right w:val="nil"/>
            </w:tcBorders>
            <w:shd w:val="clear" w:color="auto" w:fill="auto"/>
            <w:noWrap/>
            <w:vAlign w:val="bottom"/>
            <w:hideMark/>
          </w:tcPr>
          <w:p w14:paraId="394B299D"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-.0038179</w:t>
            </w:r>
          </w:p>
        </w:tc>
      </w:tr>
      <w:tr w:rsidR="00193D32" w:rsidRPr="004812DC" w14:paraId="08C49B87" w14:textId="77777777" w:rsidTr="00B86ABF">
        <w:trPr>
          <w:trHeight w:val="288"/>
        </w:trPr>
        <w:tc>
          <w:tcPr>
            <w:tcW w:w="1659" w:type="dxa"/>
            <w:tcBorders>
              <w:top w:val="nil"/>
              <w:left w:val="nil"/>
              <w:bottom w:val="single" w:sz="4" w:space="0" w:color="auto"/>
              <w:right w:val="single" w:sz="4" w:space="0" w:color="auto"/>
            </w:tcBorders>
            <w:shd w:val="clear" w:color="auto" w:fill="auto"/>
            <w:noWrap/>
            <w:vAlign w:val="bottom"/>
            <w:hideMark/>
          </w:tcPr>
          <w:p w14:paraId="6B1634C4"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w:r w:rsidRPr="004812DC">
              <w:rPr>
                <w:rFonts w:ascii="Garamond" w:eastAsia="Times New Roman" w:hAnsi="Garamond" w:cs="Calibri"/>
                <w:color w:val="000000"/>
                <w:sz w:val="22"/>
                <w:szCs w:val="22"/>
                <w:lang w:eastAsia="en-GB"/>
              </w:rPr>
              <w:t xml:space="preserve"> </w:t>
            </w:r>
          </w:p>
        </w:tc>
        <w:tc>
          <w:tcPr>
            <w:tcW w:w="857" w:type="dxa"/>
            <w:gridSpan w:val="2"/>
            <w:tcBorders>
              <w:top w:val="nil"/>
              <w:left w:val="single" w:sz="4" w:space="0" w:color="auto"/>
              <w:bottom w:val="single" w:sz="4" w:space="0" w:color="auto"/>
              <w:right w:val="nil"/>
            </w:tcBorders>
            <w:shd w:val="clear" w:color="auto" w:fill="auto"/>
            <w:noWrap/>
            <w:vAlign w:val="bottom"/>
            <w:hideMark/>
          </w:tcPr>
          <w:p w14:paraId="4DF3236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55,248</w:t>
            </w:r>
          </w:p>
        </w:tc>
        <w:tc>
          <w:tcPr>
            <w:tcW w:w="1156" w:type="dxa"/>
            <w:gridSpan w:val="2"/>
            <w:tcBorders>
              <w:top w:val="nil"/>
              <w:left w:val="nil"/>
              <w:bottom w:val="single" w:sz="4" w:space="0" w:color="auto"/>
              <w:right w:val="nil"/>
            </w:tcBorders>
            <w:shd w:val="clear" w:color="auto" w:fill="auto"/>
            <w:noWrap/>
            <w:vAlign w:val="bottom"/>
            <w:hideMark/>
          </w:tcPr>
          <w:p w14:paraId="03A255A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.0181811</w:t>
            </w:r>
          </w:p>
        </w:tc>
        <w:tc>
          <w:tcPr>
            <w:tcW w:w="1056" w:type="dxa"/>
            <w:gridSpan w:val="2"/>
            <w:tcBorders>
              <w:top w:val="nil"/>
              <w:left w:val="nil"/>
              <w:bottom w:val="single" w:sz="4" w:space="0" w:color="auto"/>
              <w:right w:val="nil"/>
            </w:tcBorders>
            <w:shd w:val="clear" w:color="auto" w:fill="auto"/>
            <w:noWrap/>
            <w:vAlign w:val="bottom"/>
            <w:hideMark/>
          </w:tcPr>
          <w:p w14:paraId="05BDA23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.0010662</w:t>
            </w:r>
          </w:p>
        </w:tc>
        <w:tc>
          <w:tcPr>
            <w:tcW w:w="1056" w:type="dxa"/>
            <w:gridSpan w:val="2"/>
            <w:tcBorders>
              <w:top w:val="nil"/>
              <w:left w:val="nil"/>
              <w:bottom w:val="single" w:sz="4" w:space="0" w:color="auto"/>
              <w:right w:val="nil"/>
            </w:tcBorders>
            <w:shd w:val="clear" w:color="auto" w:fill="auto"/>
            <w:noWrap/>
            <w:vAlign w:val="bottom"/>
            <w:hideMark/>
          </w:tcPr>
          <w:p w14:paraId="5705060D"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.2506011</w:t>
            </w:r>
          </w:p>
        </w:tc>
        <w:tc>
          <w:tcPr>
            <w:tcW w:w="1235" w:type="dxa"/>
            <w:tcBorders>
              <w:top w:val="nil"/>
              <w:left w:val="nil"/>
              <w:bottom w:val="single" w:sz="4" w:space="0" w:color="auto"/>
              <w:right w:val="nil"/>
            </w:tcBorders>
            <w:shd w:val="clear" w:color="auto" w:fill="auto"/>
            <w:noWrap/>
            <w:vAlign w:val="bottom"/>
            <w:hideMark/>
          </w:tcPr>
          <w:p w14:paraId="76C5F40A"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.0160914</w:t>
            </w:r>
          </w:p>
        </w:tc>
        <w:tc>
          <w:tcPr>
            <w:tcW w:w="1456" w:type="dxa"/>
            <w:tcBorders>
              <w:top w:val="nil"/>
              <w:left w:val="nil"/>
              <w:bottom w:val="single" w:sz="4" w:space="0" w:color="auto"/>
              <w:right w:val="nil"/>
            </w:tcBorders>
            <w:shd w:val="clear" w:color="auto" w:fill="auto"/>
            <w:noWrap/>
            <w:vAlign w:val="bottom"/>
            <w:hideMark/>
          </w:tcPr>
          <w:p w14:paraId="2330233D"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.0202708</w:t>
            </w:r>
          </w:p>
        </w:tc>
      </w:tr>
      <w:tr w:rsidR="00193D32" w:rsidRPr="004812DC" w14:paraId="447DA925" w14:textId="77777777" w:rsidTr="00B86ABF">
        <w:trPr>
          <w:trHeight w:val="288"/>
        </w:trPr>
        <w:tc>
          <w:tcPr>
            <w:tcW w:w="1659" w:type="dxa"/>
            <w:tcBorders>
              <w:top w:val="single" w:sz="4" w:space="0" w:color="auto"/>
              <w:left w:val="nil"/>
              <w:bottom w:val="single" w:sz="4" w:space="0" w:color="FFFFFF" w:themeColor="background1"/>
              <w:right w:val="single" w:sz="4" w:space="0" w:color="auto"/>
            </w:tcBorders>
            <w:shd w:val="clear" w:color="auto" w:fill="auto"/>
            <w:noWrap/>
            <w:vAlign w:val="bottom"/>
            <w:hideMark/>
          </w:tcPr>
          <w:p w14:paraId="798F3EA4"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diff</w:t>
            </w:r>
          </w:p>
        </w:tc>
        <w:tc>
          <w:tcPr>
            <w:tcW w:w="857" w:type="dxa"/>
            <w:gridSpan w:val="2"/>
            <w:tcBorders>
              <w:top w:val="single" w:sz="4" w:space="0" w:color="auto"/>
              <w:left w:val="single" w:sz="4" w:space="0" w:color="auto"/>
              <w:bottom w:val="single" w:sz="4" w:space="0" w:color="FFFFFF" w:themeColor="background1"/>
              <w:right w:val="nil"/>
            </w:tcBorders>
            <w:shd w:val="clear" w:color="auto" w:fill="auto"/>
            <w:noWrap/>
            <w:vAlign w:val="bottom"/>
            <w:hideMark/>
          </w:tcPr>
          <w:p w14:paraId="0763070D"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55,248</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7D123FB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-.0235434</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4023EA1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.0012887</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3CD913B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.302917</w:t>
            </w:r>
          </w:p>
        </w:tc>
        <w:tc>
          <w:tcPr>
            <w:tcW w:w="1235" w:type="dxa"/>
            <w:tcBorders>
              <w:top w:val="single" w:sz="4" w:space="0" w:color="auto"/>
              <w:left w:val="nil"/>
              <w:bottom w:val="single" w:sz="4" w:space="0" w:color="auto"/>
              <w:right w:val="nil"/>
            </w:tcBorders>
            <w:shd w:val="clear" w:color="auto" w:fill="auto"/>
            <w:noWrap/>
            <w:vAlign w:val="bottom"/>
            <w:hideMark/>
          </w:tcPr>
          <w:p w14:paraId="6ED5D0E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-.0260693</w:t>
            </w:r>
          </w:p>
        </w:tc>
        <w:tc>
          <w:tcPr>
            <w:tcW w:w="1456" w:type="dxa"/>
            <w:tcBorders>
              <w:top w:val="single" w:sz="4" w:space="0" w:color="auto"/>
              <w:left w:val="nil"/>
              <w:bottom w:val="single" w:sz="4" w:space="0" w:color="auto"/>
              <w:right w:val="nil"/>
            </w:tcBorders>
            <w:shd w:val="clear" w:color="auto" w:fill="auto"/>
            <w:noWrap/>
            <w:vAlign w:val="bottom"/>
            <w:hideMark/>
          </w:tcPr>
          <w:p w14:paraId="1BBD33E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-.0210174</w:t>
            </w:r>
          </w:p>
        </w:tc>
      </w:tr>
      <w:tr w:rsidR="00193D32" w:rsidRPr="004812DC" w14:paraId="1ED96E2E" w14:textId="77777777" w:rsidTr="00B86ABF">
        <w:trPr>
          <w:trHeight w:val="288"/>
        </w:trPr>
        <w:tc>
          <w:tcPr>
            <w:tcW w:w="5784" w:type="dxa"/>
            <w:gridSpan w:val="9"/>
            <w:tcBorders>
              <w:top w:val="single" w:sz="4" w:space="0" w:color="auto"/>
              <w:left w:val="nil"/>
              <w:bottom w:val="single" w:sz="4" w:space="0" w:color="auto"/>
              <w:right w:val="nil"/>
            </w:tcBorders>
            <w:shd w:val="clear" w:color="auto" w:fill="auto"/>
            <w:noWrap/>
            <w:vAlign w:val="bottom"/>
          </w:tcPr>
          <w:p w14:paraId="23CEC410"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mean(diff) = </w:t>
            </w:r>
            <w:proofErr w:type="gramStart"/>
            <w:r w:rsidRPr="004812DC">
              <w:rPr>
                <w:rFonts w:ascii="Garamond" w:eastAsia="Times New Roman" w:hAnsi="Garamond" w:cs="Calibri"/>
                <w:color w:val="000000"/>
                <w:sz w:val="22"/>
                <w:szCs w:val="22"/>
                <w:lang w:eastAsia="en-GB"/>
              </w:rPr>
              <w:t>mean(</w:t>
            </w:r>
            <w:proofErr w:type="gramEnd"/>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sub>
              </m:sSub>
            </m:oMath>
            <w:r w:rsidRPr="004812DC">
              <w:rPr>
                <w:rFonts w:ascii="Garamond" w:eastAsia="Times New Roman" w:hAnsi="Garamond" w:cs="Calibri"/>
                <w:b/>
                <w:color w:val="000000"/>
                <w:sz w:val="22"/>
                <w:szCs w:val="22"/>
                <w:lang w:eastAsia="en-GB"/>
              </w:rPr>
              <w:t xml:space="preserve">- </w:t>
            </w:r>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r>
                    <m:rPr>
                      <m:sty m:val="bi"/>
                    </m:rPr>
                    <w:rPr>
                      <w:rFonts w:ascii="Cambria Math" w:hAnsi="Cambria Math"/>
                      <w:sz w:val="24"/>
                      <w:szCs w:val="24"/>
                    </w:rPr>
                    <m:t>-1</m:t>
                  </m:r>
                </m:sub>
              </m:sSub>
            </m:oMath>
            <w:r w:rsidRPr="004812DC">
              <w:rPr>
                <w:rFonts w:ascii="Garamond" w:eastAsia="Times New Roman" w:hAnsi="Garamond" w:cs="Calibri"/>
                <w:color w:val="000000"/>
                <w:sz w:val="22"/>
                <w:szCs w:val="22"/>
                <w:lang w:eastAsia="en-GB"/>
              </w:rPr>
              <w:t>)</w:t>
            </w:r>
          </w:p>
        </w:tc>
        <w:tc>
          <w:tcPr>
            <w:tcW w:w="1235" w:type="dxa"/>
            <w:tcBorders>
              <w:top w:val="single" w:sz="4" w:space="0" w:color="auto"/>
              <w:left w:val="nil"/>
              <w:bottom w:val="single" w:sz="4" w:space="0" w:color="auto"/>
              <w:right w:val="nil"/>
            </w:tcBorders>
            <w:shd w:val="clear" w:color="auto" w:fill="auto"/>
            <w:noWrap/>
            <w:vAlign w:val="bottom"/>
          </w:tcPr>
          <w:p w14:paraId="4E44689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56" w:type="dxa"/>
            <w:tcBorders>
              <w:top w:val="single" w:sz="4" w:space="0" w:color="auto"/>
              <w:left w:val="nil"/>
              <w:bottom w:val="single" w:sz="4" w:space="0" w:color="auto"/>
              <w:right w:val="nil"/>
            </w:tcBorders>
            <w:shd w:val="clear" w:color="auto" w:fill="auto"/>
            <w:noWrap/>
            <w:vAlign w:val="bottom"/>
          </w:tcPr>
          <w:p w14:paraId="316C327B"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t =</w:t>
            </w:r>
            <w:r w:rsidRPr="004812DC">
              <w:rPr>
                <w:rFonts w:ascii="Garamond" w:eastAsia="Times New Roman" w:hAnsi="Garamond" w:cs="Calibri"/>
                <w:b/>
                <w:bCs/>
                <w:color w:val="000000"/>
                <w:sz w:val="22"/>
                <w:szCs w:val="22"/>
                <w:lang w:eastAsia="en-GB"/>
              </w:rPr>
              <w:t xml:space="preserve"> -18.2685 </w:t>
            </w:r>
          </w:p>
        </w:tc>
      </w:tr>
      <w:tr w:rsidR="00193D32" w:rsidRPr="004812DC" w14:paraId="703DECB1" w14:textId="77777777" w:rsidTr="00B86ABF">
        <w:trPr>
          <w:trHeight w:val="288"/>
        </w:trPr>
        <w:tc>
          <w:tcPr>
            <w:tcW w:w="1928"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14:paraId="166497DB"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H0: mean(diff) = 0</w:t>
            </w:r>
          </w:p>
        </w:tc>
        <w:tc>
          <w:tcPr>
            <w:tcW w:w="1928"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2C22686E"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4619" w:type="dxa"/>
            <w:gridSpan w:val="5"/>
            <w:tcBorders>
              <w:top w:val="single" w:sz="4" w:space="0" w:color="FFFFFF" w:themeColor="background1"/>
              <w:left w:val="nil"/>
              <w:bottom w:val="single" w:sz="4" w:space="0" w:color="FFFFFF" w:themeColor="background1"/>
              <w:right w:val="nil"/>
            </w:tcBorders>
            <w:shd w:val="clear" w:color="auto" w:fill="auto"/>
            <w:vAlign w:val="bottom"/>
          </w:tcPr>
          <w:p w14:paraId="3F0CFC75"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 xml:space="preserve">Degrees of </w:t>
            </w:r>
            <w:proofErr w:type="spellStart"/>
            <w:r w:rsidRPr="004812DC">
              <w:rPr>
                <w:rFonts w:ascii="Garamond" w:eastAsia="Times New Roman" w:hAnsi="Garamond" w:cs="Calibri"/>
                <w:b/>
                <w:bCs/>
                <w:color w:val="000000"/>
                <w:sz w:val="22"/>
                <w:szCs w:val="22"/>
                <w:lang w:eastAsia="en-GB"/>
              </w:rPr>
              <w:t>feedom</w:t>
            </w:r>
            <w:proofErr w:type="spellEnd"/>
            <w:r w:rsidRPr="004812DC">
              <w:rPr>
                <w:rFonts w:ascii="Garamond" w:eastAsia="Times New Roman" w:hAnsi="Garamond" w:cs="Calibri"/>
                <w:b/>
                <w:bCs/>
                <w:color w:val="000000"/>
                <w:sz w:val="22"/>
                <w:szCs w:val="22"/>
                <w:lang w:eastAsia="en-GB"/>
              </w:rPr>
              <w:t xml:space="preserve"> = 55247</w:t>
            </w:r>
          </w:p>
        </w:tc>
      </w:tr>
      <w:tr w:rsidR="00193D32" w:rsidRPr="004812DC" w14:paraId="52F6CA6C"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2AE3A7D"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41068E6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3390BEDC"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r>
      <w:tr w:rsidR="00193D32" w:rsidRPr="004812DC" w14:paraId="32B42A38"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60C07C88"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&lt; 0</w:t>
            </w: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53764B71"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w:t>
            </w:r>
            <w:proofErr w:type="gramStart"/>
            <w:r w:rsidRPr="004812DC">
              <w:rPr>
                <w:rFonts w:ascii="Garamond" w:eastAsia="Times New Roman" w:hAnsi="Garamond" w:cs="Calibri"/>
                <w:color w:val="000000"/>
                <w:sz w:val="22"/>
                <w:szCs w:val="22"/>
                <w:lang w:eastAsia="en-GB"/>
              </w:rPr>
              <w:t>) !</w:t>
            </w:r>
            <w:proofErr w:type="gramEnd"/>
            <w:r w:rsidRPr="004812DC">
              <w:rPr>
                <w:rFonts w:ascii="Garamond" w:eastAsia="Times New Roman" w:hAnsi="Garamond" w:cs="Calibri"/>
                <w:color w:val="000000"/>
                <w:sz w:val="22"/>
                <w:szCs w:val="22"/>
                <w:lang w:eastAsia="en-GB"/>
              </w:rPr>
              <w:t>= 0</w:t>
            </w: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7C390650"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Ha: mean(diff) &gt; 0</w:t>
            </w:r>
          </w:p>
        </w:tc>
      </w:tr>
      <w:tr w:rsidR="00193D32" w:rsidRPr="004812DC" w14:paraId="13D48641" w14:textId="77777777" w:rsidTr="00B86ABF">
        <w:trPr>
          <w:trHeight w:val="288"/>
        </w:trPr>
        <w:tc>
          <w:tcPr>
            <w:tcW w:w="2825" w:type="dxa"/>
            <w:gridSpan w:val="4"/>
            <w:tcBorders>
              <w:top w:val="single" w:sz="4" w:space="0" w:color="FFFFFF" w:themeColor="background1"/>
              <w:left w:val="nil"/>
              <w:bottom w:val="single" w:sz="4" w:space="0" w:color="auto"/>
              <w:right w:val="nil"/>
            </w:tcBorders>
            <w:shd w:val="clear" w:color="auto" w:fill="auto"/>
            <w:noWrap/>
            <w:vAlign w:val="bottom"/>
          </w:tcPr>
          <w:p w14:paraId="44C46343"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&lt; t) =</w:t>
            </w:r>
            <w:r w:rsidRPr="004812DC">
              <w:rPr>
                <w:rFonts w:ascii="Garamond" w:eastAsia="Times New Roman" w:hAnsi="Garamond" w:cs="Calibri"/>
                <w:b/>
                <w:bCs/>
                <w:color w:val="000000"/>
                <w:sz w:val="22"/>
                <w:szCs w:val="22"/>
                <w:lang w:eastAsia="en-GB"/>
              </w:rPr>
              <w:t xml:space="preserve"> 0.0000</w:t>
            </w:r>
          </w:p>
        </w:tc>
        <w:tc>
          <w:tcPr>
            <w:tcW w:w="2825" w:type="dxa"/>
            <w:gridSpan w:val="4"/>
            <w:tcBorders>
              <w:top w:val="single" w:sz="4" w:space="0" w:color="FFFFFF" w:themeColor="background1"/>
              <w:left w:val="nil"/>
              <w:bottom w:val="single" w:sz="4" w:space="0" w:color="auto"/>
              <w:right w:val="nil"/>
            </w:tcBorders>
            <w:shd w:val="clear" w:color="auto" w:fill="auto"/>
            <w:vAlign w:val="bottom"/>
          </w:tcPr>
          <w:p w14:paraId="3D20CEAB"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 =</w:t>
            </w:r>
            <w:r w:rsidRPr="004812DC">
              <w:rPr>
                <w:rFonts w:ascii="Garamond" w:eastAsia="Times New Roman" w:hAnsi="Garamond" w:cs="Calibri"/>
                <w:b/>
                <w:bCs/>
                <w:color w:val="000000"/>
                <w:sz w:val="22"/>
                <w:szCs w:val="22"/>
                <w:lang w:eastAsia="en-GB"/>
              </w:rPr>
              <w:t xml:space="preserve"> 0.0000</w:t>
            </w:r>
          </w:p>
        </w:tc>
        <w:tc>
          <w:tcPr>
            <w:tcW w:w="2825" w:type="dxa"/>
            <w:gridSpan w:val="3"/>
            <w:tcBorders>
              <w:top w:val="single" w:sz="4" w:space="0" w:color="FFFFFF" w:themeColor="background1"/>
              <w:left w:val="nil"/>
              <w:bottom w:val="single" w:sz="4" w:space="0" w:color="auto"/>
              <w:right w:val="nil"/>
            </w:tcBorders>
            <w:shd w:val="clear" w:color="auto" w:fill="auto"/>
            <w:vAlign w:val="bottom"/>
          </w:tcPr>
          <w:p w14:paraId="2EA53AFB"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b/>
                <w:bCs/>
                <w:color w:val="000000"/>
                <w:sz w:val="22"/>
                <w:szCs w:val="22"/>
                <w:lang w:eastAsia="en-GB"/>
              </w:rPr>
              <w:t>Pr</w:t>
            </w:r>
            <w:proofErr w:type="spellEnd"/>
            <w:r w:rsidRPr="004812DC">
              <w:rPr>
                <w:rFonts w:ascii="Garamond" w:eastAsia="Times New Roman" w:hAnsi="Garamond" w:cs="Calibri"/>
                <w:b/>
                <w:bCs/>
                <w:color w:val="000000"/>
                <w:sz w:val="22"/>
                <w:szCs w:val="22"/>
                <w:lang w:eastAsia="en-GB"/>
              </w:rPr>
              <w:t>(</w:t>
            </w:r>
            <w:proofErr w:type="gramEnd"/>
            <w:r w:rsidRPr="004812DC">
              <w:rPr>
                <w:rFonts w:ascii="Garamond" w:eastAsia="Times New Roman" w:hAnsi="Garamond" w:cs="Calibri"/>
                <w:b/>
                <w:bCs/>
                <w:color w:val="000000"/>
                <w:sz w:val="22"/>
                <w:szCs w:val="22"/>
                <w:lang w:eastAsia="en-GB"/>
              </w:rPr>
              <w:t>T &gt; t) = 1.0000</w:t>
            </w:r>
          </w:p>
        </w:tc>
      </w:tr>
    </w:tbl>
    <w:p w14:paraId="5B2F21A3" w14:textId="77777777" w:rsidR="00193D32" w:rsidRDefault="00193D32" w:rsidP="00193D32">
      <w:pPr>
        <w:rPr>
          <w:rFonts w:ascii="Garamond" w:hAnsi="Garamond"/>
          <w:sz w:val="24"/>
          <w:szCs w:val="24"/>
        </w:rPr>
      </w:pPr>
    </w:p>
    <w:p w14:paraId="3A2A42A2" w14:textId="77777777" w:rsidR="00193D32" w:rsidRPr="00F752B1" w:rsidRDefault="00193D32" w:rsidP="00193D32">
      <w:pPr>
        <w:rPr>
          <w:rFonts w:ascii="Garamond" w:hAnsi="Garamond"/>
          <w:sz w:val="24"/>
          <w:szCs w:val="24"/>
        </w:rPr>
      </w:pPr>
    </w:p>
    <w:p w14:paraId="024B0138" w14:textId="420CCBBF" w:rsidR="00193D32" w:rsidRPr="009737F7" w:rsidRDefault="00193D32" w:rsidP="00193D32">
      <w:pPr>
        <w:pStyle w:val="Caption"/>
        <w:keepNext/>
        <w:rPr>
          <w:i w:val="0"/>
          <w:iCs w:val="0"/>
          <w:color w:val="auto"/>
          <w:lang w:val="pt-PT"/>
        </w:rPr>
      </w:pPr>
      <w:bookmarkStart w:id="61" w:name="_Toc176855924"/>
      <w:r w:rsidRPr="008D6866">
        <w:rPr>
          <w:rFonts w:ascii="Garamond" w:hAnsi="Garamond"/>
          <w:b/>
          <w:bCs/>
          <w:i w:val="0"/>
          <w:iCs w:val="0"/>
          <w:color w:val="auto"/>
          <w:lang w:val="pt-PT"/>
        </w:rPr>
        <w:t xml:space="preserve">Tabela </w:t>
      </w:r>
      <w:r w:rsidRPr="008D6866">
        <w:rPr>
          <w:rFonts w:ascii="Garamond" w:hAnsi="Garamond"/>
          <w:b/>
          <w:bCs/>
          <w:i w:val="0"/>
          <w:iCs w:val="0"/>
          <w:color w:val="auto"/>
        </w:rPr>
        <w:fldChar w:fldCharType="begin"/>
      </w:r>
      <w:r w:rsidRPr="008D6866">
        <w:rPr>
          <w:rFonts w:ascii="Garamond" w:hAnsi="Garamond"/>
          <w:b/>
          <w:bCs/>
          <w:i w:val="0"/>
          <w:iCs w:val="0"/>
          <w:color w:val="auto"/>
          <w:lang w:val="pt-PT"/>
        </w:rPr>
        <w:instrText xml:space="preserve"> SEQ Tabela \* ARABIC </w:instrText>
      </w:r>
      <w:r w:rsidRPr="008D6866">
        <w:rPr>
          <w:rFonts w:ascii="Garamond" w:hAnsi="Garamond"/>
          <w:b/>
          <w:bCs/>
          <w:i w:val="0"/>
          <w:iCs w:val="0"/>
          <w:color w:val="auto"/>
        </w:rPr>
        <w:fldChar w:fldCharType="separate"/>
      </w:r>
      <w:r w:rsidR="00C01B43">
        <w:rPr>
          <w:rFonts w:ascii="Garamond" w:hAnsi="Garamond"/>
          <w:b/>
          <w:bCs/>
          <w:i w:val="0"/>
          <w:iCs w:val="0"/>
          <w:noProof/>
          <w:color w:val="auto"/>
          <w:lang w:val="pt-PT"/>
        </w:rPr>
        <w:t>12</w:t>
      </w:r>
      <w:r w:rsidRPr="008D6866">
        <w:rPr>
          <w:rFonts w:ascii="Garamond" w:hAnsi="Garamond"/>
          <w:b/>
          <w:bCs/>
          <w:i w:val="0"/>
          <w:iCs w:val="0"/>
          <w:color w:val="auto"/>
        </w:rPr>
        <w:fldChar w:fldCharType="end"/>
      </w:r>
      <w:r w:rsidRPr="008D6866">
        <w:rPr>
          <w:rFonts w:ascii="Garamond" w:hAnsi="Garamond"/>
          <w:i w:val="0"/>
          <w:iCs w:val="0"/>
          <w:color w:val="auto"/>
          <w:lang w:val="pt-PT"/>
        </w:rPr>
        <w:t xml:space="preserve"> -</w:t>
      </w:r>
      <w:r w:rsidRPr="009737F7">
        <w:rPr>
          <w:i w:val="0"/>
          <w:iCs w:val="0"/>
          <w:color w:val="auto"/>
          <w:lang w:val="pt-PT"/>
        </w:rPr>
        <w:t xml:space="preserve"> </w:t>
      </w:r>
      <w:proofErr w:type="spellStart"/>
      <w:r w:rsidRPr="009737F7">
        <w:rPr>
          <w:rFonts w:ascii="Garamond" w:hAnsi="Garamond"/>
          <w:i w:val="0"/>
          <w:iCs w:val="0"/>
          <w:color w:val="auto"/>
          <w:lang w:val="pt-PT"/>
        </w:rPr>
        <w:t>Paired</w:t>
      </w:r>
      <w:proofErr w:type="spellEnd"/>
      <w:r w:rsidRPr="009737F7">
        <w:rPr>
          <w:rFonts w:ascii="Garamond" w:hAnsi="Garamond"/>
          <w:i w:val="0"/>
          <w:iCs w:val="0"/>
          <w:color w:val="auto"/>
          <w:lang w:val="pt-PT"/>
        </w:rPr>
        <w:t xml:space="preserve"> t </w:t>
      </w:r>
      <w:proofErr w:type="spellStart"/>
      <w:r w:rsidRPr="009737F7">
        <w:rPr>
          <w:rFonts w:ascii="Garamond" w:hAnsi="Garamond"/>
          <w:i w:val="0"/>
          <w:iCs w:val="0"/>
          <w:color w:val="auto"/>
          <w:lang w:val="pt-PT"/>
        </w:rPr>
        <w:t>test</w:t>
      </w:r>
      <w:proofErr w:type="spellEnd"/>
      <w:r w:rsidRPr="009737F7">
        <w:rPr>
          <w:rFonts w:ascii="Garamond" w:hAnsi="Garamond"/>
          <w:i w:val="0"/>
          <w:iCs w:val="0"/>
          <w:color w:val="auto"/>
          <w:lang w:val="pt-PT"/>
        </w:rPr>
        <w:t xml:space="preserve"> entre as variáveis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m:t>
            </m:r>
          </m:sub>
        </m:sSub>
      </m:oMath>
      <w:r w:rsidRPr="009737F7">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Pr="009737F7">
        <w:rPr>
          <w:rFonts w:ascii="Garamond" w:hAnsi="Garamond"/>
          <w:bCs/>
          <w:i w:val="0"/>
          <w:iCs w:val="0"/>
          <w:color w:val="auto"/>
          <w:lang w:val="pt-PT"/>
        </w:rPr>
        <w:t xml:space="preserve"> </w:t>
      </w:r>
      <w:r w:rsidRPr="009737F7">
        <w:rPr>
          <w:rFonts w:ascii="Garamond" w:hAnsi="Garamond"/>
          <w:i w:val="0"/>
          <w:iCs w:val="0"/>
          <w:color w:val="auto"/>
          <w:lang w:val="pt-PT"/>
        </w:rPr>
        <w:t>da subamostra de controlo do ano 2021</w:t>
      </w:r>
      <w:bookmarkEnd w:id="61"/>
    </w:p>
    <w:tbl>
      <w:tblPr>
        <w:tblW w:w="8475" w:type="dxa"/>
        <w:tblLook w:val="04A0" w:firstRow="1" w:lastRow="0" w:firstColumn="1" w:lastColumn="0" w:noHBand="0" w:noVBand="1"/>
      </w:tblPr>
      <w:tblGrid>
        <w:gridCol w:w="1659"/>
        <w:gridCol w:w="269"/>
        <w:gridCol w:w="588"/>
        <w:gridCol w:w="309"/>
        <w:gridCol w:w="847"/>
        <w:gridCol w:w="184"/>
        <w:gridCol w:w="872"/>
        <w:gridCol w:w="922"/>
        <w:gridCol w:w="134"/>
        <w:gridCol w:w="1235"/>
        <w:gridCol w:w="1456"/>
      </w:tblGrid>
      <w:tr w:rsidR="00193D32" w:rsidRPr="00CD3136" w14:paraId="1C795373" w14:textId="77777777" w:rsidTr="00B86ABF">
        <w:trPr>
          <w:trHeight w:val="288"/>
        </w:trPr>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127A75F2"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Variable</w:t>
            </w:r>
          </w:p>
        </w:tc>
        <w:tc>
          <w:tcPr>
            <w:tcW w:w="857" w:type="dxa"/>
            <w:gridSpan w:val="2"/>
            <w:tcBorders>
              <w:top w:val="single" w:sz="4" w:space="0" w:color="auto"/>
              <w:left w:val="single" w:sz="4" w:space="0" w:color="auto"/>
              <w:bottom w:val="single" w:sz="4" w:space="0" w:color="auto"/>
              <w:right w:val="nil"/>
            </w:tcBorders>
            <w:shd w:val="clear" w:color="auto" w:fill="auto"/>
            <w:noWrap/>
            <w:vAlign w:val="bottom"/>
            <w:hideMark/>
          </w:tcPr>
          <w:p w14:paraId="7F0B8C05"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Obs</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79079B1E"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Mean</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33D6BF1E"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 xml:space="preserve">Std. </w:t>
            </w:r>
            <w:proofErr w:type="gramStart"/>
            <w:r w:rsidRPr="00CD3136">
              <w:rPr>
                <w:rFonts w:ascii="Garamond" w:eastAsia="Times New Roman" w:hAnsi="Garamond" w:cs="Calibri"/>
                <w:color w:val="000000"/>
                <w:sz w:val="22"/>
                <w:szCs w:val="22"/>
                <w:lang w:eastAsia="en-GB"/>
              </w:rPr>
              <w:t>err</w:t>
            </w:r>
            <w:proofErr w:type="gramEnd"/>
            <w:r w:rsidRPr="00CD3136">
              <w:rPr>
                <w:rFonts w:ascii="Garamond" w:eastAsia="Times New Roman" w:hAnsi="Garamond" w:cs="Calibri"/>
                <w:color w:val="000000"/>
                <w:sz w:val="22"/>
                <w:szCs w:val="22"/>
                <w:lang w:eastAsia="en-GB"/>
              </w:rPr>
              <w:t>.</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506EA70E"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Std. dev.</w:t>
            </w:r>
          </w:p>
        </w:tc>
        <w:tc>
          <w:tcPr>
            <w:tcW w:w="2691" w:type="dxa"/>
            <w:gridSpan w:val="2"/>
            <w:tcBorders>
              <w:top w:val="single" w:sz="4" w:space="0" w:color="auto"/>
              <w:left w:val="nil"/>
              <w:bottom w:val="single" w:sz="4" w:space="0" w:color="auto"/>
              <w:right w:val="nil"/>
            </w:tcBorders>
            <w:shd w:val="clear" w:color="auto" w:fill="auto"/>
            <w:noWrap/>
            <w:vAlign w:val="bottom"/>
            <w:hideMark/>
          </w:tcPr>
          <w:p w14:paraId="400BB707" w14:textId="77777777" w:rsidR="00193D32" w:rsidRPr="00CD3136" w:rsidRDefault="00193D32" w:rsidP="00B86ABF">
            <w:pPr>
              <w:spacing w:after="0" w:line="240" w:lineRule="auto"/>
              <w:jc w:val="center"/>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[95% conf.</w:t>
            </w:r>
            <w:r w:rsidRPr="004812DC">
              <w:rPr>
                <w:rFonts w:ascii="Garamond" w:eastAsia="Times New Roman" w:hAnsi="Garamond" w:cs="Calibri"/>
                <w:color w:val="000000"/>
                <w:sz w:val="22"/>
                <w:szCs w:val="22"/>
                <w:lang w:eastAsia="en-GB"/>
              </w:rPr>
              <w:t xml:space="preserve"> </w:t>
            </w:r>
            <w:r w:rsidRPr="00CD3136">
              <w:rPr>
                <w:rFonts w:ascii="Garamond" w:eastAsia="Times New Roman" w:hAnsi="Garamond" w:cs="Calibri"/>
                <w:color w:val="000000"/>
                <w:sz w:val="22"/>
                <w:szCs w:val="22"/>
                <w:lang w:eastAsia="en-GB"/>
              </w:rPr>
              <w:t>interval]</w:t>
            </w:r>
          </w:p>
        </w:tc>
      </w:tr>
      <w:tr w:rsidR="00193D32" w:rsidRPr="00CD3136" w14:paraId="7CCB6974" w14:textId="77777777" w:rsidTr="00B86ABF">
        <w:trPr>
          <w:trHeight w:val="288"/>
        </w:trPr>
        <w:tc>
          <w:tcPr>
            <w:tcW w:w="1659" w:type="dxa"/>
            <w:tcBorders>
              <w:top w:val="single" w:sz="4" w:space="0" w:color="auto"/>
              <w:left w:val="nil"/>
              <w:bottom w:val="nil"/>
              <w:right w:val="single" w:sz="4" w:space="0" w:color="auto"/>
            </w:tcBorders>
            <w:shd w:val="clear" w:color="auto" w:fill="auto"/>
            <w:noWrap/>
            <w:vAlign w:val="bottom"/>
            <w:hideMark/>
          </w:tcPr>
          <w:p w14:paraId="75831653" w14:textId="77777777" w:rsidR="00193D32" w:rsidRPr="00CD3136" w:rsidRDefault="00193D32" w:rsidP="00B86ABF">
            <w:pPr>
              <w:spacing w:after="0" w:line="240" w:lineRule="auto"/>
              <w:rPr>
                <w:rFonts w:ascii="Calibri" w:eastAsia="Times New Roman" w:hAnsi="Calibri"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w:r>
              <w:rPr>
                <w:rFonts w:ascii="Calibri" w:eastAsia="Times New Roman" w:hAnsi="Calibri" w:cs="Calibri"/>
                <w:color w:val="000000"/>
                <w:sz w:val="22"/>
                <w:szCs w:val="22"/>
                <w:lang w:eastAsia="en-GB"/>
              </w:rPr>
              <w:t xml:space="preserve"> </w:t>
            </w:r>
          </w:p>
        </w:tc>
        <w:tc>
          <w:tcPr>
            <w:tcW w:w="857" w:type="dxa"/>
            <w:gridSpan w:val="2"/>
            <w:tcBorders>
              <w:top w:val="single" w:sz="4" w:space="0" w:color="auto"/>
              <w:left w:val="single" w:sz="4" w:space="0" w:color="auto"/>
              <w:bottom w:val="nil"/>
              <w:right w:val="nil"/>
            </w:tcBorders>
            <w:shd w:val="clear" w:color="auto" w:fill="auto"/>
            <w:noWrap/>
            <w:vAlign w:val="bottom"/>
            <w:hideMark/>
          </w:tcPr>
          <w:p w14:paraId="40FC6D2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55,248</w:t>
            </w:r>
          </w:p>
        </w:tc>
        <w:tc>
          <w:tcPr>
            <w:tcW w:w="1156" w:type="dxa"/>
            <w:gridSpan w:val="2"/>
            <w:tcBorders>
              <w:top w:val="single" w:sz="4" w:space="0" w:color="auto"/>
              <w:left w:val="nil"/>
              <w:bottom w:val="nil"/>
              <w:right w:val="nil"/>
            </w:tcBorders>
            <w:shd w:val="clear" w:color="auto" w:fill="auto"/>
            <w:noWrap/>
            <w:vAlign w:val="bottom"/>
          </w:tcPr>
          <w:p w14:paraId="2EF46CE0"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-.0080849</w:t>
            </w:r>
          </w:p>
        </w:tc>
        <w:tc>
          <w:tcPr>
            <w:tcW w:w="1056" w:type="dxa"/>
            <w:gridSpan w:val="2"/>
            <w:tcBorders>
              <w:top w:val="single" w:sz="4" w:space="0" w:color="auto"/>
              <w:left w:val="nil"/>
              <w:bottom w:val="nil"/>
              <w:right w:val="nil"/>
            </w:tcBorders>
            <w:shd w:val="clear" w:color="auto" w:fill="auto"/>
            <w:noWrap/>
            <w:vAlign w:val="bottom"/>
          </w:tcPr>
          <w:p w14:paraId="7201A2F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.0007116</w:t>
            </w:r>
          </w:p>
        </w:tc>
        <w:tc>
          <w:tcPr>
            <w:tcW w:w="1056" w:type="dxa"/>
            <w:gridSpan w:val="2"/>
            <w:tcBorders>
              <w:top w:val="single" w:sz="4" w:space="0" w:color="auto"/>
              <w:left w:val="nil"/>
              <w:bottom w:val="nil"/>
              <w:right w:val="nil"/>
            </w:tcBorders>
            <w:shd w:val="clear" w:color="auto" w:fill="auto"/>
            <w:noWrap/>
            <w:vAlign w:val="bottom"/>
          </w:tcPr>
          <w:p w14:paraId="43D4E206"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.167269</w:t>
            </w:r>
          </w:p>
        </w:tc>
        <w:tc>
          <w:tcPr>
            <w:tcW w:w="1235" w:type="dxa"/>
            <w:tcBorders>
              <w:top w:val="single" w:sz="4" w:space="0" w:color="auto"/>
              <w:left w:val="nil"/>
              <w:bottom w:val="nil"/>
              <w:right w:val="nil"/>
            </w:tcBorders>
            <w:shd w:val="clear" w:color="auto" w:fill="auto"/>
            <w:noWrap/>
            <w:vAlign w:val="bottom"/>
          </w:tcPr>
          <w:p w14:paraId="58EFDE5D"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-.0094797</w:t>
            </w:r>
          </w:p>
        </w:tc>
        <w:tc>
          <w:tcPr>
            <w:tcW w:w="1456" w:type="dxa"/>
            <w:tcBorders>
              <w:top w:val="single" w:sz="4" w:space="0" w:color="auto"/>
              <w:left w:val="nil"/>
              <w:bottom w:val="nil"/>
              <w:right w:val="nil"/>
            </w:tcBorders>
            <w:shd w:val="clear" w:color="auto" w:fill="auto"/>
            <w:noWrap/>
            <w:vAlign w:val="bottom"/>
          </w:tcPr>
          <w:p w14:paraId="05327BF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-.0066901</w:t>
            </w:r>
          </w:p>
        </w:tc>
      </w:tr>
      <w:tr w:rsidR="00193D32" w:rsidRPr="00CD3136" w14:paraId="6DFBDACA" w14:textId="77777777" w:rsidTr="00B86ABF">
        <w:trPr>
          <w:trHeight w:val="288"/>
        </w:trPr>
        <w:tc>
          <w:tcPr>
            <w:tcW w:w="1659" w:type="dxa"/>
            <w:tcBorders>
              <w:top w:val="nil"/>
              <w:left w:val="nil"/>
              <w:bottom w:val="single" w:sz="4" w:space="0" w:color="auto"/>
              <w:right w:val="single" w:sz="4" w:space="0" w:color="auto"/>
            </w:tcBorders>
            <w:shd w:val="clear" w:color="auto" w:fill="auto"/>
            <w:noWrap/>
            <w:vAlign w:val="bottom"/>
            <w:hideMark/>
          </w:tcPr>
          <w:p w14:paraId="22999176" w14:textId="77777777" w:rsidR="00193D32" w:rsidRPr="00CD3136" w:rsidRDefault="00193D32" w:rsidP="00B86ABF">
            <w:pPr>
              <w:spacing w:after="0" w:line="240" w:lineRule="auto"/>
              <w:rPr>
                <w:rFonts w:ascii="Calibri" w:eastAsia="Times New Roman" w:hAnsi="Calibri"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w:r>
              <w:rPr>
                <w:rFonts w:ascii="Calibri" w:eastAsia="Times New Roman" w:hAnsi="Calibri" w:cs="Calibri"/>
                <w:color w:val="000000"/>
                <w:sz w:val="22"/>
                <w:szCs w:val="22"/>
                <w:lang w:eastAsia="en-GB"/>
              </w:rPr>
              <w:t xml:space="preserve"> </w:t>
            </w:r>
          </w:p>
        </w:tc>
        <w:tc>
          <w:tcPr>
            <w:tcW w:w="857" w:type="dxa"/>
            <w:gridSpan w:val="2"/>
            <w:tcBorders>
              <w:top w:val="nil"/>
              <w:left w:val="single" w:sz="4" w:space="0" w:color="auto"/>
              <w:bottom w:val="single" w:sz="4" w:space="0" w:color="auto"/>
              <w:right w:val="nil"/>
            </w:tcBorders>
            <w:shd w:val="clear" w:color="auto" w:fill="auto"/>
            <w:noWrap/>
            <w:vAlign w:val="bottom"/>
            <w:hideMark/>
          </w:tcPr>
          <w:p w14:paraId="786E1B54"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55,248</w:t>
            </w:r>
          </w:p>
        </w:tc>
        <w:tc>
          <w:tcPr>
            <w:tcW w:w="1156" w:type="dxa"/>
            <w:gridSpan w:val="2"/>
            <w:tcBorders>
              <w:top w:val="nil"/>
              <w:left w:val="nil"/>
              <w:bottom w:val="single" w:sz="4" w:space="0" w:color="auto"/>
              <w:right w:val="nil"/>
            </w:tcBorders>
            <w:shd w:val="clear" w:color="auto" w:fill="auto"/>
            <w:noWrap/>
            <w:vAlign w:val="bottom"/>
          </w:tcPr>
          <w:p w14:paraId="331B5FF3"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-.0069816</w:t>
            </w:r>
          </w:p>
        </w:tc>
        <w:tc>
          <w:tcPr>
            <w:tcW w:w="1056" w:type="dxa"/>
            <w:gridSpan w:val="2"/>
            <w:tcBorders>
              <w:top w:val="nil"/>
              <w:left w:val="nil"/>
              <w:bottom w:val="single" w:sz="4" w:space="0" w:color="auto"/>
              <w:right w:val="nil"/>
            </w:tcBorders>
            <w:shd w:val="clear" w:color="auto" w:fill="auto"/>
            <w:noWrap/>
            <w:vAlign w:val="bottom"/>
          </w:tcPr>
          <w:p w14:paraId="3C3CBFA0"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.0007683</w:t>
            </w:r>
          </w:p>
        </w:tc>
        <w:tc>
          <w:tcPr>
            <w:tcW w:w="1056" w:type="dxa"/>
            <w:gridSpan w:val="2"/>
            <w:tcBorders>
              <w:top w:val="nil"/>
              <w:left w:val="nil"/>
              <w:bottom w:val="single" w:sz="4" w:space="0" w:color="auto"/>
              <w:right w:val="nil"/>
            </w:tcBorders>
            <w:shd w:val="clear" w:color="auto" w:fill="auto"/>
            <w:noWrap/>
            <w:vAlign w:val="bottom"/>
          </w:tcPr>
          <w:p w14:paraId="0190288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.1805962</w:t>
            </w:r>
          </w:p>
        </w:tc>
        <w:tc>
          <w:tcPr>
            <w:tcW w:w="1235" w:type="dxa"/>
            <w:tcBorders>
              <w:top w:val="nil"/>
              <w:left w:val="nil"/>
              <w:bottom w:val="single" w:sz="4" w:space="0" w:color="auto"/>
              <w:right w:val="nil"/>
            </w:tcBorders>
            <w:shd w:val="clear" w:color="auto" w:fill="auto"/>
            <w:noWrap/>
            <w:vAlign w:val="bottom"/>
          </w:tcPr>
          <w:p w14:paraId="126EAC5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-.0084875</w:t>
            </w:r>
          </w:p>
        </w:tc>
        <w:tc>
          <w:tcPr>
            <w:tcW w:w="1456" w:type="dxa"/>
            <w:tcBorders>
              <w:top w:val="nil"/>
              <w:left w:val="nil"/>
              <w:bottom w:val="single" w:sz="4" w:space="0" w:color="auto"/>
              <w:right w:val="nil"/>
            </w:tcBorders>
            <w:shd w:val="clear" w:color="auto" w:fill="auto"/>
            <w:noWrap/>
            <w:vAlign w:val="bottom"/>
          </w:tcPr>
          <w:p w14:paraId="3AD73AE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-.0054756</w:t>
            </w:r>
          </w:p>
        </w:tc>
      </w:tr>
      <w:tr w:rsidR="00193D32" w:rsidRPr="00CD3136" w14:paraId="48767F76" w14:textId="77777777" w:rsidTr="00B86ABF">
        <w:trPr>
          <w:trHeight w:val="288"/>
        </w:trPr>
        <w:tc>
          <w:tcPr>
            <w:tcW w:w="1659" w:type="dxa"/>
            <w:tcBorders>
              <w:top w:val="single" w:sz="4" w:space="0" w:color="auto"/>
              <w:left w:val="nil"/>
              <w:bottom w:val="single" w:sz="4" w:space="0" w:color="FFFFFF" w:themeColor="background1"/>
              <w:right w:val="single" w:sz="4" w:space="0" w:color="auto"/>
            </w:tcBorders>
            <w:shd w:val="clear" w:color="auto" w:fill="auto"/>
            <w:noWrap/>
            <w:vAlign w:val="bottom"/>
            <w:hideMark/>
          </w:tcPr>
          <w:p w14:paraId="72056D51"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diff</w:t>
            </w:r>
          </w:p>
        </w:tc>
        <w:tc>
          <w:tcPr>
            <w:tcW w:w="857" w:type="dxa"/>
            <w:gridSpan w:val="2"/>
            <w:tcBorders>
              <w:top w:val="single" w:sz="4" w:space="0" w:color="auto"/>
              <w:left w:val="single" w:sz="4" w:space="0" w:color="auto"/>
              <w:bottom w:val="single" w:sz="4" w:space="0" w:color="FFFFFF" w:themeColor="background1"/>
              <w:right w:val="nil"/>
            </w:tcBorders>
            <w:shd w:val="clear" w:color="auto" w:fill="auto"/>
            <w:noWrap/>
            <w:vAlign w:val="bottom"/>
            <w:hideMark/>
          </w:tcPr>
          <w:p w14:paraId="553FB90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CD3136">
              <w:rPr>
                <w:rFonts w:ascii="Garamond" w:eastAsia="Times New Roman" w:hAnsi="Garamond" w:cs="Calibri"/>
                <w:b/>
                <w:bCs/>
                <w:color w:val="000000"/>
                <w:sz w:val="22"/>
                <w:szCs w:val="22"/>
                <w:lang w:eastAsia="en-GB"/>
              </w:rPr>
              <w:t>55,248</w:t>
            </w:r>
          </w:p>
        </w:tc>
        <w:tc>
          <w:tcPr>
            <w:tcW w:w="1156" w:type="dxa"/>
            <w:gridSpan w:val="2"/>
            <w:tcBorders>
              <w:top w:val="single" w:sz="4" w:space="0" w:color="auto"/>
              <w:left w:val="nil"/>
              <w:bottom w:val="single" w:sz="4" w:space="0" w:color="auto"/>
              <w:right w:val="nil"/>
            </w:tcBorders>
            <w:shd w:val="clear" w:color="auto" w:fill="auto"/>
            <w:noWrap/>
            <w:vAlign w:val="bottom"/>
          </w:tcPr>
          <w:p w14:paraId="08AA447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-.0011034</w:t>
            </w:r>
          </w:p>
        </w:tc>
        <w:tc>
          <w:tcPr>
            <w:tcW w:w="1056" w:type="dxa"/>
            <w:gridSpan w:val="2"/>
            <w:tcBorders>
              <w:top w:val="single" w:sz="4" w:space="0" w:color="auto"/>
              <w:left w:val="nil"/>
              <w:bottom w:val="single" w:sz="4" w:space="0" w:color="auto"/>
              <w:right w:val="nil"/>
            </w:tcBorders>
            <w:shd w:val="clear" w:color="auto" w:fill="auto"/>
            <w:noWrap/>
            <w:vAlign w:val="bottom"/>
          </w:tcPr>
          <w:p w14:paraId="0710896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.0010562</w:t>
            </w:r>
          </w:p>
        </w:tc>
        <w:tc>
          <w:tcPr>
            <w:tcW w:w="1056" w:type="dxa"/>
            <w:gridSpan w:val="2"/>
            <w:tcBorders>
              <w:top w:val="single" w:sz="4" w:space="0" w:color="auto"/>
              <w:left w:val="nil"/>
              <w:bottom w:val="single" w:sz="4" w:space="0" w:color="auto"/>
              <w:right w:val="nil"/>
            </w:tcBorders>
            <w:shd w:val="clear" w:color="auto" w:fill="auto"/>
            <w:noWrap/>
            <w:vAlign w:val="bottom"/>
          </w:tcPr>
          <w:p w14:paraId="207412E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.24826</w:t>
            </w:r>
          </w:p>
        </w:tc>
        <w:tc>
          <w:tcPr>
            <w:tcW w:w="1235" w:type="dxa"/>
            <w:tcBorders>
              <w:top w:val="single" w:sz="4" w:space="0" w:color="auto"/>
              <w:left w:val="nil"/>
              <w:bottom w:val="single" w:sz="4" w:space="0" w:color="auto"/>
              <w:right w:val="nil"/>
            </w:tcBorders>
            <w:shd w:val="clear" w:color="auto" w:fill="auto"/>
            <w:noWrap/>
            <w:vAlign w:val="bottom"/>
          </w:tcPr>
          <w:p w14:paraId="200603A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-.0031735</w:t>
            </w:r>
          </w:p>
        </w:tc>
        <w:tc>
          <w:tcPr>
            <w:tcW w:w="1456" w:type="dxa"/>
            <w:tcBorders>
              <w:top w:val="single" w:sz="4" w:space="0" w:color="auto"/>
              <w:left w:val="nil"/>
              <w:bottom w:val="single" w:sz="4" w:space="0" w:color="auto"/>
              <w:right w:val="nil"/>
            </w:tcBorders>
            <w:shd w:val="clear" w:color="auto" w:fill="auto"/>
            <w:noWrap/>
            <w:vAlign w:val="bottom"/>
          </w:tcPr>
          <w:p w14:paraId="21C61DE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.0009668</w:t>
            </w:r>
          </w:p>
        </w:tc>
      </w:tr>
      <w:tr w:rsidR="00193D32" w:rsidRPr="00CD3136" w14:paraId="34A7980E" w14:textId="77777777" w:rsidTr="00B86ABF">
        <w:trPr>
          <w:trHeight w:val="288"/>
        </w:trPr>
        <w:tc>
          <w:tcPr>
            <w:tcW w:w="5784" w:type="dxa"/>
            <w:gridSpan w:val="9"/>
            <w:tcBorders>
              <w:top w:val="single" w:sz="4" w:space="0" w:color="auto"/>
              <w:left w:val="nil"/>
              <w:bottom w:val="single" w:sz="4" w:space="0" w:color="auto"/>
              <w:right w:val="nil"/>
            </w:tcBorders>
            <w:shd w:val="clear" w:color="auto" w:fill="auto"/>
            <w:noWrap/>
            <w:vAlign w:val="bottom"/>
          </w:tcPr>
          <w:p w14:paraId="0504A976"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mean(diff) = </w:t>
            </w:r>
            <w:proofErr w:type="gramStart"/>
            <w:r w:rsidRPr="004812DC">
              <w:rPr>
                <w:rFonts w:ascii="Garamond" w:eastAsia="Times New Roman" w:hAnsi="Garamond" w:cs="Calibri"/>
                <w:color w:val="000000"/>
                <w:sz w:val="22"/>
                <w:szCs w:val="22"/>
                <w:lang w:eastAsia="en-GB"/>
              </w:rPr>
              <w:t>mean(</w:t>
            </w:r>
            <w:proofErr w:type="gramEnd"/>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sub>
              </m:sSub>
            </m:oMath>
            <w:r w:rsidRPr="004812DC">
              <w:rPr>
                <w:rFonts w:ascii="Garamond" w:eastAsia="Times New Roman" w:hAnsi="Garamond" w:cs="Calibri"/>
                <w:b/>
                <w:color w:val="000000"/>
                <w:sz w:val="22"/>
                <w:szCs w:val="22"/>
                <w:lang w:eastAsia="en-GB"/>
              </w:rPr>
              <w:t xml:space="preserve">- </w:t>
            </w:r>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r>
                    <m:rPr>
                      <m:sty m:val="bi"/>
                    </m:rPr>
                    <w:rPr>
                      <w:rFonts w:ascii="Cambria Math" w:hAnsi="Cambria Math"/>
                      <w:sz w:val="24"/>
                      <w:szCs w:val="24"/>
                    </w:rPr>
                    <m:t>-1</m:t>
                  </m:r>
                </m:sub>
              </m:sSub>
            </m:oMath>
            <w:r w:rsidRPr="004812DC">
              <w:rPr>
                <w:rFonts w:ascii="Garamond" w:eastAsia="Times New Roman" w:hAnsi="Garamond" w:cs="Calibri"/>
                <w:color w:val="000000"/>
                <w:sz w:val="22"/>
                <w:szCs w:val="22"/>
                <w:lang w:eastAsia="en-GB"/>
              </w:rPr>
              <w:t>)</w:t>
            </w:r>
          </w:p>
        </w:tc>
        <w:tc>
          <w:tcPr>
            <w:tcW w:w="1235" w:type="dxa"/>
            <w:tcBorders>
              <w:top w:val="single" w:sz="4" w:space="0" w:color="auto"/>
              <w:left w:val="nil"/>
              <w:bottom w:val="single" w:sz="4" w:space="0" w:color="auto"/>
              <w:right w:val="nil"/>
            </w:tcBorders>
            <w:shd w:val="clear" w:color="auto" w:fill="auto"/>
            <w:noWrap/>
            <w:vAlign w:val="bottom"/>
          </w:tcPr>
          <w:p w14:paraId="1EE5D44F"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56" w:type="dxa"/>
            <w:tcBorders>
              <w:top w:val="single" w:sz="4" w:space="0" w:color="auto"/>
              <w:left w:val="nil"/>
              <w:bottom w:val="single" w:sz="4" w:space="0" w:color="auto"/>
              <w:right w:val="nil"/>
            </w:tcBorders>
            <w:shd w:val="clear" w:color="auto" w:fill="auto"/>
            <w:noWrap/>
            <w:vAlign w:val="bottom"/>
          </w:tcPr>
          <w:p w14:paraId="720E9644"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t </w:t>
            </w:r>
            <w:proofErr w:type="gramStart"/>
            <w:r w:rsidRPr="004812DC">
              <w:rPr>
                <w:rFonts w:ascii="Garamond" w:eastAsia="Times New Roman" w:hAnsi="Garamond" w:cs="Calibri"/>
                <w:color w:val="000000"/>
                <w:sz w:val="22"/>
                <w:szCs w:val="22"/>
                <w:lang w:eastAsia="en-GB"/>
              </w:rPr>
              <w:t>=</w:t>
            </w:r>
            <w:r w:rsidRPr="004812DC">
              <w:rPr>
                <w:rFonts w:ascii="Garamond" w:eastAsia="Times New Roman" w:hAnsi="Garamond" w:cs="Calibri"/>
                <w:b/>
                <w:bCs/>
                <w:color w:val="000000"/>
                <w:sz w:val="22"/>
                <w:szCs w:val="22"/>
                <w:lang w:eastAsia="en-GB"/>
              </w:rPr>
              <w:t xml:space="preserve">  -</w:t>
            </w:r>
            <w:proofErr w:type="gramEnd"/>
            <w:r w:rsidRPr="004812DC">
              <w:rPr>
                <w:rFonts w:ascii="Garamond" w:eastAsia="Times New Roman" w:hAnsi="Garamond" w:cs="Calibri"/>
                <w:b/>
                <w:bCs/>
                <w:color w:val="000000"/>
                <w:sz w:val="22"/>
                <w:szCs w:val="22"/>
                <w:lang w:eastAsia="en-GB"/>
              </w:rPr>
              <w:t xml:space="preserve">1.0446 </w:t>
            </w:r>
          </w:p>
        </w:tc>
      </w:tr>
      <w:tr w:rsidR="00193D32" w:rsidRPr="00CD3136" w14:paraId="46917AF7" w14:textId="77777777" w:rsidTr="00B86ABF">
        <w:trPr>
          <w:trHeight w:val="288"/>
        </w:trPr>
        <w:tc>
          <w:tcPr>
            <w:tcW w:w="1928"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14:paraId="1C81138D"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H0: mean(diff) = 0</w:t>
            </w:r>
          </w:p>
        </w:tc>
        <w:tc>
          <w:tcPr>
            <w:tcW w:w="1928"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1ED7C01F"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4619" w:type="dxa"/>
            <w:gridSpan w:val="5"/>
            <w:tcBorders>
              <w:top w:val="single" w:sz="4" w:space="0" w:color="FFFFFF" w:themeColor="background1"/>
              <w:left w:val="nil"/>
              <w:bottom w:val="single" w:sz="4" w:space="0" w:color="FFFFFF" w:themeColor="background1"/>
              <w:right w:val="nil"/>
            </w:tcBorders>
            <w:shd w:val="clear" w:color="auto" w:fill="auto"/>
            <w:vAlign w:val="bottom"/>
          </w:tcPr>
          <w:p w14:paraId="55F22C11"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 xml:space="preserve">Degrees of </w:t>
            </w:r>
            <w:proofErr w:type="spellStart"/>
            <w:r w:rsidRPr="004812DC">
              <w:rPr>
                <w:rFonts w:ascii="Garamond" w:eastAsia="Times New Roman" w:hAnsi="Garamond" w:cs="Calibri"/>
                <w:b/>
                <w:bCs/>
                <w:color w:val="000000"/>
                <w:sz w:val="22"/>
                <w:szCs w:val="22"/>
                <w:lang w:eastAsia="en-GB"/>
              </w:rPr>
              <w:t>feedom</w:t>
            </w:r>
            <w:proofErr w:type="spellEnd"/>
            <w:r w:rsidRPr="004812DC">
              <w:rPr>
                <w:rFonts w:ascii="Garamond" w:eastAsia="Times New Roman" w:hAnsi="Garamond" w:cs="Calibri"/>
                <w:b/>
                <w:bCs/>
                <w:color w:val="000000"/>
                <w:sz w:val="22"/>
                <w:szCs w:val="22"/>
                <w:lang w:eastAsia="en-GB"/>
              </w:rPr>
              <w:t xml:space="preserve"> = 55247</w:t>
            </w:r>
          </w:p>
        </w:tc>
      </w:tr>
      <w:tr w:rsidR="00193D32" w:rsidRPr="00CD3136" w14:paraId="7D2D15D6"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56273A0F"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39EB339B"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0F279934"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r>
      <w:tr w:rsidR="00193D32" w:rsidRPr="00CD3136" w14:paraId="28AE1D82"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45ABAA8D"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&lt; 0</w:t>
            </w: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65BACE25"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w:t>
            </w:r>
            <w:proofErr w:type="gramStart"/>
            <w:r w:rsidRPr="004812DC">
              <w:rPr>
                <w:rFonts w:ascii="Garamond" w:eastAsia="Times New Roman" w:hAnsi="Garamond" w:cs="Calibri"/>
                <w:color w:val="000000"/>
                <w:sz w:val="22"/>
                <w:szCs w:val="22"/>
                <w:lang w:eastAsia="en-GB"/>
              </w:rPr>
              <w:t>) !</w:t>
            </w:r>
            <w:proofErr w:type="gramEnd"/>
            <w:r w:rsidRPr="004812DC">
              <w:rPr>
                <w:rFonts w:ascii="Garamond" w:eastAsia="Times New Roman" w:hAnsi="Garamond" w:cs="Calibri"/>
                <w:color w:val="000000"/>
                <w:sz w:val="22"/>
                <w:szCs w:val="22"/>
                <w:lang w:eastAsia="en-GB"/>
              </w:rPr>
              <w:t>= 0</w:t>
            </w: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4A8342FF"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Ha: mean(diff) &gt; 0</w:t>
            </w:r>
          </w:p>
        </w:tc>
      </w:tr>
      <w:tr w:rsidR="00193D32" w:rsidRPr="00CD3136" w14:paraId="6C77A206" w14:textId="77777777" w:rsidTr="00B86ABF">
        <w:trPr>
          <w:trHeight w:val="288"/>
        </w:trPr>
        <w:tc>
          <w:tcPr>
            <w:tcW w:w="2825" w:type="dxa"/>
            <w:gridSpan w:val="4"/>
            <w:tcBorders>
              <w:top w:val="single" w:sz="4" w:space="0" w:color="FFFFFF" w:themeColor="background1"/>
              <w:left w:val="nil"/>
              <w:bottom w:val="single" w:sz="4" w:space="0" w:color="auto"/>
              <w:right w:val="nil"/>
            </w:tcBorders>
            <w:shd w:val="clear" w:color="auto" w:fill="auto"/>
            <w:noWrap/>
            <w:vAlign w:val="bottom"/>
          </w:tcPr>
          <w:p w14:paraId="3AAEDB25"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&lt; t) =</w:t>
            </w:r>
            <w:r w:rsidRPr="004812DC">
              <w:rPr>
                <w:rFonts w:ascii="Garamond" w:eastAsia="Times New Roman" w:hAnsi="Garamond" w:cs="Calibri"/>
                <w:b/>
                <w:bCs/>
                <w:color w:val="000000"/>
                <w:sz w:val="22"/>
                <w:szCs w:val="22"/>
                <w:lang w:eastAsia="en-GB"/>
              </w:rPr>
              <w:t xml:space="preserve"> 0.1481</w:t>
            </w:r>
          </w:p>
        </w:tc>
        <w:tc>
          <w:tcPr>
            <w:tcW w:w="2825" w:type="dxa"/>
            <w:gridSpan w:val="4"/>
            <w:tcBorders>
              <w:top w:val="single" w:sz="4" w:space="0" w:color="FFFFFF" w:themeColor="background1"/>
              <w:left w:val="nil"/>
              <w:bottom w:val="single" w:sz="4" w:space="0" w:color="auto"/>
              <w:right w:val="nil"/>
            </w:tcBorders>
            <w:shd w:val="clear" w:color="auto" w:fill="auto"/>
            <w:vAlign w:val="bottom"/>
          </w:tcPr>
          <w:p w14:paraId="6119E8E4"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 =</w:t>
            </w:r>
            <w:r w:rsidRPr="004812DC">
              <w:rPr>
                <w:rFonts w:ascii="Garamond" w:eastAsia="Times New Roman" w:hAnsi="Garamond" w:cs="Calibri"/>
                <w:b/>
                <w:bCs/>
                <w:color w:val="000000"/>
                <w:sz w:val="22"/>
                <w:szCs w:val="22"/>
                <w:lang w:eastAsia="en-GB"/>
              </w:rPr>
              <w:t xml:space="preserve"> 0.2962</w:t>
            </w:r>
          </w:p>
        </w:tc>
        <w:tc>
          <w:tcPr>
            <w:tcW w:w="2825" w:type="dxa"/>
            <w:gridSpan w:val="3"/>
            <w:tcBorders>
              <w:top w:val="single" w:sz="4" w:space="0" w:color="FFFFFF" w:themeColor="background1"/>
              <w:left w:val="nil"/>
              <w:bottom w:val="single" w:sz="4" w:space="0" w:color="auto"/>
              <w:right w:val="nil"/>
            </w:tcBorders>
            <w:shd w:val="clear" w:color="auto" w:fill="auto"/>
            <w:vAlign w:val="bottom"/>
          </w:tcPr>
          <w:p w14:paraId="3A08537C"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b/>
                <w:bCs/>
                <w:color w:val="000000"/>
                <w:sz w:val="22"/>
                <w:szCs w:val="22"/>
                <w:lang w:eastAsia="en-GB"/>
              </w:rPr>
              <w:t>Pr</w:t>
            </w:r>
            <w:proofErr w:type="spellEnd"/>
            <w:r w:rsidRPr="004812DC">
              <w:rPr>
                <w:rFonts w:ascii="Garamond" w:eastAsia="Times New Roman" w:hAnsi="Garamond" w:cs="Calibri"/>
                <w:b/>
                <w:bCs/>
                <w:color w:val="000000"/>
                <w:sz w:val="22"/>
                <w:szCs w:val="22"/>
                <w:lang w:eastAsia="en-GB"/>
              </w:rPr>
              <w:t>(</w:t>
            </w:r>
            <w:proofErr w:type="gramEnd"/>
            <w:r w:rsidRPr="004812DC">
              <w:rPr>
                <w:rFonts w:ascii="Garamond" w:eastAsia="Times New Roman" w:hAnsi="Garamond" w:cs="Calibri"/>
                <w:b/>
                <w:bCs/>
                <w:color w:val="000000"/>
                <w:sz w:val="22"/>
                <w:szCs w:val="22"/>
                <w:lang w:eastAsia="en-GB"/>
              </w:rPr>
              <w:t>T &gt; t) = 0.8519</w:t>
            </w:r>
          </w:p>
        </w:tc>
      </w:tr>
    </w:tbl>
    <w:p w14:paraId="448FA230" w14:textId="77777777" w:rsidR="00193D32" w:rsidRDefault="00193D32" w:rsidP="00193D32">
      <w:pPr>
        <w:spacing w:line="259" w:lineRule="auto"/>
      </w:pPr>
    </w:p>
    <w:p w14:paraId="554DD564" w14:textId="77777777" w:rsidR="00193D32" w:rsidRDefault="00193D32" w:rsidP="00193D32">
      <w:pPr>
        <w:spacing w:line="259" w:lineRule="auto"/>
      </w:pPr>
    </w:p>
    <w:p w14:paraId="260041E2" w14:textId="6184A508" w:rsidR="00193D32" w:rsidRPr="00CF6536" w:rsidRDefault="00193D32" w:rsidP="00193D32">
      <w:pPr>
        <w:pStyle w:val="Caption"/>
        <w:keepNext/>
        <w:rPr>
          <w:i w:val="0"/>
          <w:iCs w:val="0"/>
          <w:color w:val="auto"/>
          <w:lang w:val="pt-PT"/>
        </w:rPr>
      </w:pPr>
      <w:bookmarkStart w:id="62" w:name="_Toc176855925"/>
      <w:r w:rsidRPr="008D6866">
        <w:rPr>
          <w:rFonts w:ascii="Garamond" w:hAnsi="Garamond"/>
          <w:b/>
          <w:bCs/>
          <w:i w:val="0"/>
          <w:iCs w:val="0"/>
          <w:color w:val="auto"/>
          <w:lang w:val="pt-PT"/>
        </w:rPr>
        <w:t xml:space="preserve">Tabela </w:t>
      </w:r>
      <w:r w:rsidRPr="008D6866">
        <w:rPr>
          <w:rFonts w:ascii="Garamond" w:hAnsi="Garamond"/>
          <w:b/>
          <w:bCs/>
          <w:i w:val="0"/>
          <w:iCs w:val="0"/>
          <w:color w:val="auto"/>
        </w:rPr>
        <w:fldChar w:fldCharType="begin"/>
      </w:r>
      <w:r w:rsidRPr="008D6866">
        <w:rPr>
          <w:rFonts w:ascii="Garamond" w:hAnsi="Garamond"/>
          <w:b/>
          <w:bCs/>
          <w:i w:val="0"/>
          <w:iCs w:val="0"/>
          <w:color w:val="auto"/>
          <w:lang w:val="pt-PT"/>
        </w:rPr>
        <w:instrText xml:space="preserve"> SEQ Tabela \* ARABIC </w:instrText>
      </w:r>
      <w:r w:rsidRPr="008D6866">
        <w:rPr>
          <w:rFonts w:ascii="Garamond" w:hAnsi="Garamond"/>
          <w:b/>
          <w:bCs/>
          <w:i w:val="0"/>
          <w:iCs w:val="0"/>
          <w:color w:val="auto"/>
        </w:rPr>
        <w:fldChar w:fldCharType="separate"/>
      </w:r>
      <w:r w:rsidR="00C01B43">
        <w:rPr>
          <w:rFonts w:ascii="Garamond" w:hAnsi="Garamond"/>
          <w:b/>
          <w:bCs/>
          <w:i w:val="0"/>
          <w:iCs w:val="0"/>
          <w:noProof/>
          <w:color w:val="auto"/>
          <w:lang w:val="pt-PT"/>
        </w:rPr>
        <w:t>13</w:t>
      </w:r>
      <w:r w:rsidRPr="008D6866">
        <w:rPr>
          <w:rFonts w:ascii="Garamond" w:hAnsi="Garamond"/>
          <w:b/>
          <w:bCs/>
          <w:i w:val="0"/>
          <w:iCs w:val="0"/>
          <w:color w:val="auto"/>
        </w:rPr>
        <w:fldChar w:fldCharType="end"/>
      </w:r>
      <w:r w:rsidRPr="008D6866">
        <w:rPr>
          <w:rFonts w:ascii="Garamond" w:hAnsi="Garamond"/>
          <w:i w:val="0"/>
          <w:iCs w:val="0"/>
          <w:color w:val="auto"/>
          <w:lang w:val="pt-PT"/>
        </w:rPr>
        <w:t xml:space="preserve"> -</w:t>
      </w:r>
      <w:r w:rsidRPr="00CF6536">
        <w:rPr>
          <w:i w:val="0"/>
          <w:iCs w:val="0"/>
          <w:color w:val="auto"/>
          <w:lang w:val="pt-PT"/>
        </w:rPr>
        <w:t xml:space="preserve"> </w:t>
      </w:r>
      <w:proofErr w:type="spellStart"/>
      <w:r w:rsidRPr="00CF6536">
        <w:rPr>
          <w:rFonts w:ascii="Garamond" w:hAnsi="Garamond"/>
          <w:i w:val="0"/>
          <w:iCs w:val="0"/>
          <w:color w:val="auto"/>
          <w:lang w:val="pt-PT"/>
        </w:rPr>
        <w:t>Paired</w:t>
      </w:r>
      <w:proofErr w:type="spellEnd"/>
      <w:r w:rsidRPr="00CF6536">
        <w:rPr>
          <w:rFonts w:ascii="Garamond" w:hAnsi="Garamond"/>
          <w:i w:val="0"/>
          <w:iCs w:val="0"/>
          <w:color w:val="auto"/>
          <w:lang w:val="pt-PT"/>
        </w:rPr>
        <w:t xml:space="preserve"> t </w:t>
      </w:r>
      <w:proofErr w:type="spellStart"/>
      <w:r w:rsidRPr="00CF6536">
        <w:rPr>
          <w:rFonts w:ascii="Garamond" w:hAnsi="Garamond"/>
          <w:i w:val="0"/>
          <w:iCs w:val="0"/>
          <w:color w:val="auto"/>
          <w:lang w:val="pt-PT"/>
        </w:rPr>
        <w:t>test</w:t>
      </w:r>
      <w:proofErr w:type="spellEnd"/>
      <w:r w:rsidRPr="00CF6536">
        <w:rPr>
          <w:rFonts w:ascii="Garamond" w:hAnsi="Garamond"/>
          <w:i w:val="0"/>
          <w:iCs w:val="0"/>
          <w:color w:val="auto"/>
          <w:lang w:val="pt-PT"/>
        </w:rPr>
        <w:t xml:space="preserve"> entre as variáveis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m:t>
            </m:r>
          </m:sub>
        </m:sSub>
      </m:oMath>
      <w:r w:rsidRPr="00CF6536">
        <w:rPr>
          <w:rFonts w:ascii="Garamond" w:hAnsi="Garamond"/>
          <w:i w:val="0"/>
          <w:iCs w:val="0"/>
          <w:color w:val="auto"/>
          <w:lang w:val="pt-PT"/>
        </w:rPr>
        <w:t xml:space="preserve"> e </w:t>
      </w:r>
      <m:oMath>
        <m:r>
          <w:rPr>
            <w:rFonts w:ascii="Cambria Math" w:hAnsi="Cambria Math"/>
            <w:color w:val="auto"/>
            <w:lang w:val="pt-PT"/>
          </w:rPr>
          <m:t>∆</m:t>
        </m:r>
        <m:sSub>
          <m:sSubPr>
            <m:ctrlPr>
              <w:rPr>
                <w:rFonts w:ascii="Cambria Math" w:hAnsi="Cambria Math"/>
                <w:bCs/>
                <w:i w:val="0"/>
                <w:iCs w:val="0"/>
                <w:color w:val="auto"/>
                <w:lang w:val="pt-PT"/>
              </w:rPr>
            </m:ctrlPr>
          </m:sSubPr>
          <m:e>
            <m:r>
              <w:rPr>
                <w:rFonts w:ascii="Cambria Math" w:hAnsi="Cambria Math"/>
                <w:color w:val="auto"/>
                <w:lang w:val="pt-PT"/>
              </w:rPr>
              <m:t>Inv</m:t>
            </m:r>
          </m:e>
          <m:sub>
            <m:r>
              <w:rPr>
                <w:rFonts w:ascii="Cambria Math" w:hAnsi="Cambria Math"/>
                <w:color w:val="auto"/>
                <w:lang w:val="pt-PT"/>
              </w:rPr>
              <m:t>i, t-1</m:t>
            </m:r>
          </m:sub>
        </m:sSub>
      </m:oMath>
      <w:r w:rsidRPr="00CF6536">
        <w:rPr>
          <w:rFonts w:ascii="Garamond" w:hAnsi="Garamond"/>
          <w:bCs/>
          <w:i w:val="0"/>
          <w:iCs w:val="0"/>
          <w:color w:val="auto"/>
          <w:lang w:val="pt-PT"/>
        </w:rPr>
        <w:t xml:space="preserve"> </w:t>
      </w:r>
      <w:r w:rsidRPr="00CF6536">
        <w:rPr>
          <w:rFonts w:ascii="Garamond" w:hAnsi="Garamond"/>
          <w:i w:val="0"/>
          <w:iCs w:val="0"/>
          <w:color w:val="auto"/>
          <w:lang w:val="pt-PT"/>
        </w:rPr>
        <w:t>da subamostra de controlo do ano 2022</w:t>
      </w:r>
      <w:bookmarkEnd w:id="62"/>
    </w:p>
    <w:tbl>
      <w:tblPr>
        <w:tblW w:w="8475" w:type="dxa"/>
        <w:tblLook w:val="04A0" w:firstRow="1" w:lastRow="0" w:firstColumn="1" w:lastColumn="0" w:noHBand="0" w:noVBand="1"/>
      </w:tblPr>
      <w:tblGrid>
        <w:gridCol w:w="1659"/>
        <w:gridCol w:w="269"/>
        <w:gridCol w:w="588"/>
        <w:gridCol w:w="309"/>
        <w:gridCol w:w="847"/>
        <w:gridCol w:w="184"/>
        <w:gridCol w:w="872"/>
        <w:gridCol w:w="922"/>
        <w:gridCol w:w="134"/>
        <w:gridCol w:w="1235"/>
        <w:gridCol w:w="1456"/>
      </w:tblGrid>
      <w:tr w:rsidR="00193D32" w:rsidRPr="00CD3136" w14:paraId="728EA0E1" w14:textId="77777777" w:rsidTr="00B86ABF">
        <w:trPr>
          <w:trHeight w:val="288"/>
        </w:trPr>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72EC4BCC" w14:textId="77777777" w:rsidR="00193D32" w:rsidRPr="00CD3136" w:rsidRDefault="00193D32" w:rsidP="00B86ABF">
            <w:pPr>
              <w:spacing w:after="0" w:line="240" w:lineRule="auto"/>
              <w:rPr>
                <w:rFonts w:ascii="Calibri" w:eastAsia="Times New Roman" w:hAnsi="Calibri" w:cs="Calibri"/>
                <w:color w:val="000000"/>
                <w:sz w:val="22"/>
                <w:szCs w:val="22"/>
                <w:lang w:eastAsia="en-GB"/>
              </w:rPr>
            </w:pPr>
            <w:r w:rsidRPr="00CD3136">
              <w:rPr>
                <w:rFonts w:ascii="Calibri" w:eastAsia="Times New Roman" w:hAnsi="Calibri" w:cs="Calibri"/>
                <w:color w:val="000000"/>
                <w:sz w:val="22"/>
                <w:szCs w:val="22"/>
                <w:lang w:eastAsia="en-GB"/>
              </w:rPr>
              <w:t>Variable</w:t>
            </w:r>
          </w:p>
        </w:tc>
        <w:tc>
          <w:tcPr>
            <w:tcW w:w="857" w:type="dxa"/>
            <w:gridSpan w:val="2"/>
            <w:tcBorders>
              <w:top w:val="single" w:sz="4" w:space="0" w:color="auto"/>
              <w:left w:val="single" w:sz="4" w:space="0" w:color="auto"/>
              <w:bottom w:val="single" w:sz="4" w:space="0" w:color="auto"/>
              <w:right w:val="nil"/>
            </w:tcBorders>
            <w:shd w:val="clear" w:color="auto" w:fill="auto"/>
            <w:noWrap/>
            <w:vAlign w:val="bottom"/>
            <w:hideMark/>
          </w:tcPr>
          <w:p w14:paraId="6E24C2FF"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Obs</w:t>
            </w:r>
          </w:p>
        </w:tc>
        <w:tc>
          <w:tcPr>
            <w:tcW w:w="1156" w:type="dxa"/>
            <w:gridSpan w:val="2"/>
            <w:tcBorders>
              <w:top w:val="single" w:sz="4" w:space="0" w:color="auto"/>
              <w:left w:val="nil"/>
              <w:bottom w:val="single" w:sz="4" w:space="0" w:color="auto"/>
              <w:right w:val="nil"/>
            </w:tcBorders>
            <w:shd w:val="clear" w:color="auto" w:fill="auto"/>
            <w:noWrap/>
            <w:vAlign w:val="bottom"/>
            <w:hideMark/>
          </w:tcPr>
          <w:p w14:paraId="1359B470"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Mean</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736BF3A4"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 xml:space="preserve">Std. </w:t>
            </w:r>
            <w:proofErr w:type="gramStart"/>
            <w:r w:rsidRPr="00CD3136">
              <w:rPr>
                <w:rFonts w:ascii="Garamond" w:eastAsia="Times New Roman" w:hAnsi="Garamond" w:cs="Calibri"/>
                <w:color w:val="000000"/>
                <w:sz w:val="22"/>
                <w:szCs w:val="22"/>
                <w:lang w:eastAsia="en-GB"/>
              </w:rPr>
              <w:t>err</w:t>
            </w:r>
            <w:proofErr w:type="gramEnd"/>
            <w:r w:rsidRPr="00CD3136">
              <w:rPr>
                <w:rFonts w:ascii="Garamond" w:eastAsia="Times New Roman" w:hAnsi="Garamond" w:cs="Calibri"/>
                <w:color w:val="000000"/>
                <w:sz w:val="22"/>
                <w:szCs w:val="22"/>
                <w:lang w:eastAsia="en-GB"/>
              </w:rPr>
              <w:t>.</w:t>
            </w:r>
          </w:p>
        </w:tc>
        <w:tc>
          <w:tcPr>
            <w:tcW w:w="1056" w:type="dxa"/>
            <w:gridSpan w:val="2"/>
            <w:tcBorders>
              <w:top w:val="single" w:sz="4" w:space="0" w:color="auto"/>
              <w:left w:val="nil"/>
              <w:bottom w:val="single" w:sz="4" w:space="0" w:color="auto"/>
              <w:right w:val="nil"/>
            </w:tcBorders>
            <w:shd w:val="clear" w:color="auto" w:fill="auto"/>
            <w:noWrap/>
            <w:vAlign w:val="bottom"/>
            <w:hideMark/>
          </w:tcPr>
          <w:p w14:paraId="0F6EDB4F"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Std. dev.</w:t>
            </w:r>
          </w:p>
        </w:tc>
        <w:tc>
          <w:tcPr>
            <w:tcW w:w="2691" w:type="dxa"/>
            <w:gridSpan w:val="2"/>
            <w:tcBorders>
              <w:top w:val="single" w:sz="4" w:space="0" w:color="auto"/>
              <w:left w:val="nil"/>
              <w:bottom w:val="single" w:sz="4" w:space="0" w:color="auto"/>
              <w:right w:val="nil"/>
            </w:tcBorders>
            <w:shd w:val="clear" w:color="auto" w:fill="auto"/>
            <w:noWrap/>
            <w:vAlign w:val="bottom"/>
            <w:hideMark/>
          </w:tcPr>
          <w:p w14:paraId="2AE01B93" w14:textId="77777777" w:rsidR="00193D32" w:rsidRPr="00CD3136" w:rsidRDefault="00193D32" w:rsidP="00B86ABF">
            <w:pPr>
              <w:spacing w:after="0" w:line="240" w:lineRule="auto"/>
              <w:jc w:val="center"/>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[95% conf.</w:t>
            </w:r>
            <w:r w:rsidRPr="004812DC">
              <w:rPr>
                <w:rFonts w:ascii="Garamond" w:eastAsia="Times New Roman" w:hAnsi="Garamond" w:cs="Calibri"/>
                <w:color w:val="000000"/>
                <w:sz w:val="22"/>
                <w:szCs w:val="22"/>
                <w:lang w:eastAsia="en-GB"/>
              </w:rPr>
              <w:t xml:space="preserve"> </w:t>
            </w:r>
            <w:r w:rsidRPr="00CD3136">
              <w:rPr>
                <w:rFonts w:ascii="Garamond" w:eastAsia="Times New Roman" w:hAnsi="Garamond" w:cs="Calibri"/>
                <w:color w:val="000000"/>
                <w:sz w:val="22"/>
                <w:szCs w:val="22"/>
                <w:lang w:eastAsia="en-GB"/>
              </w:rPr>
              <w:t>interval]</w:t>
            </w:r>
          </w:p>
        </w:tc>
      </w:tr>
      <w:tr w:rsidR="00193D32" w:rsidRPr="00CD3136" w14:paraId="1EBAA705" w14:textId="77777777" w:rsidTr="00B86ABF">
        <w:trPr>
          <w:trHeight w:val="288"/>
        </w:trPr>
        <w:tc>
          <w:tcPr>
            <w:tcW w:w="1659" w:type="dxa"/>
            <w:tcBorders>
              <w:top w:val="single" w:sz="4" w:space="0" w:color="auto"/>
              <w:left w:val="nil"/>
              <w:bottom w:val="nil"/>
              <w:right w:val="single" w:sz="4" w:space="0" w:color="auto"/>
            </w:tcBorders>
            <w:shd w:val="clear" w:color="auto" w:fill="auto"/>
            <w:noWrap/>
            <w:vAlign w:val="bottom"/>
            <w:hideMark/>
          </w:tcPr>
          <w:p w14:paraId="64BEC6B5" w14:textId="77777777" w:rsidR="00193D32" w:rsidRPr="00CD3136" w:rsidRDefault="00193D32" w:rsidP="00B86ABF">
            <w:pPr>
              <w:spacing w:after="0" w:line="240" w:lineRule="auto"/>
              <w:rPr>
                <w:rFonts w:ascii="Calibri" w:eastAsia="Times New Roman" w:hAnsi="Calibri"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m:t>
                  </m:r>
                </m:sub>
              </m:sSub>
            </m:oMath>
            <w:r>
              <w:rPr>
                <w:rFonts w:ascii="Calibri" w:eastAsia="Times New Roman" w:hAnsi="Calibri" w:cs="Calibri"/>
                <w:color w:val="000000"/>
                <w:sz w:val="22"/>
                <w:szCs w:val="22"/>
                <w:lang w:eastAsia="en-GB"/>
              </w:rPr>
              <w:t xml:space="preserve"> </w:t>
            </w:r>
          </w:p>
        </w:tc>
        <w:tc>
          <w:tcPr>
            <w:tcW w:w="857" w:type="dxa"/>
            <w:gridSpan w:val="2"/>
            <w:tcBorders>
              <w:top w:val="single" w:sz="4" w:space="0" w:color="auto"/>
              <w:left w:val="single" w:sz="4" w:space="0" w:color="auto"/>
              <w:bottom w:val="nil"/>
              <w:right w:val="nil"/>
            </w:tcBorders>
            <w:shd w:val="clear" w:color="auto" w:fill="auto"/>
            <w:noWrap/>
            <w:vAlign w:val="bottom"/>
          </w:tcPr>
          <w:p w14:paraId="05D9E80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55,248</w:t>
            </w:r>
          </w:p>
        </w:tc>
        <w:tc>
          <w:tcPr>
            <w:tcW w:w="1156" w:type="dxa"/>
            <w:gridSpan w:val="2"/>
            <w:tcBorders>
              <w:top w:val="single" w:sz="4" w:space="0" w:color="auto"/>
              <w:left w:val="nil"/>
              <w:bottom w:val="nil"/>
              <w:right w:val="nil"/>
            </w:tcBorders>
            <w:shd w:val="clear" w:color="auto" w:fill="auto"/>
            <w:noWrap/>
            <w:vAlign w:val="bottom"/>
          </w:tcPr>
          <w:p w14:paraId="13A7C31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-.0058821</w:t>
            </w:r>
          </w:p>
        </w:tc>
        <w:tc>
          <w:tcPr>
            <w:tcW w:w="1056" w:type="dxa"/>
            <w:gridSpan w:val="2"/>
            <w:tcBorders>
              <w:top w:val="single" w:sz="4" w:space="0" w:color="auto"/>
              <w:left w:val="nil"/>
              <w:bottom w:val="nil"/>
              <w:right w:val="nil"/>
            </w:tcBorders>
            <w:shd w:val="clear" w:color="auto" w:fill="auto"/>
            <w:noWrap/>
            <w:vAlign w:val="bottom"/>
          </w:tcPr>
          <w:p w14:paraId="25F51690"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.000885</w:t>
            </w:r>
          </w:p>
        </w:tc>
        <w:tc>
          <w:tcPr>
            <w:tcW w:w="1056" w:type="dxa"/>
            <w:gridSpan w:val="2"/>
            <w:tcBorders>
              <w:top w:val="single" w:sz="4" w:space="0" w:color="auto"/>
              <w:left w:val="nil"/>
              <w:bottom w:val="nil"/>
              <w:right w:val="nil"/>
            </w:tcBorders>
            <w:shd w:val="clear" w:color="auto" w:fill="auto"/>
            <w:noWrap/>
            <w:vAlign w:val="bottom"/>
          </w:tcPr>
          <w:p w14:paraId="466F62C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.2080188</w:t>
            </w:r>
          </w:p>
        </w:tc>
        <w:tc>
          <w:tcPr>
            <w:tcW w:w="1235" w:type="dxa"/>
            <w:tcBorders>
              <w:top w:val="single" w:sz="4" w:space="0" w:color="auto"/>
              <w:left w:val="nil"/>
              <w:bottom w:val="nil"/>
              <w:right w:val="nil"/>
            </w:tcBorders>
            <w:shd w:val="clear" w:color="auto" w:fill="auto"/>
            <w:noWrap/>
            <w:vAlign w:val="bottom"/>
          </w:tcPr>
          <w:p w14:paraId="3A2D9602"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-.0076167</w:t>
            </w:r>
          </w:p>
        </w:tc>
        <w:tc>
          <w:tcPr>
            <w:tcW w:w="1456" w:type="dxa"/>
            <w:tcBorders>
              <w:top w:val="single" w:sz="4" w:space="0" w:color="auto"/>
              <w:left w:val="nil"/>
              <w:bottom w:val="nil"/>
              <w:right w:val="nil"/>
            </w:tcBorders>
            <w:shd w:val="clear" w:color="auto" w:fill="auto"/>
            <w:noWrap/>
            <w:vAlign w:val="bottom"/>
          </w:tcPr>
          <w:p w14:paraId="01E08E2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-.0041474</w:t>
            </w:r>
          </w:p>
        </w:tc>
      </w:tr>
      <w:tr w:rsidR="00193D32" w:rsidRPr="00CD3136" w14:paraId="5DD80FE5" w14:textId="77777777" w:rsidTr="00B86ABF">
        <w:trPr>
          <w:trHeight w:val="288"/>
        </w:trPr>
        <w:tc>
          <w:tcPr>
            <w:tcW w:w="1659" w:type="dxa"/>
            <w:tcBorders>
              <w:top w:val="nil"/>
              <w:left w:val="nil"/>
              <w:bottom w:val="single" w:sz="4" w:space="0" w:color="auto"/>
              <w:right w:val="single" w:sz="4" w:space="0" w:color="auto"/>
            </w:tcBorders>
            <w:shd w:val="clear" w:color="auto" w:fill="auto"/>
            <w:noWrap/>
            <w:vAlign w:val="bottom"/>
            <w:hideMark/>
          </w:tcPr>
          <w:p w14:paraId="79A6226A" w14:textId="77777777" w:rsidR="00193D32" w:rsidRPr="00CD3136" w:rsidRDefault="00193D32" w:rsidP="00B86ABF">
            <w:pPr>
              <w:spacing w:after="0" w:line="240" w:lineRule="auto"/>
              <w:rPr>
                <w:rFonts w:ascii="Calibri" w:eastAsia="Times New Roman" w:hAnsi="Calibri" w:cs="Calibri"/>
                <w:color w:val="000000"/>
                <w:sz w:val="22"/>
                <w:szCs w:val="22"/>
                <w:lang w:eastAsia="en-GB"/>
              </w:rPr>
            </w:pPr>
            <m:oMath>
              <m:r>
                <m:rPr>
                  <m:sty m:val="p"/>
                </m:rPr>
                <w:rPr>
                  <w:rFonts w:ascii="Cambria Math" w:hAnsi="Cambria Math"/>
                  <w:sz w:val="24"/>
                  <w:szCs w:val="24"/>
                  <w:lang w:val="pt-PT"/>
                </w:rPr>
                <m:t>∆</m:t>
              </m:r>
              <m:sSub>
                <m:sSubPr>
                  <m:ctrlPr>
                    <w:rPr>
                      <w:rFonts w:ascii="Cambria Math" w:hAnsi="Cambria Math"/>
                      <w:bCs/>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 t-1</m:t>
                  </m:r>
                </m:sub>
              </m:sSub>
            </m:oMath>
            <w:r>
              <w:rPr>
                <w:rFonts w:ascii="Calibri" w:eastAsia="Times New Roman" w:hAnsi="Calibri" w:cs="Calibri"/>
                <w:color w:val="000000"/>
                <w:sz w:val="22"/>
                <w:szCs w:val="22"/>
                <w:lang w:eastAsia="en-GB"/>
              </w:rPr>
              <w:t xml:space="preserve"> </w:t>
            </w:r>
          </w:p>
        </w:tc>
        <w:tc>
          <w:tcPr>
            <w:tcW w:w="857" w:type="dxa"/>
            <w:gridSpan w:val="2"/>
            <w:tcBorders>
              <w:top w:val="nil"/>
              <w:left w:val="single" w:sz="4" w:space="0" w:color="auto"/>
              <w:bottom w:val="single" w:sz="4" w:space="0" w:color="auto"/>
              <w:right w:val="nil"/>
            </w:tcBorders>
            <w:shd w:val="clear" w:color="auto" w:fill="auto"/>
            <w:noWrap/>
            <w:vAlign w:val="bottom"/>
          </w:tcPr>
          <w:p w14:paraId="758324C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55,248</w:t>
            </w:r>
          </w:p>
        </w:tc>
        <w:tc>
          <w:tcPr>
            <w:tcW w:w="1156" w:type="dxa"/>
            <w:gridSpan w:val="2"/>
            <w:tcBorders>
              <w:top w:val="nil"/>
              <w:left w:val="nil"/>
              <w:bottom w:val="single" w:sz="4" w:space="0" w:color="auto"/>
              <w:right w:val="nil"/>
            </w:tcBorders>
            <w:shd w:val="clear" w:color="auto" w:fill="auto"/>
            <w:noWrap/>
            <w:vAlign w:val="bottom"/>
          </w:tcPr>
          <w:p w14:paraId="4327ED0B"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-.0096654</w:t>
            </w:r>
          </w:p>
        </w:tc>
        <w:tc>
          <w:tcPr>
            <w:tcW w:w="1056" w:type="dxa"/>
            <w:gridSpan w:val="2"/>
            <w:tcBorders>
              <w:top w:val="nil"/>
              <w:left w:val="nil"/>
              <w:bottom w:val="single" w:sz="4" w:space="0" w:color="auto"/>
              <w:right w:val="nil"/>
            </w:tcBorders>
            <w:shd w:val="clear" w:color="auto" w:fill="auto"/>
            <w:noWrap/>
            <w:vAlign w:val="bottom"/>
          </w:tcPr>
          <w:p w14:paraId="6DBDA2B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.0007521</w:t>
            </w:r>
          </w:p>
        </w:tc>
        <w:tc>
          <w:tcPr>
            <w:tcW w:w="1056" w:type="dxa"/>
            <w:gridSpan w:val="2"/>
            <w:tcBorders>
              <w:top w:val="nil"/>
              <w:left w:val="nil"/>
              <w:bottom w:val="single" w:sz="4" w:space="0" w:color="auto"/>
              <w:right w:val="nil"/>
            </w:tcBorders>
            <w:shd w:val="clear" w:color="auto" w:fill="auto"/>
            <w:noWrap/>
            <w:vAlign w:val="bottom"/>
          </w:tcPr>
          <w:p w14:paraId="1F188A58"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.1767703</w:t>
            </w:r>
          </w:p>
        </w:tc>
        <w:tc>
          <w:tcPr>
            <w:tcW w:w="1235" w:type="dxa"/>
            <w:tcBorders>
              <w:top w:val="nil"/>
              <w:left w:val="nil"/>
              <w:bottom w:val="single" w:sz="4" w:space="0" w:color="auto"/>
              <w:right w:val="nil"/>
            </w:tcBorders>
            <w:shd w:val="clear" w:color="auto" w:fill="auto"/>
            <w:noWrap/>
            <w:vAlign w:val="bottom"/>
          </w:tcPr>
          <w:p w14:paraId="0B80249E"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-.0111394</w:t>
            </w:r>
          </w:p>
        </w:tc>
        <w:tc>
          <w:tcPr>
            <w:tcW w:w="1456" w:type="dxa"/>
            <w:tcBorders>
              <w:top w:val="nil"/>
              <w:left w:val="nil"/>
              <w:bottom w:val="single" w:sz="4" w:space="0" w:color="auto"/>
              <w:right w:val="nil"/>
            </w:tcBorders>
            <w:shd w:val="clear" w:color="auto" w:fill="auto"/>
            <w:noWrap/>
            <w:vAlign w:val="bottom"/>
          </w:tcPr>
          <w:p w14:paraId="4E098249"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-.0081914</w:t>
            </w:r>
          </w:p>
        </w:tc>
      </w:tr>
      <w:tr w:rsidR="00193D32" w:rsidRPr="00CD3136" w14:paraId="06715F4E" w14:textId="77777777" w:rsidTr="00B86ABF">
        <w:trPr>
          <w:trHeight w:val="288"/>
        </w:trPr>
        <w:tc>
          <w:tcPr>
            <w:tcW w:w="1659" w:type="dxa"/>
            <w:tcBorders>
              <w:top w:val="single" w:sz="4" w:space="0" w:color="auto"/>
              <w:left w:val="nil"/>
              <w:bottom w:val="single" w:sz="4" w:space="0" w:color="FFFFFF" w:themeColor="background1"/>
              <w:right w:val="single" w:sz="4" w:space="0" w:color="auto"/>
            </w:tcBorders>
            <w:shd w:val="clear" w:color="auto" w:fill="auto"/>
            <w:noWrap/>
            <w:vAlign w:val="bottom"/>
            <w:hideMark/>
          </w:tcPr>
          <w:p w14:paraId="44E6BB2D" w14:textId="77777777" w:rsidR="00193D32" w:rsidRPr="00CD3136" w:rsidRDefault="00193D32" w:rsidP="00B86ABF">
            <w:pPr>
              <w:spacing w:after="0" w:line="240" w:lineRule="auto"/>
              <w:rPr>
                <w:rFonts w:ascii="Garamond" w:eastAsia="Times New Roman" w:hAnsi="Garamond" w:cs="Calibri"/>
                <w:color w:val="000000"/>
                <w:sz w:val="22"/>
                <w:szCs w:val="22"/>
                <w:lang w:eastAsia="en-GB"/>
              </w:rPr>
            </w:pPr>
            <w:r w:rsidRPr="00CD3136">
              <w:rPr>
                <w:rFonts w:ascii="Garamond" w:eastAsia="Times New Roman" w:hAnsi="Garamond" w:cs="Calibri"/>
                <w:color w:val="000000"/>
                <w:sz w:val="22"/>
                <w:szCs w:val="22"/>
                <w:lang w:eastAsia="en-GB"/>
              </w:rPr>
              <w:t>diff</w:t>
            </w:r>
          </w:p>
        </w:tc>
        <w:tc>
          <w:tcPr>
            <w:tcW w:w="857" w:type="dxa"/>
            <w:gridSpan w:val="2"/>
            <w:tcBorders>
              <w:top w:val="single" w:sz="4" w:space="0" w:color="auto"/>
              <w:left w:val="single" w:sz="4" w:space="0" w:color="auto"/>
              <w:bottom w:val="single" w:sz="4" w:space="0" w:color="FFFFFF" w:themeColor="background1"/>
              <w:right w:val="nil"/>
            </w:tcBorders>
            <w:shd w:val="clear" w:color="auto" w:fill="auto"/>
            <w:noWrap/>
            <w:vAlign w:val="bottom"/>
          </w:tcPr>
          <w:p w14:paraId="62A7984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55,248</w:t>
            </w:r>
          </w:p>
        </w:tc>
        <w:tc>
          <w:tcPr>
            <w:tcW w:w="1156" w:type="dxa"/>
            <w:gridSpan w:val="2"/>
            <w:tcBorders>
              <w:top w:val="single" w:sz="4" w:space="0" w:color="auto"/>
              <w:left w:val="nil"/>
              <w:bottom w:val="single" w:sz="4" w:space="0" w:color="auto"/>
              <w:right w:val="nil"/>
            </w:tcBorders>
            <w:shd w:val="clear" w:color="auto" w:fill="auto"/>
            <w:noWrap/>
            <w:vAlign w:val="bottom"/>
          </w:tcPr>
          <w:p w14:paraId="5289709F"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.0037834</w:t>
            </w:r>
          </w:p>
        </w:tc>
        <w:tc>
          <w:tcPr>
            <w:tcW w:w="1056" w:type="dxa"/>
            <w:gridSpan w:val="2"/>
            <w:tcBorders>
              <w:top w:val="single" w:sz="4" w:space="0" w:color="auto"/>
              <w:left w:val="nil"/>
              <w:bottom w:val="single" w:sz="4" w:space="0" w:color="auto"/>
              <w:right w:val="nil"/>
            </w:tcBorders>
            <w:shd w:val="clear" w:color="auto" w:fill="auto"/>
            <w:noWrap/>
            <w:vAlign w:val="bottom"/>
          </w:tcPr>
          <w:p w14:paraId="7DB270A1"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.0011802</w:t>
            </w:r>
          </w:p>
        </w:tc>
        <w:tc>
          <w:tcPr>
            <w:tcW w:w="1056" w:type="dxa"/>
            <w:gridSpan w:val="2"/>
            <w:tcBorders>
              <w:top w:val="single" w:sz="4" w:space="0" w:color="auto"/>
              <w:left w:val="nil"/>
              <w:bottom w:val="single" w:sz="4" w:space="0" w:color="auto"/>
              <w:right w:val="nil"/>
            </w:tcBorders>
            <w:shd w:val="clear" w:color="auto" w:fill="auto"/>
            <w:noWrap/>
            <w:vAlign w:val="bottom"/>
          </w:tcPr>
          <w:p w14:paraId="4197CDC5"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.2774114</w:t>
            </w:r>
          </w:p>
        </w:tc>
        <w:tc>
          <w:tcPr>
            <w:tcW w:w="1235" w:type="dxa"/>
            <w:tcBorders>
              <w:top w:val="single" w:sz="4" w:space="0" w:color="auto"/>
              <w:left w:val="nil"/>
              <w:bottom w:val="single" w:sz="4" w:space="0" w:color="auto"/>
              <w:right w:val="nil"/>
            </w:tcBorders>
            <w:shd w:val="clear" w:color="auto" w:fill="auto"/>
            <w:noWrap/>
            <w:vAlign w:val="bottom"/>
          </w:tcPr>
          <w:p w14:paraId="77BDCD03"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.0014701</w:t>
            </w:r>
          </w:p>
        </w:tc>
        <w:tc>
          <w:tcPr>
            <w:tcW w:w="1456" w:type="dxa"/>
            <w:tcBorders>
              <w:top w:val="single" w:sz="4" w:space="0" w:color="auto"/>
              <w:left w:val="nil"/>
              <w:bottom w:val="single" w:sz="4" w:space="0" w:color="auto"/>
              <w:right w:val="nil"/>
            </w:tcBorders>
            <w:shd w:val="clear" w:color="auto" w:fill="auto"/>
            <w:noWrap/>
            <w:vAlign w:val="bottom"/>
          </w:tcPr>
          <w:p w14:paraId="476EF31C" w14:textId="77777777" w:rsidR="00193D32" w:rsidRPr="00CD3136"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.0060966</w:t>
            </w:r>
          </w:p>
        </w:tc>
      </w:tr>
      <w:tr w:rsidR="00193D32" w:rsidRPr="00CD3136" w14:paraId="642941A9" w14:textId="77777777" w:rsidTr="00B86ABF">
        <w:trPr>
          <w:trHeight w:val="288"/>
        </w:trPr>
        <w:tc>
          <w:tcPr>
            <w:tcW w:w="5784" w:type="dxa"/>
            <w:gridSpan w:val="9"/>
            <w:tcBorders>
              <w:top w:val="single" w:sz="4" w:space="0" w:color="auto"/>
              <w:left w:val="nil"/>
              <w:bottom w:val="single" w:sz="4" w:space="0" w:color="FFFFFF" w:themeColor="background1"/>
              <w:right w:val="nil"/>
            </w:tcBorders>
            <w:shd w:val="clear" w:color="auto" w:fill="auto"/>
            <w:noWrap/>
            <w:vAlign w:val="bottom"/>
          </w:tcPr>
          <w:p w14:paraId="4661D68D"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 xml:space="preserve">mean(diff) = </w:t>
            </w:r>
            <w:proofErr w:type="gramStart"/>
            <w:r w:rsidRPr="004812DC">
              <w:rPr>
                <w:rFonts w:ascii="Garamond" w:eastAsia="Times New Roman" w:hAnsi="Garamond" w:cs="Calibri"/>
                <w:color w:val="000000"/>
                <w:sz w:val="22"/>
                <w:szCs w:val="22"/>
                <w:lang w:eastAsia="en-GB"/>
              </w:rPr>
              <w:t>mean(</w:t>
            </w:r>
            <w:proofErr w:type="gramEnd"/>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sub>
              </m:sSub>
            </m:oMath>
            <w:r w:rsidRPr="004812DC">
              <w:rPr>
                <w:rFonts w:ascii="Garamond" w:eastAsia="Times New Roman" w:hAnsi="Garamond" w:cs="Calibri"/>
                <w:b/>
                <w:color w:val="000000"/>
                <w:sz w:val="22"/>
                <w:szCs w:val="22"/>
                <w:lang w:eastAsia="en-GB"/>
              </w:rPr>
              <w:t xml:space="preserve">- </w:t>
            </w:r>
            <m:oMath>
              <m:r>
                <m:rPr>
                  <m:sty m:val="b"/>
                </m:rPr>
                <w:rPr>
                  <w:rFonts w:ascii="Cambria Math" w:hAnsi="Cambria Math"/>
                  <w:sz w:val="24"/>
                  <w:szCs w:val="24"/>
                </w:rPr>
                <m:t>∆</m:t>
              </m:r>
              <m:sSub>
                <m:sSubPr>
                  <m:ctrlPr>
                    <w:rPr>
                      <w:rFonts w:ascii="Cambria Math" w:hAnsi="Cambria Math"/>
                      <w:b/>
                      <w:sz w:val="24"/>
                      <w:szCs w:val="24"/>
                      <w:lang w:val="pt-PT"/>
                    </w:rPr>
                  </m:ctrlPr>
                </m:sSubPr>
                <m:e>
                  <m:r>
                    <m:rPr>
                      <m:sty m:val="bi"/>
                    </m:rPr>
                    <w:rPr>
                      <w:rFonts w:ascii="Cambria Math" w:hAnsi="Cambria Math"/>
                      <w:sz w:val="24"/>
                      <w:szCs w:val="24"/>
                      <w:lang w:val="pt-PT"/>
                    </w:rPr>
                    <m:t>Inv</m:t>
                  </m:r>
                </m:e>
                <m:sub>
                  <m:r>
                    <m:rPr>
                      <m:sty m:val="bi"/>
                    </m:rPr>
                    <w:rPr>
                      <w:rFonts w:ascii="Cambria Math" w:hAnsi="Cambria Math"/>
                      <w:sz w:val="24"/>
                      <w:szCs w:val="24"/>
                      <w:lang w:val="pt-PT"/>
                    </w:rPr>
                    <m:t>i</m:t>
                  </m:r>
                  <m:r>
                    <m:rPr>
                      <m:sty m:val="bi"/>
                    </m:rPr>
                    <w:rPr>
                      <w:rFonts w:ascii="Cambria Math" w:hAnsi="Cambria Math"/>
                      <w:sz w:val="24"/>
                      <w:szCs w:val="24"/>
                    </w:rPr>
                    <m:t xml:space="preserve">, </m:t>
                  </m:r>
                  <m:r>
                    <m:rPr>
                      <m:sty m:val="bi"/>
                    </m:rPr>
                    <w:rPr>
                      <w:rFonts w:ascii="Cambria Math" w:hAnsi="Cambria Math"/>
                      <w:sz w:val="24"/>
                      <w:szCs w:val="24"/>
                      <w:lang w:val="pt-PT"/>
                    </w:rPr>
                    <m:t>t</m:t>
                  </m:r>
                  <m:r>
                    <m:rPr>
                      <m:sty m:val="bi"/>
                    </m:rPr>
                    <w:rPr>
                      <w:rFonts w:ascii="Cambria Math" w:hAnsi="Cambria Math"/>
                      <w:sz w:val="24"/>
                      <w:szCs w:val="24"/>
                    </w:rPr>
                    <m:t>-1</m:t>
                  </m:r>
                </m:sub>
              </m:sSub>
            </m:oMath>
            <w:r w:rsidRPr="004812DC">
              <w:rPr>
                <w:rFonts w:ascii="Garamond" w:eastAsia="Times New Roman" w:hAnsi="Garamond" w:cs="Calibri"/>
                <w:color w:val="000000"/>
                <w:sz w:val="22"/>
                <w:szCs w:val="22"/>
                <w:lang w:eastAsia="en-GB"/>
              </w:rPr>
              <w:t>)</w:t>
            </w:r>
          </w:p>
        </w:tc>
        <w:tc>
          <w:tcPr>
            <w:tcW w:w="1235" w:type="dxa"/>
            <w:tcBorders>
              <w:top w:val="single" w:sz="4" w:space="0" w:color="auto"/>
              <w:left w:val="nil"/>
              <w:bottom w:val="single" w:sz="4" w:space="0" w:color="FFFFFF" w:themeColor="background1"/>
              <w:right w:val="nil"/>
            </w:tcBorders>
            <w:shd w:val="clear" w:color="auto" w:fill="auto"/>
            <w:noWrap/>
            <w:vAlign w:val="bottom"/>
          </w:tcPr>
          <w:p w14:paraId="3270C74D"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1456" w:type="dxa"/>
            <w:tcBorders>
              <w:top w:val="single" w:sz="4" w:space="0" w:color="auto"/>
              <w:left w:val="nil"/>
              <w:bottom w:val="single" w:sz="4" w:space="0" w:color="FFFFFF" w:themeColor="background1"/>
              <w:right w:val="nil"/>
            </w:tcBorders>
            <w:shd w:val="clear" w:color="auto" w:fill="auto"/>
            <w:noWrap/>
            <w:vAlign w:val="bottom"/>
          </w:tcPr>
          <w:p w14:paraId="2B9A93EA"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t =</w:t>
            </w:r>
            <w:r w:rsidRPr="004812DC">
              <w:rPr>
                <w:rFonts w:ascii="Garamond" w:hAnsi="Garamond"/>
              </w:rPr>
              <w:t xml:space="preserve"> </w:t>
            </w:r>
            <w:r w:rsidRPr="004812DC">
              <w:rPr>
                <w:rFonts w:ascii="Garamond" w:eastAsia="Times New Roman" w:hAnsi="Garamond" w:cs="Calibri"/>
                <w:b/>
                <w:bCs/>
                <w:color w:val="000000"/>
                <w:sz w:val="22"/>
                <w:szCs w:val="22"/>
                <w:lang w:eastAsia="en-GB"/>
              </w:rPr>
              <w:t xml:space="preserve">3.2056   </w:t>
            </w:r>
          </w:p>
        </w:tc>
      </w:tr>
      <w:tr w:rsidR="00193D32" w:rsidRPr="00CD3136" w14:paraId="6DE8B827" w14:textId="77777777" w:rsidTr="00B86ABF">
        <w:trPr>
          <w:trHeight w:val="288"/>
        </w:trPr>
        <w:tc>
          <w:tcPr>
            <w:tcW w:w="1928"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14:paraId="1DC8DF71"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r w:rsidRPr="004812DC">
              <w:rPr>
                <w:rFonts w:ascii="Garamond" w:eastAsia="Times New Roman" w:hAnsi="Garamond" w:cs="Calibri"/>
                <w:color w:val="000000"/>
                <w:sz w:val="22"/>
                <w:szCs w:val="22"/>
                <w:lang w:eastAsia="en-GB"/>
              </w:rPr>
              <w:t>H0: mean(diff) = 0</w:t>
            </w:r>
          </w:p>
        </w:tc>
        <w:tc>
          <w:tcPr>
            <w:tcW w:w="1928"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3E30ACDF"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4619" w:type="dxa"/>
            <w:gridSpan w:val="5"/>
            <w:tcBorders>
              <w:top w:val="single" w:sz="4" w:space="0" w:color="FFFFFF" w:themeColor="background1"/>
              <w:left w:val="nil"/>
              <w:bottom w:val="single" w:sz="4" w:space="0" w:color="FFFFFF" w:themeColor="background1"/>
              <w:right w:val="nil"/>
            </w:tcBorders>
            <w:shd w:val="clear" w:color="auto" w:fill="auto"/>
            <w:vAlign w:val="bottom"/>
          </w:tcPr>
          <w:p w14:paraId="6C64B10A"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 xml:space="preserve">Degrees of </w:t>
            </w:r>
            <w:proofErr w:type="spellStart"/>
            <w:r w:rsidRPr="004812DC">
              <w:rPr>
                <w:rFonts w:ascii="Garamond" w:eastAsia="Times New Roman" w:hAnsi="Garamond" w:cs="Calibri"/>
                <w:b/>
                <w:bCs/>
                <w:color w:val="000000"/>
                <w:sz w:val="22"/>
                <w:szCs w:val="22"/>
                <w:lang w:eastAsia="en-GB"/>
              </w:rPr>
              <w:t>feedom</w:t>
            </w:r>
            <w:proofErr w:type="spellEnd"/>
            <w:r w:rsidRPr="004812DC">
              <w:rPr>
                <w:rFonts w:ascii="Garamond" w:eastAsia="Times New Roman" w:hAnsi="Garamond" w:cs="Calibri"/>
                <w:b/>
                <w:bCs/>
                <w:color w:val="000000"/>
                <w:sz w:val="22"/>
                <w:szCs w:val="22"/>
                <w:lang w:eastAsia="en-GB"/>
              </w:rPr>
              <w:t xml:space="preserve"> = 55247</w:t>
            </w:r>
          </w:p>
        </w:tc>
      </w:tr>
      <w:tr w:rsidR="00193D32" w:rsidRPr="00CD3136" w14:paraId="67B82BA8"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3EDA330"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1E9A1506"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18253D95"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
        </w:tc>
      </w:tr>
      <w:tr w:rsidR="00193D32" w:rsidRPr="00CD3136" w14:paraId="1CAAD3E4" w14:textId="77777777" w:rsidTr="00B86ABF">
        <w:trPr>
          <w:trHeight w:val="288"/>
        </w:trPr>
        <w:tc>
          <w:tcPr>
            <w:tcW w:w="2825" w:type="dxa"/>
            <w:gridSpan w:val="4"/>
            <w:tcBorders>
              <w:top w:val="single" w:sz="4" w:space="0" w:color="FFFFFF" w:themeColor="background1"/>
              <w:left w:val="nil"/>
              <w:bottom w:val="single" w:sz="4" w:space="0" w:color="FFFFFF" w:themeColor="background1"/>
              <w:right w:val="nil"/>
            </w:tcBorders>
            <w:shd w:val="clear" w:color="auto" w:fill="auto"/>
            <w:noWrap/>
            <w:vAlign w:val="bottom"/>
          </w:tcPr>
          <w:p w14:paraId="1F6FC485"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 &lt; 0</w:t>
            </w:r>
          </w:p>
        </w:tc>
        <w:tc>
          <w:tcPr>
            <w:tcW w:w="2825" w:type="dxa"/>
            <w:gridSpan w:val="4"/>
            <w:tcBorders>
              <w:top w:val="single" w:sz="4" w:space="0" w:color="FFFFFF" w:themeColor="background1"/>
              <w:left w:val="nil"/>
              <w:bottom w:val="single" w:sz="4" w:space="0" w:color="FFFFFF" w:themeColor="background1"/>
              <w:right w:val="nil"/>
            </w:tcBorders>
            <w:shd w:val="clear" w:color="auto" w:fill="auto"/>
            <w:vAlign w:val="bottom"/>
          </w:tcPr>
          <w:p w14:paraId="1DD2D8CB" w14:textId="77777777" w:rsidR="00193D32" w:rsidRPr="004812DC" w:rsidRDefault="00193D32" w:rsidP="00B86ABF">
            <w:pPr>
              <w:spacing w:after="0" w:line="240" w:lineRule="auto"/>
              <w:rPr>
                <w:rFonts w:ascii="Garamond" w:eastAsia="Times New Roman" w:hAnsi="Garamond" w:cs="Calibri"/>
                <w:color w:val="000000"/>
                <w:sz w:val="22"/>
                <w:szCs w:val="22"/>
                <w:lang w:eastAsia="en-GB"/>
              </w:rPr>
            </w:pPr>
            <w:r w:rsidRPr="004812DC">
              <w:rPr>
                <w:rFonts w:ascii="Garamond" w:eastAsia="Times New Roman" w:hAnsi="Garamond" w:cs="Calibri"/>
                <w:color w:val="000000"/>
                <w:sz w:val="22"/>
                <w:szCs w:val="22"/>
                <w:lang w:eastAsia="en-GB"/>
              </w:rPr>
              <w:t>Ha: mean(diff</w:t>
            </w:r>
            <w:proofErr w:type="gramStart"/>
            <w:r w:rsidRPr="004812DC">
              <w:rPr>
                <w:rFonts w:ascii="Garamond" w:eastAsia="Times New Roman" w:hAnsi="Garamond" w:cs="Calibri"/>
                <w:color w:val="000000"/>
                <w:sz w:val="22"/>
                <w:szCs w:val="22"/>
                <w:lang w:eastAsia="en-GB"/>
              </w:rPr>
              <w:t>) !</w:t>
            </w:r>
            <w:proofErr w:type="gramEnd"/>
            <w:r w:rsidRPr="004812DC">
              <w:rPr>
                <w:rFonts w:ascii="Garamond" w:eastAsia="Times New Roman" w:hAnsi="Garamond" w:cs="Calibri"/>
                <w:color w:val="000000"/>
                <w:sz w:val="22"/>
                <w:szCs w:val="22"/>
                <w:lang w:eastAsia="en-GB"/>
              </w:rPr>
              <w:t>= 0</w:t>
            </w:r>
          </w:p>
        </w:tc>
        <w:tc>
          <w:tcPr>
            <w:tcW w:w="2825" w:type="dxa"/>
            <w:gridSpan w:val="3"/>
            <w:tcBorders>
              <w:top w:val="single" w:sz="4" w:space="0" w:color="FFFFFF" w:themeColor="background1"/>
              <w:left w:val="nil"/>
              <w:bottom w:val="single" w:sz="4" w:space="0" w:color="FFFFFF" w:themeColor="background1"/>
              <w:right w:val="nil"/>
            </w:tcBorders>
            <w:shd w:val="clear" w:color="auto" w:fill="auto"/>
            <w:vAlign w:val="bottom"/>
          </w:tcPr>
          <w:p w14:paraId="3CD3993F"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r w:rsidRPr="004812DC">
              <w:rPr>
                <w:rFonts w:ascii="Garamond" w:eastAsia="Times New Roman" w:hAnsi="Garamond" w:cs="Calibri"/>
                <w:b/>
                <w:bCs/>
                <w:color w:val="000000"/>
                <w:sz w:val="22"/>
                <w:szCs w:val="22"/>
                <w:lang w:eastAsia="en-GB"/>
              </w:rPr>
              <w:t>Ha: mean(diff) &gt; 0</w:t>
            </w:r>
          </w:p>
        </w:tc>
      </w:tr>
      <w:tr w:rsidR="00193D32" w:rsidRPr="00CD3136" w14:paraId="74D3DF65" w14:textId="77777777" w:rsidTr="00B86ABF">
        <w:trPr>
          <w:trHeight w:val="288"/>
        </w:trPr>
        <w:tc>
          <w:tcPr>
            <w:tcW w:w="2825" w:type="dxa"/>
            <w:gridSpan w:val="4"/>
            <w:tcBorders>
              <w:top w:val="single" w:sz="4" w:space="0" w:color="FFFFFF" w:themeColor="background1"/>
              <w:left w:val="nil"/>
              <w:bottom w:val="single" w:sz="4" w:space="0" w:color="auto"/>
              <w:right w:val="nil"/>
            </w:tcBorders>
            <w:shd w:val="clear" w:color="auto" w:fill="auto"/>
            <w:noWrap/>
            <w:vAlign w:val="bottom"/>
          </w:tcPr>
          <w:p w14:paraId="608F88AD"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&lt; t) =</w:t>
            </w:r>
            <w:r w:rsidRPr="004812DC">
              <w:rPr>
                <w:rFonts w:ascii="Garamond" w:eastAsia="Times New Roman" w:hAnsi="Garamond" w:cs="Calibri"/>
                <w:b/>
                <w:bCs/>
                <w:color w:val="000000"/>
                <w:sz w:val="22"/>
                <w:szCs w:val="22"/>
                <w:lang w:eastAsia="en-GB"/>
              </w:rPr>
              <w:t xml:space="preserve"> 0.9993</w:t>
            </w:r>
          </w:p>
        </w:tc>
        <w:tc>
          <w:tcPr>
            <w:tcW w:w="2825" w:type="dxa"/>
            <w:gridSpan w:val="4"/>
            <w:tcBorders>
              <w:top w:val="single" w:sz="4" w:space="0" w:color="FFFFFF" w:themeColor="background1"/>
              <w:left w:val="nil"/>
              <w:bottom w:val="single" w:sz="4" w:space="0" w:color="auto"/>
              <w:right w:val="nil"/>
            </w:tcBorders>
            <w:shd w:val="clear" w:color="auto" w:fill="auto"/>
            <w:vAlign w:val="bottom"/>
          </w:tcPr>
          <w:p w14:paraId="7D7B2D2F" w14:textId="77777777" w:rsidR="00193D32" w:rsidRPr="004812DC" w:rsidRDefault="00193D32" w:rsidP="00B86ABF">
            <w:pPr>
              <w:spacing w:after="0" w:line="240" w:lineRule="auto"/>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color w:val="000000"/>
                <w:sz w:val="22"/>
                <w:szCs w:val="22"/>
                <w:lang w:eastAsia="en-GB"/>
              </w:rPr>
              <w:t>Pr</w:t>
            </w:r>
            <w:proofErr w:type="spellEnd"/>
            <w:r w:rsidRPr="004812DC">
              <w:rPr>
                <w:rFonts w:ascii="Garamond" w:eastAsia="Times New Roman" w:hAnsi="Garamond" w:cs="Calibri"/>
                <w:color w:val="000000"/>
                <w:sz w:val="22"/>
                <w:szCs w:val="22"/>
                <w:lang w:eastAsia="en-GB"/>
              </w:rPr>
              <w:t>(</w:t>
            </w:r>
            <w:proofErr w:type="gramEnd"/>
            <w:r w:rsidRPr="004812DC">
              <w:rPr>
                <w:rFonts w:ascii="Garamond" w:eastAsia="Times New Roman" w:hAnsi="Garamond" w:cs="Calibri"/>
                <w:color w:val="000000"/>
                <w:sz w:val="22"/>
                <w:szCs w:val="22"/>
                <w:lang w:eastAsia="en-GB"/>
              </w:rPr>
              <w:t>|T| &gt; |t|) =</w:t>
            </w:r>
            <w:r w:rsidRPr="004812DC">
              <w:rPr>
                <w:rFonts w:ascii="Garamond" w:eastAsia="Times New Roman" w:hAnsi="Garamond" w:cs="Calibri"/>
                <w:b/>
                <w:bCs/>
                <w:color w:val="000000"/>
                <w:sz w:val="22"/>
                <w:szCs w:val="22"/>
                <w:lang w:eastAsia="en-GB"/>
              </w:rPr>
              <w:t xml:space="preserve"> 0.0013</w:t>
            </w:r>
          </w:p>
        </w:tc>
        <w:tc>
          <w:tcPr>
            <w:tcW w:w="2825" w:type="dxa"/>
            <w:gridSpan w:val="3"/>
            <w:tcBorders>
              <w:top w:val="single" w:sz="4" w:space="0" w:color="FFFFFF" w:themeColor="background1"/>
              <w:left w:val="nil"/>
              <w:bottom w:val="single" w:sz="4" w:space="0" w:color="auto"/>
              <w:right w:val="nil"/>
            </w:tcBorders>
            <w:shd w:val="clear" w:color="auto" w:fill="auto"/>
            <w:vAlign w:val="bottom"/>
          </w:tcPr>
          <w:p w14:paraId="79816A31" w14:textId="77777777" w:rsidR="00193D32" w:rsidRPr="004812DC" w:rsidRDefault="00193D32" w:rsidP="00B86ABF">
            <w:pPr>
              <w:spacing w:after="0" w:line="240" w:lineRule="auto"/>
              <w:jc w:val="right"/>
              <w:rPr>
                <w:rFonts w:ascii="Garamond" w:eastAsia="Times New Roman" w:hAnsi="Garamond" w:cs="Calibri"/>
                <w:b/>
                <w:bCs/>
                <w:color w:val="000000"/>
                <w:sz w:val="22"/>
                <w:szCs w:val="22"/>
                <w:lang w:eastAsia="en-GB"/>
              </w:rPr>
            </w:pPr>
            <w:proofErr w:type="spellStart"/>
            <w:proofErr w:type="gramStart"/>
            <w:r w:rsidRPr="004812DC">
              <w:rPr>
                <w:rFonts w:ascii="Garamond" w:eastAsia="Times New Roman" w:hAnsi="Garamond" w:cs="Calibri"/>
                <w:b/>
                <w:bCs/>
                <w:color w:val="000000"/>
                <w:sz w:val="22"/>
                <w:szCs w:val="22"/>
                <w:lang w:eastAsia="en-GB"/>
              </w:rPr>
              <w:t>Pr</w:t>
            </w:r>
            <w:proofErr w:type="spellEnd"/>
            <w:r w:rsidRPr="004812DC">
              <w:rPr>
                <w:rFonts w:ascii="Garamond" w:eastAsia="Times New Roman" w:hAnsi="Garamond" w:cs="Calibri"/>
                <w:b/>
                <w:bCs/>
                <w:color w:val="000000"/>
                <w:sz w:val="22"/>
                <w:szCs w:val="22"/>
                <w:lang w:eastAsia="en-GB"/>
              </w:rPr>
              <w:t>(</w:t>
            </w:r>
            <w:proofErr w:type="gramEnd"/>
            <w:r w:rsidRPr="004812DC">
              <w:rPr>
                <w:rFonts w:ascii="Garamond" w:eastAsia="Times New Roman" w:hAnsi="Garamond" w:cs="Calibri"/>
                <w:b/>
                <w:bCs/>
                <w:color w:val="000000"/>
                <w:sz w:val="22"/>
                <w:szCs w:val="22"/>
                <w:lang w:eastAsia="en-GB"/>
              </w:rPr>
              <w:t>T &gt; t) = 0.0007</w:t>
            </w:r>
          </w:p>
        </w:tc>
      </w:tr>
    </w:tbl>
    <w:p w14:paraId="7F2E20CC" w14:textId="77777777" w:rsidR="00193D32" w:rsidRDefault="00193D32" w:rsidP="00193D32">
      <w:pPr>
        <w:spacing w:line="259" w:lineRule="auto"/>
      </w:pPr>
    </w:p>
    <w:p w14:paraId="16038843" w14:textId="15BBBF78" w:rsidR="00193D32" w:rsidRPr="00210A69" w:rsidRDefault="00210A69" w:rsidP="00210A69">
      <w:pPr>
        <w:spacing w:line="259" w:lineRule="auto"/>
        <w:rPr>
          <w:rFonts w:ascii="Garamond" w:hAnsi="Garamond"/>
          <w:b/>
          <w:bCs/>
          <w:sz w:val="24"/>
          <w:szCs w:val="24"/>
          <w:lang w:val="pt-PT"/>
        </w:rPr>
      </w:pPr>
      <w:r>
        <w:br w:type="page"/>
      </w:r>
    </w:p>
    <w:p w14:paraId="345297F2" w14:textId="73E88A92" w:rsidR="00193D32" w:rsidRDefault="00193D32" w:rsidP="00EB18E4">
      <w:pPr>
        <w:pStyle w:val="TtuloSecundrioTese"/>
      </w:pPr>
      <w:r>
        <w:lastRenderedPageBreak/>
        <w:t xml:space="preserve"> </w:t>
      </w:r>
      <w:bookmarkStart w:id="63" w:name="_Toc176458065"/>
      <w:r>
        <w:t xml:space="preserve">Apêndice </w:t>
      </w:r>
      <w:r w:rsidR="004216E3">
        <w:t>C</w:t>
      </w:r>
      <w:bookmarkEnd w:id="63"/>
    </w:p>
    <w:p w14:paraId="0DC153E2" w14:textId="57F38718" w:rsidR="008D6866" w:rsidRPr="008D6866" w:rsidRDefault="00193D32" w:rsidP="00193D32">
      <w:pPr>
        <w:spacing w:line="259" w:lineRule="auto"/>
        <w:rPr>
          <w:rFonts w:ascii="Garamond" w:hAnsi="Garamond"/>
          <w:b/>
          <w:bCs/>
          <w:sz w:val="24"/>
          <w:szCs w:val="24"/>
          <w:lang w:val="pt-PT"/>
        </w:rPr>
      </w:pPr>
      <w:r w:rsidRPr="00F851E2">
        <w:rPr>
          <w:rFonts w:ascii="Garamond" w:hAnsi="Garamond"/>
          <w:b/>
          <w:bCs/>
          <w:sz w:val="24"/>
          <w:szCs w:val="24"/>
          <w:lang w:val="pt-PT"/>
        </w:rPr>
        <w:t>Teste Hausman</w:t>
      </w:r>
    </w:p>
    <w:p w14:paraId="57A6C88C" w14:textId="2B36522F" w:rsidR="00193D32" w:rsidRPr="00E91940" w:rsidRDefault="00193D32" w:rsidP="00193D32">
      <w:pPr>
        <w:pStyle w:val="Caption"/>
        <w:keepNext/>
        <w:rPr>
          <w:rFonts w:ascii="Garamond" w:hAnsi="Garamond"/>
          <w:i w:val="0"/>
          <w:iCs w:val="0"/>
          <w:color w:val="auto"/>
          <w:lang w:val="pt-PT"/>
        </w:rPr>
      </w:pPr>
      <w:bookmarkStart w:id="64" w:name="_Toc176855926"/>
      <w:r w:rsidRPr="00AC4E8A">
        <w:rPr>
          <w:rFonts w:ascii="Garamond" w:hAnsi="Garamond"/>
          <w:b/>
          <w:bCs/>
          <w:i w:val="0"/>
          <w:iCs w:val="0"/>
          <w:color w:val="auto"/>
          <w:lang w:val="pt-PT"/>
        </w:rPr>
        <w:t xml:space="preserve">Tabela </w:t>
      </w:r>
      <w:r w:rsidRPr="00AC4E8A">
        <w:rPr>
          <w:rFonts w:ascii="Garamond" w:hAnsi="Garamond"/>
          <w:b/>
          <w:bCs/>
          <w:i w:val="0"/>
          <w:iCs w:val="0"/>
          <w:color w:val="auto"/>
        </w:rPr>
        <w:fldChar w:fldCharType="begin"/>
      </w:r>
      <w:r w:rsidRPr="00AC4E8A">
        <w:rPr>
          <w:rFonts w:ascii="Garamond" w:hAnsi="Garamond"/>
          <w:b/>
          <w:bCs/>
          <w:i w:val="0"/>
          <w:iCs w:val="0"/>
          <w:color w:val="auto"/>
          <w:lang w:val="pt-PT"/>
        </w:rPr>
        <w:instrText xml:space="preserve"> SEQ Tabela \* ARABIC </w:instrText>
      </w:r>
      <w:r w:rsidRPr="00AC4E8A">
        <w:rPr>
          <w:rFonts w:ascii="Garamond" w:hAnsi="Garamond"/>
          <w:b/>
          <w:bCs/>
          <w:i w:val="0"/>
          <w:iCs w:val="0"/>
          <w:color w:val="auto"/>
        </w:rPr>
        <w:fldChar w:fldCharType="separate"/>
      </w:r>
      <w:r w:rsidR="00C01B43">
        <w:rPr>
          <w:rFonts w:ascii="Garamond" w:hAnsi="Garamond"/>
          <w:b/>
          <w:bCs/>
          <w:i w:val="0"/>
          <w:iCs w:val="0"/>
          <w:noProof/>
          <w:color w:val="auto"/>
          <w:lang w:val="pt-PT"/>
        </w:rPr>
        <w:t>14</w:t>
      </w:r>
      <w:r w:rsidRPr="00AC4E8A">
        <w:rPr>
          <w:rFonts w:ascii="Garamond" w:hAnsi="Garamond"/>
          <w:b/>
          <w:bCs/>
          <w:i w:val="0"/>
          <w:iCs w:val="0"/>
          <w:color w:val="auto"/>
        </w:rPr>
        <w:fldChar w:fldCharType="end"/>
      </w:r>
      <w:r w:rsidRPr="00E91940">
        <w:rPr>
          <w:rFonts w:ascii="Garamond" w:hAnsi="Garamond"/>
          <w:i w:val="0"/>
          <w:iCs w:val="0"/>
          <w:color w:val="auto"/>
          <w:lang w:val="pt-PT"/>
        </w:rPr>
        <w:t xml:space="preserve"> - Teste Hausman para o modelo base com variável multiplicativa</w:t>
      </w:r>
      <w:bookmarkEnd w:id="64"/>
    </w:p>
    <w:tbl>
      <w:tblPr>
        <w:tblStyle w:val="PlainTable5"/>
        <w:tblW w:w="0" w:type="auto"/>
        <w:tblLayout w:type="fixed"/>
        <w:tblLook w:val="04A0" w:firstRow="1" w:lastRow="0" w:firstColumn="1" w:lastColumn="0" w:noHBand="0" w:noVBand="1"/>
      </w:tblPr>
      <w:tblGrid>
        <w:gridCol w:w="1519"/>
        <w:gridCol w:w="1175"/>
        <w:gridCol w:w="1134"/>
        <w:gridCol w:w="1134"/>
        <w:gridCol w:w="2126"/>
      </w:tblGrid>
      <w:tr w:rsidR="00193D32" w:rsidRPr="004B5F8F" w14:paraId="0A9990AD" w14:textId="77777777" w:rsidTr="0085122B">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519" w:type="dxa"/>
            <w:tcBorders>
              <w:top w:val="single" w:sz="4" w:space="0" w:color="auto"/>
              <w:bottom w:val="single" w:sz="4" w:space="0" w:color="auto"/>
              <w:right w:val="single" w:sz="4" w:space="0" w:color="auto"/>
            </w:tcBorders>
            <w:noWrap/>
            <w:hideMark/>
          </w:tcPr>
          <w:p w14:paraId="34688850" w14:textId="77777777" w:rsidR="00193D32" w:rsidRPr="00431DB8" w:rsidRDefault="00193D32" w:rsidP="00B86ABF">
            <w:pPr>
              <w:spacing w:line="240" w:lineRule="auto"/>
              <w:rPr>
                <w:rFonts w:ascii="Garamond" w:eastAsia="Times New Roman" w:hAnsi="Garamond" w:cs="Calibri"/>
                <w:color w:val="000000"/>
                <w:sz w:val="22"/>
                <w:szCs w:val="22"/>
                <w:lang w:val="pt-PT" w:eastAsia="en-GB"/>
              </w:rPr>
            </w:pPr>
          </w:p>
        </w:tc>
        <w:tc>
          <w:tcPr>
            <w:tcW w:w="1175" w:type="dxa"/>
            <w:tcBorders>
              <w:top w:val="single" w:sz="4" w:space="0" w:color="auto"/>
              <w:left w:val="single" w:sz="4" w:space="0" w:color="auto"/>
              <w:bottom w:val="single" w:sz="4" w:space="0" w:color="auto"/>
            </w:tcBorders>
            <w:noWrap/>
            <w:hideMark/>
          </w:tcPr>
          <w:p w14:paraId="29423CA8"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2"/>
                <w:szCs w:val="22"/>
                <w:lang w:eastAsia="en-GB"/>
              </w:rPr>
            </w:pPr>
            <w:r w:rsidRPr="004B5F8F">
              <w:rPr>
                <w:rFonts w:ascii="Garamond" w:eastAsia="Times New Roman" w:hAnsi="Garamond" w:cs="Calibri"/>
                <w:i w:val="0"/>
                <w:iCs w:val="0"/>
                <w:color w:val="000000"/>
                <w:sz w:val="22"/>
                <w:szCs w:val="22"/>
                <w:lang w:eastAsia="en-GB"/>
              </w:rPr>
              <w:t>(b)</w:t>
            </w:r>
          </w:p>
          <w:p w14:paraId="6D1DB978"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i w:val="0"/>
                <w:iCs w:val="0"/>
                <w:color w:val="000000"/>
                <w:sz w:val="22"/>
                <w:szCs w:val="22"/>
                <w:lang w:eastAsia="en-GB"/>
              </w:rPr>
            </w:pPr>
            <w:proofErr w:type="spellStart"/>
            <w:r w:rsidRPr="004B5F8F">
              <w:rPr>
                <w:rFonts w:ascii="Garamond" w:eastAsia="Times New Roman" w:hAnsi="Garamond" w:cs="Calibri"/>
                <w:i w:val="0"/>
                <w:iCs w:val="0"/>
                <w:color w:val="000000"/>
                <w:sz w:val="22"/>
                <w:szCs w:val="22"/>
                <w:lang w:eastAsia="en-GB"/>
              </w:rPr>
              <w:t>fe_model</w:t>
            </w:r>
            <w:proofErr w:type="spellEnd"/>
          </w:p>
        </w:tc>
        <w:tc>
          <w:tcPr>
            <w:tcW w:w="1134" w:type="dxa"/>
            <w:tcBorders>
              <w:top w:val="single" w:sz="4" w:space="0" w:color="auto"/>
              <w:bottom w:val="single" w:sz="4" w:space="0" w:color="auto"/>
            </w:tcBorders>
            <w:noWrap/>
            <w:hideMark/>
          </w:tcPr>
          <w:p w14:paraId="28611287"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2"/>
                <w:szCs w:val="22"/>
                <w:lang w:eastAsia="en-GB"/>
              </w:rPr>
            </w:pPr>
            <w:r w:rsidRPr="004B5F8F">
              <w:rPr>
                <w:rFonts w:ascii="Garamond" w:eastAsia="Times New Roman" w:hAnsi="Garamond" w:cs="Calibri"/>
                <w:i w:val="0"/>
                <w:iCs w:val="0"/>
                <w:color w:val="000000"/>
                <w:sz w:val="22"/>
                <w:szCs w:val="22"/>
                <w:lang w:eastAsia="en-GB"/>
              </w:rPr>
              <w:t>(B)</w:t>
            </w:r>
          </w:p>
          <w:p w14:paraId="2F10881B"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i w:val="0"/>
                <w:iCs w:val="0"/>
                <w:color w:val="000000"/>
                <w:sz w:val="22"/>
                <w:szCs w:val="22"/>
                <w:lang w:eastAsia="en-GB"/>
              </w:rPr>
            </w:pPr>
            <w:proofErr w:type="spellStart"/>
            <w:r w:rsidRPr="004B5F8F">
              <w:rPr>
                <w:rFonts w:ascii="Garamond" w:eastAsia="Times New Roman" w:hAnsi="Garamond" w:cs="Calibri"/>
                <w:i w:val="0"/>
                <w:iCs w:val="0"/>
                <w:color w:val="000000"/>
                <w:sz w:val="22"/>
                <w:szCs w:val="22"/>
                <w:lang w:eastAsia="en-GB"/>
              </w:rPr>
              <w:t>Re_model</w:t>
            </w:r>
            <w:proofErr w:type="spellEnd"/>
          </w:p>
        </w:tc>
        <w:tc>
          <w:tcPr>
            <w:tcW w:w="1134" w:type="dxa"/>
            <w:tcBorders>
              <w:top w:val="single" w:sz="4" w:space="0" w:color="auto"/>
              <w:bottom w:val="single" w:sz="4" w:space="0" w:color="auto"/>
            </w:tcBorders>
            <w:noWrap/>
            <w:hideMark/>
          </w:tcPr>
          <w:p w14:paraId="28423D17"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2"/>
                <w:szCs w:val="22"/>
                <w:lang w:eastAsia="en-GB"/>
              </w:rPr>
            </w:pPr>
            <w:r w:rsidRPr="004B5F8F">
              <w:rPr>
                <w:rFonts w:ascii="Garamond" w:eastAsia="Times New Roman" w:hAnsi="Garamond" w:cs="Calibri"/>
                <w:i w:val="0"/>
                <w:iCs w:val="0"/>
                <w:color w:val="000000"/>
                <w:sz w:val="22"/>
                <w:szCs w:val="22"/>
                <w:lang w:eastAsia="en-GB"/>
              </w:rPr>
              <w:t>(b-B)</w:t>
            </w:r>
          </w:p>
          <w:p w14:paraId="102E6790"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i w:val="0"/>
                <w:iCs w:val="0"/>
                <w:color w:val="000000"/>
                <w:sz w:val="22"/>
                <w:szCs w:val="22"/>
                <w:lang w:eastAsia="en-GB"/>
              </w:rPr>
            </w:pPr>
            <w:r w:rsidRPr="004B5F8F">
              <w:rPr>
                <w:rFonts w:ascii="Garamond" w:eastAsia="Times New Roman" w:hAnsi="Garamond" w:cs="Calibri"/>
                <w:i w:val="0"/>
                <w:iCs w:val="0"/>
                <w:color w:val="000000"/>
                <w:sz w:val="22"/>
                <w:szCs w:val="22"/>
                <w:lang w:eastAsia="en-GB"/>
              </w:rPr>
              <w:t>Difference</w:t>
            </w:r>
          </w:p>
        </w:tc>
        <w:tc>
          <w:tcPr>
            <w:tcW w:w="2126" w:type="dxa"/>
            <w:tcBorders>
              <w:top w:val="single" w:sz="4" w:space="0" w:color="auto"/>
              <w:bottom w:val="single" w:sz="4" w:space="0" w:color="auto"/>
            </w:tcBorders>
            <w:noWrap/>
            <w:hideMark/>
          </w:tcPr>
          <w:p w14:paraId="5F47A85F"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color w:val="000000"/>
                <w:sz w:val="22"/>
                <w:szCs w:val="22"/>
                <w:lang w:eastAsia="en-GB"/>
              </w:rPr>
            </w:pPr>
            <w:r w:rsidRPr="004B5F8F">
              <w:rPr>
                <w:rFonts w:ascii="Garamond" w:eastAsia="Times New Roman" w:hAnsi="Garamond" w:cs="Calibri"/>
                <w:i w:val="0"/>
                <w:iCs w:val="0"/>
                <w:color w:val="000000"/>
                <w:sz w:val="22"/>
                <w:szCs w:val="22"/>
                <w:lang w:eastAsia="en-GB"/>
              </w:rPr>
              <w:t>sqrt(</w:t>
            </w:r>
            <w:proofErr w:type="spellStart"/>
            <w:r w:rsidRPr="004B5F8F">
              <w:rPr>
                <w:rFonts w:ascii="Garamond" w:eastAsia="Times New Roman" w:hAnsi="Garamond" w:cs="Calibri"/>
                <w:i w:val="0"/>
                <w:iCs w:val="0"/>
                <w:color w:val="000000"/>
                <w:sz w:val="22"/>
                <w:szCs w:val="22"/>
                <w:lang w:eastAsia="en-GB"/>
              </w:rPr>
              <w:t>diag</w:t>
            </w:r>
            <w:proofErr w:type="spellEnd"/>
            <w:r w:rsidRPr="004B5F8F">
              <w:rPr>
                <w:rFonts w:ascii="Garamond" w:eastAsia="Times New Roman" w:hAnsi="Garamond" w:cs="Calibri"/>
                <w:i w:val="0"/>
                <w:iCs w:val="0"/>
                <w:color w:val="000000"/>
                <w:sz w:val="22"/>
                <w:szCs w:val="22"/>
                <w:lang w:eastAsia="en-GB"/>
              </w:rPr>
              <w:t>(</w:t>
            </w:r>
            <w:proofErr w:type="spellStart"/>
            <w:r w:rsidRPr="004B5F8F">
              <w:rPr>
                <w:rFonts w:ascii="Garamond" w:eastAsia="Times New Roman" w:hAnsi="Garamond" w:cs="Calibri"/>
                <w:i w:val="0"/>
                <w:iCs w:val="0"/>
                <w:color w:val="000000"/>
                <w:sz w:val="22"/>
                <w:szCs w:val="22"/>
                <w:lang w:eastAsia="en-GB"/>
              </w:rPr>
              <w:t>V_b</w:t>
            </w:r>
            <w:proofErr w:type="spellEnd"/>
            <w:r w:rsidRPr="004B5F8F">
              <w:rPr>
                <w:rFonts w:ascii="Garamond" w:eastAsia="Times New Roman" w:hAnsi="Garamond" w:cs="Calibri"/>
                <w:i w:val="0"/>
                <w:iCs w:val="0"/>
                <w:color w:val="000000"/>
                <w:sz w:val="22"/>
                <w:szCs w:val="22"/>
                <w:lang w:eastAsia="en-GB"/>
              </w:rPr>
              <w:t>-V_B))</w:t>
            </w:r>
          </w:p>
          <w:p w14:paraId="5B133308" w14:textId="77777777" w:rsidR="00193D32" w:rsidRPr="004B5F8F" w:rsidRDefault="00193D32" w:rsidP="00B86ABF">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Calibri"/>
                <w:i w:val="0"/>
                <w:iCs w:val="0"/>
                <w:color w:val="000000"/>
                <w:sz w:val="22"/>
                <w:szCs w:val="22"/>
                <w:lang w:eastAsia="en-GB"/>
              </w:rPr>
            </w:pPr>
            <w:r w:rsidRPr="004B5F8F">
              <w:rPr>
                <w:rFonts w:ascii="Garamond" w:eastAsia="Times New Roman" w:hAnsi="Garamond" w:cs="Calibri"/>
                <w:i w:val="0"/>
                <w:iCs w:val="0"/>
                <w:color w:val="000000"/>
                <w:sz w:val="22"/>
                <w:szCs w:val="22"/>
                <w:lang w:eastAsia="en-GB"/>
              </w:rPr>
              <w:t xml:space="preserve">Std. </w:t>
            </w:r>
            <w:proofErr w:type="gramStart"/>
            <w:r w:rsidRPr="004B5F8F">
              <w:rPr>
                <w:rFonts w:ascii="Garamond" w:eastAsia="Times New Roman" w:hAnsi="Garamond" w:cs="Calibri"/>
                <w:i w:val="0"/>
                <w:iCs w:val="0"/>
                <w:color w:val="000000"/>
                <w:sz w:val="22"/>
                <w:szCs w:val="22"/>
                <w:lang w:eastAsia="en-GB"/>
              </w:rPr>
              <w:t>err</w:t>
            </w:r>
            <w:proofErr w:type="gramEnd"/>
            <w:r w:rsidRPr="004B5F8F">
              <w:rPr>
                <w:rFonts w:ascii="Garamond" w:eastAsia="Times New Roman" w:hAnsi="Garamond" w:cs="Calibri"/>
                <w:i w:val="0"/>
                <w:iCs w:val="0"/>
                <w:color w:val="000000"/>
                <w:sz w:val="22"/>
                <w:szCs w:val="22"/>
                <w:lang w:eastAsia="en-GB"/>
              </w:rPr>
              <w:t>.</w:t>
            </w:r>
          </w:p>
        </w:tc>
      </w:tr>
      <w:tr w:rsidR="00193D32" w:rsidRPr="004B5F8F" w14:paraId="3CC5DF91" w14:textId="77777777" w:rsidTr="0085122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9" w:type="dxa"/>
            <w:tcBorders>
              <w:top w:val="single" w:sz="4" w:space="0" w:color="auto"/>
              <w:right w:val="single" w:sz="4" w:space="0" w:color="auto"/>
            </w:tcBorders>
            <w:noWrap/>
            <w:vAlign w:val="center"/>
          </w:tcPr>
          <w:p w14:paraId="404FFD5C" w14:textId="77777777" w:rsidR="00193D32" w:rsidRPr="004B5F8F" w:rsidRDefault="00000000" w:rsidP="00B86ABF">
            <w:pPr>
              <w:spacing w:line="240" w:lineRule="auto"/>
              <w:rPr>
                <w:rFonts w:ascii="Garamond" w:eastAsia="Times New Roman" w:hAnsi="Garamond" w:cs="Calibri"/>
                <w:color w:val="000000"/>
                <w:sz w:val="22"/>
                <w:szCs w:val="22"/>
                <w:lang w:eastAsia="en-GB"/>
              </w:rPr>
            </w:pPr>
            <m:oMath>
              <m:sSub>
                <m:sSubPr>
                  <m:ctrlPr>
                    <w:rPr>
                      <w:rFonts w:ascii="Cambria Math" w:hAnsi="Cambria Math"/>
                      <w:sz w:val="24"/>
                      <w:szCs w:val="24"/>
                      <w:lang w:val="pt-PT"/>
                    </w:rPr>
                  </m:ctrlPr>
                </m:sSubPr>
                <m:e>
                  <m:r>
                    <w:rPr>
                      <w:rFonts w:ascii="Cambria Math" w:hAnsi="Cambria Math"/>
                      <w:sz w:val="24"/>
                      <w:szCs w:val="24"/>
                      <w:lang w:val="pt-PT"/>
                    </w:rPr>
                    <m:t>MFL</m:t>
                  </m:r>
                </m:e>
                <m:sub>
                  <m:r>
                    <w:rPr>
                      <w:rFonts w:ascii="Cambria Math" w:hAnsi="Cambria Math"/>
                      <w:sz w:val="24"/>
                      <w:szCs w:val="24"/>
                      <w:lang w:val="pt-PT"/>
                    </w:rPr>
                    <m:t>i,t-1</m:t>
                  </m:r>
                </m:sub>
              </m:sSub>
            </m:oMath>
            <w:r w:rsidR="00193D32">
              <w:rPr>
                <w:rFonts w:ascii="Garamond" w:eastAsia="Times New Roman" w:hAnsi="Garamond" w:cs="Calibri"/>
                <w:color w:val="000000"/>
                <w:sz w:val="22"/>
                <w:szCs w:val="22"/>
                <w:lang w:eastAsia="en-GB"/>
              </w:rPr>
              <w:t xml:space="preserve"> </w:t>
            </w:r>
          </w:p>
        </w:tc>
        <w:tc>
          <w:tcPr>
            <w:tcW w:w="1175" w:type="dxa"/>
            <w:tcBorders>
              <w:top w:val="nil"/>
              <w:left w:val="nil"/>
              <w:bottom w:val="nil"/>
              <w:right w:val="nil"/>
            </w:tcBorders>
            <w:shd w:val="clear" w:color="auto" w:fill="auto"/>
            <w:noWrap/>
            <w:vAlign w:val="bottom"/>
          </w:tcPr>
          <w:p w14:paraId="57B79B52"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.0005283</w:t>
            </w:r>
          </w:p>
        </w:tc>
        <w:tc>
          <w:tcPr>
            <w:tcW w:w="1134" w:type="dxa"/>
            <w:tcBorders>
              <w:top w:val="nil"/>
              <w:left w:val="nil"/>
              <w:bottom w:val="nil"/>
              <w:right w:val="nil"/>
            </w:tcBorders>
            <w:shd w:val="clear" w:color="auto" w:fill="auto"/>
            <w:noWrap/>
            <w:vAlign w:val="bottom"/>
          </w:tcPr>
          <w:p w14:paraId="39CE7E05"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.0005942</w:t>
            </w:r>
          </w:p>
        </w:tc>
        <w:tc>
          <w:tcPr>
            <w:tcW w:w="1134" w:type="dxa"/>
            <w:tcBorders>
              <w:top w:val="nil"/>
              <w:left w:val="nil"/>
              <w:bottom w:val="nil"/>
              <w:right w:val="nil"/>
            </w:tcBorders>
            <w:shd w:val="clear" w:color="auto" w:fill="auto"/>
            <w:noWrap/>
            <w:vAlign w:val="bottom"/>
          </w:tcPr>
          <w:p w14:paraId="41C54881"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-.0000659</w:t>
            </w:r>
          </w:p>
        </w:tc>
        <w:tc>
          <w:tcPr>
            <w:tcW w:w="2126" w:type="dxa"/>
            <w:tcBorders>
              <w:top w:val="nil"/>
              <w:left w:val="nil"/>
              <w:bottom w:val="nil"/>
              <w:right w:val="nil"/>
            </w:tcBorders>
            <w:shd w:val="clear" w:color="auto" w:fill="auto"/>
            <w:noWrap/>
            <w:vAlign w:val="bottom"/>
          </w:tcPr>
          <w:p w14:paraId="487B49AA"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.0002476</w:t>
            </w:r>
          </w:p>
        </w:tc>
      </w:tr>
      <w:tr w:rsidR="00193D32" w:rsidRPr="004B5F8F" w14:paraId="05284DA1" w14:textId="77777777" w:rsidTr="0085122B">
        <w:trPr>
          <w:trHeight w:val="288"/>
        </w:trPr>
        <w:tc>
          <w:tcPr>
            <w:cnfStyle w:val="001000000000" w:firstRow="0" w:lastRow="0" w:firstColumn="1" w:lastColumn="0" w:oddVBand="0" w:evenVBand="0" w:oddHBand="0" w:evenHBand="0" w:firstRowFirstColumn="0" w:firstRowLastColumn="0" w:lastRowFirstColumn="0" w:lastRowLastColumn="0"/>
            <w:tcW w:w="1519" w:type="dxa"/>
            <w:tcBorders>
              <w:right w:val="single" w:sz="4" w:space="0" w:color="auto"/>
            </w:tcBorders>
            <w:noWrap/>
            <w:vAlign w:val="center"/>
          </w:tcPr>
          <w:p w14:paraId="0E1E8B3B" w14:textId="77777777" w:rsidR="00193D32" w:rsidRPr="004B5F8F" w:rsidRDefault="00193D32" w:rsidP="00B86ABF">
            <w:pPr>
              <w:spacing w:line="240" w:lineRule="auto"/>
              <w:rPr>
                <w:rFonts w:ascii="Garamond" w:eastAsia="Times New Roman" w:hAnsi="Garamond" w:cs="Calibri"/>
                <w:color w:val="000000"/>
                <w:sz w:val="22"/>
                <w:szCs w:val="22"/>
                <w:lang w:eastAsia="en-GB"/>
              </w:rPr>
            </w:pPr>
            <m:oMath>
              <m: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ENDV</m:t>
                  </m:r>
                </m:e>
                <m:sub>
                  <m:r>
                    <w:rPr>
                      <w:rFonts w:ascii="Cambria Math" w:hAnsi="Cambria Math"/>
                      <w:sz w:val="24"/>
                      <w:szCs w:val="24"/>
                      <w:lang w:val="pt-PT"/>
                    </w:rPr>
                    <m:t>i,t-1</m:t>
                  </m:r>
                </m:sub>
              </m:sSub>
            </m:oMath>
            <w:r>
              <w:rPr>
                <w:rFonts w:ascii="Garamond" w:eastAsia="Times New Roman" w:hAnsi="Garamond" w:cs="Calibri"/>
                <w:color w:val="000000"/>
                <w:sz w:val="22"/>
                <w:szCs w:val="22"/>
                <w:lang w:eastAsia="en-GB"/>
              </w:rPr>
              <w:t xml:space="preserve"> </w:t>
            </w:r>
          </w:p>
        </w:tc>
        <w:tc>
          <w:tcPr>
            <w:tcW w:w="1175" w:type="dxa"/>
            <w:tcBorders>
              <w:top w:val="nil"/>
              <w:left w:val="nil"/>
              <w:bottom w:val="nil"/>
              <w:right w:val="nil"/>
            </w:tcBorders>
            <w:shd w:val="clear" w:color="auto" w:fill="auto"/>
            <w:noWrap/>
            <w:vAlign w:val="bottom"/>
          </w:tcPr>
          <w:p w14:paraId="44D009D6"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-.0006255</w:t>
            </w:r>
          </w:p>
        </w:tc>
        <w:tc>
          <w:tcPr>
            <w:tcW w:w="1134" w:type="dxa"/>
            <w:tcBorders>
              <w:top w:val="nil"/>
              <w:left w:val="nil"/>
              <w:bottom w:val="nil"/>
              <w:right w:val="nil"/>
            </w:tcBorders>
            <w:shd w:val="clear" w:color="auto" w:fill="auto"/>
            <w:noWrap/>
            <w:vAlign w:val="bottom"/>
          </w:tcPr>
          <w:p w14:paraId="7C162171"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-.0005271</w:t>
            </w:r>
          </w:p>
        </w:tc>
        <w:tc>
          <w:tcPr>
            <w:tcW w:w="1134" w:type="dxa"/>
            <w:tcBorders>
              <w:top w:val="nil"/>
              <w:left w:val="nil"/>
              <w:bottom w:val="nil"/>
              <w:right w:val="nil"/>
            </w:tcBorders>
            <w:shd w:val="clear" w:color="auto" w:fill="auto"/>
            <w:noWrap/>
            <w:vAlign w:val="bottom"/>
          </w:tcPr>
          <w:p w14:paraId="780DEFEC"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-.0000985</w:t>
            </w:r>
          </w:p>
        </w:tc>
        <w:tc>
          <w:tcPr>
            <w:tcW w:w="2126" w:type="dxa"/>
            <w:tcBorders>
              <w:top w:val="nil"/>
              <w:left w:val="nil"/>
              <w:bottom w:val="nil"/>
              <w:right w:val="nil"/>
            </w:tcBorders>
            <w:shd w:val="clear" w:color="auto" w:fill="auto"/>
            <w:noWrap/>
            <w:vAlign w:val="bottom"/>
          </w:tcPr>
          <w:p w14:paraId="49BA24F3"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.0002079</w:t>
            </w:r>
          </w:p>
        </w:tc>
      </w:tr>
      <w:tr w:rsidR="00193D32" w:rsidRPr="004B5F8F" w14:paraId="57E53DC1" w14:textId="77777777" w:rsidTr="0085122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9" w:type="dxa"/>
            <w:tcBorders>
              <w:right w:val="single" w:sz="4" w:space="0" w:color="auto"/>
            </w:tcBorders>
            <w:noWrap/>
            <w:vAlign w:val="center"/>
          </w:tcPr>
          <w:p w14:paraId="7636DAAC" w14:textId="77777777" w:rsidR="00193D32" w:rsidRPr="004B5F8F" w:rsidRDefault="00193D32" w:rsidP="00B86ABF">
            <w:pPr>
              <w:spacing w:line="240" w:lineRule="auto"/>
              <w:rPr>
                <w:rFonts w:ascii="Garamond" w:eastAsia="Times New Roman" w:hAnsi="Garamond" w:cs="Calibri"/>
                <w:color w:val="000000"/>
                <w:sz w:val="22"/>
                <w:szCs w:val="22"/>
                <w:lang w:eastAsia="en-GB"/>
              </w:rPr>
            </w:pPr>
            <m:oMath>
              <m: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PRODi</m:t>
                  </m:r>
                </m:e>
                <m:sub>
                  <m:r>
                    <w:rPr>
                      <w:rFonts w:ascii="Cambria Math" w:hAnsi="Cambria Math"/>
                      <w:sz w:val="24"/>
                      <w:szCs w:val="24"/>
                      <w:lang w:val="pt-PT"/>
                    </w:rPr>
                    <m:t>i,t-1</m:t>
                  </m:r>
                </m:sub>
              </m:sSub>
            </m:oMath>
            <w:r>
              <w:rPr>
                <w:rFonts w:ascii="Garamond" w:eastAsia="Times New Roman" w:hAnsi="Garamond" w:cs="Times New Roman"/>
                <w:sz w:val="24"/>
                <w:szCs w:val="24"/>
                <w:lang w:val="pt-PT"/>
              </w:rPr>
              <w:t xml:space="preserve"> </w:t>
            </w:r>
          </w:p>
        </w:tc>
        <w:tc>
          <w:tcPr>
            <w:tcW w:w="1175" w:type="dxa"/>
            <w:tcBorders>
              <w:top w:val="nil"/>
              <w:left w:val="nil"/>
              <w:bottom w:val="nil"/>
              <w:right w:val="nil"/>
            </w:tcBorders>
            <w:shd w:val="clear" w:color="auto" w:fill="auto"/>
            <w:noWrap/>
            <w:vAlign w:val="bottom"/>
          </w:tcPr>
          <w:p w14:paraId="316FF9BD"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-.0043734</w:t>
            </w:r>
          </w:p>
        </w:tc>
        <w:tc>
          <w:tcPr>
            <w:tcW w:w="1134" w:type="dxa"/>
            <w:tcBorders>
              <w:top w:val="nil"/>
              <w:left w:val="nil"/>
              <w:bottom w:val="nil"/>
              <w:right w:val="nil"/>
            </w:tcBorders>
            <w:shd w:val="clear" w:color="auto" w:fill="auto"/>
            <w:noWrap/>
            <w:vAlign w:val="bottom"/>
          </w:tcPr>
          <w:p w14:paraId="2FCC87E0"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-.0062563</w:t>
            </w:r>
          </w:p>
        </w:tc>
        <w:tc>
          <w:tcPr>
            <w:tcW w:w="1134" w:type="dxa"/>
            <w:tcBorders>
              <w:top w:val="nil"/>
              <w:left w:val="nil"/>
              <w:bottom w:val="nil"/>
              <w:right w:val="nil"/>
            </w:tcBorders>
            <w:shd w:val="clear" w:color="auto" w:fill="auto"/>
            <w:noWrap/>
            <w:vAlign w:val="bottom"/>
          </w:tcPr>
          <w:p w14:paraId="54856966"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.0018829</w:t>
            </w:r>
          </w:p>
        </w:tc>
        <w:tc>
          <w:tcPr>
            <w:tcW w:w="2126" w:type="dxa"/>
            <w:tcBorders>
              <w:top w:val="nil"/>
              <w:left w:val="nil"/>
              <w:bottom w:val="nil"/>
              <w:right w:val="nil"/>
            </w:tcBorders>
            <w:shd w:val="clear" w:color="auto" w:fill="auto"/>
            <w:noWrap/>
            <w:vAlign w:val="bottom"/>
          </w:tcPr>
          <w:p w14:paraId="1D2963C5"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.0005351</w:t>
            </w:r>
          </w:p>
        </w:tc>
      </w:tr>
      <w:tr w:rsidR="00193D32" w:rsidRPr="004B5F8F" w14:paraId="1C106F7B" w14:textId="77777777" w:rsidTr="0085122B">
        <w:trPr>
          <w:trHeight w:val="390"/>
        </w:trPr>
        <w:tc>
          <w:tcPr>
            <w:cnfStyle w:val="001000000000" w:firstRow="0" w:lastRow="0" w:firstColumn="1" w:lastColumn="0" w:oddVBand="0" w:evenVBand="0" w:oddHBand="0" w:evenHBand="0" w:firstRowFirstColumn="0" w:firstRowLastColumn="0" w:lastRowFirstColumn="0" w:lastRowLastColumn="0"/>
            <w:tcW w:w="1519" w:type="dxa"/>
            <w:tcBorders>
              <w:right w:val="single" w:sz="4" w:space="0" w:color="auto"/>
            </w:tcBorders>
            <w:noWrap/>
            <w:vAlign w:val="center"/>
          </w:tcPr>
          <w:p w14:paraId="107EF001" w14:textId="77777777" w:rsidR="00193D32" w:rsidRPr="004B5F8F" w:rsidRDefault="00000000" w:rsidP="00B86ABF">
            <w:pPr>
              <w:spacing w:line="240" w:lineRule="auto"/>
              <w:rPr>
                <w:rFonts w:ascii="Garamond" w:eastAsia="Times New Roman" w:hAnsi="Garamond" w:cs="Calibri"/>
                <w:color w:val="000000"/>
                <w:sz w:val="22"/>
                <w:szCs w:val="22"/>
                <w:lang w:eastAsia="en-GB"/>
              </w:rPr>
            </w:pPr>
            <m:oMath>
              <m:sSub>
                <m:sSubPr>
                  <m:ctrlPr>
                    <w:rPr>
                      <w:rFonts w:ascii="Cambria Math" w:hAnsi="Cambria Math"/>
                      <w:sz w:val="24"/>
                      <w:szCs w:val="24"/>
                      <w:lang w:val="pt-PT"/>
                    </w:rPr>
                  </m:ctrlPr>
                </m:sSubPr>
                <m:e>
                  <m:r>
                    <w:rPr>
                      <w:rFonts w:ascii="Cambria Math" w:hAnsi="Cambria Math"/>
                      <w:sz w:val="24"/>
                      <w:szCs w:val="24"/>
                      <w:lang w:val="pt-PT"/>
                    </w:rPr>
                    <m:t>AF</m:t>
                  </m:r>
                </m:e>
                <m:sub>
                  <m:r>
                    <w:rPr>
                      <w:rFonts w:ascii="Cambria Math" w:hAnsi="Cambria Math"/>
                      <w:sz w:val="24"/>
                      <w:szCs w:val="24"/>
                      <w:lang w:val="pt-PT"/>
                    </w:rPr>
                    <m:t>it</m:t>
                  </m:r>
                </m:sub>
              </m:sSub>
            </m:oMath>
            <w:r w:rsidR="00193D32">
              <w:rPr>
                <w:rFonts w:ascii="Garamond" w:eastAsia="Times New Roman" w:hAnsi="Garamond" w:cs="Calibri"/>
                <w:color w:val="000000"/>
                <w:sz w:val="22"/>
                <w:szCs w:val="22"/>
                <w:lang w:eastAsia="en-GB"/>
              </w:rPr>
              <w:t xml:space="preserve"> </w:t>
            </w:r>
          </w:p>
        </w:tc>
        <w:tc>
          <w:tcPr>
            <w:tcW w:w="1175" w:type="dxa"/>
            <w:tcBorders>
              <w:top w:val="nil"/>
              <w:left w:val="nil"/>
              <w:bottom w:val="nil"/>
              <w:right w:val="nil"/>
            </w:tcBorders>
            <w:shd w:val="clear" w:color="auto" w:fill="auto"/>
            <w:noWrap/>
            <w:vAlign w:val="bottom"/>
          </w:tcPr>
          <w:p w14:paraId="70CA1680"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.050829</w:t>
            </w:r>
          </w:p>
        </w:tc>
        <w:tc>
          <w:tcPr>
            <w:tcW w:w="1134" w:type="dxa"/>
            <w:tcBorders>
              <w:top w:val="nil"/>
              <w:left w:val="nil"/>
              <w:bottom w:val="nil"/>
              <w:right w:val="nil"/>
            </w:tcBorders>
            <w:shd w:val="clear" w:color="auto" w:fill="auto"/>
            <w:noWrap/>
            <w:vAlign w:val="bottom"/>
          </w:tcPr>
          <w:p w14:paraId="13CE18ED"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.0119463</w:t>
            </w:r>
          </w:p>
        </w:tc>
        <w:tc>
          <w:tcPr>
            <w:tcW w:w="1134" w:type="dxa"/>
            <w:tcBorders>
              <w:top w:val="nil"/>
              <w:left w:val="nil"/>
              <w:bottom w:val="nil"/>
              <w:right w:val="nil"/>
            </w:tcBorders>
            <w:shd w:val="clear" w:color="auto" w:fill="auto"/>
            <w:noWrap/>
            <w:vAlign w:val="bottom"/>
          </w:tcPr>
          <w:p w14:paraId="649EE947"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.0388827</w:t>
            </w:r>
          </w:p>
        </w:tc>
        <w:tc>
          <w:tcPr>
            <w:tcW w:w="2126" w:type="dxa"/>
            <w:tcBorders>
              <w:top w:val="nil"/>
              <w:left w:val="nil"/>
              <w:bottom w:val="nil"/>
              <w:right w:val="nil"/>
            </w:tcBorders>
            <w:shd w:val="clear" w:color="auto" w:fill="auto"/>
            <w:noWrap/>
            <w:vAlign w:val="bottom"/>
          </w:tcPr>
          <w:p w14:paraId="3F6836F0"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.0032627</w:t>
            </w:r>
          </w:p>
        </w:tc>
      </w:tr>
      <w:tr w:rsidR="00193D32" w:rsidRPr="004B5F8F" w14:paraId="68C310DB" w14:textId="77777777" w:rsidTr="0085122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9" w:type="dxa"/>
            <w:tcBorders>
              <w:right w:val="single" w:sz="4" w:space="0" w:color="auto"/>
            </w:tcBorders>
            <w:noWrap/>
            <w:vAlign w:val="center"/>
          </w:tcPr>
          <w:p w14:paraId="3D917070" w14:textId="77777777" w:rsidR="00193D32" w:rsidRPr="004B5F8F" w:rsidRDefault="00000000" w:rsidP="00B86ABF">
            <w:pPr>
              <w:spacing w:line="240" w:lineRule="auto"/>
              <w:rPr>
                <w:rFonts w:ascii="Garamond" w:eastAsia="Times New Roman" w:hAnsi="Garamond" w:cs="Calibri"/>
                <w:color w:val="000000"/>
                <w:sz w:val="22"/>
                <w:szCs w:val="22"/>
                <w:lang w:eastAsia="en-GB"/>
              </w:rPr>
            </w:pP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oMath>
            <w:r w:rsidR="00193D32">
              <w:rPr>
                <w:rFonts w:ascii="Garamond" w:eastAsia="Times New Roman" w:hAnsi="Garamond" w:cs="Calibri"/>
                <w:color w:val="000000"/>
                <w:sz w:val="22"/>
                <w:szCs w:val="22"/>
                <w:lang w:eastAsia="en-GB"/>
              </w:rPr>
              <w:t xml:space="preserve"> </w:t>
            </w:r>
          </w:p>
        </w:tc>
        <w:tc>
          <w:tcPr>
            <w:tcW w:w="1175" w:type="dxa"/>
            <w:tcBorders>
              <w:top w:val="nil"/>
              <w:left w:val="nil"/>
              <w:bottom w:val="nil"/>
              <w:right w:val="nil"/>
            </w:tcBorders>
            <w:shd w:val="clear" w:color="auto" w:fill="auto"/>
            <w:noWrap/>
            <w:vAlign w:val="bottom"/>
          </w:tcPr>
          <w:p w14:paraId="0F935FB8"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.0005464</w:t>
            </w:r>
          </w:p>
        </w:tc>
        <w:tc>
          <w:tcPr>
            <w:tcW w:w="1134" w:type="dxa"/>
            <w:tcBorders>
              <w:top w:val="nil"/>
              <w:left w:val="nil"/>
              <w:bottom w:val="nil"/>
              <w:right w:val="nil"/>
            </w:tcBorders>
            <w:shd w:val="clear" w:color="auto" w:fill="auto"/>
            <w:noWrap/>
            <w:vAlign w:val="bottom"/>
          </w:tcPr>
          <w:p w14:paraId="23CBBFF5"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.0042334</w:t>
            </w:r>
          </w:p>
        </w:tc>
        <w:tc>
          <w:tcPr>
            <w:tcW w:w="1134" w:type="dxa"/>
            <w:tcBorders>
              <w:top w:val="nil"/>
              <w:left w:val="nil"/>
              <w:bottom w:val="nil"/>
              <w:right w:val="nil"/>
            </w:tcBorders>
            <w:shd w:val="clear" w:color="auto" w:fill="auto"/>
            <w:noWrap/>
            <w:vAlign w:val="bottom"/>
          </w:tcPr>
          <w:p w14:paraId="5A8FD0A0"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-.003687</w:t>
            </w:r>
          </w:p>
        </w:tc>
        <w:tc>
          <w:tcPr>
            <w:tcW w:w="2126" w:type="dxa"/>
            <w:tcBorders>
              <w:top w:val="nil"/>
              <w:left w:val="nil"/>
              <w:bottom w:val="nil"/>
              <w:right w:val="nil"/>
            </w:tcBorders>
            <w:shd w:val="clear" w:color="auto" w:fill="auto"/>
            <w:noWrap/>
            <w:vAlign w:val="bottom"/>
          </w:tcPr>
          <w:p w14:paraId="5A4373EC"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.0020679</w:t>
            </w:r>
          </w:p>
        </w:tc>
      </w:tr>
      <w:tr w:rsidR="00193D32" w:rsidRPr="004B5F8F" w14:paraId="0BDB7A4B" w14:textId="77777777" w:rsidTr="0085122B">
        <w:trPr>
          <w:trHeight w:val="288"/>
        </w:trPr>
        <w:tc>
          <w:tcPr>
            <w:cnfStyle w:val="001000000000" w:firstRow="0" w:lastRow="0" w:firstColumn="1" w:lastColumn="0" w:oddVBand="0" w:evenVBand="0" w:oddHBand="0" w:evenHBand="0" w:firstRowFirstColumn="0" w:firstRowLastColumn="0" w:lastRowFirstColumn="0" w:lastRowLastColumn="0"/>
            <w:tcW w:w="1519" w:type="dxa"/>
            <w:tcBorders>
              <w:right w:val="single" w:sz="4" w:space="0" w:color="auto"/>
            </w:tcBorders>
            <w:noWrap/>
            <w:vAlign w:val="center"/>
          </w:tcPr>
          <w:p w14:paraId="1E6A7F85" w14:textId="77777777" w:rsidR="00193D32" w:rsidRPr="004B5F8F" w:rsidRDefault="00193D32" w:rsidP="00B86ABF">
            <w:pPr>
              <w:spacing w:line="240" w:lineRule="auto"/>
              <w:rPr>
                <w:rFonts w:ascii="Garamond" w:eastAsia="Times New Roman" w:hAnsi="Garamond" w:cs="Calibri"/>
                <w:color w:val="000000"/>
                <w:sz w:val="22"/>
                <w:szCs w:val="22"/>
                <w:lang w:eastAsia="en-GB"/>
              </w:rPr>
            </w:pPr>
            <m:oMath>
              <m:r>
                <w:rPr>
                  <w:rFonts w:ascii="Cambria Math" w:hAnsi="Cambria Math"/>
                  <w:sz w:val="24"/>
                  <w:szCs w:val="24"/>
                  <w:lang w:val="pt-PT"/>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i,t-1</m:t>
                  </m:r>
                </m:sub>
              </m:sSub>
            </m:oMath>
            <w:r>
              <w:rPr>
                <w:rFonts w:ascii="Garamond" w:eastAsia="Times New Roman" w:hAnsi="Garamond" w:cs="Calibri"/>
                <w:color w:val="000000"/>
                <w:sz w:val="22"/>
                <w:szCs w:val="22"/>
                <w:lang w:eastAsia="en-GB"/>
              </w:rPr>
              <w:t xml:space="preserve"> </w:t>
            </w:r>
          </w:p>
        </w:tc>
        <w:tc>
          <w:tcPr>
            <w:tcW w:w="1175" w:type="dxa"/>
            <w:tcBorders>
              <w:top w:val="nil"/>
              <w:left w:val="nil"/>
              <w:bottom w:val="nil"/>
              <w:right w:val="nil"/>
            </w:tcBorders>
            <w:shd w:val="clear" w:color="auto" w:fill="auto"/>
            <w:noWrap/>
            <w:vAlign w:val="bottom"/>
          </w:tcPr>
          <w:p w14:paraId="76AAE29C"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-.2404856</w:t>
            </w:r>
          </w:p>
        </w:tc>
        <w:tc>
          <w:tcPr>
            <w:tcW w:w="1134" w:type="dxa"/>
            <w:tcBorders>
              <w:top w:val="nil"/>
              <w:left w:val="nil"/>
              <w:bottom w:val="nil"/>
              <w:right w:val="nil"/>
            </w:tcBorders>
            <w:shd w:val="clear" w:color="auto" w:fill="auto"/>
            <w:noWrap/>
            <w:vAlign w:val="bottom"/>
          </w:tcPr>
          <w:p w14:paraId="14C47DF3"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.0091918</w:t>
            </w:r>
          </w:p>
        </w:tc>
        <w:tc>
          <w:tcPr>
            <w:tcW w:w="1134" w:type="dxa"/>
            <w:tcBorders>
              <w:top w:val="nil"/>
              <w:left w:val="nil"/>
              <w:bottom w:val="nil"/>
              <w:right w:val="nil"/>
            </w:tcBorders>
            <w:shd w:val="clear" w:color="auto" w:fill="auto"/>
            <w:noWrap/>
            <w:vAlign w:val="bottom"/>
          </w:tcPr>
          <w:p w14:paraId="51208FBE"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-.2496773</w:t>
            </w:r>
          </w:p>
        </w:tc>
        <w:tc>
          <w:tcPr>
            <w:tcW w:w="2126" w:type="dxa"/>
            <w:tcBorders>
              <w:top w:val="nil"/>
              <w:left w:val="nil"/>
              <w:bottom w:val="nil"/>
              <w:right w:val="nil"/>
            </w:tcBorders>
            <w:shd w:val="clear" w:color="auto" w:fill="auto"/>
            <w:noWrap/>
            <w:vAlign w:val="bottom"/>
          </w:tcPr>
          <w:p w14:paraId="69375C44" w14:textId="77777777" w:rsidR="00193D32" w:rsidRPr="00C40BE5" w:rsidRDefault="00193D32" w:rsidP="00B86ABF">
            <w:pPr>
              <w:spacing w:line="240" w:lineRule="auto"/>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.0014164</w:t>
            </w:r>
          </w:p>
        </w:tc>
      </w:tr>
      <w:tr w:rsidR="00193D32" w:rsidRPr="004B5F8F" w14:paraId="0C2363C0" w14:textId="77777777" w:rsidTr="0085122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519" w:type="dxa"/>
            <w:tcBorders>
              <w:bottom w:val="single" w:sz="4" w:space="0" w:color="auto"/>
              <w:right w:val="single" w:sz="4" w:space="0" w:color="auto"/>
            </w:tcBorders>
            <w:noWrap/>
            <w:vAlign w:val="center"/>
          </w:tcPr>
          <w:p w14:paraId="7DEF3DB3" w14:textId="77777777" w:rsidR="00193D32" w:rsidRPr="004B5F8F" w:rsidRDefault="00000000" w:rsidP="00B86ABF">
            <w:pPr>
              <w:spacing w:line="240" w:lineRule="auto"/>
              <w:rPr>
                <w:rFonts w:ascii="Garamond" w:eastAsia="Times New Roman" w:hAnsi="Garamond" w:cs="Calibri"/>
                <w:color w:val="000000"/>
                <w:sz w:val="22"/>
                <w:szCs w:val="22"/>
                <w:lang w:eastAsia="en-GB"/>
              </w:rPr>
            </w:pPr>
            <m:oMath>
              <m:sSub>
                <m:sSubPr>
                  <m:ctrlPr>
                    <w:rPr>
                      <w:rFonts w:ascii="Cambria Math" w:hAnsi="Cambria Math"/>
                      <w:sz w:val="24"/>
                      <w:szCs w:val="24"/>
                      <w:lang w:val="pt-PT"/>
                    </w:rPr>
                  </m:ctrlPr>
                </m:sSubPr>
                <m:e>
                  <m:r>
                    <w:rPr>
                      <w:rFonts w:ascii="Cambria Math" w:hAnsi="Cambria Math"/>
                      <w:sz w:val="24"/>
                      <w:szCs w:val="24"/>
                      <w:lang w:val="pt-PT"/>
                    </w:rPr>
                    <m:t>Treatment</m:t>
                  </m:r>
                </m:e>
                <m:sub>
                  <m:r>
                    <w:rPr>
                      <w:rFonts w:ascii="Cambria Math" w:hAnsi="Cambria Math"/>
                      <w:sz w:val="24"/>
                      <w:szCs w:val="24"/>
                      <w:lang w:val="pt-PT"/>
                    </w:rPr>
                    <m:t>it</m:t>
                  </m:r>
                </m:sub>
              </m:sSub>
              <m:r>
                <w:rPr>
                  <w:rFonts w:ascii="Cambria Math" w:hAnsi="Cambria Math"/>
                  <w:sz w:val="24"/>
                  <w:szCs w:val="24"/>
                </w:rPr>
                <m:t>*∆</m:t>
              </m:r>
              <m:sSub>
                <m:sSubPr>
                  <m:ctrlPr>
                    <w:rPr>
                      <w:rFonts w:ascii="Cambria Math" w:hAnsi="Cambria Math"/>
                      <w:sz w:val="24"/>
                      <w:szCs w:val="24"/>
                      <w:lang w:val="pt-PT"/>
                    </w:rPr>
                  </m:ctrlPr>
                </m:sSubPr>
                <m:e>
                  <m:r>
                    <w:rPr>
                      <w:rFonts w:ascii="Cambria Math" w:hAnsi="Cambria Math"/>
                      <w:sz w:val="24"/>
                      <w:szCs w:val="24"/>
                      <w:lang w:val="pt-PT"/>
                    </w:rPr>
                    <m:t>Inv</m:t>
                  </m:r>
                </m:e>
                <m:sub>
                  <m:r>
                    <w:rPr>
                      <w:rFonts w:ascii="Cambria Math" w:hAnsi="Cambria Math"/>
                      <w:sz w:val="24"/>
                      <w:szCs w:val="24"/>
                      <w:lang w:val="pt-PT"/>
                    </w:rPr>
                    <m:t>i</m:t>
                  </m:r>
                  <m:r>
                    <w:rPr>
                      <w:rFonts w:ascii="Cambria Math" w:hAnsi="Cambria Math"/>
                      <w:sz w:val="24"/>
                      <w:szCs w:val="24"/>
                    </w:rPr>
                    <m:t>,</m:t>
                  </m:r>
                  <m:r>
                    <w:rPr>
                      <w:rFonts w:ascii="Cambria Math" w:hAnsi="Cambria Math"/>
                      <w:sz w:val="24"/>
                      <w:szCs w:val="24"/>
                      <w:lang w:val="pt-PT"/>
                    </w:rPr>
                    <m:t>t</m:t>
                  </m:r>
                  <m:r>
                    <w:rPr>
                      <w:rFonts w:ascii="Cambria Math" w:hAnsi="Cambria Math"/>
                      <w:sz w:val="24"/>
                      <w:szCs w:val="24"/>
                    </w:rPr>
                    <m:t>-1</m:t>
                  </m:r>
                </m:sub>
              </m:sSub>
              <m:r>
                <w:rPr>
                  <w:rFonts w:ascii="Cambria Math" w:hAnsi="Cambria Math"/>
                  <w:sz w:val="24"/>
                  <w:szCs w:val="24"/>
                </w:rPr>
                <m:t xml:space="preserve"> </m:t>
              </m:r>
            </m:oMath>
            <w:r w:rsidR="00193D32">
              <w:rPr>
                <w:rFonts w:ascii="Garamond" w:eastAsia="Times New Roman" w:hAnsi="Garamond" w:cs="Calibri"/>
                <w:color w:val="000000"/>
                <w:sz w:val="22"/>
                <w:szCs w:val="22"/>
                <w:lang w:eastAsia="en-GB"/>
              </w:rPr>
              <w:t xml:space="preserve"> </w:t>
            </w:r>
          </w:p>
        </w:tc>
        <w:tc>
          <w:tcPr>
            <w:tcW w:w="1175" w:type="dxa"/>
            <w:tcBorders>
              <w:top w:val="nil"/>
              <w:left w:val="nil"/>
              <w:bottom w:val="single" w:sz="4" w:space="0" w:color="auto"/>
              <w:right w:val="nil"/>
            </w:tcBorders>
            <w:shd w:val="clear" w:color="auto" w:fill="auto"/>
            <w:noWrap/>
            <w:vAlign w:val="bottom"/>
          </w:tcPr>
          <w:p w14:paraId="5E1EED8B"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-.0422942</w:t>
            </w:r>
          </w:p>
        </w:tc>
        <w:tc>
          <w:tcPr>
            <w:tcW w:w="1134" w:type="dxa"/>
            <w:tcBorders>
              <w:top w:val="nil"/>
              <w:left w:val="nil"/>
              <w:bottom w:val="single" w:sz="4" w:space="0" w:color="auto"/>
              <w:right w:val="nil"/>
            </w:tcBorders>
            <w:shd w:val="clear" w:color="auto" w:fill="auto"/>
            <w:noWrap/>
            <w:vAlign w:val="bottom"/>
          </w:tcPr>
          <w:p w14:paraId="638BCE87"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.035914</w:t>
            </w:r>
          </w:p>
        </w:tc>
        <w:tc>
          <w:tcPr>
            <w:tcW w:w="1134" w:type="dxa"/>
            <w:tcBorders>
              <w:top w:val="nil"/>
              <w:left w:val="nil"/>
              <w:bottom w:val="single" w:sz="4" w:space="0" w:color="auto"/>
              <w:right w:val="nil"/>
            </w:tcBorders>
            <w:shd w:val="clear" w:color="auto" w:fill="auto"/>
            <w:noWrap/>
            <w:vAlign w:val="bottom"/>
          </w:tcPr>
          <w:p w14:paraId="057EF381"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-.0782082</w:t>
            </w:r>
          </w:p>
        </w:tc>
        <w:tc>
          <w:tcPr>
            <w:tcW w:w="2126" w:type="dxa"/>
            <w:tcBorders>
              <w:top w:val="nil"/>
              <w:left w:val="nil"/>
              <w:bottom w:val="single" w:sz="4" w:space="0" w:color="auto"/>
              <w:right w:val="nil"/>
            </w:tcBorders>
            <w:shd w:val="clear" w:color="auto" w:fill="auto"/>
            <w:noWrap/>
            <w:vAlign w:val="bottom"/>
          </w:tcPr>
          <w:p w14:paraId="725042E6" w14:textId="77777777" w:rsidR="00193D32" w:rsidRPr="00C40BE5" w:rsidRDefault="00193D32" w:rsidP="00B86ABF">
            <w:pPr>
              <w:spacing w:line="240" w:lineRule="auto"/>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s="Calibri"/>
                <w:b/>
                <w:bCs/>
                <w:color w:val="000000"/>
                <w:sz w:val="22"/>
                <w:szCs w:val="22"/>
                <w:lang w:eastAsia="en-GB"/>
              </w:rPr>
            </w:pPr>
            <w:r w:rsidRPr="00C40BE5">
              <w:rPr>
                <w:rFonts w:ascii="Garamond" w:hAnsi="Garamond" w:cs="Calibri"/>
                <w:b/>
                <w:bCs/>
                <w:color w:val="000000"/>
                <w:sz w:val="22"/>
                <w:szCs w:val="22"/>
              </w:rPr>
              <w:t>.0082829</w:t>
            </w:r>
          </w:p>
        </w:tc>
      </w:tr>
    </w:tbl>
    <w:p w14:paraId="44B66955" w14:textId="77777777" w:rsidR="00193D32" w:rsidRPr="00E91940" w:rsidRDefault="00193D32" w:rsidP="00193D32">
      <w:pPr>
        <w:spacing w:line="259" w:lineRule="auto"/>
        <w:rPr>
          <w:rFonts w:ascii="Garamond" w:hAnsi="Garamond"/>
        </w:rPr>
      </w:pPr>
      <w:r w:rsidRPr="00E91940">
        <w:rPr>
          <w:rFonts w:ascii="Garamond" w:hAnsi="Garamond"/>
        </w:rPr>
        <w:t xml:space="preserve">b = Consistent under H0 and Ha; obtained from </w:t>
      </w:r>
      <w:proofErr w:type="spellStart"/>
      <w:r w:rsidRPr="00E91940">
        <w:rPr>
          <w:rFonts w:ascii="Garamond" w:hAnsi="Garamond"/>
          <w:b/>
          <w:bCs/>
        </w:rPr>
        <w:t>xtreg</w:t>
      </w:r>
      <w:proofErr w:type="spellEnd"/>
      <w:r w:rsidRPr="00E91940">
        <w:rPr>
          <w:rFonts w:ascii="Garamond" w:hAnsi="Garamond"/>
          <w:b/>
          <w:bCs/>
        </w:rPr>
        <w:t>.</w:t>
      </w:r>
    </w:p>
    <w:p w14:paraId="24F3BEA4" w14:textId="77777777" w:rsidR="00193D32" w:rsidRPr="00E91940" w:rsidRDefault="00193D32" w:rsidP="00193D32">
      <w:pPr>
        <w:spacing w:line="259" w:lineRule="auto"/>
        <w:rPr>
          <w:rFonts w:ascii="Garamond" w:hAnsi="Garamond"/>
        </w:rPr>
      </w:pPr>
      <w:r w:rsidRPr="00E91940">
        <w:rPr>
          <w:rFonts w:ascii="Garamond" w:hAnsi="Garamond"/>
        </w:rPr>
        <w:t xml:space="preserve">B = Inconsistent under Ha, efficient under H0; obtained from </w:t>
      </w:r>
      <w:proofErr w:type="spellStart"/>
      <w:r w:rsidRPr="00E91940">
        <w:rPr>
          <w:rFonts w:ascii="Garamond" w:hAnsi="Garamond"/>
          <w:b/>
          <w:bCs/>
        </w:rPr>
        <w:t>xtreg</w:t>
      </w:r>
      <w:proofErr w:type="spellEnd"/>
      <w:r w:rsidRPr="00E91940">
        <w:rPr>
          <w:rFonts w:ascii="Garamond" w:hAnsi="Garamond"/>
        </w:rPr>
        <w:t>.</w:t>
      </w:r>
    </w:p>
    <w:p w14:paraId="35E56E79" w14:textId="77777777" w:rsidR="00193D32" w:rsidRPr="00E91940" w:rsidRDefault="00193D32" w:rsidP="00193D32">
      <w:pPr>
        <w:spacing w:line="259" w:lineRule="auto"/>
        <w:rPr>
          <w:rFonts w:ascii="Garamond" w:hAnsi="Garamond"/>
        </w:rPr>
      </w:pPr>
      <w:r w:rsidRPr="00E91940">
        <w:rPr>
          <w:rFonts w:ascii="Garamond" w:hAnsi="Garamond"/>
        </w:rPr>
        <w:t>Test of H0: Difference in coefficients not systematic</w:t>
      </w:r>
    </w:p>
    <w:p w14:paraId="3DCBEA14" w14:textId="77777777" w:rsidR="00193D32" w:rsidRPr="00E91940" w:rsidRDefault="00193D32" w:rsidP="00193D32">
      <w:pPr>
        <w:spacing w:line="259" w:lineRule="auto"/>
        <w:rPr>
          <w:rFonts w:ascii="Garamond" w:hAnsi="Garamond"/>
        </w:rPr>
      </w:pPr>
      <w:r w:rsidRPr="00E91940">
        <w:rPr>
          <w:rFonts w:ascii="Garamond" w:hAnsi="Garamond"/>
        </w:rPr>
        <w:t>chi2(6) = (b-B)'[(</w:t>
      </w:r>
      <w:proofErr w:type="spellStart"/>
      <w:r w:rsidRPr="00E91940">
        <w:rPr>
          <w:rFonts w:ascii="Garamond" w:hAnsi="Garamond"/>
        </w:rPr>
        <w:t>V_b</w:t>
      </w:r>
      <w:proofErr w:type="spellEnd"/>
      <w:r w:rsidRPr="00E91940">
        <w:rPr>
          <w:rFonts w:ascii="Garamond" w:hAnsi="Garamond"/>
        </w:rPr>
        <w:t>-V_</w:t>
      </w:r>
      <w:proofErr w:type="gramStart"/>
      <w:r w:rsidRPr="00E91940">
        <w:rPr>
          <w:rFonts w:ascii="Garamond" w:hAnsi="Garamond"/>
        </w:rPr>
        <w:t>B)^</w:t>
      </w:r>
      <w:proofErr w:type="gramEnd"/>
      <w:r w:rsidRPr="00E91940">
        <w:rPr>
          <w:rFonts w:ascii="Garamond" w:hAnsi="Garamond"/>
        </w:rPr>
        <w:t xml:space="preserve">(-1)](b-B) = </w:t>
      </w:r>
      <w:r w:rsidRPr="00E91940">
        <w:rPr>
          <w:rFonts w:ascii="Garamond" w:hAnsi="Garamond"/>
          <w:b/>
          <w:bCs/>
        </w:rPr>
        <w:t>32587.92</w:t>
      </w:r>
    </w:p>
    <w:p w14:paraId="52DFDE1A" w14:textId="77777777" w:rsidR="00193D32" w:rsidRPr="00EA7A6D" w:rsidRDefault="00193D32" w:rsidP="00193D32">
      <w:pPr>
        <w:spacing w:line="259" w:lineRule="auto"/>
        <w:rPr>
          <w:rFonts w:ascii="Garamond" w:hAnsi="Garamond"/>
          <w:lang w:val="pt-PT"/>
        </w:rPr>
      </w:pPr>
      <w:r w:rsidRPr="00EA7A6D">
        <w:rPr>
          <w:rFonts w:ascii="Garamond" w:hAnsi="Garamond"/>
          <w:lang w:val="pt-PT"/>
        </w:rPr>
        <w:t xml:space="preserve">Prob &gt; chi2 =   </w:t>
      </w:r>
      <w:r w:rsidRPr="00EA7A6D">
        <w:rPr>
          <w:rFonts w:ascii="Garamond" w:hAnsi="Garamond"/>
          <w:b/>
          <w:bCs/>
          <w:lang w:val="pt-PT"/>
        </w:rPr>
        <w:t>0.0000</w:t>
      </w:r>
    </w:p>
    <w:p w14:paraId="7158674E" w14:textId="77777777" w:rsidR="00193D32" w:rsidRPr="00EA7A6D" w:rsidRDefault="00193D32" w:rsidP="00193D32">
      <w:pPr>
        <w:spacing w:line="259" w:lineRule="auto"/>
        <w:rPr>
          <w:lang w:val="pt-PT"/>
        </w:rPr>
      </w:pPr>
    </w:p>
    <w:p w14:paraId="6811D83E" w14:textId="18C1024E" w:rsidR="00193D32" w:rsidRPr="00597122" w:rsidRDefault="00193D32" w:rsidP="00193D32">
      <w:pPr>
        <w:spacing w:line="259" w:lineRule="auto"/>
        <w:rPr>
          <w:lang w:val="pt-PT"/>
        </w:rPr>
      </w:pPr>
      <w:r w:rsidRPr="00D15DE0">
        <w:rPr>
          <w:lang w:val="pt-PT"/>
        </w:rPr>
        <w:br w:type="page"/>
      </w:r>
    </w:p>
    <w:p w14:paraId="0FA1A85B" w14:textId="77777777" w:rsidR="00193D32" w:rsidRPr="002D7F08" w:rsidRDefault="00193D32" w:rsidP="00193D32">
      <w:pPr>
        <w:pStyle w:val="TtuloPrincipalTese"/>
        <w:numPr>
          <w:ilvl w:val="0"/>
          <w:numId w:val="0"/>
        </w:numPr>
        <w:ind w:left="360" w:hanging="360"/>
      </w:pPr>
      <w:bookmarkStart w:id="65" w:name="_Toc176458066"/>
      <w:r w:rsidRPr="002D7F08">
        <w:lastRenderedPageBreak/>
        <w:t>Bibliografia</w:t>
      </w:r>
      <w:bookmarkEnd w:id="65"/>
    </w:p>
    <w:p w14:paraId="47C458C4" w14:textId="77777777" w:rsidR="00193D32" w:rsidRPr="002D7F08" w:rsidRDefault="00193D32" w:rsidP="00193D32">
      <w:pPr>
        <w:spacing w:line="360" w:lineRule="auto"/>
        <w:rPr>
          <w:rFonts w:ascii="Garamond" w:hAnsi="Garamond"/>
          <w:sz w:val="24"/>
          <w:szCs w:val="24"/>
          <w:lang w:val="en-US"/>
        </w:rPr>
      </w:pPr>
      <w:proofErr w:type="spellStart"/>
      <w:r w:rsidRPr="008D42DB">
        <w:rPr>
          <w:rFonts w:ascii="Garamond" w:hAnsi="Garamond"/>
          <w:sz w:val="24"/>
          <w:szCs w:val="24"/>
          <w:lang w:val="pt-PT"/>
        </w:rPr>
        <w:t>Aggarwal</w:t>
      </w:r>
      <w:proofErr w:type="spellEnd"/>
      <w:r w:rsidRPr="008D42DB">
        <w:rPr>
          <w:rFonts w:ascii="Garamond" w:hAnsi="Garamond"/>
          <w:sz w:val="24"/>
          <w:szCs w:val="24"/>
          <w:lang w:val="pt-PT"/>
        </w:rPr>
        <w:t xml:space="preserve">, R., &amp; </w:t>
      </w:r>
      <w:proofErr w:type="spellStart"/>
      <w:r w:rsidRPr="008D42DB">
        <w:rPr>
          <w:rFonts w:ascii="Garamond" w:hAnsi="Garamond"/>
          <w:sz w:val="24"/>
          <w:szCs w:val="24"/>
          <w:lang w:val="pt-PT"/>
        </w:rPr>
        <w:t>Zong</w:t>
      </w:r>
      <w:proofErr w:type="spellEnd"/>
      <w:r w:rsidRPr="008D42DB">
        <w:rPr>
          <w:rFonts w:ascii="Garamond" w:hAnsi="Garamond"/>
          <w:sz w:val="24"/>
          <w:szCs w:val="24"/>
          <w:lang w:val="pt-PT"/>
        </w:rPr>
        <w:t xml:space="preserve">, S. (2006). </w:t>
      </w:r>
      <w:r w:rsidRPr="002D7F08">
        <w:rPr>
          <w:rFonts w:ascii="Garamond" w:hAnsi="Garamond"/>
          <w:sz w:val="24"/>
          <w:szCs w:val="24"/>
        </w:rPr>
        <w:t xml:space="preserve">The cash flow–investment relationship: International evidence of limited access to external finance. </w:t>
      </w:r>
      <w:r w:rsidRPr="002D7F08">
        <w:rPr>
          <w:rFonts w:ascii="Garamond" w:hAnsi="Garamond"/>
          <w:i/>
          <w:iCs/>
          <w:sz w:val="24"/>
          <w:szCs w:val="24"/>
        </w:rPr>
        <w:t>Journal of Multinational Financial Management, 16</w:t>
      </w:r>
      <w:r w:rsidRPr="002D7F08">
        <w:rPr>
          <w:rFonts w:ascii="Garamond" w:hAnsi="Garamond"/>
          <w:sz w:val="24"/>
          <w:szCs w:val="24"/>
        </w:rPr>
        <w:t>(1), 89-104.</w:t>
      </w:r>
    </w:p>
    <w:p w14:paraId="528E2966"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lang w:val="en-US"/>
        </w:rPr>
        <w:t xml:space="preserve">Aldeia, S., Mota, L., &amp; Monteiro, M. (2021). </w:t>
      </w:r>
      <w:r w:rsidRPr="002D7F08">
        <w:rPr>
          <w:rFonts w:ascii="Garamond" w:hAnsi="Garamond"/>
          <w:sz w:val="24"/>
          <w:szCs w:val="24"/>
        </w:rPr>
        <w:t xml:space="preserve">Portuguese tax Benefits to Promote Business Entrepreneurship. </w:t>
      </w:r>
      <w:r w:rsidRPr="002D7F08">
        <w:rPr>
          <w:rFonts w:ascii="Garamond" w:hAnsi="Garamond"/>
          <w:i/>
          <w:iCs/>
          <w:sz w:val="24"/>
          <w:szCs w:val="24"/>
        </w:rPr>
        <w:t>Proceedings of the European Conference on Innovation &amp; Entrepreneurship</w:t>
      </w:r>
      <w:r w:rsidRPr="002D7F08">
        <w:rPr>
          <w:rFonts w:ascii="Garamond" w:hAnsi="Garamond"/>
          <w:sz w:val="24"/>
          <w:szCs w:val="24"/>
        </w:rPr>
        <w:t>.</w:t>
      </w:r>
    </w:p>
    <w:p w14:paraId="32D711DC"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Bernard, D., Blackburne, T., &amp; </w:t>
      </w:r>
      <w:proofErr w:type="spellStart"/>
      <w:r w:rsidRPr="002D7F08">
        <w:rPr>
          <w:rFonts w:ascii="Garamond" w:hAnsi="Garamond"/>
          <w:sz w:val="24"/>
          <w:szCs w:val="24"/>
        </w:rPr>
        <w:t>Thornock</w:t>
      </w:r>
      <w:proofErr w:type="spellEnd"/>
      <w:r w:rsidRPr="002D7F08">
        <w:rPr>
          <w:rFonts w:ascii="Garamond" w:hAnsi="Garamond"/>
          <w:sz w:val="24"/>
          <w:szCs w:val="24"/>
        </w:rPr>
        <w:t xml:space="preserve">, J. (2020). Information Flows among Rivals and Corporate Investment. </w:t>
      </w:r>
      <w:r w:rsidRPr="002D7F08">
        <w:rPr>
          <w:rFonts w:ascii="Garamond" w:hAnsi="Garamond"/>
          <w:i/>
          <w:iCs/>
          <w:sz w:val="24"/>
          <w:szCs w:val="24"/>
        </w:rPr>
        <w:t>Journal of Financial Economics, 136</w:t>
      </w:r>
      <w:r w:rsidRPr="002D7F08">
        <w:rPr>
          <w:rFonts w:ascii="Garamond" w:hAnsi="Garamond"/>
          <w:sz w:val="24"/>
          <w:szCs w:val="24"/>
        </w:rPr>
        <w:t>(5), 760–779.</w:t>
      </w:r>
    </w:p>
    <w:p w14:paraId="7FD4FCA9"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Clark, J. M. (1917). Business Acceleration and the Law of Demand: A Technical Factor in Economic Cycles. </w:t>
      </w:r>
      <w:r w:rsidRPr="002D7F08">
        <w:rPr>
          <w:rFonts w:ascii="Garamond" w:hAnsi="Garamond"/>
          <w:i/>
          <w:iCs/>
          <w:sz w:val="24"/>
          <w:szCs w:val="24"/>
        </w:rPr>
        <w:t>Journal of Political Economy, 25</w:t>
      </w:r>
      <w:r w:rsidRPr="002D7F08">
        <w:rPr>
          <w:rFonts w:ascii="Garamond" w:hAnsi="Garamond"/>
          <w:sz w:val="24"/>
          <w:szCs w:val="24"/>
        </w:rPr>
        <w:t>(3), 217–235.</w:t>
      </w:r>
    </w:p>
    <w:p w14:paraId="28EDD422"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Ding, S., </w:t>
      </w:r>
      <w:proofErr w:type="spellStart"/>
      <w:r w:rsidRPr="002D7F08">
        <w:rPr>
          <w:rFonts w:ascii="Garamond" w:hAnsi="Garamond"/>
          <w:sz w:val="24"/>
          <w:szCs w:val="24"/>
        </w:rPr>
        <w:t>Guariglia</w:t>
      </w:r>
      <w:proofErr w:type="spellEnd"/>
      <w:r w:rsidRPr="002D7F08">
        <w:rPr>
          <w:rFonts w:ascii="Garamond" w:hAnsi="Garamond"/>
          <w:sz w:val="24"/>
          <w:szCs w:val="24"/>
        </w:rPr>
        <w:t xml:space="preserve">, A., &amp; Knight, J. (2013). Investment and financing constraints in China: Does working capital management make a difference? </w:t>
      </w:r>
      <w:r w:rsidRPr="002D7F08">
        <w:rPr>
          <w:rFonts w:ascii="Garamond" w:hAnsi="Garamond"/>
          <w:i/>
          <w:iCs/>
          <w:sz w:val="24"/>
          <w:szCs w:val="24"/>
        </w:rPr>
        <w:t>Journal of Banking &amp; Finance, 37</w:t>
      </w:r>
      <w:r w:rsidRPr="002D7F08">
        <w:rPr>
          <w:rFonts w:ascii="Garamond" w:hAnsi="Garamond"/>
          <w:sz w:val="24"/>
          <w:szCs w:val="24"/>
        </w:rPr>
        <w:t>(4), 1490–1507.</w:t>
      </w:r>
    </w:p>
    <w:p w14:paraId="46EFF631"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Edgerton, J. (2010). Investment incentives and corporate tax asymmetries. </w:t>
      </w:r>
      <w:r w:rsidRPr="002D7F08">
        <w:rPr>
          <w:rFonts w:ascii="Garamond" w:hAnsi="Garamond"/>
          <w:i/>
          <w:iCs/>
          <w:sz w:val="24"/>
          <w:szCs w:val="24"/>
        </w:rPr>
        <w:t>Journal of Public Economics, 94</w:t>
      </w:r>
      <w:r w:rsidRPr="002D7F08">
        <w:rPr>
          <w:rFonts w:ascii="Garamond" w:hAnsi="Garamond"/>
          <w:sz w:val="24"/>
          <w:szCs w:val="24"/>
        </w:rPr>
        <w:t>, 936-952.</w:t>
      </w:r>
    </w:p>
    <w:p w14:paraId="7EC48778"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Farooq, U., &amp; Subhani, B. H. (2021). Three Corporate Finance Practices in Pakistan: A Review of Previous Studies and Way Forward. </w:t>
      </w:r>
      <w:r w:rsidRPr="002D7F08">
        <w:rPr>
          <w:rFonts w:ascii="Garamond" w:hAnsi="Garamond"/>
          <w:i/>
          <w:iCs/>
          <w:sz w:val="24"/>
          <w:szCs w:val="24"/>
        </w:rPr>
        <w:t>Journal of Finance and Accounting Research, 3</w:t>
      </w:r>
      <w:r w:rsidRPr="002D7F08">
        <w:rPr>
          <w:rFonts w:ascii="Garamond" w:hAnsi="Garamond"/>
          <w:sz w:val="24"/>
          <w:szCs w:val="24"/>
        </w:rPr>
        <w:t>(1), 61–84.</w:t>
      </w:r>
    </w:p>
    <w:p w14:paraId="548E0658"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Farooq, U., Ahmed, J., &amp; Khan, S. (2021). Do the Macroeconomic Factors Influence the Firm’s Investment Decisions? A Generalized Method of Moments (GMM) Approach. </w:t>
      </w:r>
      <w:r w:rsidRPr="002D7F08">
        <w:rPr>
          <w:rFonts w:ascii="Garamond" w:hAnsi="Garamond"/>
          <w:i/>
          <w:iCs/>
          <w:sz w:val="24"/>
          <w:szCs w:val="24"/>
        </w:rPr>
        <w:t>International Journal of Finance and Economics, 26</w:t>
      </w:r>
      <w:r w:rsidRPr="002D7F08">
        <w:rPr>
          <w:rFonts w:ascii="Garamond" w:hAnsi="Garamond"/>
          <w:sz w:val="24"/>
          <w:szCs w:val="24"/>
        </w:rPr>
        <w:t>(1), 790–801.</w:t>
      </w:r>
    </w:p>
    <w:p w14:paraId="679652A1" w14:textId="77777777" w:rsidR="00193D32" w:rsidRPr="002D7F08" w:rsidRDefault="00193D32" w:rsidP="00193D32">
      <w:pPr>
        <w:spacing w:line="360" w:lineRule="auto"/>
        <w:rPr>
          <w:rFonts w:ascii="Garamond" w:hAnsi="Garamond"/>
          <w:sz w:val="24"/>
          <w:szCs w:val="24"/>
        </w:rPr>
      </w:pPr>
      <w:proofErr w:type="spellStart"/>
      <w:r w:rsidRPr="002D7F08">
        <w:rPr>
          <w:rFonts w:ascii="Garamond" w:hAnsi="Garamond"/>
          <w:sz w:val="24"/>
          <w:szCs w:val="24"/>
        </w:rPr>
        <w:t>Fazzari</w:t>
      </w:r>
      <w:proofErr w:type="spellEnd"/>
      <w:r w:rsidRPr="002D7F08">
        <w:rPr>
          <w:rFonts w:ascii="Garamond" w:hAnsi="Garamond"/>
          <w:sz w:val="24"/>
          <w:szCs w:val="24"/>
        </w:rPr>
        <w:t xml:space="preserve">, S., Hubbard, G., &amp; Petersen, B. (1988). Financing constraints and corporate investment. </w:t>
      </w:r>
      <w:r w:rsidRPr="002D7F08">
        <w:rPr>
          <w:rFonts w:ascii="Garamond" w:hAnsi="Garamond"/>
          <w:i/>
          <w:iCs/>
          <w:sz w:val="24"/>
          <w:szCs w:val="24"/>
        </w:rPr>
        <w:t>Brookings Papers on Economic Activity, 1</w:t>
      </w:r>
      <w:r w:rsidRPr="002D7F08">
        <w:rPr>
          <w:rFonts w:ascii="Garamond" w:hAnsi="Garamond"/>
          <w:sz w:val="24"/>
          <w:szCs w:val="24"/>
        </w:rPr>
        <w:t>, 141-195.</w:t>
      </w:r>
    </w:p>
    <w:p w14:paraId="0CECE393" w14:textId="77777777" w:rsidR="00193D32" w:rsidRPr="002D7F08" w:rsidRDefault="00193D32" w:rsidP="00193D32">
      <w:pPr>
        <w:spacing w:line="360" w:lineRule="auto"/>
        <w:rPr>
          <w:rFonts w:ascii="Garamond" w:hAnsi="Garamond"/>
          <w:sz w:val="24"/>
          <w:szCs w:val="24"/>
        </w:rPr>
      </w:pPr>
      <w:proofErr w:type="spellStart"/>
      <w:r w:rsidRPr="002D7F08">
        <w:rPr>
          <w:rFonts w:ascii="Garamond" w:hAnsi="Garamond"/>
          <w:sz w:val="24"/>
          <w:szCs w:val="24"/>
        </w:rPr>
        <w:t>Fazzari</w:t>
      </w:r>
      <w:proofErr w:type="spellEnd"/>
      <w:r w:rsidRPr="002D7F08">
        <w:rPr>
          <w:rFonts w:ascii="Garamond" w:hAnsi="Garamond"/>
          <w:sz w:val="24"/>
          <w:szCs w:val="24"/>
        </w:rPr>
        <w:t xml:space="preserve">, S., &amp; Petersen, B. (1993). Working capital and fixed investment: New evidence on financing constraints. </w:t>
      </w:r>
      <w:r w:rsidRPr="002D7F08">
        <w:rPr>
          <w:rFonts w:ascii="Garamond" w:hAnsi="Garamond"/>
          <w:i/>
          <w:iCs/>
          <w:sz w:val="24"/>
          <w:szCs w:val="24"/>
        </w:rPr>
        <w:t>RAND Journal of Economics, 24</w:t>
      </w:r>
      <w:r w:rsidRPr="002D7F08">
        <w:rPr>
          <w:rFonts w:ascii="Garamond" w:hAnsi="Garamond"/>
          <w:sz w:val="24"/>
          <w:szCs w:val="24"/>
        </w:rPr>
        <w:t>, 328-342.</w:t>
      </w:r>
    </w:p>
    <w:p w14:paraId="76E34641"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Federici, D., &amp; </w:t>
      </w:r>
      <w:proofErr w:type="spellStart"/>
      <w:r w:rsidRPr="002D7F08">
        <w:rPr>
          <w:rFonts w:ascii="Garamond" w:hAnsi="Garamond"/>
          <w:sz w:val="24"/>
          <w:szCs w:val="24"/>
        </w:rPr>
        <w:t>Parisi</w:t>
      </w:r>
      <w:proofErr w:type="spellEnd"/>
      <w:r w:rsidRPr="002D7F08">
        <w:rPr>
          <w:rFonts w:ascii="Garamond" w:hAnsi="Garamond"/>
          <w:sz w:val="24"/>
          <w:szCs w:val="24"/>
        </w:rPr>
        <w:t xml:space="preserve">, V. (2015). Do corporate taxes reduce investments? Evidence from Italian firm-level panel data. </w:t>
      </w:r>
      <w:r w:rsidRPr="002D7F08">
        <w:rPr>
          <w:rFonts w:ascii="Garamond" w:hAnsi="Garamond"/>
          <w:i/>
          <w:iCs/>
          <w:sz w:val="24"/>
          <w:szCs w:val="24"/>
        </w:rPr>
        <w:t>Cogent Economics &amp; Finance, 3</w:t>
      </w:r>
      <w:r w:rsidRPr="002D7F08">
        <w:rPr>
          <w:rFonts w:ascii="Garamond" w:hAnsi="Garamond"/>
          <w:sz w:val="24"/>
          <w:szCs w:val="24"/>
        </w:rPr>
        <w:t>(1), 1–14.</w:t>
      </w:r>
    </w:p>
    <w:p w14:paraId="080B333D"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Fisher, I. (1930). </w:t>
      </w:r>
      <w:r w:rsidRPr="002D7F08">
        <w:rPr>
          <w:rFonts w:ascii="Garamond" w:hAnsi="Garamond"/>
          <w:i/>
          <w:iCs/>
          <w:sz w:val="24"/>
          <w:szCs w:val="24"/>
        </w:rPr>
        <w:t>The Theory of Interest</w:t>
      </w:r>
      <w:r w:rsidRPr="002D7F08">
        <w:rPr>
          <w:rFonts w:ascii="Garamond" w:hAnsi="Garamond"/>
          <w:sz w:val="24"/>
          <w:szCs w:val="24"/>
        </w:rPr>
        <w:t>. New York: Macmillan Co.</w:t>
      </w:r>
    </w:p>
    <w:p w14:paraId="30B955F2" w14:textId="77777777" w:rsidR="00193D32" w:rsidRPr="002D7F08" w:rsidRDefault="00193D32" w:rsidP="00193D32">
      <w:pPr>
        <w:spacing w:line="360" w:lineRule="auto"/>
        <w:rPr>
          <w:rFonts w:ascii="Garamond" w:hAnsi="Garamond"/>
          <w:sz w:val="24"/>
          <w:szCs w:val="24"/>
        </w:rPr>
      </w:pPr>
      <w:proofErr w:type="spellStart"/>
      <w:r w:rsidRPr="002D7F08">
        <w:rPr>
          <w:rFonts w:ascii="Garamond" w:hAnsi="Garamond"/>
          <w:sz w:val="24"/>
          <w:szCs w:val="24"/>
        </w:rPr>
        <w:lastRenderedPageBreak/>
        <w:t>Frésard</w:t>
      </w:r>
      <w:proofErr w:type="spellEnd"/>
      <w:r w:rsidRPr="002D7F08">
        <w:rPr>
          <w:rFonts w:ascii="Garamond" w:hAnsi="Garamond"/>
          <w:sz w:val="24"/>
          <w:szCs w:val="24"/>
        </w:rPr>
        <w:t xml:space="preserve">, L., &amp; </w:t>
      </w:r>
      <w:proofErr w:type="spellStart"/>
      <w:r w:rsidRPr="002D7F08">
        <w:rPr>
          <w:rFonts w:ascii="Garamond" w:hAnsi="Garamond"/>
          <w:sz w:val="24"/>
          <w:szCs w:val="24"/>
        </w:rPr>
        <w:t>Valta</w:t>
      </w:r>
      <w:proofErr w:type="spellEnd"/>
      <w:r w:rsidRPr="002D7F08">
        <w:rPr>
          <w:rFonts w:ascii="Garamond" w:hAnsi="Garamond"/>
          <w:sz w:val="24"/>
          <w:szCs w:val="24"/>
        </w:rPr>
        <w:t xml:space="preserve">, P. (2016). How Does Corporate Investment Respond to Increased Entry Threat? </w:t>
      </w:r>
      <w:r w:rsidRPr="002D7F08">
        <w:rPr>
          <w:rFonts w:ascii="Garamond" w:hAnsi="Garamond"/>
          <w:i/>
          <w:iCs/>
          <w:sz w:val="24"/>
          <w:szCs w:val="24"/>
        </w:rPr>
        <w:t>The Review of Corporate Finance Studies, 5</w:t>
      </w:r>
      <w:r w:rsidRPr="002D7F08">
        <w:rPr>
          <w:rFonts w:ascii="Garamond" w:hAnsi="Garamond"/>
          <w:sz w:val="24"/>
          <w:szCs w:val="24"/>
        </w:rPr>
        <w:t>(1), 1–35.</w:t>
      </w:r>
    </w:p>
    <w:p w14:paraId="5122F3E3"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Gao, S., Wang, L., Liu, N., &amp; Zhang, M. (2019). Fiscal Decentralization and Corporate Investment: Empirical Evidence from China. </w:t>
      </w:r>
      <w:r w:rsidRPr="002D7F08">
        <w:rPr>
          <w:rFonts w:ascii="Garamond" w:hAnsi="Garamond"/>
          <w:i/>
          <w:iCs/>
          <w:sz w:val="24"/>
          <w:szCs w:val="24"/>
        </w:rPr>
        <w:t>Journal of Economic Policy Reform, 22</w:t>
      </w:r>
      <w:r w:rsidRPr="002D7F08">
        <w:rPr>
          <w:rFonts w:ascii="Garamond" w:hAnsi="Garamond"/>
          <w:sz w:val="24"/>
          <w:szCs w:val="24"/>
        </w:rPr>
        <w:t>(1), 51–68.</w:t>
      </w:r>
    </w:p>
    <w:p w14:paraId="44F3368A" w14:textId="77777777" w:rsidR="00193D32" w:rsidRPr="002D7F08" w:rsidRDefault="00193D32" w:rsidP="00193D32">
      <w:pPr>
        <w:spacing w:line="360" w:lineRule="auto"/>
        <w:rPr>
          <w:rFonts w:ascii="Garamond" w:hAnsi="Garamond"/>
          <w:sz w:val="24"/>
          <w:szCs w:val="24"/>
        </w:rPr>
      </w:pPr>
      <w:proofErr w:type="spellStart"/>
      <w:r w:rsidRPr="002D7F08">
        <w:rPr>
          <w:rFonts w:ascii="Garamond" w:hAnsi="Garamond"/>
          <w:sz w:val="24"/>
          <w:szCs w:val="24"/>
        </w:rPr>
        <w:t>Guceri</w:t>
      </w:r>
      <w:proofErr w:type="spellEnd"/>
      <w:r w:rsidRPr="002D7F08">
        <w:rPr>
          <w:rFonts w:ascii="Garamond" w:hAnsi="Garamond"/>
          <w:sz w:val="24"/>
          <w:szCs w:val="24"/>
        </w:rPr>
        <w:t xml:space="preserve">, I., &amp; </w:t>
      </w:r>
      <w:proofErr w:type="spellStart"/>
      <w:r w:rsidRPr="002D7F08">
        <w:rPr>
          <w:rFonts w:ascii="Garamond" w:hAnsi="Garamond"/>
          <w:sz w:val="24"/>
          <w:szCs w:val="24"/>
        </w:rPr>
        <w:t>Albinowski</w:t>
      </w:r>
      <w:proofErr w:type="spellEnd"/>
      <w:r w:rsidRPr="002D7F08">
        <w:rPr>
          <w:rFonts w:ascii="Garamond" w:hAnsi="Garamond"/>
          <w:sz w:val="24"/>
          <w:szCs w:val="24"/>
        </w:rPr>
        <w:t xml:space="preserve">, M. (2021). Investment responses to tax policy under uncertainty. </w:t>
      </w:r>
      <w:r w:rsidRPr="002D7F08">
        <w:rPr>
          <w:rFonts w:ascii="Garamond" w:hAnsi="Garamond"/>
          <w:i/>
          <w:iCs/>
          <w:sz w:val="24"/>
          <w:szCs w:val="24"/>
        </w:rPr>
        <w:t>Journal of Financial Economics, 141</w:t>
      </w:r>
      <w:r w:rsidRPr="002D7F08">
        <w:rPr>
          <w:rFonts w:ascii="Garamond" w:hAnsi="Garamond"/>
          <w:sz w:val="24"/>
          <w:szCs w:val="24"/>
        </w:rPr>
        <w:t>, 1147–1170</w:t>
      </w:r>
    </w:p>
    <w:p w14:paraId="41801543"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Islam, M. S. U., </w:t>
      </w:r>
      <w:proofErr w:type="spellStart"/>
      <w:r w:rsidRPr="002D7F08">
        <w:rPr>
          <w:rFonts w:ascii="Garamond" w:hAnsi="Garamond"/>
          <w:sz w:val="24"/>
          <w:szCs w:val="24"/>
        </w:rPr>
        <w:t>Meo</w:t>
      </w:r>
      <w:proofErr w:type="spellEnd"/>
      <w:r w:rsidRPr="002D7F08">
        <w:rPr>
          <w:rFonts w:ascii="Garamond" w:hAnsi="Garamond"/>
          <w:sz w:val="24"/>
          <w:szCs w:val="24"/>
        </w:rPr>
        <w:t xml:space="preserve">, M. S., &amp; Usman, M. (2022). The relationship between corporate investment decision and firm performance: Moderating role of cash flows. </w:t>
      </w:r>
      <w:r w:rsidRPr="002D7F08">
        <w:rPr>
          <w:rFonts w:ascii="Garamond" w:hAnsi="Garamond"/>
          <w:i/>
          <w:iCs/>
          <w:sz w:val="24"/>
          <w:szCs w:val="24"/>
        </w:rPr>
        <w:t>Journal of Public Affairs, 22</w:t>
      </w:r>
      <w:r w:rsidRPr="002D7F08">
        <w:rPr>
          <w:rFonts w:ascii="Garamond" w:hAnsi="Garamond"/>
          <w:sz w:val="24"/>
          <w:szCs w:val="24"/>
        </w:rPr>
        <w:t>(e2445).</w:t>
      </w:r>
    </w:p>
    <w:p w14:paraId="69BC8FF7"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Jorgenson, D. W. (1963). Capital Theory and Investment </w:t>
      </w:r>
      <w:proofErr w:type="spellStart"/>
      <w:r w:rsidRPr="002D7F08">
        <w:rPr>
          <w:rFonts w:ascii="Garamond" w:hAnsi="Garamond"/>
          <w:sz w:val="24"/>
          <w:szCs w:val="24"/>
        </w:rPr>
        <w:t>Behavior</w:t>
      </w:r>
      <w:proofErr w:type="spellEnd"/>
      <w:r w:rsidRPr="002D7F08">
        <w:rPr>
          <w:rFonts w:ascii="Garamond" w:hAnsi="Garamond"/>
          <w:sz w:val="24"/>
          <w:szCs w:val="24"/>
        </w:rPr>
        <w:t xml:space="preserve">. </w:t>
      </w:r>
      <w:r w:rsidRPr="002D7F08">
        <w:rPr>
          <w:rFonts w:ascii="Garamond" w:hAnsi="Garamond"/>
          <w:i/>
          <w:iCs/>
          <w:sz w:val="24"/>
          <w:szCs w:val="24"/>
        </w:rPr>
        <w:t>The American Economic Review, 53</w:t>
      </w:r>
      <w:r w:rsidRPr="002D7F08">
        <w:rPr>
          <w:rFonts w:ascii="Garamond" w:hAnsi="Garamond"/>
          <w:sz w:val="24"/>
          <w:szCs w:val="24"/>
        </w:rPr>
        <w:t>(2), 247–259.</w:t>
      </w:r>
    </w:p>
    <w:p w14:paraId="01EBF4C4"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Keynes, J. M. (2007). </w:t>
      </w:r>
      <w:r w:rsidRPr="002D7F08">
        <w:rPr>
          <w:rFonts w:ascii="Garamond" w:hAnsi="Garamond"/>
          <w:i/>
          <w:iCs/>
          <w:sz w:val="24"/>
          <w:szCs w:val="24"/>
        </w:rPr>
        <w:t>The General Theory of Employment, Interest and Money</w:t>
      </w:r>
      <w:r w:rsidRPr="002D7F08">
        <w:rPr>
          <w:rFonts w:ascii="Garamond" w:hAnsi="Garamond"/>
          <w:sz w:val="24"/>
          <w:szCs w:val="24"/>
        </w:rPr>
        <w:t>. London: Palgrave Macmillan. (Original work published 1936)</w:t>
      </w:r>
    </w:p>
    <w:p w14:paraId="5419A43F"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Klemm, A. (2010). Causes, benefits, and risks of business tax incentives. </w:t>
      </w:r>
      <w:r w:rsidRPr="002D7F08">
        <w:rPr>
          <w:rFonts w:ascii="Garamond" w:hAnsi="Garamond"/>
          <w:i/>
          <w:iCs/>
          <w:sz w:val="24"/>
          <w:szCs w:val="24"/>
        </w:rPr>
        <w:t>International Tax and Public Finance, 17</w:t>
      </w:r>
      <w:r w:rsidRPr="002D7F08">
        <w:rPr>
          <w:rFonts w:ascii="Garamond" w:hAnsi="Garamond"/>
          <w:sz w:val="24"/>
          <w:szCs w:val="24"/>
        </w:rPr>
        <w:t>(3), 315-336.</w:t>
      </w:r>
    </w:p>
    <w:p w14:paraId="76BEE2B2"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Klemm, A., &amp; Van Parys, S. (2012). Empirical evidence on the effects of tax incentives</w:t>
      </w:r>
      <w:r w:rsidRPr="002D7F08">
        <w:rPr>
          <w:rFonts w:ascii="Garamond" w:hAnsi="Garamond"/>
          <w:i/>
          <w:iCs/>
          <w:sz w:val="24"/>
          <w:szCs w:val="24"/>
        </w:rPr>
        <w:t>. International Tax and Public Finance</w:t>
      </w:r>
      <w:r w:rsidRPr="002D7F08">
        <w:rPr>
          <w:rFonts w:ascii="Garamond" w:hAnsi="Garamond"/>
          <w:sz w:val="24"/>
          <w:szCs w:val="24"/>
        </w:rPr>
        <w:t>, 19(3), 393-423.</w:t>
      </w:r>
    </w:p>
    <w:p w14:paraId="140BC765"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Kong, Q., Li, R., Wang, Z., &amp; Peng, D. (2022). Economic policy uncertainty and firm investment decisions: Dilemma or opportunity? </w:t>
      </w:r>
      <w:r w:rsidRPr="002D7F08">
        <w:rPr>
          <w:rFonts w:ascii="Garamond" w:hAnsi="Garamond"/>
          <w:i/>
          <w:iCs/>
          <w:sz w:val="24"/>
          <w:szCs w:val="24"/>
        </w:rPr>
        <w:t>International Review of Financial Analysis, 83</w:t>
      </w:r>
      <w:r w:rsidRPr="002D7F08">
        <w:rPr>
          <w:rFonts w:ascii="Garamond" w:hAnsi="Garamond"/>
          <w:sz w:val="24"/>
          <w:szCs w:val="24"/>
        </w:rPr>
        <w:t>, 102301.</w:t>
      </w:r>
    </w:p>
    <w:p w14:paraId="22ED2391" w14:textId="77777777" w:rsidR="00193D32" w:rsidRPr="002D7F08" w:rsidRDefault="00193D32" w:rsidP="00193D32">
      <w:pPr>
        <w:spacing w:line="360" w:lineRule="auto"/>
        <w:rPr>
          <w:rFonts w:ascii="Garamond" w:hAnsi="Garamond"/>
          <w:sz w:val="24"/>
          <w:szCs w:val="24"/>
        </w:rPr>
      </w:pPr>
      <w:proofErr w:type="spellStart"/>
      <w:r w:rsidRPr="002D7F08">
        <w:rPr>
          <w:rFonts w:ascii="Garamond" w:hAnsi="Garamond"/>
          <w:sz w:val="24"/>
          <w:szCs w:val="24"/>
        </w:rPr>
        <w:t>Kopcke</w:t>
      </w:r>
      <w:proofErr w:type="spellEnd"/>
      <w:r w:rsidRPr="002D7F08">
        <w:rPr>
          <w:rFonts w:ascii="Garamond" w:hAnsi="Garamond"/>
          <w:sz w:val="24"/>
          <w:szCs w:val="24"/>
        </w:rPr>
        <w:t xml:space="preserve">, R.W. (1993). The Determinants of Business Investment: Has Capital Spending Been Surprisingly Low? </w:t>
      </w:r>
      <w:r w:rsidRPr="002D7F08">
        <w:rPr>
          <w:rFonts w:ascii="Garamond" w:hAnsi="Garamond"/>
          <w:i/>
          <w:iCs/>
          <w:sz w:val="24"/>
          <w:szCs w:val="24"/>
        </w:rPr>
        <w:t>New England Economic Review</w:t>
      </w:r>
      <w:r w:rsidRPr="002D7F08">
        <w:rPr>
          <w:rFonts w:ascii="Garamond" w:hAnsi="Garamond"/>
          <w:sz w:val="24"/>
          <w:szCs w:val="24"/>
        </w:rPr>
        <w:t>, Janeiro/</w:t>
      </w:r>
      <w:proofErr w:type="spellStart"/>
      <w:r w:rsidRPr="002D7F08">
        <w:rPr>
          <w:rFonts w:ascii="Garamond" w:hAnsi="Garamond"/>
          <w:sz w:val="24"/>
          <w:szCs w:val="24"/>
        </w:rPr>
        <w:t>Fevereiro</w:t>
      </w:r>
      <w:proofErr w:type="spellEnd"/>
      <w:r w:rsidRPr="002D7F08">
        <w:rPr>
          <w:rFonts w:ascii="Garamond" w:hAnsi="Garamond"/>
          <w:sz w:val="24"/>
          <w:szCs w:val="24"/>
        </w:rPr>
        <w:t>, 3-31.</w:t>
      </w:r>
    </w:p>
    <w:p w14:paraId="7E7A3C27"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Markowitz, H. (1952). Portfolio selection. </w:t>
      </w:r>
      <w:r w:rsidRPr="002D7F08">
        <w:rPr>
          <w:rFonts w:ascii="Garamond" w:hAnsi="Garamond"/>
          <w:i/>
          <w:iCs/>
          <w:sz w:val="24"/>
          <w:szCs w:val="24"/>
        </w:rPr>
        <w:t>The Journal of Finance, 7</w:t>
      </w:r>
      <w:r w:rsidRPr="002D7F08">
        <w:rPr>
          <w:rFonts w:ascii="Garamond" w:hAnsi="Garamond"/>
          <w:sz w:val="24"/>
          <w:szCs w:val="24"/>
        </w:rPr>
        <w:t>(1), 77-91.</w:t>
      </w:r>
    </w:p>
    <w:p w14:paraId="32629323"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lang w:val="pt-PT"/>
        </w:rPr>
        <w:t xml:space="preserve">Mendes, S., Serrasqueiro, Z., &amp; Nunes, P. M. (2014). </w:t>
      </w:r>
      <w:r w:rsidRPr="002D7F08">
        <w:rPr>
          <w:rFonts w:ascii="Garamond" w:hAnsi="Garamond"/>
          <w:sz w:val="24"/>
          <w:szCs w:val="24"/>
        </w:rPr>
        <w:t xml:space="preserve">Investment determinants of young and old Portuguese SMEs: A quantile approach. </w:t>
      </w:r>
      <w:r w:rsidRPr="002D7F08">
        <w:rPr>
          <w:rFonts w:ascii="Garamond" w:hAnsi="Garamond"/>
          <w:i/>
          <w:iCs/>
          <w:sz w:val="24"/>
          <w:szCs w:val="24"/>
        </w:rPr>
        <w:t>BRQ Business Research Quarterly</w:t>
      </w:r>
      <w:r w:rsidRPr="002D7F08">
        <w:rPr>
          <w:rFonts w:ascii="Garamond" w:hAnsi="Garamond"/>
          <w:sz w:val="24"/>
          <w:szCs w:val="24"/>
        </w:rPr>
        <w:t>, 17, 279-291.</w:t>
      </w:r>
    </w:p>
    <w:p w14:paraId="0AB38002" w14:textId="77777777" w:rsidR="00193D32" w:rsidRPr="002D7F08" w:rsidRDefault="00193D32" w:rsidP="00193D32">
      <w:pPr>
        <w:spacing w:line="360" w:lineRule="auto"/>
        <w:rPr>
          <w:rFonts w:ascii="Garamond" w:hAnsi="Garamond"/>
          <w:sz w:val="24"/>
          <w:szCs w:val="24"/>
        </w:rPr>
      </w:pPr>
      <w:proofErr w:type="spellStart"/>
      <w:r w:rsidRPr="002D7F08">
        <w:rPr>
          <w:rFonts w:ascii="Garamond" w:hAnsi="Garamond"/>
          <w:sz w:val="24"/>
          <w:szCs w:val="24"/>
        </w:rPr>
        <w:lastRenderedPageBreak/>
        <w:t>Rahayu</w:t>
      </w:r>
      <w:proofErr w:type="spellEnd"/>
      <w:r w:rsidRPr="002D7F08">
        <w:rPr>
          <w:rFonts w:ascii="Garamond" w:hAnsi="Garamond"/>
          <w:sz w:val="24"/>
          <w:szCs w:val="24"/>
        </w:rPr>
        <w:t xml:space="preserve">, S. M. (2019). Mediation Effects Financial Performance toward Influences of Corporate Growth and Assets Utilization. </w:t>
      </w:r>
      <w:r w:rsidRPr="002D7F08">
        <w:rPr>
          <w:rFonts w:ascii="Garamond" w:hAnsi="Garamond"/>
          <w:i/>
          <w:iCs/>
          <w:sz w:val="24"/>
          <w:szCs w:val="24"/>
        </w:rPr>
        <w:t>International Journal of Productivity and Performance Management, 68</w:t>
      </w:r>
      <w:r w:rsidRPr="002D7F08">
        <w:rPr>
          <w:rFonts w:ascii="Garamond" w:hAnsi="Garamond"/>
          <w:sz w:val="24"/>
          <w:szCs w:val="24"/>
        </w:rPr>
        <w:t>(6), 981–996.</w:t>
      </w:r>
    </w:p>
    <w:p w14:paraId="23427B7C"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Salehi, M., </w:t>
      </w:r>
      <w:proofErr w:type="spellStart"/>
      <w:r w:rsidRPr="002D7F08">
        <w:rPr>
          <w:rFonts w:ascii="Garamond" w:hAnsi="Garamond"/>
          <w:sz w:val="24"/>
          <w:szCs w:val="24"/>
        </w:rPr>
        <w:t>Zimon</w:t>
      </w:r>
      <w:proofErr w:type="spellEnd"/>
      <w:r w:rsidRPr="002D7F08">
        <w:rPr>
          <w:rFonts w:ascii="Garamond" w:hAnsi="Garamond"/>
          <w:sz w:val="24"/>
          <w:szCs w:val="24"/>
        </w:rPr>
        <w:t xml:space="preserve">, G., </w:t>
      </w:r>
      <w:proofErr w:type="spellStart"/>
      <w:r w:rsidRPr="002D7F08">
        <w:rPr>
          <w:rFonts w:ascii="Garamond" w:hAnsi="Garamond"/>
          <w:sz w:val="24"/>
          <w:szCs w:val="24"/>
        </w:rPr>
        <w:t>Arianpoor</w:t>
      </w:r>
      <w:proofErr w:type="spellEnd"/>
      <w:r w:rsidRPr="002D7F08">
        <w:rPr>
          <w:rFonts w:ascii="Garamond" w:hAnsi="Garamond"/>
          <w:sz w:val="24"/>
          <w:szCs w:val="24"/>
        </w:rPr>
        <w:t xml:space="preserve">, A., &amp; </w:t>
      </w:r>
      <w:proofErr w:type="spellStart"/>
      <w:r w:rsidRPr="002D7F08">
        <w:rPr>
          <w:rFonts w:ascii="Garamond" w:hAnsi="Garamond"/>
          <w:sz w:val="24"/>
          <w:szCs w:val="24"/>
        </w:rPr>
        <w:t>Eidi</w:t>
      </w:r>
      <w:proofErr w:type="spellEnd"/>
      <w:r w:rsidRPr="002D7F08">
        <w:rPr>
          <w:rFonts w:ascii="Garamond" w:hAnsi="Garamond"/>
          <w:sz w:val="24"/>
          <w:szCs w:val="24"/>
        </w:rPr>
        <w:t xml:space="preserve"> </w:t>
      </w:r>
      <w:proofErr w:type="spellStart"/>
      <w:r w:rsidRPr="002D7F08">
        <w:rPr>
          <w:rFonts w:ascii="Garamond" w:hAnsi="Garamond"/>
          <w:sz w:val="24"/>
          <w:szCs w:val="24"/>
        </w:rPr>
        <w:t>Gholezoo</w:t>
      </w:r>
      <w:proofErr w:type="spellEnd"/>
      <w:r w:rsidRPr="002D7F08">
        <w:rPr>
          <w:rFonts w:ascii="Garamond" w:hAnsi="Garamond"/>
          <w:sz w:val="24"/>
          <w:szCs w:val="24"/>
        </w:rPr>
        <w:t xml:space="preserve">, F. (2022). The Impact of Investment Efficiency on Firm Value and Moderating Role of Institutional Ownership and Board Independence. </w:t>
      </w:r>
      <w:r w:rsidRPr="002D7F08">
        <w:rPr>
          <w:rFonts w:ascii="Garamond" w:hAnsi="Garamond"/>
          <w:i/>
          <w:iCs/>
          <w:sz w:val="24"/>
          <w:szCs w:val="24"/>
        </w:rPr>
        <w:t>Journal of Risk and Financial Management, 15</w:t>
      </w:r>
      <w:r w:rsidRPr="002D7F08">
        <w:rPr>
          <w:rFonts w:ascii="Garamond" w:hAnsi="Garamond"/>
          <w:sz w:val="24"/>
          <w:szCs w:val="24"/>
        </w:rPr>
        <w:t>, 170.</w:t>
      </w:r>
    </w:p>
    <w:p w14:paraId="488804B6"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Tinbergen, J. (1938). Statistical Evidence on the Acceleration Principle. </w:t>
      </w:r>
      <w:proofErr w:type="spellStart"/>
      <w:r w:rsidRPr="002D7F08">
        <w:rPr>
          <w:rFonts w:ascii="Garamond" w:hAnsi="Garamond"/>
          <w:i/>
          <w:iCs/>
          <w:sz w:val="24"/>
          <w:szCs w:val="24"/>
        </w:rPr>
        <w:t>Economica</w:t>
      </w:r>
      <w:proofErr w:type="spellEnd"/>
      <w:r w:rsidRPr="002D7F08">
        <w:rPr>
          <w:rFonts w:ascii="Garamond" w:hAnsi="Garamond"/>
          <w:i/>
          <w:iCs/>
          <w:sz w:val="24"/>
          <w:szCs w:val="24"/>
        </w:rPr>
        <w:t>, 5</w:t>
      </w:r>
      <w:r w:rsidRPr="002D7F08">
        <w:rPr>
          <w:rFonts w:ascii="Garamond" w:hAnsi="Garamond"/>
          <w:sz w:val="24"/>
          <w:szCs w:val="24"/>
        </w:rPr>
        <w:t>, 164-176.</w:t>
      </w:r>
    </w:p>
    <w:p w14:paraId="25298A98"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Tobin, J. (1969). A General Equilibrium Approach </w:t>
      </w:r>
      <w:proofErr w:type="gramStart"/>
      <w:r w:rsidRPr="002D7F08">
        <w:rPr>
          <w:rFonts w:ascii="Garamond" w:hAnsi="Garamond"/>
          <w:sz w:val="24"/>
          <w:szCs w:val="24"/>
        </w:rPr>
        <w:t>To</w:t>
      </w:r>
      <w:proofErr w:type="gramEnd"/>
      <w:r w:rsidRPr="002D7F08">
        <w:rPr>
          <w:rFonts w:ascii="Garamond" w:hAnsi="Garamond"/>
          <w:sz w:val="24"/>
          <w:szCs w:val="24"/>
        </w:rPr>
        <w:t xml:space="preserve"> Monetary Theory. </w:t>
      </w:r>
      <w:r w:rsidRPr="002D7F08">
        <w:rPr>
          <w:rFonts w:ascii="Garamond" w:hAnsi="Garamond"/>
          <w:i/>
          <w:iCs/>
          <w:sz w:val="24"/>
          <w:szCs w:val="24"/>
        </w:rPr>
        <w:t>Journal of Money, Credit and Banking, 1</w:t>
      </w:r>
      <w:r w:rsidRPr="002D7F08">
        <w:rPr>
          <w:rFonts w:ascii="Garamond" w:hAnsi="Garamond"/>
          <w:sz w:val="24"/>
          <w:szCs w:val="24"/>
        </w:rPr>
        <w:t>(1), 15–29.</w:t>
      </w:r>
    </w:p>
    <w:p w14:paraId="45B69FD7" w14:textId="77777777" w:rsidR="00193D32" w:rsidRPr="002D7F08" w:rsidRDefault="00193D32" w:rsidP="00193D32">
      <w:pPr>
        <w:spacing w:line="360" w:lineRule="auto"/>
        <w:rPr>
          <w:rFonts w:ascii="Garamond" w:hAnsi="Garamond"/>
          <w:sz w:val="24"/>
          <w:szCs w:val="24"/>
        </w:rPr>
      </w:pPr>
      <w:r w:rsidRPr="002D7F08">
        <w:rPr>
          <w:rFonts w:ascii="Garamond" w:hAnsi="Garamond"/>
          <w:sz w:val="24"/>
          <w:szCs w:val="24"/>
        </w:rPr>
        <w:t xml:space="preserve">Zee, H. H., </w:t>
      </w:r>
      <w:proofErr w:type="spellStart"/>
      <w:r w:rsidRPr="002D7F08">
        <w:rPr>
          <w:rFonts w:ascii="Garamond" w:hAnsi="Garamond"/>
          <w:sz w:val="24"/>
          <w:szCs w:val="24"/>
        </w:rPr>
        <w:t>Stotsky</w:t>
      </w:r>
      <w:proofErr w:type="spellEnd"/>
      <w:r w:rsidRPr="002D7F08">
        <w:rPr>
          <w:rFonts w:ascii="Garamond" w:hAnsi="Garamond"/>
          <w:sz w:val="24"/>
          <w:szCs w:val="24"/>
        </w:rPr>
        <w:t xml:space="preserve">, J. G., &amp; Ley, E. (2002). Tax Incentives for Business Investment: A Primer for Policy Makers in Developing Countries. </w:t>
      </w:r>
      <w:r w:rsidRPr="002D7F08">
        <w:rPr>
          <w:rFonts w:ascii="Garamond" w:hAnsi="Garamond"/>
          <w:i/>
          <w:iCs/>
          <w:sz w:val="24"/>
          <w:szCs w:val="24"/>
        </w:rPr>
        <w:t>The International Monetary Fund</w:t>
      </w:r>
      <w:r w:rsidRPr="002D7F08">
        <w:rPr>
          <w:rFonts w:ascii="Garamond" w:hAnsi="Garamond"/>
          <w:sz w:val="24"/>
          <w:szCs w:val="24"/>
        </w:rPr>
        <w:t>, Washington, DC, USA.</w:t>
      </w:r>
    </w:p>
    <w:p w14:paraId="0A1EE4E8" w14:textId="77777777" w:rsidR="00193D32" w:rsidRPr="002D7F08" w:rsidRDefault="00193D32" w:rsidP="00193D32">
      <w:pPr>
        <w:spacing w:line="360" w:lineRule="auto"/>
        <w:rPr>
          <w:rFonts w:ascii="Garamond" w:hAnsi="Garamond"/>
          <w:sz w:val="24"/>
          <w:szCs w:val="24"/>
          <w:lang w:val="pt-PT"/>
        </w:rPr>
      </w:pPr>
    </w:p>
    <w:p w14:paraId="5E405E0A" w14:textId="77777777" w:rsidR="00193D32" w:rsidRPr="002D7F08" w:rsidRDefault="00193D32" w:rsidP="00193D32">
      <w:pPr>
        <w:spacing w:line="360" w:lineRule="auto"/>
        <w:rPr>
          <w:rFonts w:ascii="Garamond" w:hAnsi="Garamond"/>
          <w:sz w:val="24"/>
          <w:szCs w:val="24"/>
          <w:lang w:val="pt-PT"/>
        </w:rPr>
      </w:pPr>
    </w:p>
    <w:p w14:paraId="7770A6E6" w14:textId="77777777" w:rsidR="005A3564" w:rsidRDefault="005A3564" w:rsidP="005A3564">
      <w:pPr>
        <w:pStyle w:val="TtuloPrincipalTese"/>
        <w:numPr>
          <w:ilvl w:val="0"/>
          <w:numId w:val="0"/>
        </w:numPr>
      </w:pPr>
    </w:p>
    <w:p w14:paraId="1783B94F" w14:textId="77777777" w:rsidR="0044036E" w:rsidRPr="002D7F08" w:rsidRDefault="0044036E" w:rsidP="000942BF">
      <w:pPr>
        <w:spacing w:line="360" w:lineRule="auto"/>
        <w:rPr>
          <w:rFonts w:ascii="Garamond" w:hAnsi="Garamond"/>
          <w:sz w:val="24"/>
          <w:szCs w:val="24"/>
          <w:lang w:val="pt-PT"/>
        </w:rPr>
      </w:pPr>
    </w:p>
    <w:sectPr w:rsidR="0044036E" w:rsidRPr="002D7F08" w:rsidSect="00DA62B6">
      <w:pgSz w:w="11906" w:h="16838"/>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4BE0F" w14:textId="77777777" w:rsidR="009109A7" w:rsidRDefault="009109A7" w:rsidP="00DF33F0">
      <w:pPr>
        <w:spacing w:after="0" w:line="240" w:lineRule="auto"/>
      </w:pPr>
      <w:r>
        <w:separator/>
      </w:r>
    </w:p>
  </w:endnote>
  <w:endnote w:type="continuationSeparator" w:id="0">
    <w:p w14:paraId="6A2365A9" w14:textId="77777777" w:rsidR="009109A7" w:rsidRDefault="009109A7" w:rsidP="00DF3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GillSans">
    <w:altName w:val="Gill Sans"/>
    <w:panose1 w:val="00000000000000000000"/>
    <w:charset w:val="4D"/>
    <w:family w:val="auto"/>
    <w:notTrueType/>
    <w:pitch w:val="default"/>
    <w:sig w:usb0="00000003" w:usb1="00000000" w:usb2="00000000" w:usb3="00000000" w:csb0="00000001" w:csb1="00000000"/>
  </w:font>
  <w:font w:name="Gill Sans">
    <w:charset w:val="B1"/>
    <w:family w:val="swiss"/>
    <w:pitch w:val="variable"/>
    <w:sig w:usb0="80000A67" w:usb1="00000000" w:usb2="00000000" w:usb3="00000000" w:csb0="000001F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0F5E" w14:textId="443619E6" w:rsidR="00EE31AB" w:rsidRDefault="00EE31AB">
    <w:pPr>
      <w:pStyle w:val="Footer"/>
      <w:jc w:val="right"/>
    </w:pPr>
  </w:p>
  <w:p w14:paraId="0B35D09D" w14:textId="77777777" w:rsidR="00EE31AB" w:rsidRDefault="00EE3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7651"/>
      <w:docPartObj>
        <w:docPartGallery w:val="Page Numbers (Bottom of Page)"/>
        <w:docPartUnique/>
      </w:docPartObj>
    </w:sdtPr>
    <w:sdtEndPr>
      <w:rPr>
        <w:noProof/>
      </w:rPr>
    </w:sdtEndPr>
    <w:sdtContent>
      <w:p w14:paraId="598CC4DD" w14:textId="77777777" w:rsidR="00C82395" w:rsidRDefault="00C823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694694" w14:textId="77777777" w:rsidR="00C82395" w:rsidRDefault="00C82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C083B" w14:textId="77777777" w:rsidR="009109A7" w:rsidRDefault="009109A7" w:rsidP="00DF33F0">
      <w:pPr>
        <w:spacing w:after="0" w:line="240" w:lineRule="auto"/>
      </w:pPr>
      <w:r>
        <w:separator/>
      </w:r>
    </w:p>
  </w:footnote>
  <w:footnote w:type="continuationSeparator" w:id="0">
    <w:p w14:paraId="03497D57" w14:textId="77777777" w:rsidR="009109A7" w:rsidRDefault="009109A7" w:rsidP="00DF3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0F94"/>
    <w:multiLevelType w:val="hybridMultilevel"/>
    <w:tmpl w:val="AD04E4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D2E5D32"/>
    <w:multiLevelType w:val="hybridMultilevel"/>
    <w:tmpl w:val="4210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1726CB"/>
    <w:multiLevelType w:val="hybridMultilevel"/>
    <w:tmpl w:val="E690DB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C91C68"/>
    <w:multiLevelType w:val="hybridMultilevel"/>
    <w:tmpl w:val="F35A4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145D8"/>
    <w:multiLevelType w:val="hybridMultilevel"/>
    <w:tmpl w:val="6C2C3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CF55AF"/>
    <w:multiLevelType w:val="hybridMultilevel"/>
    <w:tmpl w:val="B2DAE5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B7F7070"/>
    <w:multiLevelType w:val="hybridMultilevel"/>
    <w:tmpl w:val="FEE43A9E"/>
    <w:lvl w:ilvl="0" w:tplc="20B87A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1E0A8B"/>
    <w:multiLevelType w:val="hybridMultilevel"/>
    <w:tmpl w:val="533A512C"/>
    <w:lvl w:ilvl="0" w:tplc="A7B8D6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4803E7"/>
    <w:multiLevelType w:val="hybridMultilevel"/>
    <w:tmpl w:val="D3A63C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E847E40"/>
    <w:multiLevelType w:val="multilevel"/>
    <w:tmpl w:val="04045FB0"/>
    <w:lvl w:ilvl="0">
      <w:start w:val="1"/>
      <w:numFmt w:val="decimal"/>
      <w:pStyle w:val="TtuloPrincipalTese"/>
      <w:lvlText w:val="%1."/>
      <w:lvlJc w:val="left"/>
      <w:pPr>
        <w:ind w:left="927" w:hanging="360"/>
      </w:pPr>
      <w:rPr>
        <w:rFonts w:hint="default"/>
      </w:rPr>
    </w:lvl>
    <w:lvl w:ilvl="1">
      <w:start w:val="1"/>
      <w:numFmt w:val="decimal"/>
      <w:pStyle w:val="TtuloSecundrioTese"/>
      <w:isLgl/>
      <w:lvlText w:val="%1.%2."/>
      <w:lvlJc w:val="left"/>
      <w:pPr>
        <w:ind w:left="861"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885605032">
    <w:abstractNumId w:val="2"/>
  </w:num>
  <w:num w:numId="2" w16cid:durableId="987780883">
    <w:abstractNumId w:val="0"/>
  </w:num>
  <w:num w:numId="3" w16cid:durableId="2038316098">
    <w:abstractNumId w:val="8"/>
  </w:num>
  <w:num w:numId="4" w16cid:durableId="1867986802">
    <w:abstractNumId w:val="9"/>
  </w:num>
  <w:num w:numId="5" w16cid:durableId="954754331">
    <w:abstractNumId w:val="3"/>
  </w:num>
  <w:num w:numId="6" w16cid:durableId="1916427728">
    <w:abstractNumId w:val="4"/>
  </w:num>
  <w:num w:numId="7" w16cid:durableId="99834424">
    <w:abstractNumId w:val="5"/>
  </w:num>
  <w:num w:numId="8" w16cid:durableId="1371566638">
    <w:abstractNumId w:val="1"/>
  </w:num>
  <w:num w:numId="9" w16cid:durableId="1107387125">
    <w:abstractNumId w:val="6"/>
  </w:num>
  <w:num w:numId="10" w16cid:durableId="84886213">
    <w:abstractNumId w:val="7"/>
  </w:num>
  <w:num w:numId="11" w16cid:durableId="777136561">
    <w:abstractNumId w:val="9"/>
  </w:num>
  <w:num w:numId="12" w16cid:durableId="1202209647">
    <w:abstractNumId w:val="9"/>
    <w:lvlOverride w:ilvl="0">
      <w:startOverride w:val="7"/>
    </w:lvlOverride>
  </w:num>
  <w:num w:numId="13" w16cid:durableId="13560744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E8"/>
    <w:rsid w:val="000019F0"/>
    <w:rsid w:val="00003F1C"/>
    <w:rsid w:val="00013E41"/>
    <w:rsid w:val="000150B0"/>
    <w:rsid w:val="000155FE"/>
    <w:rsid w:val="00015FAE"/>
    <w:rsid w:val="000162FC"/>
    <w:rsid w:val="0002298F"/>
    <w:rsid w:val="00025143"/>
    <w:rsid w:val="00025168"/>
    <w:rsid w:val="0002603F"/>
    <w:rsid w:val="00031556"/>
    <w:rsid w:val="00031AE3"/>
    <w:rsid w:val="000336B6"/>
    <w:rsid w:val="00042C93"/>
    <w:rsid w:val="0004390B"/>
    <w:rsid w:val="00050125"/>
    <w:rsid w:val="0005146F"/>
    <w:rsid w:val="000555C2"/>
    <w:rsid w:val="00060643"/>
    <w:rsid w:val="0006235D"/>
    <w:rsid w:val="0006751E"/>
    <w:rsid w:val="00067E43"/>
    <w:rsid w:val="00077215"/>
    <w:rsid w:val="00077812"/>
    <w:rsid w:val="00084330"/>
    <w:rsid w:val="00086979"/>
    <w:rsid w:val="000942BF"/>
    <w:rsid w:val="000975B4"/>
    <w:rsid w:val="000A1545"/>
    <w:rsid w:val="000B184B"/>
    <w:rsid w:val="000B4964"/>
    <w:rsid w:val="000B5F5E"/>
    <w:rsid w:val="000C2359"/>
    <w:rsid w:val="000C37DC"/>
    <w:rsid w:val="000C3F40"/>
    <w:rsid w:val="000C63D0"/>
    <w:rsid w:val="000C725E"/>
    <w:rsid w:val="000D18D0"/>
    <w:rsid w:val="000D1BD7"/>
    <w:rsid w:val="000D2245"/>
    <w:rsid w:val="000D398A"/>
    <w:rsid w:val="000E2361"/>
    <w:rsid w:val="000E4BA8"/>
    <w:rsid w:val="000E75B4"/>
    <w:rsid w:val="000F13A6"/>
    <w:rsid w:val="000F40D6"/>
    <w:rsid w:val="000F4BEB"/>
    <w:rsid w:val="000F608A"/>
    <w:rsid w:val="000F669F"/>
    <w:rsid w:val="000F6DA0"/>
    <w:rsid w:val="000F6E4E"/>
    <w:rsid w:val="00101287"/>
    <w:rsid w:val="00102BE0"/>
    <w:rsid w:val="00110B16"/>
    <w:rsid w:val="00110FE1"/>
    <w:rsid w:val="00115A8B"/>
    <w:rsid w:val="00116233"/>
    <w:rsid w:val="0012125C"/>
    <w:rsid w:val="0012424B"/>
    <w:rsid w:val="001277BA"/>
    <w:rsid w:val="00127ECD"/>
    <w:rsid w:val="00134332"/>
    <w:rsid w:val="00137757"/>
    <w:rsid w:val="00143929"/>
    <w:rsid w:val="00147F23"/>
    <w:rsid w:val="00154843"/>
    <w:rsid w:val="00157348"/>
    <w:rsid w:val="00160EB0"/>
    <w:rsid w:val="00161887"/>
    <w:rsid w:val="00167547"/>
    <w:rsid w:val="0017108D"/>
    <w:rsid w:val="00175A71"/>
    <w:rsid w:val="001823C2"/>
    <w:rsid w:val="00183022"/>
    <w:rsid w:val="00183EB6"/>
    <w:rsid w:val="00184B1E"/>
    <w:rsid w:val="00186405"/>
    <w:rsid w:val="001876F4"/>
    <w:rsid w:val="00190F72"/>
    <w:rsid w:val="00193373"/>
    <w:rsid w:val="00193421"/>
    <w:rsid w:val="00193D32"/>
    <w:rsid w:val="001A2A0F"/>
    <w:rsid w:val="001A3E4B"/>
    <w:rsid w:val="001B4F32"/>
    <w:rsid w:val="001B5A2F"/>
    <w:rsid w:val="001B667A"/>
    <w:rsid w:val="001B7524"/>
    <w:rsid w:val="001C0018"/>
    <w:rsid w:val="001C0B82"/>
    <w:rsid w:val="001C4E07"/>
    <w:rsid w:val="001C5DFF"/>
    <w:rsid w:val="001C64CD"/>
    <w:rsid w:val="001D2169"/>
    <w:rsid w:val="001D48B1"/>
    <w:rsid w:val="001F03F8"/>
    <w:rsid w:val="001F1114"/>
    <w:rsid w:val="001F2902"/>
    <w:rsid w:val="00200290"/>
    <w:rsid w:val="002073FF"/>
    <w:rsid w:val="00210A69"/>
    <w:rsid w:val="00211D23"/>
    <w:rsid w:val="00212B02"/>
    <w:rsid w:val="002132A3"/>
    <w:rsid w:val="00216DC4"/>
    <w:rsid w:val="002215A8"/>
    <w:rsid w:val="00223AAA"/>
    <w:rsid w:val="002252AE"/>
    <w:rsid w:val="00230CDC"/>
    <w:rsid w:val="002316E2"/>
    <w:rsid w:val="002334DB"/>
    <w:rsid w:val="00243247"/>
    <w:rsid w:val="0024378E"/>
    <w:rsid w:val="0025045F"/>
    <w:rsid w:val="00251BB8"/>
    <w:rsid w:val="00253377"/>
    <w:rsid w:val="002568DC"/>
    <w:rsid w:val="00260760"/>
    <w:rsid w:val="00260F74"/>
    <w:rsid w:val="00261B97"/>
    <w:rsid w:val="00262D20"/>
    <w:rsid w:val="00265708"/>
    <w:rsid w:val="00275E97"/>
    <w:rsid w:val="00285574"/>
    <w:rsid w:val="00293549"/>
    <w:rsid w:val="002A1115"/>
    <w:rsid w:val="002A145C"/>
    <w:rsid w:val="002A52D0"/>
    <w:rsid w:val="002A7C74"/>
    <w:rsid w:val="002B1A60"/>
    <w:rsid w:val="002B2385"/>
    <w:rsid w:val="002B239F"/>
    <w:rsid w:val="002B2E20"/>
    <w:rsid w:val="002B54DE"/>
    <w:rsid w:val="002C3AEA"/>
    <w:rsid w:val="002C7069"/>
    <w:rsid w:val="002C7D4B"/>
    <w:rsid w:val="002C7FBB"/>
    <w:rsid w:val="002D211C"/>
    <w:rsid w:val="002D2E7F"/>
    <w:rsid w:val="002D44EE"/>
    <w:rsid w:val="002D612A"/>
    <w:rsid w:val="002D7F08"/>
    <w:rsid w:val="002E0999"/>
    <w:rsid w:val="002E30B3"/>
    <w:rsid w:val="002F0B5D"/>
    <w:rsid w:val="002F33C6"/>
    <w:rsid w:val="002F3D48"/>
    <w:rsid w:val="00300375"/>
    <w:rsid w:val="003012A0"/>
    <w:rsid w:val="00302B5E"/>
    <w:rsid w:val="003030A3"/>
    <w:rsid w:val="0030780E"/>
    <w:rsid w:val="003101E8"/>
    <w:rsid w:val="0031022A"/>
    <w:rsid w:val="0031198B"/>
    <w:rsid w:val="003120B9"/>
    <w:rsid w:val="00313A6E"/>
    <w:rsid w:val="003300AC"/>
    <w:rsid w:val="003308D8"/>
    <w:rsid w:val="003322F9"/>
    <w:rsid w:val="003337D0"/>
    <w:rsid w:val="00337466"/>
    <w:rsid w:val="00337647"/>
    <w:rsid w:val="0034150F"/>
    <w:rsid w:val="00342D8E"/>
    <w:rsid w:val="00343211"/>
    <w:rsid w:val="00345C3B"/>
    <w:rsid w:val="00347674"/>
    <w:rsid w:val="00347DCC"/>
    <w:rsid w:val="003521FC"/>
    <w:rsid w:val="0035791F"/>
    <w:rsid w:val="00365935"/>
    <w:rsid w:val="0036770A"/>
    <w:rsid w:val="00371D0B"/>
    <w:rsid w:val="0037541F"/>
    <w:rsid w:val="0037723C"/>
    <w:rsid w:val="003827A0"/>
    <w:rsid w:val="00382F30"/>
    <w:rsid w:val="00385031"/>
    <w:rsid w:val="003874F0"/>
    <w:rsid w:val="003953E5"/>
    <w:rsid w:val="003A0B98"/>
    <w:rsid w:val="003A16D1"/>
    <w:rsid w:val="003A608C"/>
    <w:rsid w:val="003C204D"/>
    <w:rsid w:val="003C520D"/>
    <w:rsid w:val="003C5574"/>
    <w:rsid w:val="003C5CFC"/>
    <w:rsid w:val="003E068D"/>
    <w:rsid w:val="003E32B5"/>
    <w:rsid w:val="003E4181"/>
    <w:rsid w:val="003F3D15"/>
    <w:rsid w:val="003F44F4"/>
    <w:rsid w:val="003F55BD"/>
    <w:rsid w:val="003F79EF"/>
    <w:rsid w:val="00402283"/>
    <w:rsid w:val="004037C5"/>
    <w:rsid w:val="00404B6F"/>
    <w:rsid w:val="0040533D"/>
    <w:rsid w:val="00411335"/>
    <w:rsid w:val="00413D35"/>
    <w:rsid w:val="00414574"/>
    <w:rsid w:val="00416CF4"/>
    <w:rsid w:val="00417B9A"/>
    <w:rsid w:val="004216E3"/>
    <w:rsid w:val="00425302"/>
    <w:rsid w:val="004256D9"/>
    <w:rsid w:val="00425911"/>
    <w:rsid w:val="0042698F"/>
    <w:rsid w:val="0043025B"/>
    <w:rsid w:val="00430B72"/>
    <w:rsid w:val="0043115C"/>
    <w:rsid w:val="00431DB8"/>
    <w:rsid w:val="004332DB"/>
    <w:rsid w:val="004366CA"/>
    <w:rsid w:val="00437B9F"/>
    <w:rsid w:val="0044036E"/>
    <w:rsid w:val="00445280"/>
    <w:rsid w:val="00446A32"/>
    <w:rsid w:val="004471F7"/>
    <w:rsid w:val="00447DB5"/>
    <w:rsid w:val="0045100D"/>
    <w:rsid w:val="00451A3A"/>
    <w:rsid w:val="00452ED8"/>
    <w:rsid w:val="00454036"/>
    <w:rsid w:val="00462F5B"/>
    <w:rsid w:val="00472344"/>
    <w:rsid w:val="004728E5"/>
    <w:rsid w:val="004748BE"/>
    <w:rsid w:val="00475614"/>
    <w:rsid w:val="004812DC"/>
    <w:rsid w:val="00486DFB"/>
    <w:rsid w:val="00490166"/>
    <w:rsid w:val="00494D59"/>
    <w:rsid w:val="004957C3"/>
    <w:rsid w:val="00495B96"/>
    <w:rsid w:val="00496F9D"/>
    <w:rsid w:val="00497804"/>
    <w:rsid w:val="00497D6E"/>
    <w:rsid w:val="004A0CF3"/>
    <w:rsid w:val="004B0ECE"/>
    <w:rsid w:val="004B2BC5"/>
    <w:rsid w:val="004B36E5"/>
    <w:rsid w:val="004B471E"/>
    <w:rsid w:val="004B5F8F"/>
    <w:rsid w:val="004C1903"/>
    <w:rsid w:val="004C1908"/>
    <w:rsid w:val="004C1E13"/>
    <w:rsid w:val="004C349B"/>
    <w:rsid w:val="004C69FF"/>
    <w:rsid w:val="004D6043"/>
    <w:rsid w:val="004E6CC7"/>
    <w:rsid w:val="004F1F73"/>
    <w:rsid w:val="004F464E"/>
    <w:rsid w:val="004F750B"/>
    <w:rsid w:val="004F7786"/>
    <w:rsid w:val="00500181"/>
    <w:rsid w:val="00500336"/>
    <w:rsid w:val="005019FD"/>
    <w:rsid w:val="005027ED"/>
    <w:rsid w:val="00507497"/>
    <w:rsid w:val="00514848"/>
    <w:rsid w:val="0051588D"/>
    <w:rsid w:val="00520BC7"/>
    <w:rsid w:val="005239FA"/>
    <w:rsid w:val="00523E57"/>
    <w:rsid w:val="00525F17"/>
    <w:rsid w:val="005278EC"/>
    <w:rsid w:val="005304B9"/>
    <w:rsid w:val="00533642"/>
    <w:rsid w:val="005339E6"/>
    <w:rsid w:val="00536D5A"/>
    <w:rsid w:val="00537D00"/>
    <w:rsid w:val="00541DBA"/>
    <w:rsid w:val="00543EA9"/>
    <w:rsid w:val="005443C0"/>
    <w:rsid w:val="00544405"/>
    <w:rsid w:val="005455FB"/>
    <w:rsid w:val="00553BAA"/>
    <w:rsid w:val="005561F5"/>
    <w:rsid w:val="00562C21"/>
    <w:rsid w:val="00565792"/>
    <w:rsid w:val="005666D4"/>
    <w:rsid w:val="00566AD8"/>
    <w:rsid w:val="00567A0E"/>
    <w:rsid w:val="00567FAF"/>
    <w:rsid w:val="00573E5B"/>
    <w:rsid w:val="00584086"/>
    <w:rsid w:val="0058603E"/>
    <w:rsid w:val="0059027A"/>
    <w:rsid w:val="00597122"/>
    <w:rsid w:val="005A096F"/>
    <w:rsid w:val="005A19D7"/>
    <w:rsid w:val="005A3564"/>
    <w:rsid w:val="005A5785"/>
    <w:rsid w:val="005B08CC"/>
    <w:rsid w:val="005B223E"/>
    <w:rsid w:val="005B4640"/>
    <w:rsid w:val="005B6345"/>
    <w:rsid w:val="005B74C4"/>
    <w:rsid w:val="005B7FA5"/>
    <w:rsid w:val="005C039F"/>
    <w:rsid w:val="005C257C"/>
    <w:rsid w:val="005C456B"/>
    <w:rsid w:val="005C4BBD"/>
    <w:rsid w:val="005C4E9B"/>
    <w:rsid w:val="005D421C"/>
    <w:rsid w:val="005E202C"/>
    <w:rsid w:val="005E36FA"/>
    <w:rsid w:val="005F16A7"/>
    <w:rsid w:val="005F1B2F"/>
    <w:rsid w:val="005F3DD1"/>
    <w:rsid w:val="005F71A9"/>
    <w:rsid w:val="00605348"/>
    <w:rsid w:val="00606AB6"/>
    <w:rsid w:val="006126A6"/>
    <w:rsid w:val="00612853"/>
    <w:rsid w:val="00613298"/>
    <w:rsid w:val="00613DB0"/>
    <w:rsid w:val="006141F5"/>
    <w:rsid w:val="00615BDF"/>
    <w:rsid w:val="00621150"/>
    <w:rsid w:val="00624745"/>
    <w:rsid w:val="00626F00"/>
    <w:rsid w:val="0063210B"/>
    <w:rsid w:val="00634FE2"/>
    <w:rsid w:val="00641432"/>
    <w:rsid w:val="006414DC"/>
    <w:rsid w:val="00642608"/>
    <w:rsid w:val="00642E3D"/>
    <w:rsid w:val="00646539"/>
    <w:rsid w:val="00646E65"/>
    <w:rsid w:val="0064715C"/>
    <w:rsid w:val="0064755D"/>
    <w:rsid w:val="00651A7D"/>
    <w:rsid w:val="006570AD"/>
    <w:rsid w:val="0066206C"/>
    <w:rsid w:val="0066277A"/>
    <w:rsid w:val="00665A5E"/>
    <w:rsid w:val="00677CE3"/>
    <w:rsid w:val="00677DA9"/>
    <w:rsid w:val="006833A3"/>
    <w:rsid w:val="00690008"/>
    <w:rsid w:val="00690CFD"/>
    <w:rsid w:val="00692360"/>
    <w:rsid w:val="006938BB"/>
    <w:rsid w:val="00694135"/>
    <w:rsid w:val="0069489F"/>
    <w:rsid w:val="00695D07"/>
    <w:rsid w:val="006967ED"/>
    <w:rsid w:val="00696CCB"/>
    <w:rsid w:val="00697ACC"/>
    <w:rsid w:val="006A4ABA"/>
    <w:rsid w:val="006A7886"/>
    <w:rsid w:val="006B48E9"/>
    <w:rsid w:val="006B4DF6"/>
    <w:rsid w:val="006C0EFF"/>
    <w:rsid w:val="006C119F"/>
    <w:rsid w:val="006C4170"/>
    <w:rsid w:val="006C486D"/>
    <w:rsid w:val="006D07D2"/>
    <w:rsid w:val="006D0F7E"/>
    <w:rsid w:val="006D48C1"/>
    <w:rsid w:val="006E244E"/>
    <w:rsid w:val="006E3A6B"/>
    <w:rsid w:val="006E41C7"/>
    <w:rsid w:val="006E7F61"/>
    <w:rsid w:val="006F2562"/>
    <w:rsid w:val="006F3428"/>
    <w:rsid w:val="006F34A7"/>
    <w:rsid w:val="006F360C"/>
    <w:rsid w:val="006F4A26"/>
    <w:rsid w:val="006F5550"/>
    <w:rsid w:val="00703C0E"/>
    <w:rsid w:val="00712676"/>
    <w:rsid w:val="00714C47"/>
    <w:rsid w:val="00722C0C"/>
    <w:rsid w:val="00722EA5"/>
    <w:rsid w:val="00726D6F"/>
    <w:rsid w:val="00732C40"/>
    <w:rsid w:val="00733502"/>
    <w:rsid w:val="00741E41"/>
    <w:rsid w:val="00744197"/>
    <w:rsid w:val="00750890"/>
    <w:rsid w:val="00751B0E"/>
    <w:rsid w:val="00752FC4"/>
    <w:rsid w:val="007539F1"/>
    <w:rsid w:val="0075538D"/>
    <w:rsid w:val="00755E5D"/>
    <w:rsid w:val="00757A0B"/>
    <w:rsid w:val="007603A8"/>
    <w:rsid w:val="007624BE"/>
    <w:rsid w:val="00764360"/>
    <w:rsid w:val="00765AA9"/>
    <w:rsid w:val="00765AF1"/>
    <w:rsid w:val="00770C4E"/>
    <w:rsid w:val="0077188A"/>
    <w:rsid w:val="0077337C"/>
    <w:rsid w:val="00773598"/>
    <w:rsid w:val="0077439E"/>
    <w:rsid w:val="007745B9"/>
    <w:rsid w:val="00783918"/>
    <w:rsid w:val="00787450"/>
    <w:rsid w:val="00787789"/>
    <w:rsid w:val="00787852"/>
    <w:rsid w:val="007900F1"/>
    <w:rsid w:val="007960FD"/>
    <w:rsid w:val="007A4897"/>
    <w:rsid w:val="007B20CA"/>
    <w:rsid w:val="007B2D74"/>
    <w:rsid w:val="007B42C9"/>
    <w:rsid w:val="007B6771"/>
    <w:rsid w:val="007C1C23"/>
    <w:rsid w:val="007C34B0"/>
    <w:rsid w:val="007C35A3"/>
    <w:rsid w:val="007C7E59"/>
    <w:rsid w:val="007D169E"/>
    <w:rsid w:val="007D47EA"/>
    <w:rsid w:val="007D55F9"/>
    <w:rsid w:val="007D691D"/>
    <w:rsid w:val="007E540B"/>
    <w:rsid w:val="007E7B0D"/>
    <w:rsid w:val="007F1530"/>
    <w:rsid w:val="007F2804"/>
    <w:rsid w:val="007F3404"/>
    <w:rsid w:val="00810D37"/>
    <w:rsid w:val="0081458D"/>
    <w:rsid w:val="00814958"/>
    <w:rsid w:val="00815B53"/>
    <w:rsid w:val="008171DC"/>
    <w:rsid w:val="00820E74"/>
    <w:rsid w:val="008232ED"/>
    <w:rsid w:val="00823B17"/>
    <w:rsid w:val="00824EAA"/>
    <w:rsid w:val="0082559A"/>
    <w:rsid w:val="00827D6E"/>
    <w:rsid w:val="00831F38"/>
    <w:rsid w:val="0083246C"/>
    <w:rsid w:val="0084061B"/>
    <w:rsid w:val="00842302"/>
    <w:rsid w:val="00843668"/>
    <w:rsid w:val="008477A0"/>
    <w:rsid w:val="0085122B"/>
    <w:rsid w:val="00852A0C"/>
    <w:rsid w:val="008556B7"/>
    <w:rsid w:val="008563C0"/>
    <w:rsid w:val="008606FA"/>
    <w:rsid w:val="008625D4"/>
    <w:rsid w:val="00871884"/>
    <w:rsid w:val="008718F8"/>
    <w:rsid w:val="00872B86"/>
    <w:rsid w:val="00877A48"/>
    <w:rsid w:val="008824C8"/>
    <w:rsid w:val="00882DEC"/>
    <w:rsid w:val="008846EB"/>
    <w:rsid w:val="008855F3"/>
    <w:rsid w:val="00885824"/>
    <w:rsid w:val="00890F48"/>
    <w:rsid w:val="008A0A7B"/>
    <w:rsid w:val="008A2C67"/>
    <w:rsid w:val="008A3EE8"/>
    <w:rsid w:val="008B5397"/>
    <w:rsid w:val="008B5B93"/>
    <w:rsid w:val="008C340C"/>
    <w:rsid w:val="008C6DDC"/>
    <w:rsid w:val="008C7EF9"/>
    <w:rsid w:val="008D2428"/>
    <w:rsid w:val="008D2AB4"/>
    <w:rsid w:val="008D42DB"/>
    <w:rsid w:val="008D6866"/>
    <w:rsid w:val="008E1D1C"/>
    <w:rsid w:val="008E29AC"/>
    <w:rsid w:val="008E41E6"/>
    <w:rsid w:val="008E685F"/>
    <w:rsid w:val="008E7D53"/>
    <w:rsid w:val="00900F2D"/>
    <w:rsid w:val="0090622E"/>
    <w:rsid w:val="00907550"/>
    <w:rsid w:val="00907A4A"/>
    <w:rsid w:val="009109A7"/>
    <w:rsid w:val="00910B56"/>
    <w:rsid w:val="0091140A"/>
    <w:rsid w:val="00914D93"/>
    <w:rsid w:val="00920646"/>
    <w:rsid w:val="00920AF5"/>
    <w:rsid w:val="00921750"/>
    <w:rsid w:val="00923DCB"/>
    <w:rsid w:val="00930C90"/>
    <w:rsid w:val="009343C9"/>
    <w:rsid w:val="00943B92"/>
    <w:rsid w:val="009514A2"/>
    <w:rsid w:val="00951BBF"/>
    <w:rsid w:val="00952038"/>
    <w:rsid w:val="00954A35"/>
    <w:rsid w:val="00954BDD"/>
    <w:rsid w:val="00954F8E"/>
    <w:rsid w:val="00954FFF"/>
    <w:rsid w:val="009572EF"/>
    <w:rsid w:val="00960070"/>
    <w:rsid w:val="0097028C"/>
    <w:rsid w:val="009711D6"/>
    <w:rsid w:val="009730EF"/>
    <w:rsid w:val="009737F7"/>
    <w:rsid w:val="009747D2"/>
    <w:rsid w:val="00974A9D"/>
    <w:rsid w:val="00975217"/>
    <w:rsid w:val="00980157"/>
    <w:rsid w:val="00987609"/>
    <w:rsid w:val="0099431B"/>
    <w:rsid w:val="0099476A"/>
    <w:rsid w:val="00994A2B"/>
    <w:rsid w:val="00994B20"/>
    <w:rsid w:val="009961DD"/>
    <w:rsid w:val="00997191"/>
    <w:rsid w:val="009975B2"/>
    <w:rsid w:val="009A3CB9"/>
    <w:rsid w:val="009A4E15"/>
    <w:rsid w:val="009A5B10"/>
    <w:rsid w:val="009A65A5"/>
    <w:rsid w:val="009B5122"/>
    <w:rsid w:val="009C5312"/>
    <w:rsid w:val="009D088E"/>
    <w:rsid w:val="009D17A8"/>
    <w:rsid w:val="009D2E6E"/>
    <w:rsid w:val="009D57F6"/>
    <w:rsid w:val="009D58E6"/>
    <w:rsid w:val="009D6B0C"/>
    <w:rsid w:val="009E1DA3"/>
    <w:rsid w:val="009E4F01"/>
    <w:rsid w:val="009E73F4"/>
    <w:rsid w:val="009F001D"/>
    <w:rsid w:val="009F1BB3"/>
    <w:rsid w:val="009F2F39"/>
    <w:rsid w:val="009F45D5"/>
    <w:rsid w:val="009F50E9"/>
    <w:rsid w:val="009F6262"/>
    <w:rsid w:val="009F73A3"/>
    <w:rsid w:val="00A011B2"/>
    <w:rsid w:val="00A05F31"/>
    <w:rsid w:val="00A132A8"/>
    <w:rsid w:val="00A13EB4"/>
    <w:rsid w:val="00A15FF1"/>
    <w:rsid w:val="00A17B23"/>
    <w:rsid w:val="00A2163F"/>
    <w:rsid w:val="00A251CB"/>
    <w:rsid w:val="00A317D3"/>
    <w:rsid w:val="00A35BC4"/>
    <w:rsid w:val="00A425E9"/>
    <w:rsid w:val="00A46FF5"/>
    <w:rsid w:val="00A4706F"/>
    <w:rsid w:val="00A471EC"/>
    <w:rsid w:val="00A524A7"/>
    <w:rsid w:val="00A53324"/>
    <w:rsid w:val="00A619C3"/>
    <w:rsid w:val="00A627EC"/>
    <w:rsid w:val="00A62BDE"/>
    <w:rsid w:val="00A6382D"/>
    <w:rsid w:val="00A712B7"/>
    <w:rsid w:val="00A76C5B"/>
    <w:rsid w:val="00A80124"/>
    <w:rsid w:val="00A8083C"/>
    <w:rsid w:val="00A84373"/>
    <w:rsid w:val="00A84A03"/>
    <w:rsid w:val="00A945F2"/>
    <w:rsid w:val="00A96084"/>
    <w:rsid w:val="00AA0F1D"/>
    <w:rsid w:val="00AA2CA8"/>
    <w:rsid w:val="00AA2FD5"/>
    <w:rsid w:val="00AA480B"/>
    <w:rsid w:val="00AA6A5C"/>
    <w:rsid w:val="00AA6CCA"/>
    <w:rsid w:val="00AA79CF"/>
    <w:rsid w:val="00AB21C2"/>
    <w:rsid w:val="00AB2AD5"/>
    <w:rsid w:val="00AB72F9"/>
    <w:rsid w:val="00AC3253"/>
    <w:rsid w:val="00AC3FB8"/>
    <w:rsid w:val="00AC4E8A"/>
    <w:rsid w:val="00AC63B9"/>
    <w:rsid w:val="00AC6E48"/>
    <w:rsid w:val="00AD1236"/>
    <w:rsid w:val="00AD1665"/>
    <w:rsid w:val="00AD37D7"/>
    <w:rsid w:val="00AD472B"/>
    <w:rsid w:val="00AD657C"/>
    <w:rsid w:val="00AE476A"/>
    <w:rsid w:val="00AF32AF"/>
    <w:rsid w:val="00AF6609"/>
    <w:rsid w:val="00AF7718"/>
    <w:rsid w:val="00B02022"/>
    <w:rsid w:val="00B114A5"/>
    <w:rsid w:val="00B13189"/>
    <w:rsid w:val="00B13EB4"/>
    <w:rsid w:val="00B14252"/>
    <w:rsid w:val="00B17326"/>
    <w:rsid w:val="00B212E3"/>
    <w:rsid w:val="00B22E01"/>
    <w:rsid w:val="00B26193"/>
    <w:rsid w:val="00B26B2D"/>
    <w:rsid w:val="00B37F12"/>
    <w:rsid w:val="00B42BE3"/>
    <w:rsid w:val="00B432D7"/>
    <w:rsid w:val="00B47C91"/>
    <w:rsid w:val="00B535B0"/>
    <w:rsid w:val="00B548A3"/>
    <w:rsid w:val="00B5591B"/>
    <w:rsid w:val="00B573DE"/>
    <w:rsid w:val="00B61AC1"/>
    <w:rsid w:val="00B64ADD"/>
    <w:rsid w:val="00B658D0"/>
    <w:rsid w:val="00B723A9"/>
    <w:rsid w:val="00B728EF"/>
    <w:rsid w:val="00B7437C"/>
    <w:rsid w:val="00B749D6"/>
    <w:rsid w:val="00B7629D"/>
    <w:rsid w:val="00B767C1"/>
    <w:rsid w:val="00B7701A"/>
    <w:rsid w:val="00B842FA"/>
    <w:rsid w:val="00B87372"/>
    <w:rsid w:val="00B93869"/>
    <w:rsid w:val="00B96A13"/>
    <w:rsid w:val="00BA04EE"/>
    <w:rsid w:val="00BA1B74"/>
    <w:rsid w:val="00BB538C"/>
    <w:rsid w:val="00BC2AA9"/>
    <w:rsid w:val="00BC31B6"/>
    <w:rsid w:val="00BC35C7"/>
    <w:rsid w:val="00BC680E"/>
    <w:rsid w:val="00BC7927"/>
    <w:rsid w:val="00BD15AF"/>
    <w:rsid w:val="00BD37E8"/>
    <w:rsid w:val="00BD48C7"/>
    <w:rsid w:val="00BE2E01"/>
    <w:rsid w:val="00BE39E1"/>
    <w:rsid w:val="00BE5A0B"/>
    <w:rsid w:val="00BE6A81"/>
    <w:rsid w:val="00BE7483"/>
    <w:rsid w:val="00BE76E8"/>
    <w:rsid w:val="00BF1543"/>
    <w:rsid w:val="00BF1FD5"/>
    <w:rsid w:val="00BF3061"/>
    <w:rsid w:val="00BF39AF"/>
    <w:rsid w:val="00BF39C0"/>
    <w:rsid w:val="00C01290"/>
    <w:rsid w:val="00C01B43"/>
    <w:rsid w:val="00C04947"/>
    <w:rsid w:val="00C1174A"/>
    <w:rsid w:val="00C12B9B"/>
    <w:rsid w:val="00C134BD"/>
    <w:rsid w:val="00C13BE6"/>
    <w:rsid w:val="00C153BC"/>
    <w:rsid w:val="00C17BFD"/>
    <w:rsid w:val="00C217A3"/>
    <w:rsid w:val="00C2311E"/>
    <w:rsid w:val="00C2593F"/>
    <w:rsid w:val="00C26796"/>
    <w:rsid w:val="00C27027"/>
    <w:rsid w:val="00C27C8F"/>
    <w:rsid w:val="00C30E24"/>
    <w:rsid w:val="00C33587"/>
    <w:rsid w:val="00C33936"/>
    <w:rsid w:val="00C40BE5"/>
    <w:rsid w:val="00C40DD5"/>
    <w:rsid w:val="00C4253F"/>
    <w:rsid w:val="00C4533F"/>
    <w:rsid w:val="00C46505"/>
    <w:rsid w:val="00C4777C"/>
    <w:rsid w:val="00C50125"/>
    <w:rsid w:val="00C50E2D"/>
    <w:rsid w:val="00C52504"/>
    <w:rsid w:val="00C52A67"/>
    <w:rsid w:val="00C530BA"/>
    <w:rsid w:val="00C53A6F"/>
    <w:rsid w:val="00C54B8F"/>
    <w:rsid w:val="00C6268A"/>
    <w:rsid w:val="00C64269"/>
    <w:rsid w:val="00C65B80"/>
    <w:rsid w:val="00C705D4"/>
    <w:rsid w:val="00C73C48"/>
    <w:rsid w:val="00C77CED"/>
    <w:rsid w:val="00C82088"/>
    <w:rsid w:val="00C82395"/>
    <w:rsid w:val="00C93AC6"/>
    <w:rsid w:val="00CA0CD3"/>
    <w:rsid w:val="00CA1357"/>
    <w:rsid w:val="00CA5C10"/>
    <w:rsid w:val="00CA696C"/>
    <w:rsid w:val="00CB1562"/>
    <w:rsid w:val="00CB2914"/>
    <w:rsid w:val="00CB4653"/>
    <w:rsid w:val="00CB6A3E"/>
    <w:rsid w:val="00CC6697"/>
    <w:rsid w:val="00CD3136"/>
    <w:rsid w:val="00CD7008"/>
    <w:rsid w:val="00CE04B3"/>
    <w:rsid w:val="00CE090D"/>
    <w:rsid w:val="00CE114D"/>
    <w:rsid w:val="00CE1949"/>
    <w:rsid w:val="00CE79AA"/>
    <w:rsid w:val="00CF1811"/>
    <w:rsid w:val="00CF2F04"/>
    <w:rsid w:val="00CF6512"/>
    <w:rsid w:val="00CF6536"/>
    <w:rsid w:val="00D10631"/>
    <w:rsid w:val="00D13B78"/>
    <w:rsid w:val="00D15367"/>
    <w:rsid w:val="00D15D9E"/>
    <w:rsid w:val="00D15DE0"/>
    <w:rsid w:val="00D17E1B"/>
    <w:rsid w:val="00D24DA3"/>
    <w:rsid w:val="00D26C8A"/>
    <w:rsid w:val="00D31C27"/>
    <w:rsid w:val="00D328DD"/>
    <w:rsid w:val="00D34DA4"/>
    <w:rsid w:val="00D35D8D"/>
    <w:rsid w:val="00D37F5A"/>
    <w:rsid w:val="00D41587"/>
    <w:rsid w:val="00D42B3B"/>
    <w:rsid w:val="00D44778"/>
    <w:rsid w:val="00D450E8"/>
    <w:rsid w:val="00D45D3D"/>
    <w:rsid w:val="00D54CB3"/>
    <w:rsid w:val="00D558B7"/>
    <w:rsid w:val="00D62757"/>
    <w:rsid w:val="00D63ECF"/>
    <w:rsid w:val="00D67C5B"/>
    <w:rsid w:val="00D7162B"/>
    <w:rsid w:val="00D72430"/>
    <w:rsid w:val="00D74650"/>
    <w:rsid w:val="00D8060F"/>
    <w:rsid w:val="00D807F4"/>
    <w:rsid w:val="00D864B6"/>
    <w:rsid w:val="00D870CE"/>
    <w:rsid w:val="00D87F0B"/>
    <w:rsid w:val="00D91BDE"/>
    <w:rsid w:val="00D96772"/>
    <w:rsid w:val="00D97D71"/>
    <w:rsid w:val="00DA4B97"/>
    <w:rsid w:val="00DA62B6"/>
    <w:rsid w:val="00DB1928"/>
    <w:rsid w:val="00DB2089"/>
    <w:rsid w:val="00DC3B64"/>
    <w:rsid w:val="00DC68A5"/>
    <w:rsid w:val="00DD1464"/>
    <w:rsid w:val="00DD1984"/>
    <w:rsid w:val="00DD4A1A"/>
    <w:rsid w:val="00DE0A6E"/>
    <w:rsid w:val="00DE1CB3"/>
    <w:rsid w:val="00DE3DC1"/>
    <w:rsid w:val="00DE7325"/>
    <w:rsid w:val="00DF13A8"/>
    <w:rsid w:val="00DF262B"/>
    <w:rsid w:val="00DF33F0"/>
    <w:rsid w:val="00DF49E6"/>
    <w:rsid w:val="00DF4C11"/>
    <w:rsid w:val="00DF5BDB"/>
    <w:rsid w:val="00E019C4"/>
    <w:rsid w:val="00E02492"/>
    <w:rsid w:val="00E104E0"/>
    <w:rsid w:val="00E124B0"/>
    <w:rsid w:val="00E135AE"/>
    <w:rsid w:val="00E136F4"/>
    <w:rsid w:val="00E20B6B"/>
    <w:rsid w:val="00E240EA"/>
    <w:rsid w:val="00E30596"/>
    <w:rsid w:val="00E30822"/>
    <w:rsid w:val="00E3157E"/>
    <w:rsid w:val="00E32DBA"/>
    <w:rsid w:val="00E372AB"/>
    <w:rsid w:val="00E3772A"/>
    <w:rsid w:val="00E40C1D"/>
    <w:rsid w:val="00E42FFF"/>
    <w:rsid w:val="00E43A80"/>
    <w:rsid w:val="00E46A9C"/>
    <w:rsid w:val="00E5080E"/>
    <w:rsid w:val="00E53AF8"/>
    <w:rsid w:val="00E5547B"/>
    <w:rsid w:val="00E573F0"/>
    <w:rsid w:val="00E62CF5"/>
    <w:rsid w:val="00E62DC5"/>
    <w:rsid w:val="00E65BB9"/>
    <w:rsid w:val="00E65E0D"/>
    <w:rsid w:val="00E67323"/>
    <w:rsid w:val="00E74BC3"/>
    <w:rsid w:val="00E809E4"/>
    <w:rsid w:val="00E813AE"/>
    <w:rsid w:val="00E81C9E"/>
    <w:rsid w:val="00E84B9A"/>
    <w:rsid w:val="00E853FC"/>
    <w:rsid w:val="00E91940"/>
    <w:rsid w:val="00E92398"/>
    <w:rsid w:val="00E92C9F"/>
    <w:rsid w:val="00EA16D7"/>
    <w:rsid w:val="00EA77AD"/>
    <w:rsid w:val="00EA7A6D"/>
    <w:rsid w:val="00EB0126"/>
    <w:rsid w:val="00EB18E4"/>
    <w:rsid w:val="00EB397D"/>
    <w:rsid w:val="00EB76B2"/>
    <w:rsid w:val="00EC0115"/>
    <w:rsid w:val="00EC06AF"/>
    <w:rsid w:val="00EC1F6B"/>
    <w:rsid w:val="00EC3390"/>
    <w:rsid w:val="00EC6376"/>
    <w:rsid w:val="00ED0898"/>
    <w:rsid w:val="00ED19CD"/>
    <w:rsid w:val="00ED1FAD"/>
    <w:rsid w:val="00ED4177"/>
    <w:rsid w:val="00ED63A4"/>
    <w:rsid w:val="00ED6DA6"/>
    <w:rsid w:val="00ED77E1"/>
    <w:rsid w:val="00EE1D8D"/>
    <w:rsid w:val="00EE31AB"/>
    <w:rsid w:val="00EE4E47"/>
    <w:rsid w:val="00EE6D48"/>
    <w:rsid w:val="00EF54F6"/>
    <w:rsid w:val="00EF7F7E"/>
    <w:rsid w:val="00F0607E"/>
    <w:rsid w:val="00F061D5"/>
    <w:rsid w:val="00F1172E"/>
    <w:rsid w:val="00F11D1A"/>
    <w:rsid w:val="00F1744C"/>
    <w:rsid w:val="00F22CD7"/>
    <w:rsid w:val="00F24161"/>
    <w:rsid w:val="00F3065C"/>
    <w:rsid w:val="00F31A58"/>
    <w:rsid w:val="00F31E24"/>
    <w:rsid w:val="00F3276B"/>
    <w:rsid w:val="00F32F39"/>
    <w:rsid w:val="00F4090B"/>
    <w:rsid w:val="00F44201"/>
    <w:rsid w:val="00F45E53"/>
    <w:rsid w:val="00F50B3E"/>
    <w:rsid w:val="00F520C5"/>
    <w:rsid w:val="00F53B2A"/>
    <w:rsid w:val="00F55729"/>
    <w:rsid w:val="00F6100F"/>
    <w:rsid w:val="00F64591"/>
    <w:rsid w:val="00F752B1"/>
    <w:rsid w:val="00F851E2"/>
    <w:rsid w:val="00F861FE"/>
    <w:rsid w:val="00F87C25"/>
    <w:rsid w:val="00F904A3"/>
    <w:rsid w:val="00F9506D"/>
    <w:rsid w:val="00FA0134"/>
    <w:rsid w:val="00FA6052"/>
    <w:rsid w:val="00FA7724"/>
    <w:rsid w:val="00FB1621"/>
    <w:rsid w:val="00FB6D48"/>
    <w:rsid w:val="00FC3A70"/>
    <w:rsid w:val="00FC4119"/>
    <w:rsid w:val="00FC4668"/>
    <w:rsid w:val="00FC4A8B"/>
    <w:rsid w:val="00FC4FE3"/>
    <w:rsid w:val="00FE5CBA"/>
    <w:rsid w:val="00FE7482"/>
    <w:rsid w:val="00FF2E72"/>
    <w:rsid w:val="00FF2F59"/>
    <w:rsid w:val="00FF5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28DF7"/>
  <w15:docId w15:val="{EE057E92-DF59-492A-A814-37F2CBED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98F"/>
    <w:pPr>
      <w:spacing w:line="276" w:lineRule="auto"/>
    </w:pPr>
    <w:rPr>
      <w:rFonts w:eastAsiaTheme="minorEastAsia"/>
      <w:sz w:val="21"/>
      <w:szCs w:val="21"/>
    </w:rPr>
  </w:style>
  <w:style w:type="paragraph" w:styleId="Heading1">
    <w:name w:val="heading 1"/>
    <w:basedOn w:val="Normal"/>
    <w:next w:val="Normal"/>
    <w:link w:val="Heading1Char"/>
    <w:uiPriority w:val="9"/>
    <w:qFormat/>
    <w:rsid w:val="004259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259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259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04B6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0E8"/>
    <w:pPr>
      <w:ind w:left="720"/>
      <w:contextualSpacing/>
    </w:pPr>
  </w:style>
  <w:style w:type="paragraph" w:customStyle="1" w:styleId="TtuloPI">
    <w:name w:val="Título PI"/>
    <w:basedOn w:val="Normal"/>
    <w:link w:val="TtuloPIChar"/>
    <w:rsid w:val="00D450E8"/>
    <w:rPr>
      <w:rFonts w:ascii="Garamond" w:hAnsi="Garamond"/>
      <w:b/>
      <w:bCs/>
      <w:sz w:val="26"/>
      <w:lang w:val="pt-PT"/>
    </w:rPr>
  </w:style>
  <w:style w:type="paragraph" w:customStyle="1" w:styleId="SubttuloPI">
    <w:name w:val="Subtítulo PI"/>
    <w:basedOn w:val="Normal"/>
    <w:link w:val="SubttuloPIChar"/>
    <w:rsid w:val="00D450E8"/>
    <w:rPr>
      <w:rFonts w:ascii="Garamond" w:hAnsi="Garamond"/>
      <w:b/>
      <w:bCs/>
      <w:sz w:val="24"/>
      <w:lang w:val="pt-PT"/>
    </w:rPr>
  </w:style>
  <w:style w:type="character" w:customStyle="1" w:styleId="TtuloPIChar">
    <w:name w:val="Título PI Char"/>
    <w:basedOn w:val="DefaultParagraphFont"/>
    <w:link w:val="TtuloPI"/>
    <w:rsid w:val="00D450E8"/>
    <w:rPr>
      <w:rFonts w:ascii="Garamond" w:eastAsiaTheme="minorEastAsia" w:hAnsi="Garamond"/>
      <w:b/>
      <w:bCs/>
      <w:sz w:val="26"/>
      <w:szCs w:val="21"/>
      <w:lang w:val="pt-PT"/>
    </w:rPr>
  </w:style>
  <w:style w:type="character" w:customStyle="1" w:styleId="SubttuloPIChar">
    <w:name w:val="Subtítulo PI Char"/>
    <w:basedOn w:val="DefaultParagraphFont"/>
    <w:link w:val="SubttuloPI"/>
    <w:rsid w:val="00D450E8"/>
    <w:rPr>
      <w:rFonts w:ascii="Garamond" w:eastAsiaTheme="minorEastAsia" w:hAnsi="Garamond"/>
      <w:b/>
      <w:bCs/>
      <w:sz w:val="24"/>
      <w:szCs w:val="21"/>
      <w:lang w:val="pt-PT"/>
    </w:rPr>
  </w:style>
  <w:style w:type="character" w:styleId="PlaceholderText">
    <w:name w:val="Placeholder Text"/>
    <w:basedOn w:val="DefaultParagraphFont"/>
    <w:uiPriority w:val="99"/>
    <w:semiHidden/>
    <w:rsid w:val="000E4BA8"/>
    <w:rPr>
      <w:color w:val="808080"/>
    </w:rPr>
  </w:style>
  <w:style w:type="paragraph" w:styleId="BalloonText">
    <w:name w:val="Balloon Text"/>
    <w:basedOn w:val="Normal"/>
    <w:link w:val="BalloonTextChar"/>
    <w:uiPriority w:val="99"/>
    <w:semiHidden/>
    <w:unhideWhenUsed/>
    <w:rsid w:val="00500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336"/>
    <w:rPr>
      <w:rFonts w:ascii="Tahoma" w:eastAsiaTheme="minorEastAsia" w:hAnsi="Tahoma" w:cs="Tahoma"/>
      <w:sz w:val="16"/>
      <w:szCs w:val="16"/>
    </w:rPr>
  </w:style>
  <w:style w:type="paragraph" w:customStyle="1" w:styleId="TtuloPrincipalTese">
    <w:name w:val="Título Principal Tese"/>
    <w:basedOn w:val="TtuloPI"/>
    <w:link w:val="TtuloPrincipalTeseChar"/>
    <w:qFormat/>
    <w:rsid w:val="00425911"/>
    <w:pPr>
      <w:numPr>
        <w:numId w:val="4"/>
      </w:numPr>
      <w:spacing w:line="360" w:lineRule="auto"/>
    </w:pPr>
    <w:rPr>
      <w:sz w:val="28"/>
      <w:szCs w:val="24"/>
    </w:rPr>
  </w:style>
  <w:style w:type="character" w:customStyle="1" w:styleId="TtuloPrincipalTeseChar">
    <w:name w:val="Título Principal Tese Char"/>
    <w:basedOn w:val="TtuloPIChar"/>
    <w:link w:val="TtuloPrincipalTese"/>
    <w:rsid w:val="00425911"/>
    <w:rPr>
      <w:rFonts w:ascii="Garamond" w:eastAsiaTheme="minorEastAsia" w:hAnsi="Garamond"/>
      <w:b/>
      <w:bCs/>
      <w:sz w:val="28"/>
      <w:szCs w:val="24"/>
      <w:lang w:val="pt-PT"/>
    </w:rPr>
  </w:style>
  <w:style w:type="paragraph" w:customStyle="1" w:styleId="TtuloSecundrioTese">
    <w:name w:val="Título Secundário Tese"/>
    <w:basedOn w:val="SubttuloPI"/>
    <w:link w:val="TtuloSecundrioTeseChar"/>
    <w:qFormat/>
    <w:rsid w:val="00425911"/>
    <w:pPr>
      <w:numPr>
        <w:ilvl w:val="1"/>
        <w:numId w:val="4"/>
      </w:numPr>
      <w:spacing w:line="360" w:lineRule="auto"/>
    </w:pPr>
    <w:rPr>
      <w:szCs w:val="24"/>
    </w:rPr>
  </w:style>
  <w:style w:type="character" w:customStyle="1" w:styleId="TtuloSecundrioTeseChar">
    <w:name w:val="Título Secundário Tese Char"/>
    <w:basedOn w:val="SubttuloPIChar"/>
    <w:link w:val="TtuloSecundrioTese"/>
    <w:rsid w:val="00425911"/>
    <w:rPr>
      <w:rFonts w:ascii="Garamond" w:eastAsiaTheme="minorEastAsia" w:hAnsi="Garamond"/>
      <w:b/>
      <w:bCs/>
      <w:sz w:val="24"/>
      <w:szCs w:val="24"/>
      <w:lang w:val="pt-PT"/>
    </w:rPr>
  </w:style>
  <w:style w:type="paragraph" w:styleId="TOC1">
    <w:name w:val="toc 1"/>
    <w:basedOn w:val="Normal"/>
    <w:next w:val="Normal"/>
    <w:autoRedefine/>
    <w:uiPriority w:val="39"/>
    <w:unhideWhenUsed/>
    <w:rsid w:val="00C27027"/>
    <w:pPr>
      <w:tabs>
        <w:tab w:val="right" w:leader="dot" w:pos="8493"/>
      </w:tabs>
      <w:spacing w:after="100"/>
    </w:pPr>
    <w:rPr>
      <w:rFonts w:ascii="Garamond" w:hAnsi="Garamond"/>
      <w:b/>
      <w:bCs/>
      <w:noProof/>
      <w:sz w:val="24"/>
      <w:szCs w:val="24"/>
    </w:rPr>
  </w:style>
  <w:style w:type="character" w:customStyle="1" w:styleId="Heading1Char">
    <w:name w:val="Heading 1 Char"/>
    <w:basedOn w:val="DefaultParagraphFont"/>
    <w:link w:val="Heading1"/>
    <w:uiPriority w:val="9"/>
    <w:rsid w:val="0042591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2591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25911"/>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425911"/>
    <w:pPr>
      <w:spacing w:after="100"/>
      <w:ind w:left="210"/>
    </w:pPr>
  </w:style>
  <w:style w:type="character" w:styleId="Hyperlink">
    <w:name w:val="Hyperlink"/>
    <w:basedOn w:val="DefaultParagraphFont"/>
    <w:uiPriority w:val="99"/>
    <w:unhideWhenUsed/>
    <w:rsid w:val="00425911"/>
    <w:rPr>
      <w:color w:val="0563C1" w:themeColor="hyperlink"/>
      <w:u w:val="single"/>
    </w:rPr>
  </w:style>
  <w:style w:type="paragraph" w:customStyle="1" w:styleId="Ttulo2SecundrioTese">
    <w:name w:val="Título 2 Secundário Tese"/>
    <w:basedOn w:val="TtuloPI"/>
    <w:link w:val="Ttulo2SecundrioTeseChar"/>
    <w:qFormat/>
    <w:rsid w:val="00425911"/>
    <w:pPr>
      <w:spacing w:line="360" w:lineRule="auto"/>
    </w:pPr>
    <w:rPr>
      <w:i/>
      <w:sz w:val="24"/>
      <w:szCs w:val="24"/>
    </w:rPr>
  </w:style>
  <w:style w:type="character" w:customStyle="1" w:styleId="Ttulo2SecundrioTeseChar">
    <w:name w:val="Título 2 Secundário Tese Char"/>
    <w:basedOn w:val="TtuloPIChar"/>
    <w:link w:val="Ttulo2SecundrioTese"/>
    <w:rsid w:val="00425911"/>
    <w:rPr>
      <w:rFonts w:ascii="Garamond" w:eastAsiaTheme="minorEastAsia" w:hAnsi="Garamond"/>
      <w:b/>
      <w:bCs/>
      <w:i/>
      <w:sz w:val="24"/>
      <w:szCs w:val="24"/>
      <w:lang w:val="pt-PT"/>
    </w:rPr>
  </w:style>
  <w:style w:type="character" w:customStyle="1" w:styleId="Heading4Char">
    <w:name w:val="Heading 4 Char"/>
    <w:basedOn w:val="DefaultParagraphFont"/>
    <w:link w:val="Heading4"/>
    <w:uiPriority w:val="9"/>
    <w:semiHidden/>
    <w:rsid w:val="00404B6F"/>
    <w:rPr>
      <w:rFonts w:asciiTheme="majorHAnsi" w:eastAsiaTheme="majorEastAsia" w:hAnsiTheme="majorHAnsi" w:cstheme="majorBidi"/>
      <w:i/>
      <w:iCs/>
      <w:color w:val="2F5496" w:themeColor="accent1" w:themeShade="BF"/>
      <w:sz w:val="21"/>
      <w:szCs w:val="21"/>
    </w:rPr>
  </w:style>
  <w:style w:type="paragraph" w:styleId="TOC3">
    <w:name w:val="toc 3"/>
    <w:basedOn w:val="Normal"/>
    <w:next w:val="Normal"/>
    <w:autoRedefine/>
    <w:uiPriority w:val="39"/>
    <w:unhideWhenUsed/>
    <w:rsid w:val="00404B6F"/>
    <w:pPr>
      <w:spacing w:after="100"/>
      <w:ind w:left="420"/>
    </w:pPr>
  </w:style>
  <w:style w:type="character" w:styleId="CommentReference">
    <w:name w:val="annotation reference"/>
    <w:basedOn w:val="DefaultParagraphFont"/>
    <w:uiPriority w:val="99"/>
    <w:semiHidden/>
    <w:unhideWhenUsed/>
    <w:rsid w:val="003874F0"/>
    <w:rPr>
      <w:sz w:val="16"/>
      <w:szCs w:val="16"/>
    </w:rPr>
  </w:style>
  <w:style w:type="paragraph" w:styleId="CommentText">
    <w:name w:val="annotation text"/>
    <w:basedOn w:val="Normal"/>
    <w:link w:val="CommentTextChar"/>
    <w:uiPriority w:val="99"/>
    <w:unhideWhenUsed/>
    <w:rsid w:val="003874F0"/>
    <w:pPr>
      <w:spacing w:line="240" w:lineRule="auto"/>
    </w:pPr>
    <w:rPr>
      <w:sz w:val="20"/>
      <w:szCs w:val="20"/>
    </w:rPr>
  </w:style>
  <w:style w:type="character" w:customStyle="1" w:styleId="CommentTextChar">
    <w:name w:val="Comment Text Char"/>
    <w:basedOn w:val="DefaultParagraphFont"/>
    <w:link w:val="CommentText"/>
    <w:uiPriority w:val="99"/>
    <w:rsid w:val="003874F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874F0"/>
    <w:rPr>
      <w:b/>
      <w:bCs/>
    </w:rPr>
  </w:style>
  <w:style w:type="character" w:customStyle="1" w:styleId="CommentSubjectChar">
    <w:name w:val="Comment Subject Char"/>
    <w:basedOn w:val="CommentTextChar"/>
    <w:link w:val="CommentSubject"/>
    <w:uiPriority w:val="99"/>
    <w:semiHidden/>
    <w:rsid w:val="003874F0"/>
    <w:rPr>
      <w:rFonts w:eastAsiaTheme="minorEastAsia"/>
      <w:b/>
      <w:bCs/>
      <w:sz w:val="20"/>
      <w:szCs w:val="20"/>
    </w:rPr>
  </w:style>
  <w:style w:type="paragraph" w:styleId="Revision">
    <w:name w:val="Revision"/>
    <w:hidden/>
    <w:uiPriority w:val="99"/>
    <w:semiHidden/>
    <w:rsid w:val="003874F0"/>
    <w:pPr>
      <w:spacing w:after="0" w:line="240" w:lineRule="auto"/>
    </w:pPr>
    <w:rPr>
      <w:rFonts w:eastAsiaTheme="minorEastAsia"/>
      <w:sz w:val="21"/>
      <w:szCs w:val="21"/>
    </w:rPr>
  </w:style>
  <w:style w:type="character" w:styleId="UnresolvedMention">
    <w:name w:val="Unresolved Mention"/>
    <w:basedOn w:val="DefaultParagraphFont"/>
    <w:uiPriority w:val="99"/>
    <w:semiHidden/>
    <w:unhideWhenUsed/>
    <w:rsid w:val="00954A35"/>
    <w:rPr>
      <w:color w:val="605E5C"/>
      <w:shd w:val="clear" w:color="auto" w:fill="E1DFDD"/>
    </w:rPr>
  </w:style>
  <w:style w:type="table" w:styleId="TableGridLight">
    <w:name w:val="Grid Table Light"/>
    <w:basedOn w:val="TableNormal"/>
    <w:uiPriority w:val="40"/>
    <w:rsid w:val="001343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343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134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520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83EB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asicParagraph">
    <w:name w:val="[Basic Paragraph]"/>
    <w:basedOn w:val="Normal"/>
    <w:uiPriority w:val="99"/>
    <w:rsid w:val="00DF33F0"/>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Header">
    <w:name w:val="header"/>
    <w:basedOn w:val="Normal"/>
    <w:link w:val="HeaderChar"/>
    <w:uiPriority w:val="99"/>
    <w:unhideWhenUsed/>
    <w:rsid w:val="00DF33F0"/>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33F0"/>
    <w:rPr>
      <w:rFonts w:eastAsiaTheme="minorEastAsia"/>
      <w:sz w:val="21"/>
      <w:szCs w:val="21"/>
    </w:rPr>
  </w:style>
  <w:style w:type="paragraph" w:styleId="Footer">
    <w:name w:val="footer"/>
    <w:basedOn w:val="Normal"/>
    <w:link w:val="FooterChar"/>
    <w:uiPriority w:val="99"/>
    <w:unhideWhenUsed/>
    <w:rsid w:val="00DF33F0"/>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33F0"/>
    <w:rPr>
      <w:rFonts w:eastAsiaTheme="minorEastAsia"/>
      <w:sz w:val="21"/>
      <w:szCs w:val="21"/>
    </w:rPr>
  </w:style>
  <w:style w:type="paragraph" w:customStyle="1" w:styleId="Titulo">
    <w:name w:val="Titulo"/>
    <w:basedOn w:val="Normal"/>
    <w:rsid w:val="00744197"/>
    <w:pPr>
      <w:widowControl w:val="0"/>
      <w:spacing w:before="160" w:after="0" w:line="240" w:lineRule="auto"/>
    </w:pPr>
    <w:rPr>
      <w:rFonts w:ascii="Garamond" w:eastAsia="Garamond" w:hAnsi="Garamond" w:cs="Garamond"/>
      <w:kern w:val="1"/>
      <w:sz w:val="28"/>
      <w:szCs w:val="28"/>
      <w:lang w:eastAsia="pt-PT"/>
    </w:rPr>
  </w:style>
  <w:style w:type="paragraph" w:customStyle="1" w:styleId="NomeAluno">
    <w:name w:val="Nome Aluno"/>
    <w:basedOn w:val="Titulo"/>
    <w:rsid w:val="00744197"/>
    <w:rPr>
      <w:b/>
      <w:sz w:val="24"/>
      <w:szCs w:val="24"/>
    </w:rPr>
  </w:style>
  <w:style w:type="paragraph" w:customStyle="1" w:styleId="Sub-Titulo1">
    <w:name w:val="Sub-Titulo 1"/>
    <w:basedOn w:val="Normal"/>
    <w:rsid w:val="00744197"/>
    <w:pPr>
      <w:spacing w:before="160" w:after="0" w:line="240" w:lineRule="auto"/>
    </w:pPr>
    <w:rPr>
      <w:rFonts w:ascii="Garamond" w:eastAsia="Garamond" w:hAnsi="Garamond" w:cs="Garamond"/>
      <w:sz w:val="24"/>
      <w:szCs w:val="24"/>
      <w:lang w:val="pt-PT" w:eastAsia="pt-PT"/>
    </w:rPr>
  </w:style>
  <w:style w:type="paragraph" w:customStyle="1" w:styleId="Sub-Titulo2">
    <w:name w:val="Sub-Titulo 2"/>
    <w:basedOn w:val="Sub-Titulo1"/>
    <w:rsid w:val="00744197"/>
    <w:pPr>
      <w:spacing w:before="80"/>
    </w:pPr>
  </w:style>
  <w:style w:type="paragraph" w:customStyle="1" w:styleId="Orientadores">
    <w:name w:val="Orientadores"/>
    <w:basedOn w:val="Sub-Titulo2"/>
    <w:rsid w:val="00744197"/>
    <w:pPr>
      <w:spacing w:before="0" w:line="288" w:lineRule="auto"/>
    </w:pPr>
    <w:rPr>
      <w:b/>
    </w:rPr>
  </w:style>
  <w:style w:type="paragraph" w:customStyle="1" w:styleId="Notas">
    <w:name w:val="Notas"/>
    <w:basedOn w:val="Normal"/>
    <w:rsid w:val="00744197"/>
    <w:pPr>
      <w:spacing w:after="0" w:line="240" w:lineRule="auto"/>
    </w:pPr>
    <w:rPr>
      <w:rFonts w:ascii="Garamond" w:eastAsia="Calibri" w:hAnsi="Garamond" w:cs="Garamond"/>
      <w:sz w:val="16"/>
      <w:szCs w:val="16"/>
      <w:lang w:val="pt-PT" w:eastAsia="pt-PT"/>
    </w:rPr>
  </w:style>
  <w:style w:type="paragraph" w:styleId="Caption">
    <w:name w:val="caption"/>
    <w:basedOn w:val="Normal"/>
    <w:next w:val="Normal"/>
    <w:uiPriority w:val="35"/>
    <w:unhideWhenUsed/>
    <w:qFormat/>
    <w:rsid w:val="0038503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975B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8207">
      <w:bodyDiv w:val="1"/>
      <w:marLeft w:val="0"/>
      <w:marRight w:val="0"/>
      <w:marTop w:val="0"/>
      <w:marBottom w:val="0"/>
      <w:divBdr>
        <w:top w:val="none" w:sz="0" w:space="0" w:color="auto"/>
        <w:left w:val="none" w:sz="0" w:space="0" w:color="auto"/>
        <w:bottom w:val="none" w:sz="0" w:space="0" w:color="auto"/>
        <w:right w:val="none" w:sz="0" w:space="0" w:color="auto"/>
      </w:divBdr>
    </w:div>
    <w:div w:id="472605617">
      <w:bodyDiv w:val="1"/>
      <w:marLeft w:val="0"/>
      <w:marRight w:val="0"/>
      <w:marTop w:val="0"/>
      <w:marBottom w:val="0"/>
      <w:divBdr>
        <w:top w:val="none" w:sz="0" w:space="0" w:color="auto"/>
        <w:left w:val="none" w:sz="0" w:space="0" w:color="auto"/>
        <w:bottom w:val="none" w:sz="0" w:space="0" w:color="auto"/>
        <w:right w:val="none" w:sz="0" w:space="0" w:color="auto"/>
      </w:divBdr>
    </w:div>
    <w:div w:id="654919857">
      <w:bodyDiv w:val="1"/>
      <w:marLeft w:val="0"/>
      <w:marRight w:val="0"/>
      <w:marTop w:val="0"/>
      <w:marBottom w:val="0"/>
      <w:divBdr>
        <w:top w:val="none" w:sz="0" w:space="0" w:color="auto"/>
        <w:left w:val="none" w:sz="0" w:space="0" w:color="auto"/>
        <w:bottom w:val="none" w:sz="0" w:space="0" w:color="auto"/>
        <w:right w:val="none" w:sz="0" w:space="0" w:color="auto"/>
      </w:divBdr>
    </w:div>
    <w:div w:id="1090154551">
      <w:bodyDiv w:val="1"/>
      <w:marLeft w:val="0"/>
      <w:marRight w:val="0"/>
      <w:marTop w:val="0"/>
      <w:marBottom w:val="0"/>
      <w:divBdr>
        <w:top w:val="none" w:sz="0" w:space="0" w:color="auto"/>
        <w:left w:val="none" w:sz="0" w:space="0" w:color="auto"/>
        <w:bottom w:val="none" w:sz="0" w:space="0" w:color="auto"/>
        <w:right w:val="none" w:sz="0" w:space="0" w:color="auto"/>
      </w:divBdr>
    </w:div>
    <w:div w:id="1138182252">
      <w:bodyDiv w:val="1"/>
      <w:marLeft w:val="0"/>
      <w:marRight w:val="0"/>
      <w:marTop w:val="0"/>
      <w:marBottom w:val="0"/>
      <w:divBdr>
        <w:top w:val="none" w:sz="0" w:space="0" w:color="auto"/>
        <w:left w:val="none" w:sz="0" w:space="0" w:color="auto"/>
        <w:bottom w:val="none" w:sz="0" w:space="0" w:color="auto"/>
        <w:right w:val="none" w:sz="0" w:space="0" w:color="auto"/>
      </w:divBdr>
    </w:div>
    <w:div w:id="1388995755">
      <w:bodyDiv w:val="1"/>
      <w:marLeft w:val="0"/>
      <w:marRight w:val="0"/>
      <w:marTop w:val="0"/>
      <w:marBottom w:val="0"/>
      <w:divBdr>
        <w:top w:val="none" w:sz="0" w:space="0" w:color="auto"/>
        <w:left w:val="none" w:sz="0" w:space="0" w:color="auto"/>
        <w:bottom w:val="none" w:sz="0" w:space="0" w:color="auto"/>
        <w:right w:val="none" w:sz="0" w:space="0" w:color="auto"/>
      </w:divBdr>
    </w:div>
    <w:div w:id="1427965604">
      <w:bodyDiv w:val="1"/>
      <w:marLeft w:val="0"/>
      <w:marRight w:val="0"/>
      <w:marTop w:val="0"/>
      <w:marBottom w:val="0"/>
      <w:divBdr>
        <w:top w:val="none" w:sz="0" w:space="0" w:color="auto"/>
        <w:left w:val="none" w:sz="0" w:space="0" w:color="auto"/>
        <w:bottom w:val="none" w:sz="0" w:space="0" w:color="auto"/>
        <w:right w:val="none" w:sz="0" w:space="0" w:color="auto"/>
      </w:divBdr>
    </w:div>
    <w:div w:id="1461605198">
      <w:bodyDiv w:val="1"/>
      <w:marLeft w:val="0"/>
      <w:marRight w:val="0"/>
      <w:marTop w:val="0"/>
      <w:marBottom w:val="0"/>
      <w:divBdr>
        <w:top w:val="none" w:sz="0" w:space="0" w:color="auto"/>
        <w:left w:val="none" w:sz="0" w:space="0" w:color="auto"/>
        <w:bottom w:val="none" w:sz="0" w:space="0" w:color="auto"/>
        <w:right w:val="none" w:sz="0" w:space="0" w:color="auto"/>
      </w:divBdr>
    </w:div>
    <w:div w:id="1497957735">
      <w:bodyDiv w:val="1"/>
      <w:marLeft w:val="0"/>
      <w:marRight w:val="0"/>
      <w:marTop w:val="0"/>
      <w:marBottom w:val="0"/>
      <w:divBdr>
        <w:top w:val="none" w:sz="0" w:space="0" w:color="auto"/>
        <w:left w:val="none" w:sz="0" w:space="0" w:color="auto"/>
        <w:bottom w:val="none" w:sz="0" w:space="0" w:color="auto"/>
        <w:right w:val="none" w:sz="0" w:space="0" w:color="auto"/>
      </w:divBdr>
    </w:div>
    <w:div w:id="1505432857">
      <w:bodyDiv w:val="1"/>
      <w:marLeft w:val="0"/>
      <w:marRight w:val="0"/>
      <w:marTop w:val="0"/>
      <w:marBottom w:val="0"/>
      <w:divBdr>
        <w:top w:val="none" w:sz="0" w:space="0" w:color="auto"/>
        <w:left w:val="none" w:sz="0" w:space="0" w:color="auto"/>
        <w:bottom w:val="none" w:sz="0" w:space="0" w:color="auto"/>
        <w:right w:val="none" w:sz="0" w:space="0" w:color="auto"/>
      </w:divBdr>
    </w:div>
    <w:div w:id="1582905821">
      <w:bodyDiv w:val="1"/>
      <w:marLeft w:val="0"/>
      <w:marRight w:val="0"/>
      <w:marTop w:val="0"/>
      <w:marBottom w:val="0"/>
      <w:divBdr>
        <w:top w:val="none" w:sz="0" w:space="0" w:color="auto"/>
        <w:left w:val="none" w:sz="0" w:space="0" w:color="auto"/>
        <w:bottom w:val="none" w:sz="0" w:space="0" w:color="auto"/>
        <w:right w:val="none" w:sz="0" w:space="0" w:color="auto"/>
      </w:divBdr>
    </w:div>
    <w:div w:id="1833059716">
      <w:bodyDiv w:val="1"/>
      <w:marLeft w:val="0"/>
      <w:marRight w:val="0"/>
      <w:marTop w:val="0"/>
      <w:marBottom w:val="0"/>
      <w:divBdr>
        <w:top w:val="none" w:sz="0" w:space="0" w:color="auto"/>
        <w:left w:val="none" w:sz="0" w:space="0" w:color="auto"/>
        <w:bottom w:val="none" w:sz="0" w:space="0" w:color="auto"/>
        <w:right w:val="none" w:sz="0" w:space="0" w:color="auto"/>
      </w:divBdr>
    </w:div>
    <w:div w:id="1921207720">
      <w:bodyDiv w:val="1"/>
      <w:marLeft w:val="0"/>
      <w:marRight w:val="0"/>
      <w:marTop w:val="0"/>
      <w:marBottom w:val="0"/>
      <w:divBdr>
        <w:top w:val="none" w:sz="0" w:space="0" w:color="auto"/>
        <w:left w:val="none" w:sz="0" w:space="0" w:color="auto"/>
        <w:bottom w:val="none" w:sz="0" w:space="0" w:color="auto"/>
        <w:right w:val="none" w:sz="0" w:space="0" w:color="auto"/>
      </w:divBdr>
    </w:div>
    <w:div w:id="1938369399">
      <w:bodyDiv w:val="1"/>
      <w:marLeft w:val="0"/>
      <w:marRight w:val="0"/>
      <w:marTop w:val="0"/>
      <w:marBottom w:val="0"/>
      <w:divBdr>
        <w:top w:val="none" w:sz="0" w:space="0" w:color="auto"/>
        <w:left w:val="none" w:sz="0" w:space="0" w:color="auto"/>
        <w:bottom w:val="none" w:sz="0" w:space="0" w:color="auto"/>
        <w:right w:val="none" w:sz="0" w:space="0" w:color="auto"/>
      </w:divBdr>
    </w:div>
    <w:div w:id="213628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9B9EA-D6C4-4746-B703-679C91BD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58</Pages>
  <Words>15647</Words>
  <Characters>89189</Characters>
  <Application>Microsoft Office Word</Application>
  <DocSecurity>0</DocSecurity>
  <Lines>743</Lines>
  <Paragraphs>209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Mota Engil</Company>
  <LinksUpToDate>false</LinksUpToDate>
  <CharactersWithSpaces>104627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Vasconcelos</dc:creator>
  <cp:lastModifiedBy>Marta Vasconcelos</cp:lastModifiedBy>
  <cp:revision>2</cp:revision>
  <cp:lastPrinted>2024-09-10T09:20:00Z</cp:lastPrinted>
  <dcterms:created xsi:type="dcterms:W3CDTF">2024-09-10T18:59:00Z</dcterms:created>
  <dcterms:modified xsi:type="dcterms:W3CDTF">2024-09-10T18:59:00Z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3d6777-85fe-4187-9ab5-af95b724cd28_Enabled">
    <vt:lpwstr>true</vt:lpwstr>
  </property>
  <property fmtid="{D5CDD505-2E9C-101B-9397-08002B2CF9AE}" pid="3" name="MSIP_Label_8b3d6777-85fe-4187-9ab5-af95b724cd28_SetDate">
    <vt:lpwstr>2024-02-19T11:04:18Z</vt:lpwstr>
  </property>
  <property fmtid="{D5CDD505-2E9C-101B-9397-08002B2CF9AE}" pid="4" name="MSIP_Label_8b3d6777-85fe-4187-9ab5-af95b724cd28_Method">
    <vt:lpwstr>Standard</vt:lpwstr>
  </property>
  <property fmtid="{D5CDD505-2E9C-101B-9397-08002B2CF9AE}" pid="5" name="MSIP_Label_8b3d6777-85fe-4187-9ab5-af95b724cd28_Name">
    <vt:lpwstr>8b3d6777-85fe-4187-9ab5-af95b724cd28</vt:lpwstr>
  </property>
  <property fmtid="{D5CDD505-2E9C-101B-9397-08002B2CF9AE}" pid="6" name="MSIP_Label_8b3d6777-85fe-4187-9ab5-af95b724cd28_SiteId">
    <vt:lpwstr>e8ff29bf-b796-4b27-91e1-28784df16151</vt:lpwstr>
  </property>
  <property fmtid="{D5CDD505-2E9C-101B-9397-08002B2CF9AE}" pid="7" name="MSIP_Label_8b3d6777-85fe-4187-9ab5-af95b724cd28_ActionId">
    <vt:lpwstr>b04b857b-160e-4666-b4f5-21df60397b5c</vt:lpwstr>
  </property>
  <property fmtid="{D5CDD505-2E9C-101B-9397-08002B2CF9AE}" pid="8" name="MSIP_Label_8b3d6777-85fe-4187-9ab5-af95b724cd28_ContentBits">
    <vt:lpwstr>0</vt:lpwstr>
  </property>
</Properties>
</file>