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3A05E3" w14:textId="77777777" w:rsidR="00EC4499" w:rsidRDefault="00433EA7">
      <w:r>
        <w:rPr>
          <w:noProof/>
        </w:rPr>
        <w:drawing>
          <wp:anchor distT="0" distB="0" distL="114300" distR="114300" simplePos="0" relativeHeight="251658240" behindDoc="0" locked="0" layoutInCell="1" hidden="0" allowOverlap="1" wp14:anchorId="3D287404" wp14:editId="53F7804A">
            <wp:simplePos x="0" y="0"/>
            <wp:positionH relativeFrom="column">
              <wp:posOffset>1</wp:posOffset>
            </wp:positionH>
            <wp:positionV relativeFrom="paragraph">
              <wp:posOffset>-634</wp:posOffset>
            </wp:positionV>
            <wp:extent cx="2192655" cy="1002665"/>
            <wp:effectExtent l="0" t="0" r="0" b="0"/>
            <wp:wrapNone/>
            <wp:docPr id="2133657969" name="image1.png" descr="A picture containing text,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 sign&#10;&#10;Description automatically generated"/>
                    <pic:cNvPicPr preferRelativeResize="0"/>
                  </pic:nvPicPr>
                  <pic:blipFill>
                    <a:blip r:embed="rId8"/>
                    <a:srcRect/>
                    <a:stretch>
                      <a:fillRect/>
                    </a:stretch>
                  </pic:blipFill>
                  <pic:spPr>
                    <a:xfrm>
                      <a:off x="0" y="0"/>
                      <a:ext cx="2192655" cy="1002665"/>
                    </a:xfrm>
                    <a:prstGeom prst="rect">
                      <a:avLst/>
                    </a:prstGeom>
                    <a:ln/>
                  </pic:spPr>
                </pic:pic>
              </a:graphicData>
            </a:graphic>
          </wp:anchor>
        </w:drawing>
      </w:r>
    </w:p>
    <w:p w14:paraId="0E00B5E7" w14:textId="77777777" w:rsidR="00EC4499" w:rsidRDefault="00EC4499"/>
    <w:p w14:paraId="4C4F09A0" w14:textId="77777777" w:rsidR="00EC4499" w:rsidRDefault="00EC4499"/>
    <w:p w14:paraId="0F312D7F" w14:textId="77777777" w:rsidR="00EC4499" w:rsidRDefault="00EC4499"/>
    <w:p w14:paraId="6CAB29F7" w14:textId="77777777" w:rsidR="00EC4499" w:rsidRDefault="00EC4499"/>
    <w:p w14:paraId="7D75D7D9" w14:textId="77777777" w:rsidR="00EC4499" w:rsidRDefault="00EC4499"/>
    <w:p w14:paraId="2CE6880F" w14:textId="77777777" w:rsidR="00EC4499" w:rsidRDefault="00EC4499"/>
    <w:p w14:paraId="22FE7467" w14:textId="77777777" w:rsidR="00EC4499" w:rsidRDefault="00EC4499"/>
    <w:p w14:paraId="16C45BCD" w14:textId="77777777" w:rsidR="00EC4499" w:rsidRDefault="00433EA7">
      <w:pPr>
        <w:tabs>
          <w:tab w:val="left" w:pos="6593"/>
        </w:tabs>
      </w:pPr>
      <w:r>
        <w:rPr>
          <w:noProof/>
        </w:rPr>
        <mc:AlternateContent>
          <mc:Choice Requires="wps">
            <w:drawing>
              <wp:inline distT="0" distB="0" distL="0" distR="0" wp14:anchorId="5901719F" wp14:editId="2770B954">
                <wp:extent cx="384175" cy="59690"/>
                <wp:effectExtent l="0" t="0" r="0" b="0"/>
                <wp:docPr id="2133657966" name="Retângulo 2133657966"/>
                <wp:cNvGraphicFramePr/>
                <a:graphic xmlns:a="http://schemas.openxmlformats.org/drawingml/2006/main">
                  <a:graphicData uri="http://schemas.microsoft.com/office/word/2010/wordprocessingShape">
                    <wps:wsp>
                      <wps:cNvSpPr/>
                      <wps:spPr>
                        <a:xfrm>
                          <a:off x="5158675" y="3754918"/>
                          <a:ext cx="374650" cy="50165"/>
                        </a:xfrm>
                        <a:prstGeom prst="rect">
                          <a:avLst/>
                        </a:prstGeom>
                        <a:solidFill>
                          <a:srgbClr val="EF3340"/>
                        </a:solidFill>
                        <a:ln>
                          <a:noFill/>
                        </a:ln>
                      </wps:spPr>
                      <wps:txbx>
                        <w:txbxContent>
                          <w:p w14:paraId="00028C59" w14:textId="77777777" w:rsidR="00EC4499" w:rsidRDefault="00EC4499">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5901719F" id="Retângulo 2133657966" o:spid="_x0000_s1026" style="width:30.25pt;height: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" fillcolor="#ef3340" stroked="f">
                <v:textbox inset="2.53958mm,2.53958mm,2.53958mm,2.53958mm">
                  <w:txbxContent>
                    <w:p w14:paraId="00028C59" w14:textId="77777777" w:rsidR="00EC4499" w:rsidRDefault="00EC4499">
                      <w:pPr>
                        <w:spacing w:after="0" w:line="240" w:lineRule="auto"/>
                        <w:textDirection w:val="btLr"/>
                      </w:pPr>
                    </w:p>
                  </w:txbxContent>
                </v:textbox>
                <w10:anchorlock/>
              </v:rect>
            </w:pict>
          </mc:Fallback>
        </mc:AlternateContent>
      </w:r>
    </w:p>
    <w:p w14:paraId="06028CC9" w14:textId="6C8A0D6C" w:rsidR="00EC4499" w:rsidRDefault="00433EA7">
      <w:pPr>
        <w:widowControl w:val="0"/>
        <w:pBdr>
          <w:top w:val="nil"/>
          <w:left w:val="nil"/>
          <w:bottom w:val="nil"/>
          <w:right w:val="nil"/>
          <w:between w:val="nil"/>
        </w:pBdr>
        <w:spacing w:before="160" w:after="0" w:line="240" w:lineRule="auto"/>
        <w:rPr>
          <w:rFonts w:ascii="Garamond" w:eastAsia="Garamond" w:hAnsi="Garamond" w:cs="Garamond"/>
          <w:color w:val="000000"/>
          <w:sz w:val="28"/>
          <w:szCs w:val="28"/>
        </w:rPr>
      </w:pPr>
      <w:r>
        <w:rPr>
          <w:rFonts w:ascii="Garamond" w:eastAsia="Garamond" w:hAnsi="Garamond" w:cs="Garamond"/>
          <w:color w:val="000000"/>
          <w:sz w:val="28"/>
          <w:szCs w:val="28"/>
        </w:rPr>
        <w:t>RELATÓRIOS DE SUSTENTABILIDADE D</w:t>
      </w:r>
      <w:r w:rsidR="00E10C42">
        <w:rPr>
          <w:rFonts w:ascii="Garamond" w:eastAsia="Garamond" w:hAnsi="Garamond" w:cs="Garamond"/>
          <w:color w:val="000000"/>
          <w:sz w:val="28"/>
          <w:szCs w:val="28"/>
        </w:rPr>
        <w:t>OS MAIORES BANCOS</w:t>
      </w:r>
      <w:r w:rsidR="0092524B">
        <w:rPr>
          <w:rFonts w:ascii="Garamond" w:eastAsia="Garamond" w:hAnsi="Garamond" w:cs="Garamond"/>
          <w:color w:val="000000"/>
          <w:sz w:val="28"/>
          <w:szCs w:val="28"/>
        </w:rPr>
        <w:t xml:space="preserve"> COM ATUAÇÃO</w:t>
      </w:r>
      <w:r>
        <w:rPr>
          <w:rFonts w:ascii="Garamond" w:eastAsia="Garamond" w:hAnsi="Garamond" w:cs="Garamond"/>
          <w:color w:val="000000"/>
          <w:sz w:val="28"/>
          <w:szCs w:val="28"/>
        </w:rPr>
        <w:t xml:space="preserve"> NO BRASIL</w:t>
      </w:r>
    </w:p>
    <w:p w14:paraId="2ADFAF2C" w14:textId="77777777" w:rsidR="00EC4499" w:rsidRDefault="00433EA7">
      <w:pPr>
        <w:widowControl w:val="0"/>
        <w:pBdr>
          <w:top w:val="nil"/>
          <w:left w:val="nil"/>
          <w:bottom w:val="nil"/>
          <w:right w:val="nil"/>
          <w:between w:val="nil"/>
        </w:pBdr>
        <w:spacing w:before="160" w:after="0" w:line="240" w:lineRule="auto"/>
        <w:rPr>
          <w:rFonts w:ascii="Garamond" w:eastAsia="Garamond" w:hAnsi="Garamond" w:cs="Garamond"/>
          <w:b/>
          <w:color w:val="000000"/>
          <w:sz w:val="24"/>
          <w:szCs w:val="24"/>
        </w:rPr>
      </w:pPr>
      <w:r>
        <w:rPr>
          <w:rFonts w:ascii="Garamond" w:eastAsia="Garamond" w:hAnsi="Garamond" w:cs="Garamond"/>
          <w:b/>
          <w:color w:val="000000"/>
          <w:sz w:val="24"/>
          <w:szCs w:val="24"/>
        </w:rPr>
        <w:t>Alexandre de Souza Lobo Pacheco</w:t>
      </w:r>
    </w:p>
    <w:p w14:paraId="624FEEA5" w14:textId="77777777" w:rsidR="00EC4499" w:rsidRDefault="00EC4499">
      <w:pPr>
        <w:widowControl w:val="0"/>
        <w:pBdr>
          <w:top w:val="nil"/>
          <w:left w:val="nil"/>
          <w:bottom w:val="nil"/>
          <w:right w:val="nil"/>
          <w:between w:val="nil"/>
        </w:pBdr>
        <w:spacing w:before="160" w:after="0" w:line="240" w:lineRule="auto"/>
        <w:rPr>
          <w:rFonts w:ascii="Garamond" w:eastAsia="Garamond" w:hAnsi="Garamond" w:cs="Garamond"/>
          <w:b/>
          <w:color w:val="000000"/>
          <w:sz w:val="24"/>
          <w:szCs w:val="24"/>
        </w:rPr>
      </w:pPr>
    </w:p>
    <w:p w14:paraId="2F830A9B" w14:textId="77777777" w:rsidR="00EC4499" w:rsidRDefault="00EC4499">
      <w:pPr>
        <w:widowControl w:val="0"/>
        <w:pBdr>
          <w:top w:val="nil"/>
          <w:left w:val="nil"/>
          <w:bottom w:val="nil"/>
          <w:right w:val="nil"/>
          <w:between w:val="nil"/>
        </w:pBdr>
        <w:spacing w:before="160" w:after="0" w:line="240" w:lineRule="auto"/>
        <w:rPr>
          <w:rFonts w:ascii="Garamond" w:eastAsia="Garamond" w:hAnsi="Garamond" w:cs="Garamond"/>
          <w:b/>
          <w:color w:val="000000"/>
          <w:sz w:val="24"/>
          <w:szCs w:val="24"/>
        </w:rPr>
      </w:pPr>
    </w:p>
    <w:p w14:paraId="513AADE8" w14:textId="77777777" w:rsidR="00EC4499" w:rsidRDefault="00EC4499">
      <w:pPr>
        <w:widowControl w:val="0"/>
        <w:pBdr>
          <w:top w:val="nil"/>
          <w:left w:val="nil"/>
          <w:bottom w:val="nil"/>
          <w:right w:val="nil"/>
          <w:between w:val="nil"/>
        </w:pBdr>
        <w:spacing w:before="160" w:after="0" w:line="240" w:lineRule="auto"/>
        <w:rPr>
          <w:rFonts w:ascii="Garamond" w:eastAsia="Garamond" w:hAnsi="Garamond" w:cs="Garamond"/>
          <w:b/>
          <w:color w:val="000000"/>
          <w:sz w:val="24"/>
          <w:szCs w:val="24"/>
        </w:rPr>
      </w:pPr>
    </w:p>
    <w:p w14:paraId="532E6FB4" w14:textId="77777777" w:rsidR="00EC4499" w:rsidRDefault="00433EA7">
      <w:pPr>
        <w:widowControl w:val="0"/>
        <w:pBdr>
          <w:top w:val="nil"/>
          <w:left w:val="nil"/>
          <w:bottom w:val="nil"/>
          <w:right w:val="nil"/>
          <w:between w:val="nil"/>
        </w:pBdr>
        <w:spacing w:before="160" w:after="0" w:line="240" w:lineRule="auto"/>
        <w:rPr>
          <w:rFonts w:ascii="Garamond" w:eastAsia="Garamond" w:hAnsi="Garamond" w:cs="Garamond"/>
          <w:b/>
          <w:color w:val="000000"/>
          <w:sz w:val="24"/>
          <w:szCs w:val="24"/>
        </w:rPr>
      </w:pPr>
      <w:r>
        <w:rPr>
          <w:rFonts w:ascii="Garamond" w:eastAsia="Garamond" w:hAnsi="Garamond" w:cs="Garamond"/>
          <w:b/>
          <w:noProof/>
          <w:color w:val="000000"/>
          <w:sz w:val="24"/>
          <w:szCs w:val="24"/>
        </w:rPr>
        <mc:AlternateContent>
          <mc:Choice Requires="wps">
            <w:drawing>
              <wp:inline distT="0" distB="0" distL="0" distR="0" wp14:anchorId="2A8299D1" wp14:editId="6F53B9A5">
                <wp:extent cx="384175" cy="59690"/>
                <wp:effectExtent l="0" t="0" r="0" b="0"/>
                <wp:docPr id="2133657965" name="Retângulo 2133657965"/>
                <wp:cNvGraphicFramePr/>
                <a:graphic xmlns:a="http://schemas.openxmlformats.org/drawingml/2006/main">
                  <a:graphicData uri="http://schemas.microsoft.com/office/word/2010/wordprocessingShape">
                    <wps:wsp>
                      <wps:cNvSpPr/>
                      <wps:spPr>
                        <a:xfrm>
                          <a:off x="5158675" y="3754918"/>
                          <a:ext cx="374650" cy="50165"/>
                        </a:xfrm>
                        <a:prstGeom prst="rect">
                          <a:avLst/>
                        </a:prstGeom>
                        <a:solidFill>
                          <a:srgbClr val="EF3340"/>
                        </a:solidFill>
                        <a:ln>
                          <a:noFill/>
                        </a:ln>
                      </wps:spPr>
                      <wps:txbx>
                        <w:txbxContent>
                          <w:p w14:paraId="29FF549B" w14:textId="77777777" w:rsidR="00EC4499" w:rsidRDefault="00EC4499">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2A8299D1" id="Retângulo 2133657965" o:spid="_x0000_s1027" style="width:30.25pt;height: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" fillcolor="#ef3340" stroked="f">
                <v:textbox inset="2.53958mm,2.53958mm,2.53958mm,2.53958mm">
                  <w:txbxContent>
                    <w:p w14:paraId="29FF549B" w14:textId="77777777" w:rsidR="00EC4499" w:rsidRDefault="00EC4499">
                      <w:pPr>
                        <w:spacing w:after="0" w:line="240" w:lineRule="auto"/>
                        <w:textDirection w:val="btLr"/>
                      </w:pPr>
                    </w:p>
                  </w:txbxContent>
                </v:textbox>
                <w10:anchorlock/>
              </v:rect>
            </w:pict>
          </mc:Fallback>
        </mc:AlternateContent>
      </w:r>
    </w:p>
    <w:p w14:paraId="37801EBD" w14:textId="77777777" w:rsidR="00EC4499" w:rsidRDefault="00433EA7">
      <w:pPr>
        <w:pBdr>
          <w:top w:val="nil"/>
          <w:left w:val="nil"/>
          <w:bottom w:val="nil"/>
          <w:right w:val="nil"/>
          <w:between w:val="nil"/>
        </w:pBdr>
        <w:spacing w:before="160"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Dissertação</w:t>
      </w:r>
    </w:p>
    <w:p w14:paraId="4928040A" w14:textId="77777777" w:rsidR="00EC4499" w:rsidRDefault="00433EA7">
      <w:pPr>
        <w:pBdr>
          <w:top w:val="nil"/>
          <w:left w:val="nil"/>
          <w:bottom w:val="nil"/>
          <w:right w:val="nil"/>
          <w:between w:val="nil"/>
        </w:pBdr>
        <w:spacing w:before="80"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Mestrado em Economia e Gestão do Ambiente</w:t>
      </w:r>
    </w:p>
    <w:p w14:paraId="1F2FC322" w14:textId="77777777" w:rsidR="00EC4499" w:rsidRDefault="00EC4499">
      <w:pPr>
        <w:pBdr>
          <w:top w:val="nil"/>
          <w:left w:val="nil"/>
          <w:bottom w:val="nil"/>
          <w:right w:val="nil"/>
          <w:between w:val="nil"/>
        </w:pBdr>
        <w:spacing w:before="80" w:after="0" w:line="240" w:lineRule="auto"/>
        <w:rPr>
          <w:rFonts w:ascii="Garamond" w:eastAsia="Garamond" w:hAnsi="Garamond" w:cs="Garamond"/>
          <w:color w:val="000000"/>
          <w:sz w:val="24"/>
          <w:szCs w:val="24"/>
        </w:rPr>
      </w:pPr>
    </w:p>
    <w:p w14:paraId="065DBE7B" w14:textId="77777777" w:rsidR="00EC4499" w:rsidRDefault="00EC4499">
      <w:pPr>
        <w:pBdr>
          <w:top w:val="nil"/>
          <w:left w:val="nil"/>
          <w:bottom w:val="nil"/>
          <w:right w:val="nil"/>
          <w:between w:val="nil"/>
        </w:pBdr>
        <w:spacing w:before="80" w:after="0" w:line="240" w:lineRule="auto"/>
        <w:rPr>
          <w:rFonts w:ascii="Garamond" w:eastAsia="Garamond" w:hAnsi="Garamond" w:cs="Garamond"/>
          <w:color w:val="000000"/>
          <w:sz w:val="24"/>
          <w:szCs w:val="24"/>
        </w:rPr>
      </w:pPr>
    </w:p>
    <w:p w14:paraId="556120F7" w14:textId="77777777" w:rsidR="00EC4499" w:rsidRDefault="00EC4499">
      <w:pPr>
        <w:pBdr>
          <w:top w:val="nil"/>
          <w:left w:val="nil"/>
          <w:bottom w:val="nil"/>
          <w:right w:val="nil"/>
          <w:between w:val="nil"/>
        </w:pBdr>
        <w:spacing w:before="80" w:after="0" w:line="240" w:lineRule="auto"/>
        <w:rPr>
          <w:rFonts w:ascii="Garamond" w:eastAsia="Garamond" w:hAnsi="Garamond" w:cs="Garamond"/>
          <w:color w:val="000000"/>
          <w:sz w:val="24"/>
          <w:szCs w:val="24"/>
        </w:rPr>
      </w:pPr>
    </w:p>
    <w:p w14:paraId="0A3A8AFC" w14:textId="77777777" w:rsidR="00EC4499" w:rsidRDefault="00EC4499">
      <w:pPr>
        <w:pBdr>
          <w:top w:val="nil"/>
          <w:left w:val="nil"/>
          <w:bottom w:val="nil"/>
          <w:right w:val="nil"/>
          <w:between w:val="nil"/>
        </w:pBdr>
        <w:spacing w:before="80" w:after="0" w:line="240" w:lineRule="auto"/>
        <w:rPr>
          <w:rFonts w:ascii="Garamond" w:eastAsia="Garamond" w:hAnsi="Garamond" w:cs="Garamond"/>
          <w:color w:val="000000"/>
          <w:sz w:val="24"/>
          <w:szCs w:val="24"/>
        </w:rPr>
      </w:pPr>
    </w:p>
    <w:p w14:paraId="02F2A491" w14:textId="77777777" w:rsidR="00EC4499" w:rsidRDefault="00EC4499">
      <w:pPr>
        <w:pBdr>
          <w:top w:val="nil"/>
          <w:left w:val="nil"/>
          <w:bottom w:val="nil"/>
          <w:right w:val="nil"/>
          <w:between w:val="nil"/>
        </w:pBdr>
        <w:spacing w:before="80" w:after="0" w:line="240" w:lineRule="auto"/>
        <w:rPr>
          <w:rFonts w:ascii="Garamond" w:eastAsia="Garamond" w:hAnsi="Garamond" w:cs="Garamond"/>
          <w:color w:val="000000"/>
          <w:sz w:val="24"/>
          <w:szCs w:val="24"/>
        </w:rPr>
      </w:pPr>
    </w:p>
    <w:p w14:paraId="319FF8F0" w14:textId="77777777" w:rsidR="00EC4499" w:rsidRDefault="00EC4499">
      <w:pPr>
        <w:pBdr>
          <w:top w:val="nil"/>
          <w:left w:val="nil"/>
          <w:bottom w:val="nil"/>
          <w:right w:val="nil"/>
          <w:between w:val="nil"/>
        </w:pBdr>
        <w:spacing w:before="80" w:after="0" w:line="240" w:lineRule="auto"/>
        <w:rPr>
          <w:rFonts w:ascii="Garamond" w:eastAsia="Garamond" w:hAnsi="Garamond" w:cs="Garamond"/>
          <w:color w:val="000000"/>
          <w:sz w:val="24"/>
          <w:szCs w:val="24"/>
        </w:rPr>
      </w:pPr>
    </w:p>
    <w:p w14:paraId="611DD3BF" w14:textId="77777777" w:rsidR="00EC4499" w:rsidRDefault="00433EA7">
      <w:pPr>
        <w:widowControl w:val="0"/>
        <w:pBdr>
          <w:top w:val="nil"/>
          <w:left w:val="nil"/>
          <w:bottom w:val="nil"/>
          <w:right w:val="nil"/>
          <w:between w:val="nil"/>
        </w:pBdr>
        <w:spacing w:before="160" w:after="0" w:line="240" w:lineRule="auto"/>
        <w:rPr>
          <w:rFonts w:ascii="Garamond" w:eastAsia="Garamond" w:hAnsi="Garamond" w:cs="Garamond"/>
          <w:b/>
          <w:color w:val="000000"/>
          <w:sz w:val="24"/>
          <w:szCs w:val="24"/>
        </w:rPr>
      </w:pPr>
      <w:r>
        <w:rPr>
          <w:rFonts w:ascii="Garamond" w:eastAsia="Garamond" w:hAnsi="Garamond" w:cs="Garamond"/>
          <w:b/>
          <w:noProof/>
          <w:color w:val="000000"/>
          <w:sz w:val="24"/>
          <w:szCs w:val="24"/>
        </w:rPr>
        <mc:AlternateContent>
          <mc:Choice Requires="wps">
            <w:drawing>
              <wp:inline distT="0" distB="0" distL="0" distR="0" wp14:anchorId="7A05DD28" wp14:editId="4E024F3A">
                <wp:extent cx="384175" cy="59690"/>
                <wp:effectExtent l="0" t="0" r="0" b="0"/>
                <wp:docPr id="2133657968" name="Retângulo 2133657968"/>
                <wp:cNvGraphicFramePr/>
                <a:graphic xmlns:a="http://schemas.openxmlformats.org/drawingml/2006/main">
                  <a:graphicData uri="http://schemas.microsoft.com/office/word/2010/wordprocessingShape">
                    <wps:wsp>
                      <wps:cNvSpPr/>
                      <wps:spPr>
                        <a:xfrm>
                          <a:off x="5158675" y="3754918"/>
                          <a:ext cx="374650" cy="50165"/>
                        </a:xfrm>
                        <a:prstGeom prst="rect">
                          <a:avLst/>
                        </a:prstGeom>
                        <a:solidFill>
                          <a:srgbClr val="EF3340"/>
                        </a:solidFill>
                        <a:ln>
                          <a:noFill/>
                        </a:ln>
                      </wps:spPr>
                      <wps:txbx>
                        <w:txbxContent>
                          <w:p w14:paraId="74DCE6ED" w14:textId="77777777" w:rsidR="00EC4499" w:rsidRDefault="00EC4499">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7A05DD28" id="Retângulo 2133657968" o:spid="_x0000_s1028" style="width:30.25pt;height: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" fillcolor="#ef3340" stroked="f">
                <v:textbox inset="2.53958mm,2.53958mm,2.53958mm,2.53958mm">
                  <w:txbxContent>
                    <w:p w14:paraId="74DCE6ED" w14:textId="77777777" w:rsidR="00EC4499" w:rsidRDefault="00EC4499">
                      <w:pPr>
                        <w:spacing w:after="0" w:line="240" w:lineRule="auto"/>
                        <w:textDirection w:val="btLr"/>
                      </w:pPr>
                    </w:p>
                  </w:txbxContent>
                </v:textbox>
                <w10:anchorlock/>
              </v:rect>
            </w:pict>
          </mc:Fallback>
        </mc:AlternateContent>
      </w:r>
    </w:p>
    <w:p w14:paraId="50513EF2" w14:textId="77777777" w:rsidR="00EC4499" w:rsidRDefault="00433EA7">
      <w:pPr>
        <w:pBdr>
          <w:top w:val="nil"/>
          <w:left w:val="nil"/>
          <w:bottom w:val="nil"/>
          <w:right w:val="nil"/>
          <w:between w:val="nil"/>
        </w:pBdr>
        <w:spacing w:after="0" w:line="288" w:lineRule="auto"/>
        <w:rPr>
          <w:rFonts w:ascii="Garamond" w:eastAsia="Garamond" w:hAnsi="Garamond" w:cs="Garamond"/>
          <w:color w:val="000000"/>
          <w:sz w:val="24"/>
          <w:szCs w:val="24"/>
        </w:rPr>
      </w:pPr>
      <w:r>
        <w:rPr>
          <w:rFonts w:ascii="Garamond" w:eastAsia="Garamond" w:hAnsi="Garamond" w:cs="Garamond"/>
          <w:color w:val="000000"/>
          <w:sz w:val="24"/>
          <w:szCs w:val="24"/>
        </w:rPr>
        <w:t>Orientado por</w:t>
      </w:r>
    </w:p>
    <w:p w14:paraId="57E8ADB8" w14:textId="77777777" w:rsidR="00EC4499" w:rsidRDefault="00433EA7">
      <w:pPr>
        <w:pBdr>
          <w:top w:val="nil"/>
          <w:left w:val="nil"/>
          <w:bottom w:val="nil"/>
          <w:right w:val="nil"/>
          <w:between w:val="nil"/>
        </w:pBdr>
        <w:spacing w:after="0" w:line="288" w:lineRule="auto"/>
        <w:rPr>
          <w:rFonts w:ascii="Garamond" w:eastAsia="Garamond" w:hAnsi="Garamond" w:cs="Garamond"/>
          <w:b/>
          <w:color w:val="000000"/>
          <w:sz w:val="24"/>
          <w:szCs w:val="24"/>
        </w:rPr>
      </w:pPr>
      <w:r>
        <w:rPr>
          <w:rFonts w:ascii="Garamond" w:eastAsia="Garamond" w:hAnsi="Garamond" w:cs="Garamond"/>
          <w:b/>
          <w:color w:val="000000"/>
          <w:sz w:val="24"/>
          <w:szCs w:val="24"/>
        </w:rPr>
        <w:t>Manuel Castelo Branco</w:t>
      </w:r>
    </w:p>
    <w:p w14:paraId="145D4396" w14:textId="77777777" w:rsidR="00EC4499" w:rsidRDefault="00EC4499">
      <w:pPr>
        <w:pBdr>
          <w:top w:val="nil"/>
          <w:left w:val="nil"/>
          <w:bottom w:val="nil"/>
          <w:right w:val="nil"/>
          <w:between w:val="nil"/>
        </w:pBdr>
        <w:spacing w:after="0" w:line="288" w:lineRule="auto"/>
        <w:rPr>
          <w:rFonts w:ascii="Garamond" w:eastAsia="Garamond" w:hAnsi="Garamond" w:cs="Garamond"/>
          <w:b/>
          <w:color w:val="000000"/>
          <w:sz w:val="24"/>
          <w:szCs w:val="24"/>
        </w:rPr>
      </w:pPr>
    </w:p>
    <w:p w14:paraId="58F69FDE" w14:textId="77777777" w:rsidR="00EC4499" w:rsidRDefault="00EC4499">
      <w:pPr>
        <w:pBdr>
          <w:top w:val="nil"/>
          <w:left w:val="nil"/>
          <w:bottom w:val="nil"/>
          <w:right w:val="nil"/>
          <w:between w:val="nil"/>
        </w:pBdr>
        <w:spacing w:after="0" w:line="288" w:lineRule="auto"/>
        <w:rPr>
          <w:rFonts w:ascii="Garamond" w:eastAsia="Garamond" w:hAnsi="Garamond" w:cs="Garamond"/>
          <w:b/>
          <w:color w:val="000000"/>
          <w:sz w:val="24"/>
          <w:szCs w:val="24"/>
        </w:rPr>
      </w:pPr>
    </w:p>
    <w:p w14:paraId="085FE157" w14:textId="77777777" w:rsidR="00EC4499" w:rsidRDefault="00EC4499">
      <w:pPr>
        <w:pBdr>
          <w:top w:val="nil"/>
          <w:left w:val="nil"/>
          <w:bottom w:val="nil"/>
          <w:right w:val="nil"/>
          <w:between w:val="nil"/>
        </w:pBdr>
        <w:spacing w:after="0" w:line="288" w:lineRule="auto"/>
        <w:rPr>
          <w:rFonts w:ascii="Garamond" w:eastAsia="Garamond" w:hAnsi="Garamond" w:cs="Garamond"/>
          <w:b/>
          <w:color w:val="000000"/>
          <w:sz w:val="24"/>
          <w:szCs w:val="24"/>
        </w:rPr>
      </w:pPr>
    </w:p>
    <w:p w14:paraId="61548A57" w14:textId="77777777" w:rsidR="00EC4499" w:rsidRDefault="00EC4499">
      <w:pPr>
        <w:pBdr>
          <w:top w:val="nil"/>
          <w:left w:val="nil"/>
          <w:bottom w:val="nil"/>
          <w:right w:val="nil"/>
          <w:between w:val="nil"/>
        </w:pBdr>
        <w:spacing w:after="0" w:line="288" w:lineRule="auto"/>
        <w:rPr>
          <w:rFonts w:ascii="Garamond" w:eastAsia="Garamond" w:hAnsi="Garamond" w:cs="Garamond"/>
          <w:b/>
          <w:color w:val="000000"/>
          <w:sz w:val="24"/>
          <w:szCs w:val="24"/>
        </w:rPr>
      </w:pPr>
    </w:p>
    <w:p w14:paraId="034C0D3E" w14:textId="77777777" w:rsidR="00EC4499" w:rsidRDefault="00EC4499">
      <w:pPr>
        <w:pBdr>
          <w:top w:val="nil"/>
          <w:left w:val="nil"/>
          <w:bottom w:val="nil"/>
          <w:right w:val="nil"/>
          <w:between w:val="nil"/>
        </w:pBdr>
        <w:spacing w:after="0" w:line="288" w:lineRule="auto"/>
        <w:rPr>
          <w:rFonts w:ascii="Garamond" w:eastAsia="Garamond" w:hAnsi="Garamond" w:cs="Garamond"/>
          <w:b/>
          <w:color w:val="000000"/>
          <w:sz w:val="24"/>
          <w:szCs w:val="24"/>
        </w:rPr>
      </w:pPr>
    </w:p>
    <w:p w14:paraId="17A4AAA4" w14:textId="77777777" w:rsidR="00EC4499" w:rsidRDefault="00433EA7">
      <w:pPr>
        <w:widowControl w:val="0"/>
        <w:pBdr>
          <w:top w:val="nil"/>
          <w:left w:val="nil"/>
          <w:bottom w:val="nil"/>
          <w:right w:val="nil"/>
          <w:between w:val="nil"/>
        </w:pBdr>
        <w:spacing w:before="160" w:after="0" w:line="240" w:lineRule="auto"/>
        <w:rPr>
          <w:rFonts w:ascii="Garamond" w:eastAsia="Garamond" w:hAnsi="Garamond" w:cs="Garamond"/>
          <w:b/>
          <w:color w:val="000000"/>
          <w:sz w:val="24"/>
          <w:szCs w:val="24"/>
        </w:rPr>
      </w:pPr>
      <w:r>
        <w:rPr>
          <w:rFonts w:ascii="Garamond" w:eastAsia="Garamond" w:hAnsi="Garamond" w:cs="Garamond"/>
          <w:b/>
          <w:noProof/>
          <w:color w:val="000000"/>
          <w:sz w:val="24"/>
          <w:szCs w:val="24"/>
        </w:rPr>
        <mc:AlternateContent>
          <mc:Choice Requires="wps">
            <w:drawing>
              <wp:inline distT="0" distB="0" distL="0" distR="0" wp14:anchorId="49A63C1C" wp14:editId="095CE86D">
                <wp:extent cx="384175" cy="59690"/>
                <wp:effectExtent l="0" t="0" r="0" b="0"/>
                <wp:docPr id="2133657967" name="Retângulo 2133657967"/>
                <wp:cNvGraphicFramePr/>
                <a:graphic xmlns:a="http://schemas.openxmlformats.org/drawingml/2006/main">
                  <a:graphicData uri="http://schemas.microsoft.com/office/word/2010/wordprocessingShape">
                    <wps:wsp>
                      <wps:cNvSpPr/>
                      <wps:spPr>
                        <a:xfrm>
                          <a:off x="5158675" y="3754918"/>
                          <a:ext cx="374650" cy="50165"/>
                        </a:xfrm>
                        <a:prstGeom prst="rect">
                          <a:avLst/>
                        </a:prstGeom>
                        <a:solidFill>
                          <a:srgbClr val="EF3340"/>
                        </a:solidFill>
                        <a:ln>
                          <a:noFill/>
                        </a:ln>
                      </wps:spPr>
                      <wps:txbx>
                        <w:txbxContent>
                          <w:p w14:paraId="2107A04A" w14:textId="77777777" w:rsidR="00EC4499" w:rsidRDefault="00EC4499">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49A63C1C" id="Retângulo 2133657967" o:spid="_x0000_s1029" style="width:30.25pt;height: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" fillcolor="#ef3340" stroked="f">
                <v:textbox inset="2.53958mm,2.53958mm,2.53958mm,2.53958mm">
                  <w:txbxContent>
                    <w:p w14:paraId="2107A04A" w14:textId="77777777" w:rsidR="00EC4499" w:rsidRDefault="00EC4499">
                      <w:pPr>
                        <w:spacing w:after="0" w:line="240" w:lineRule="auto"/>
                        <w:textDirection w:val="btLr"/>
                      </w:pPr>
                    </w:p>
                  </w:txbxContent>
                </v:textbox>
                <w10:anchorlock/>
              </v:rect>
            </w:pict>
          </mc:Fallback>
        </mc:AlternateContent>
      </w:r>
    </w:p>
    <w:p w14:paraId="23330204" w14:textId="77777777" w:rsidR="00EC4499" w:rsidRDefault="00433EA7">
      <w:pPr>
        <w:pBdr>
          <w:top w:val="nil"/>
          <w:left w:val="nil"/>
          <w:bottom w:val="nil"/>
          <w:right w:val="nil"/>
          <w:between w:val="nil"/>
        </w:pBdr>
        <w:spacing w:before="160"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2024</w:t>
      </w:r>
    </w:p>
    <w:p w14:paraId="76E112EA" w14:textId="77777777" w:rsidR="00EC4499" w:rsidRDefault="00433EA7">
      <w:pPr>
        <w:pBdr>
          <w:top w:val="nil"/>
          <w:left w:val="nil"/>
          <w:bottom w:val="nil"/>
          <w:right w:val="nil"/>
          <w:between w:val="nil"/>
        </w:pBdr>
        <w:spacing w:before="160" w:after="0" w:line="240" w:lineRule="auto"/>
        <w:rPr>
          <w:rFonts w:ascii="Garamond" w:eastAsia="Garamond" w:hAnsi="Garamond" w:cs="Garamond"/>
          <w:b/>
          <w:color w:val="000000"/>
          <w:sz w:val="28"/>
          <w:szCs w:val="28"/>
        </w:rPr>
      </w:pPr>
      <w:r>
        <w:rPr>
          <w:rFonts w:ascii="Garamond" w:eastAsia="Garamond" w:hAnsi="Garamond" w:cs="Garamond"/>
          <w:b/>
          <w:color w:val="000000"/>
          <w:sz w:val="28"/>
          <w:szCs w:val="28"/>
        </w:rPr>
        <w:lastRenderedPageBreak/>
        <w:t>Agradecimentos</w:t>
      </w:r>
    </w:p>
    <w:p w14:paraId="339F9571" w14:textId="77777777" w:rsidR="00EC4499" w:rsidRDefault="00EC4499">
      <w:pPr>
        <w:pBdr>
          <w:top w:val="nil"/>
          <w:left w:val="nil"/>
          <w:bottom w:val="nil"/>
          <w:right w:val="nil"/>
          <w:between w:val="nil"/>
        </w:pBdr>
        <w:spacing w:before="160" w:after="0" w:line="240" w:lineRule="auto"/>
        <w:rPr>
          <w:rFonts w:ascii="Garamond" w:eastAsia="Garamond" w:hAnsi="Garamond" w:cs="Garamond"/>
          <w:b/>
          <w:color w:val="000000"/>
          <w:sz w:val="28"/>
          <w:szCs w:val="28"/>
        </w:rPr>
      </w:pPr>
    </w:p>
    <w:p w14:paraId="0C34E267" w14:textId="77777777" w:rsidR="00EC4499" w:rsidRDefault="00433EA7">
      <w:pPr>
        <w:pBdr>
          <w:top w:val="nil"/>
          <w:left w:val="nil"/>
          <w:bottom w:val="nil"/>
          <w:right w:val="nil"/>
          <w:between w:val="nil"/>
        </w:pBdr>
        <w:spacing w:before="160" w:after="0" w:line="240" w:lineRule="auto"/>
        <w:jc w:val="right"/>
        <w:rPr>
          <w:rFonts w:ascii="Garamond" w:eastAsia="Garamond" w:hAnsi="Garamond" w:cs="Garamond"/>
          <w:color w:val="000000"/>
          <w:sz w:val="24"/>
          <w:szCs w:val="24"/>
        </w:rPr>
      </w:pPr>
      <w:r>
        <w:rPr>
          <w:rFonts w:ascii="Garamond" w:eastAsia="Garamond" w:hAnsi="Garamond" w:cs="Garamond"/>
          <w:i/>
          <w:color w:val="000000"/>
          <w:sz w:val="24"/>
          <w:szCs w:val="24"/>
        </w:rPr>
        <w:t>“Um cronópio pequenininho procurava a chave da porta da rua na mesa de cabeceira, a mesa de cabeceira no quarto de dormir, o quarto de dormir na casa, a casa na rua. Por aqui parava o cronópio, pois para sair à rua precisava da chave da porta.”</w:t>
      </w:r>
      <w:r>
        <w:rPr>
          <w:rFonts w:ascii="Garamond" w:eastAsia="Garamond" w:hAnsi="Garamond" w:cs="Garamond"/>
          <w:color w:val="000000"/>
          <w:sz w:val="24"/>
          <w:szCs w:val="24"/>
        </w:rPr>
        <w:t xml:space="preserve"> </w:t>
      </w:r>
      <w:r>
        <w:rPr>
          <w:rFonts w:ascii="Garamond" w:eastAsia="Garamond" w:hAnsi="Garamond" w:cs="Garamond"/>
          <w:i/>
          <w:color w:val="000000"/>
          <w:sz w:val="24"/>
          <w:szCs w:val="24"/>
        </w:rPr>
        <w:t>(Cortázar, 1977, p. 132)</w:t>
      </w:r>
    </w:p>
    <w:p w14:paraId="63DE2E6E" w14:textId="77777777" w:rsidR="00EC4499" w:rsidRDefault="00EC4499">
      <w:pPr>
        <w:pBdr>
          <w:top w:val="nil"/>
          <w:left w:val="nil"/>
          <w:bottom w:val="nil"/>
          <w:right w:val="nil"/>
          <w:between w:val="nil"/>
        </w:pBdr>
        <w:spacing w:before="160" w:after="0" w:line="240" w:lineRule="auto"/>
        <w:jc w:val="both"/>
        <w:rPr>
          <w:rFonts w:ascii="Garamond" w:eastAsia="Garamond" w:hAnsi="Garamond" w:cs="Garamond"/>
          <w:color w:val="000000"/>
          <w:sz w:val="24"/>
          <w:szCs w:val="24"/>
        </w:rPr>
      </w:pPr>
    </w:p>
    <w:p w14:paraId="5DA827D2" w14:textId="77777777" w:rsidR="00EC4499" w:rsidRDefault="00433EA7">
      <w:pPr>
        <w:pBdr>
          <w:top w:val="nil"/>
          <w:left w:val="nil"/>
          <w:bottom w:val="nil"/>
          <w:right w:val="nil"/>
          <w:between w:val="nil"/>
        </w:pBdr>
        <w:spacing w:before="160"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À minha esposa Luiza e meus filhos, Leonardo e Rafael, por todo amor, companheirismo, carinho e risadas nessa deliciosa temporada no Porto.</w:t>
      </w:r>
    </w:p>
    <w:p w14:paraId="170C98C8" w14:textId="77777777" w:rsidR="00EC4499" w:rsidRDefault="00433EA7">
      <w:pPr>
        <w:pBdr>
          <w:top w:val="nil"/>
          <w:left w:val="nil"/>
          <w:bottom w:val="nil"/>
          <w:right w:val="nil"/>
          <w:between w:val="nil"/>
        </w:pBdr>
        <w:spacing w:before="160"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Ao professor Manuel Castelo Branco, pela orientação, iluminação, sugestões e paciência.</w:t>
      </w:r>
    </w:p>
    <w:p w14:paraId="594DDCF0" w14:textId="77777777" w:rsidR="00EC4499" w:rsidRDefault="00433EA7">
      <w:pPr>
        <w:pBdr>
          <w:top w:val="nil"/>
          <w:left w:val="nil"/>
          <w:bottom w:val="nil"/>
          <w:right w:val="nil"/>
          <w:between w:val="nil"/>
        </w:pBdr>
        <w:spacing w:before="160"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Ao amigo Arthur Rosa por ter aceitado, mesmo a contragosto, ler e debater sobre relatórios de sustentabilidade.</w:t>
      </w:r>
    </w:p>
    <w:p w14:paraId="1B21CA71" w14:textId="77777777" w:rsidR="00EC4499" w:rsidRDefault="00433EA7">
      <w:pPr>
        <w:pBdr>
          <w:top w:val="nil"/>
          <w:left w:val="nil"/>
          <w:bottom w:val="nil"/>
          <w:right w:val="nil"/>
          <w:between w:val="nil"/>
        </w:pBdr>
        <w:spacing w:before="160" w:after="0" w:line="240" w:lineRule="auto"/>
        <w:jc w:val="both"/>
        <w:rPr>
          <w:rFonts w:ascii="Garamond" w:eastAsia="Garamond" w:hAnsi="Garamond" w:cs="Garamond"/>
          <w:color w:val="222222"/>
          <w:sz w:val="24"/>
          <w:szCs w:val="24"/>
          <w:shd w:val="clear" w:color="auto" w:fill="EEFFF9"/>
        </w:rPr>
      </w:pPr>
      <w:r>
        <w:rPr>
          <w:rFonts w:ascii="Garamond" w:eastAsia="Garamond" w:hAnsi="Garamond" w:cs="Garamond"/>
          <w:color w:val="000000"/>
          <w:sz w:val="24"/>
          <w:szCs w:val="24"/>
        </w:rPr>
        <w:t>Ao pessoal do MEGA, especialmente Arone, Beatriz, Fabíola e Ingrid, pelas trocas de experiências, informações e angústias nessa caminhada.</w:t>
      </w:r>
      <w:r>
        <w:rPr>
          <w:rFonts w:ascii="Garamond" w:eastAsia="Garamond" w:hAnsi="Garamond" w:cs="Garamond"/>
          <w:color w:val="222222"/>
          <w:sz w:val="24"/>
          <w:szCs w:val="24"/>
          <w:shd w:val="clear" w:color="auto" w:fill="EEFFF9"/>
        </w:rPr>
        <w:t xml:space="preserve"> </w:t>
      </w:r>
    </w:p>
    <w:p w14:paraId="7A601010" w14:textId="77777777" w:rsidR="00EC4499" w:rsidRDefault="00433EA7">
      <w:pPr>
        <w:pBdr>
          <w:top w:val="nil"/>
          <w:left w:val="nil"/>
          <w:bottom w:val="nil"/>
          <w:right w:val="nil"/>
          <w:between w:val="nil"/>
        </w:pBdr>
        <w:spacing w:before="160"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A todos muito obrigado por me ajudarem a achar a chave da porta.</w:t>
      </w:r>
    </w:p>
    <w:p w14:paraId="52552CCC" w14:textId="77777777" w:rsidR="00EC4499" w:rsidRDefault="00EC4499">
      <w:pPr>
        <w:pBdr>
          <w:top w:val="nil"/>
          <w:left w:val="nil"/>
          <w:bottom w:val="nil"/>
          <w:right w:val="nil"/>
          <w:between w:val="nil"/>
        </w:pBdr>
        <w:spacing w:before="160" w:after="0" w:line="240" w:lineRule="auto"/>
        <w:rPr>
          <w:rFonts w:ascii="Garamond" w:eastAsia="Garamond" w:hAnsi="Garamond" w:cs="Garamond"/>
          <w:b/>
          <w:color w:val="000000"/>
          <w:sz w:val="28"/>
          <w:szCs w:val="28"/>
        </w:rPr>
      </w:pPr>
    </w:p>
    <w:p w14:paraId="28A47909" w14:textId="77777777" w:rsidR="00EC4499" w:rsidRDefault="00EC4499">
      <w:pPr>
        <w:pBdr>
          <w:top w:val="nil"/>
          <w:left w:val="nil"/>
          <w:bottom w:val="nil"/>
          <w:right w:val="nil"/>
          <w:between w:val="nil"/>
        </w:pBdr>
        <w:spacing w:before="160" w:after="0" w:line="240" w:lineRule="auto"/>
        <w:rPr>
          <w:rFonts w:ascii="Garamond" w:eastAsia="Garamond" w:hAnsi="Garamond" w:cs="Garamond"/>
          <w:b/>
          <w:color w:val="000000"/>
          <w:sz w:val="28"/>
          <w:szCs w:val="28"/>
        </w:rPr>
      </w:pPr>
    </w:p>
    <w:p w14:paraId="48C40976" w14:textId="77777777" w:rsidR="00EC4499" w:rsidRDefault="00EC4499">
      <w:pPr>
        <w:pBdr>
          <w:top w:val="nil"/>
          <w:left w:val="nil"/>
          <w:bottom w:val="nil"/>
          <w:right w:val="nil"/>
          <w:between w:val="nil"/>
        </w:pBdr>
        <w:spacing w:before="160" w:after="0" w:line="240" w:lineRule="auto"/>
        <w:rPr>
          <w:rFonts w:ascii="Garamond" w:eastAsia="Garamond" w:hAnsi="Garamond" w:cs="Garamond"/>
          <w:b/>
          <w:color w:val="000000"/>
          <w:sz w:val="28"/>
          <w:szCs w:val="28"/>
        </w:rPr>
      </w:pPr>
    </w:p>
    <w:p w14:paraId="23ABE0BD" w14:textId="77777777" w:rsidR="00EC4499" w:rsidRDefault="00EC4499">
      <w:pPr>
        <w:pBdr>
          <w:top w:val="nil"/>
          <w:left w:val="nil"/>
          <w:bottom w:val="nil"/>
          <w:right w:val="nil"/>
          <w:between w:val="nil"/>
        </w:pBdr>
        <w:spacing w:before="160" w:after="0" w:line="240" w:lineRule="auto"/>
        <w:rPr>
          <w:rFonts w:ascii="Garamond" w:eastAsia="Garamond" w:hAnsi="Garamond" w:cs="Garamond"/>
          <w:b/>
          <w:color w:val="000000"/>
          <w:sz w:val="28"/>
          <w:szCs w:val="28"/>
        </w:rPr>
      </w:pPr>
    </w:p>
    <w:p w14:paraId="13D98994" w14:textId="77777777" w:rsidR="00EC4499" w:rsidRDefault="00EC4499">
      <w:pPr>
        <w:pBdr>
          <w:top w:val="nil"/>
          <w:left w:val="nil"/>
          <w:bottom w:val="nil"/>
          <w:right w:val="nil"/>
          <w:between w:val="nil"/>
        </w:pBdr>
        <w:spacing w:before="160" w:after="0" w:line="240" w:lineRule="auto"/>
        <w:rPr>
          <w:rFonts w:ascii="Garamond" w:eastAsia="Garamond" w:hAnsi="Garamond" w:cs="Garamond"/>
          <w:b/>
          <w:color w:val="000000"/>
          <w:sz w:val="28"/>
          <w:szCs w:val="28"/>
        </w:rPr>
      </w:pPr>
    </w:p>
    <w:p w14:paraId="1B7FC138" w14:textId="77777777" w:rsidR="00EC4499" w:rsidRDefault="00EC4499">
      <w:pPr>
        <w:pBdr>
          <w:top w:val="nil"/>
          <w:left w:val="nil"/>
          <w:bottom w:val="nil"/>
          <w:right w:val="nil"/>
          <w:between w:val="nil"/>
        </w:pBdr>
        <w:spacing w:before="160" w:after="0" w:line="240" w:lineRule="auto"/>
        <w:rPr>
          <w:rFonts w:ascii="Garamond" w:eastAsia="Garamond" w:hAnsi="Garamond" w:cs="Garamond"/>
          <w:b/>
          <w:color w:val="000000"/>
          <w:sz w:val="28"/>
          <w:szCs w:val="28"/>
        </w:rPr>
      </w:pPr>
    </w:p>
    <w:p w14:paraId="0F243BA4" w14:textId="77777777" w:rsidR="00EC4499" w:rsidRDefault="00EC4499">
      <w:pPr>
        <w:pBdr>
          <w:top w:val="nil"/>
          <w:left w:val="nil"/>
          <w:bottom w:val="nil"/>
          <w:right w:val="nil"/>
          <w:between w:val="nil"/>
        </w:pBdr>
        <w:spacing w:before="160" w:after="0" w:line="240" w:lineRule="auto"/>
        <w:rPr>
          <w:rFonts w:ascii="Garamond" w:eastAsia="Garamond" w:hAnsi="Garamond" w:cs="Garamond"/>
          <w:b/>
          <w:color w:val="000000"/>
          <w:sz w:val="28"/>
          <w:szCs w:val="28"/>
        </w:rPr>
      </w:pPr>
    </w:p>
    <w:p w14:paraId="7C10C230" w14:textId="77777777" w:rsidR="00EC4499" w:rsidRDefault="00EC4499">
      <w:pPr>
        <w:pBdr>
          <w:top w:val="nil"/>
          <w:left w:val="nil"/>
          <w:bottom w:val="nil"/>
          <w:right w:val="nil"/>
          <w:between w:val="nil"/>
        </w:pBdr>
        <w:spacing w:before="160" w:after="0" w:line="240" w:lineRule="auto"/>
        <w:rPr>
          <w:rFonts w:ascii="Garamond" w:eastAsia="Garamond" w:hAnsi="Garamond" w:cs="Garamond"/>
          <w:b/>
          <w:color w:val="000000"/>
          <w:sz w:val="28"/>
          <w:szCs w:val="28"/>
        </w:rPr>
      </w:pPr>
    </w:p>
    <w:p w14:paraId="29F6B3CF" w14:textId="77777777" w:rsidR="00EC4499" w:rsidRDefault="00EC4499">
      <w:pPr>
        <w:pBdr>
          <w:top w:val="nil"/>
          <w:left w:val="nil"/>
          <w:bottom w:val="nil"/>
          <w:right w:val="nil"/>
          <w:between w:val="nil"/>
        </w:pBdr>
        <w:spacing w:before="160" w:after="0" w:line="240" w:lineRule="auto"/>
        <w:rPr>
          <w:rFonts w:ascii="Garamond" w:eastAsia="Garamond" w:hAnsi="Garamond" w:cs="Garamond"/>
          <w:b/>
          <w:color w:val="000000"/>
          <w:sz w:val="28"/>
          <w:szCs w:val="28"/>
        </w:rPr>
      </w:pPr>
    </w:p>
    <w:p w14:paraId="785CD626" w14:textId="77777777" w:rsidR="00EC4499" w:rsidRDefault="00EC4499">
      <w:pPr>
        <w:pBdr>
          <w:top w:val="nil"/>
          <w:left w:val="nil"/>
          <w:bottom w:val="nil"/>
          <w:right w:val="nil"/>
          <w:between w:val="nil"/>
        </w:pBdr>
        <w:spacing w:before="160" w:after="0" w:line="240" w:lineRule="auto"/>
        <w:rPr>
          <w:rFonts w:ascii="Garamond" w:eastAsia="Garamond" w:hAnsi="Garamond" w:cs="Garamond"/>
          <w:b/>
          <w:color w:val="000000"/>
          <w:sz w:val="28"/>
          <w:szCs w:val="28"/>
        </w:rPr>
      </w:pPr>
    </w:p>
    <w:p w14:paraId="1C907AB9" w14:textId="77777777" w:rsidR="00EC4499" w:rsidRDefault="00EC4499">
      <w:pPr>
        <w:pBdr>
          <w:top w:val="nil"/>
          <w:left w:val="nil"/>
          <w:bottom w:val="nil"/>
          <w:right w:val="nil"/>
          <w:between w:val="nil"/>
        </w:pBdr>
        <w:spacing w:before="160" w:after="0" w:line="240" w:lineRule="auto"/>
        <w:rPr>
          <w:rFonts w:ascii="Garamond" w:eastAsia="Garamond" w:hAnsi="Garamond" w:cs="Garamond"/>
          <w:b/>
          <w:color w:val="000000"/>
          <w:sz w:val="28"/>
          <w:szCs w:val="28"/>
        </w:rPr>
      </w:pPr>
    </w:p>
    <w:p w14:paraId="6DC0DC0D" w14:textId="77777777" w:rsidR="00EC4499" w:rsidRDefault="00EC4499">
      <w:pPr>
        <w:pBdr>
          <w:top w:val="nil"/>
          <w:left w:val="nil"/>
          <w:bottom w:val="nil"/>
          <w:right w:val="nil"/>
          <w:between w:val="nil"/>
        </w:pBdr>
        <w:spacing w:before="160" w:after="0" w:line="240" w:lineRule="auto"/>
        <w:rPr>
          <w:rFonts w:ascii="Garamond" w:eastAsia="Garamond" w:hAnsi="Garamond" w:cs="Garamond"/>
          <w:b/>
          <w:color w:val="000000"/>
          <w:sz w:val="28"/>
          <w:szCs w:val="28"/>
        </w:rPr>
      </w:pPr>
    </w:p>
    <w:p w14:paraId="1AC6DE8E" w14:textId="77777777" w:rsidR="00EC4499" w:rsidRDefault="00EC4499">
      <w:pPr>
        <w:pBdr>
          <w:top w:val="nil"/>
          <w:left w:val="nil"/>
          <w:bottom w:val="nil"/>
          <w:right w:val="nil"/>
          <w:between w:val="nil"/>
        </w:pBdr>
        <w:spacing w:before="160" w:after="0" w:line="240" w:lineRule="auto"/>
        <w:rPr>
          <w:rFonts w:ascii="Garamond" w:eastAsia="Garamond" w:hAnsi="Garamond" w:cs="Garamond"/>
          <w:b/>
          <w:color w:val="000000"/>
          <w:sz w:val="28"/>
          <w:szCs w:val="28"/>
        </w:rPr>
      </w:pPr>
    </w:p>
    <w:p w14:paraId="5A549C91" w14:textId="77777777" w:rsidR="00EC4499" w:rsidRDefault="00EC4499">
      <w:pPr>
        <w:pBdr>
          <w:top w:val="nil"/>
          <w:left w:val="nil"/>
          <w:bottom w:val="nil"/>
          <w:right w:val="nil"/>
          <w:between w:val="nil"/>
        </w:pBdr>
        <w:spacing w:before="160" w:after="0" w:line="240" w:lineRule="auto"/>
        <w:rPr>
          <w:rFonts w:ascii="Garamond" w:eastAsia="Garamond" w:hAnsi="Garamond" w:cs="Garamond"/>
          <w:b/>
          <w:sz w:val="28"/>
          <w:szCs w:val="28"/>
        </w:rPr>
      </w:pPr>
    </w:p>
    <w:p w14:paraId="7B073C3E" w14:textId="77777777" w:rsidR="00EC4499" w:rsidRDefault="00EC4499">
      <w:pPr>
        <w:pBdr>
          <w:top w:val="nil"/>
          <w:left w:val="nil"/>
          <w:bottom w:val="nil"/>
          <w:right w:val="nil"/>
          <w:between w:val="nil"/>
        </w:pBdr>
        <w:spacing w:before="160" w:after="0" w:line="240" w:lineRule="auto"/>
        <w:rPr>
          <w:rFonts w:ascii="Garamond" w:eastAsia="Garamond" w:hAnsi="Garamond" w:cs="Garamond"/>
          <w:b/>
          <w:sz w:val="28"/>
          <w:szCs w:val="28"/>
        </w:rPr>
      </w:pPr>
    </w:p>
    <w:p w14:paraId="5F9F00FF" w14:textId="77777777" w:rsidR="00EC4499" w:rsidRDefault="00EC4499">
      <w:pPr>
        <w:pBdr>
          <w:top w:val="nil"/>
          <w:left w:val="nil"/>
          <w:bottom w:val="nil"/>
          <w:right w:val="nil"/>
          <w:between w:val="nil"/>
        </w:pBdr>
        <w:spacing w:before="160" w:after="0" w:line="240" w:lineRule="auto"/>
        <w:rPr>
          <w:rFonts w:ascii="Garamond" w:eastAsia="Garamond" w:hAnsi="Garamond" w:cs="Garamond"/>
          <w:b/>
          <w:sz w:val="28"/>
          <w:szCs w:val="28"/>
        </w:rPr>
      </w:pPr>
    </w:p>
    <w:p w14:paraId="71F614D2" w14:textId="77777777" w:rsidR="00EC4499" w:rsidRDefault="00433EA7">
      <w:pPr>
        <w:pBdr>
          <w:top w:val="nil"/>
          <w:left w:val="nil"/>
          <w:bottom w:val="nil"/>
          <w:right w:val="nil"/>
          <w:between w:val="nil"/>
        </w:pBdr>
        <w:spacing w:before="160" w:after="0" w:line="240" w:lineRule="auto"/>
        <w:jc w:val="right"/>
        <w:rPr>
          <w:rFonts w:ascii="Garamond" w:eastAsia="Garamond" w:hAnsi="Garamond" w:cs="Garamond"/>
          <w:sz w:val="20"/>
          <w:szCs w:val="20"/>
        </w:rPr>
      </w:pPr>
      <w:r>
        <w:rPr>
          <w:rFonts w:ascii="Garamond" w:eastAsia="Garamond" w:hAnsi="Garamond" w:cs="Garamond"/>
          <w:sz w:val="20"/>
          <w:szCs w:val="20"/>
        </w:rPr>
        <w:t>i</w:t>
      </w:r>
    </w:p>
    <w:p w14:paraId="0889A27F" w14:textId="77777777" w:rsidR="00EC4499" w:rsidRDefault="00433EA7">
      <w:pPr>
        <w:pBdr>
          <w:top w:val="nil"/>
          <w:left w:val="nil"/>
          <w:bottom w:val="nil"/>
          <w:right w:val="nil"/>
          <w:between w:val="nil"/>
        </w:pBdr>
        <w:spacing w:before="160" w:after="0" w:line="240" w:lineRule="auto"/>
        <w:rPr>
          <w:rFonts w:ascii="Garamond" w:eastAsia="Garamond" w:hAnsi="Garamond" w:cs="Garamond"/>
          <w:b/>
          <w:color w:val="000000"/>
          <w:sz w:val="28"/>
          <w:szCs w:val="28"/>
        </w:rPr>
      </w:pPr>
      <w:r>
        <w:rPr>
          <w:rFonts w:ascii="Garamond" w:eastAsia="Garamond" w:hAnsi="Garamond" w:cs="Garamond"/>
          <w:b/>
          <w:color w:val="000000"/>
          <w:sz w:val="28"/>
          <w:szCs w:val="28"/>
        </w:rPr>
        <w:lastRenderedPageBreak/>
        <w:t>Resumo</w:t>
      </w:r>
    </w:p>
    <w:p w14:paraId="232B8C53" w14:textId="77777777" w:rsidR="00EC4499" w:rsidRDefault="00EC4499">
      <w:pPr>
        <w:pBdr>
          <w:top w:val="nil"/>
          <w:left w:val="nil"/>
          <w:bottom w:val="nil"/>
          <w:right w:val="nil"/>
          <w:between w:val="nil"/>
        </w:pBdr>
        <w:spacing w:before="160" w:after="0" w:line="240" w:lineRule="auto"/>
        <w:rPr>
          <w:rFonts w:ascii="Garamond" w:eastAsia="Garamond" w:hAnsi="Garamond" w:cs="Garamond"/>
          <w:b/>
          <w:color w:val="000000"/>
          <w:sz w:val="28"/>
          <w:szCs w:val="28"/>
        </w:rPr>
      </w:pPr>
    </w:p>
    <w:p w14:paraId="58B309BE" w14:textId="77777777" w:rsidR="00EC4499" w:rsidRDefault="00433EA7">
      <w:pPr>
        <w:pBdr>
          <w:top w:val="nil"/>
          <w:left w:val="nil"/>
          <w:bottom w:val="nil"/>
          <w:right w:val="nil"/>
          <w:between w:val="nil"/>
        </w:pBd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Os bancos cumprem papel relevante na transferência de recursos financeiros para atividades econômicas, que podem ou não serem sustentáveis, por meio de crédito ou investimento e são signatários de diversos pactos pela sustentabilidade, além de terem suas atividades constantemente fiscalizadas e/ou escrutinadas.</w:t>
      </w:r>
    </w:p>
    <w:p w14:paraId="6789A3B3" w14:textId="77777777" w:rsidR="00EC4499" w:rsidRDefault="00433EA7">
      <w:pPr>
        <w:pBdr>
          <w:top w:val="nil"/>
          <w:left w:val="nil"/>
          <w:bottom w:val="nil"/>
          <w:right w:val="nil"/>
          <w:between w:val="nil"/>
        </w:pBd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Os relatórios de sustentabilidade dão transparência às ações de uma empresa para promover o desenvolvimento sustentável, divulgando seus impactos mais significativos na economia, meio ambiente e pessoas. </w:t>
      </w:r>
      <w:r>
        <w:rPr>
          <w:rFonts w:ascii="Garamond" w:eastAsia="Garamond" w:hAnsi="Garamond" w:cs="Garamond"/>
          <w:sz w:val="24"/>
          <w:szCs w:val="24"/>
        </w:rPr>
        <w:t>À medida</w:t>
      </w:r>
      <w:r>
        <w:rPr>
          <w:rFonts w:ascii="Garamond" w:eastAsia="Garamond" w:hAnsi="Garamond" w:cs="Garamond"/>
          <w:color w:val="000000"/>
          <w:sz w:val="24"/>
          <w:szCs w:val="24"/>
        </w:rPr>
        <w:t xml:space="preserve"> em que cresce a relevância e a obrigatoriedade de emissão desses relatórios pelos diversos tipos e tamanhos de empresas, aumenta também a necessidade de que sejam confeccionados com qualidade.</w:t>
      </w:r>
    </w:p>
    <w:p w14:paraId="2659F687" w14:textId="1BA891AF" w:rsidR="00EC4499" w:rsidRDefault="00433EA7">
      <w:pPr>
        <w:pBdr>
          <w:top w:val="nil"/>
          <w:left w:val="nil"/>
          <w:bottom w:val="nil"/>
          <w:right w:val="nil"/>
          <w:between w:val="nil"/>
        </w:pBdr>
        <w:spacing w:after="0" w:line="360" w:lineRule="auto"/>
        <w:ind w:firstLine="708"/>
        <w:jc w:val="both"/>
        <w:rPr>
          <w:rFonts w:ascii="Garamond" w:eastAsia="Garamond" w:hAnsi="Garamond" w:cs="Garamond"/>
          <w:color w:val="000000"/>
          <w:sz w:val="24"/>
          <w:szCs w:val="24"/>
        </w:rPr>
      </w:pPr>
      <w:r>
        <w:rPr>
          <w:rFonts w:ascii="Garamond" w:eastAsia="Garamond" w:hAnsi="Garamond" w:cs="Garamond"/>
          <w:color w:val="000000"/>
          <w:sz w:val="24"/>
          <w:szCs w:val="24"/>
        </w:rPr>
        <w:t>O objetivo do trabalho é avaliar a qualidade dos relatórios dos bancos com atuação no Brasil sob a ótica dos princípios de relato da GRI e da cobertura dos conteúdos relatados e sua correlação com os ODS para verificar se os melhores relatos foram produzidos pelos bancos nacionais ou estrangeiros, com capital aberto ou fechado, com controle público ou privado, múltiplos ou de desenvolvimento e, ainda, se são do tipo Integrado</w:t>
      </w:r>
      <w:r w:rsidR="00666A52">
        <w:rPr>
          <w:rFonts w:ascii="Garamond" w:eastAsia="Garamond" w:hAnsi="Garamond" w:cs="Garamond"/>
          <w:color w:val="000000"/>
          <w:sz w:val="24"/>
          <w:szCs w:val="24"/>
        </w:rPr>
        <w:t xml:space="preserve">, </w:t>
      </w:r>
      <w:r w:rsidR="00E60819">
        <w:rPr>
          <w:rFonts w:ascii="Garamond" w:eastAsia="Garamond" w:hAnsi="Garamond" w:cs="Garamond"/>
          <w:color w:val="000000"/>
          <w:sz w:val="24"/>
          <w:szCs w:val="24"/>
        </w:rPr>
        <w:t>ESG</w:t>
      </w:r>
      <w:r>
        <w:rPr>
          <w:rFonts w:ascii="Garamond" w:eastAsia="Garamond" w:hAnsi="Garamond" w:cs="Garamond"/>
          <w:color w:val="000000"/>
          <w:sz w:val="24"/>
          <w:szCs w:val="24"/>
        </w:rPr>
        <w:t xml:space="preserve"> ou de Sustentabilidade.</w:t>
      </w:r>
    </w:p>
    <w:p w14:paraId="5C4EFDA9" w14:textId="3D9FDF24" w:rsidR="009C1C84" w:rsidRDefault="00675673">
      <w:pPr>
        <w:pBdr>
          <w:top w:val="nil"/>
          <w:left w:val="nil"/>
          <w:bottom w:val="nil"/>
          <w:right w:val="nil"/>
          <w:between w:val="nil"/>
        </w:pBdr>
        <w:spacing w:after="0" w:line="360" w:lineRule="auto"/>
        <w:ind w:firstLine="708"/>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Esta pesquisa </w:t>
      </w:r>
      <w:r w:rsidR="00155954">
        <w:rPr>
          <w:rFonts w:ascii="Garamond" w:eastAsia="Garamond" w:hAnsi="Garamond" w:cs="Garamond"/>
          <w:color w:val="000000"/>
          <w:sz w:val="24"/>
          <w:szCs w:val="24"/>
        </w:rPr>
        <w:t xml:space="preserve">utiliza </w:t>
      </w:r>
      <w:r w:rsidR="00FB54EB">
        <w:rPr>
          <w:rFonts w:ascii="Garamond" w:eastAsia="Garamond" w:hAnsi="Garamond" w:cs="Garamond"/>
          <w:color w:val="000000"/>
          <w:sz w:val="24"/>
          <w:szCs w:val="24"/>
        </w:rPr>
        <w:t xml:space="preserve">a </w:t>
      </w:r>
      <w:r w:rsidR="00155954">
        <w:rPr>
          <w:rFonts w:ascii="Garamond" w:eastAsia="Garamond" w:hAnsi="Garamond" w:cs="Garamond"/>
          <w:color w:val="000000"/>
          <w:sz w:val="24"/>
          <w:szCs w:val="24"/>
        </w:rPr>
        <w:t xml:space="preserve">metodologia </w:t>
      </w:r>
      <w:r w:rsidR="00155954" w:rsidRPr="00FB54EB">
        <w:rPr>
          <w:rFonts w:ascii="Garamond" w:eastAsia="Garamond" w:hAnsi="Garamond" w:cs="Garamond"/>
          <w:i/>
          <w:iCs/>
          <w:color w:val="000000"/>
          <w:sz w:val="24"/>
          <w:szCs w:val="24"/>
        </w:rPr>
        <w:t>S</w:t>
      </w:r>
      <w:r w:rsidR="00861E2A" w:rsidRPr="00FB54EB">
        <w:rPr>
          <w:rFonts w:ascii="Garamond" w:eastAsia="Garamond" w:hAnsi="Garamond" w:cs="Garamond"/>
          <w:i/>
          <w:iCs/>
          <w:color w:val="000000"/>
          <w:sz w:val="24"/>
          <w:szCs w:val="24"/>
        </w:rPr>
        <w:t xml:space="preserve">ystem </w:t>
      </w:r>
      <w:r w:rsidR="00155954" w:rsidRPr="00FB54EB">
        <w:rPr>
          <w:rFonts w:ascii="Garamond" w:eastAsia="Garamond" w:hAnsi="Garamond" w:cs="Garamond"/>
          <w:i/>
          <w:iCs/>
          <w:color w:val="000000"/>
          <w:sz w:val="24"/>
          <w:szCs w:val="24"/>
        </w:rPr>
        <w:t>D</w:t>
      </w:r>
      <w:r w:rsidR="00861E2A" w:rsidRPr="00FB54EB">
        <w:rPr>
          <w:rFonts w:ascii="Garamond" w:eastAsia="Garamond" w:hAnsi="Garamond" w:cs="Garamond"/>
          <w:i/>
          <w:iCs/>
          <w:color w:val="000000"/>
          <w:sz w:val="24"/>
          <w:szCs w:val="24"/>
        </w:rPr>
        <w:t xml:space="preserve">isclosure </w:t>
      </w:r>
      <w:r w:rsidR="00155954" w:rsidRPr="00FB54EB">
        <w:rPr>
          <w:rFonts w:ascii="Garamond" w:eastAsia="Garamond" w:hAnsi="Garamond" w:cs="Garamond"/>
          <w:i/>
          <w:iCs/>
          <w:color w:val="000000"/>
          <w:sz w:val="24"/>
          <w:szCs w:val="24"/>
        </w:rPr>
        <w:t>M</w:t>
      </w:r>
      <w:r w:rsidR="00FB54EB" w:rsidRPr="00FB54EB">
        <w:rPr>
          <w:rFonts w:ascii="Garamond" w:eastAsia="Garamond" w:hAnsi="Garamond" w:cs="Garamond"/>
          <w:i/>
          <w:iCs/>
          <w:color w:val="000000"/>
          <w:sz w:val="24"/>
          <w:szCs w:val="24"/>
        </w:rPr>
        <w:t>atrix</w:t>
      </w:r>
      <w:r w:rsidR="00FB54EB">
        <w:rPr>
          <w:rFonts w:ascii="Garamond" w:eastAsia="Garamond" w:hAnsi="Garamond" w:cs="Garamond"/>
          <w:color w:val="000000"/>
          <w:sz w:val="24"/>
          <w:szCs w:val="24"/>
        </w:rPr>
        <w:t xml:space="preserve"> (SDM)</w:t>
      </w:r>
      <w:r w:rsidR="00861E2A">
        <w:rPr>
          <w:rFonts w:ascii="Garamond" w:eastAsia="Garamond" w:hAnsi="Garamond" w:cs="Garamond"/>
          <w:color w:val="000000"/>
          <w:sz w:val="24"/>
          <w:szCs w:val="24"/>
        </w:rPr>
        <w:t xml:space="preserve"> </w:t>
      </w:r>
      <w:r w:rsidR="00167195">
        <w:rPr>
          <w:rFonts w:ascii="Garamond" w:eastAsia="Garamond" w:hAnsi="Garamond" w:cs="Garamond"/>
          <w:color w:val="000000"/>
          <w:sz w:val="24"/>
          <w:szCs w:val="24"/>
        </w:rPr>
        <w:t xml:space="preserve">e </w:t>
      </w:r>
      <w:r w:rsidR="00805C72" w:rsidRPr="00805C72">
        <w:rPr>
          <w:rFonts w:ascii="Garamond" w:eastAsia="Garamond" w:hAnsi="Garamond" w:cs="Garamond"/>
          <w:i/>
          <w:iCs/>
          <w:color w:val="000000"/>
          <w:sz w:val="24"/>
          <w:szCs w:val="24"/>
        </w:rPr>
        <w:t>Measure</w:t>
      </w:r>
      <w:r w:rsidR="00A24EFC">
        <w:rPr>
          <w:rFonts w:ascii="Garamond" w:eastAsia="Garamond" w:hAnsi="Garamond" w:cs="Garamond"/>
          <w:i/>
          <w:iCs/>
          <w:color w:val="000000"/>
          <w:sz w:val="24"/>
          <w:szCs w:val="24"/>
        </w:rPr>
        <w:t>ment</w:t>
      </w:r>
      <w:r w:rsidR="00805C72" w:rsidRPr="00805C72">
        <w:rPr>
          <w:rFonts w:ascii="Garamond" w:eastAsia="Garamond" w:hAnsi="Garamond" w:cs="Garamond"/>
          <w:i/>
          <w:iCs/>
          <w:color w:val="000000"/>
          <w:sz w:val="24"/>
          <w:szCs w:val="24"/>
        </w:rPr>
        <w:t xml:space="preserve"> System</w:t>
      </w:r>
      <w:r w:rsidR="00805C72">
        <w:rPr>
          <w:rFonts w:ascii="Garamond" w:eastAsia="Garamond" w:hAnsi="Garamond" w:cs="Garamond"/>
          <w:color w:val="000000"/>
          <w:sz w:val="24"/>
          <w:szCs w:val="24"/>
        </w:rPr>
        <w:t xml:space="preserve"> (SM) </w:t>
      </w:r>
      <w:r w:rsidR="00861E2A">
        <w:rPr>
          <w:rFonts w:ascii="Garamond" w:eastAsia="Garamond" w:hAnsi="Garamond" w:cs="Garamond"/>
          <w:color w:val="000000"/>
          <w:sz w:val="24"/>
          <w:szCs w:val="24"/>
        </w:rPr>
        <w:t>desenvolvida por pesquisadores gregos</w:t>
      </w:r>
      <w:r w:rsidR="00FD02AF">
        <w:rPr>
          <w:rFonts w:ascii="Garamond" w:eastAsia="Garamond" w:hAnsi="Garamond" w:cs="Garamond"/>
          <w:color w:val="000000"/>
          <w:sz w:val="24"/>
          <w:szCs w:val="24"/>
        </w:rPr>
        <w:t xml:space="preserve"> </w:t>
      </w:r>
      <w:r w:rsidR="00261CDE">
        <w:rPr>
          <w:rFonts w:ascii="Garamond" w:eastAsia="Garamond" w:hAnsi="Garamond" w:cs="Garamond"/>
          <w:color w:val="000000"/>
          <w:sz w:val="24"/>
          <w:szCs w:val="24"/>
        </w:rPr>
        <w:t>para avaliar</w:t>
      </w:r>
      <w:r w:rsidR="00186885">
        <w:rPr>
          <w:rFonts w:ascii="Garamond" w:eastAsia="Garamond" w:hAnsi="Garamond" w:cs="Garamond"/>
          <w:color w:val="000000"/>
          <w:sz w:val="24"/>
          <w:szCs w:val="24"/>
        </w:rPr>
        <w:t xml:space="preserve"> a </w:t>
      </w:r>
      <w:r w:rsidR="00B255AF">
        <w:rPr>
          <w:rFonts w:ascii="Garamond" w:eastAsia="Garamond" w:hAnsi="Garamond" w:cs="Garamond"/>
          <w:color w:val="000000"/>
          <w:sz w:val="24"/>
          <w:szCs w:val="24"/>
        </w:rPr>
        <w:t>qualidade baseada na avaliação dos</w:t>
      </w:r>
      <w:r w:rsidR="00186885">
        <w:rPr>
          <w:rFonts w:ascii="Garamond" w:eastAsia="Garamond" w:hAnsi="Garamond" w:cs="Garamond"/>
          <w:color w:val="000000"/>
          <w:sz w:val="24"/>
          <w:szCs w:val="24"/>
        </w:rPr>
        <w:t xml:space="preserve"> conteúdos econômicos, sociais e ambientais</w:t>
      </w:r>
      <w:r w:rsidR="00DE129E">
        <w:rPr>
          <w:rFonts w:ascii="Garamond" w:eastAsia="Garamond" w:hAnsi="Garamond" w:cs="Garamond"/>
          <w:color w:val="000000"/>
          <w:sz w:val="24"/>
          <w:szCs w:val="24"/>
        </w:rPr>
        <w:t xml:space="preserve"> e </w:t>
      </w:r>
      <w:r w:rsidR="00A24EFC">
        <w:rPr>
          <w:rFonts w:ascii="Garamond" w:eastAsia="Garamond" w:hAnsi="Garamond" w:cs="Garamond"/>
          <w:color w:val="000000"/>
          <w:sz w:val="24"/>
          <w:szCs w:val="24"/>
        </w:rPr>
        <w:t xml:space="preserve">desenvolve </w:t>
      </w:r>
      <w:r w:rsidR="001F149E">
        <w:rPr>
          <w:rFonts w:ascii="Garamond" w:eastAsia="Garamond" w:hAnsi="Garamond" w:cs="Garamond"/>
          <w:color w:val="000000"/>
          <w:sz w:val="24"/>
          <w:szCs w:val="24"/>
        </w:rPr>
        <w:t xml:space="preserve">questionário </w:t>
      </w:r>
      <w:r w:rsidR="00261CDE">
        <w:rPr>
          <w:rFonts w:ascii="Garamond" w:eastAsia="Garamond" w:hAnsi="Garamond" w:cs="Garamond"/>
          <w:color w:val="000000"/>
          <w:sz w:val="24"/>
          <w:szCs w:val="24"/>
        </w:rPr>
        <w:t>própri</w:t>
      </w:r>
      <w:r w:rsidR="001F149E">
        <w:rPr>
          <w:rFonts w:ascii="Garamond" w:eastAsia="Garamond" w:hAnsi="Garamond" w:cs="Garamond"/>
          <w:color w:val="000000"/>
          <w:sz w:val="24"/>
          <w:szCs w:val="24"/>
        </w:rPr>
        <w:t>o, com base em trabalhos anteriores e documentos oficiais,</w:t>
      </w:r>
      <w:r w:rsidR="00261CDE">
        <w:rPr>
          <w:rFonts w:ascii="Garamond" w:eastAsia="Garamond" w:hAnsi="Garamond" w:cs="Garamond"/>
          <w:color w:val="000000"/>
          <w:sz w:val="24"/>
          <w:szCs w:val="24"/>
        </w:rPr>
        <w:t xml:space="preserve"> para a</w:t>
      </w:r>
      <w:r w:rsidR="005B1F8D">
        <w:rPr>
          <w:rFonts w:ascii="Garamond" w:eastAsia="Garamond" w:hAnsi="Garamond" w:cs="Garamond"/>
          <w:color w:val="000000"/>
          <w:sz w:val="24"/>
          <w:szCs w:val="24"/>
        </w:rPr>
        <w:t>nalisar</w:t>
      </w:r>
      <w:r w:rsidR="00261CDE">
        <w:rPr>
          <w:rFonts w:ascii="Garamond" w:eastAsia="Garamond" w:hAnsi="Garamond" w:cs="Garamond"/>
          <w:color w:val="000000"/>
          <w:sz w:val="24"/>
          <w:szCs w:val="24"/>
        </w:rPr>
        <w:t xml:space="preserve"> a observância </w:t>
      </w:r>
      <w:r w:rsidR="005B1F8D">
        <w:rPr>
          <w:rFonts w:ascii="Garamond" w:eastAsia="Garamond" w:hAnsi="Garamond" w:cs="Garamond"/>
          <w:color w:val="000000"/>
          <w:sz w:val="24"/>
          <w:szCs w:val="24"/>
        </w:rPr>
        <w:t>a</w:t>
      </w:r>
      <w:r w:rsidR="00261CDE">
        <w:rPr>
          <w:rFonts w:ascii="Garamond" w:eastAsia="Garamond" w:hAnsi="Garamond" w:cs="Garamond"/>
          <w:color w:val="000000"/>
          <w:sz w:val="24"/>
          <w:szCs w:val="24"/>
        </w:rPr>
        <w:t>os princípios GRI.</w:t>
      </w:r>
      <w:r w:rsidR="0055515F">
        <w:rPr>
          <w:rFonts w:ascii="Garamond" w:eastAsia="Garamond" w:hAnsi="Garamond" w:cs="Garamond"/>
          <w:color w:val="000000"/>
          <w:sz w:val="24"/>
          <w:szCs w:val="24"/>
        </w:rPr>
        <w:t xml:space="preserve"> </w:t>
      </w:r>
    </w:p>
    <w:p w14:paraId="64534D1E" w14:textId="77777777" w:rsidR="00EC4499" w:rsidRDefault="00433EA7">
      <w:pPr>
        <w:pBdr>
          <w:top w:val="nil"/>
          <w:left w:val="nil"/>
          <w:bottom w:val="nil"/>
          <w:right w:val="nil"/>
          <w:between w:val="nil"/>
        </w:pBdr>
        <w:spacing w:after="0" w:line="360" w:lineRule="auto"/>
        <w:ind w:firstLine="708"/>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Os resultados indicam que os reportes em geral são de baixa qualidade, embora haja alguns casos de qualidade média ou muito baixa, demonstrando a necessidade de aprimoramento na sua confecção. As melhores avaliações foram para os relatórios produzidos pelos bancos privados, com capital aberto, sediados no Brasil e que utilizam o relato Integrado. </w:t>
      </w:r>
    </w:p>
    <w:p w14:paraId="3D28216D" w14:textId="77777777" w:rsidR="00EC4499" w:rsidRDefault="00EC4499">
      <w:pPr>
        <w:spacing w:after="0" w:line="360" w:lineRule="auto"/>
        <w:rPr>
          <w:rFonts w:ascii="Garamond" w:eastAsia="Garamond" w:hAnsi="Garamond" w:cs="Garamond"/>
          <w:b/>
          <w:sz w:val="24"/>
          <w:szCs w:val="24"/>
        </w:rPr>
      </w:pPr>
    </w:p>
    <w:p w14:paraId="315FE6C7" w14:textId="21F7F026" w:rsidR="00EC4499" w:rsidRDefault="00433EA7">
      <w:pPr>
        <w:spacing w:after="0" w:line="360" w:lineRule="auto"/>
        <w:rPr>
          <w:rFonts w:ascii="Garamond" w:eastAsia="Garamond" w:hAnsi="Garamond" w:cs="Garamond"/>
          <w:b/>
          <w:sz w:val="28"/>
          <w:szCs w:val="28"/>
        </w:rPr>
      </w:pPr>
      <w:r>
        <w:rPr>
          <w:rFonts w:ascii="Garamond" w:eastAsia="Garamond" w:hAnsi="Garamond" w:cs="Garamond"/>
          <w:b/>
          <w:sz w:val="24"/>
          <w:szCs w:val="24"/>
        </w:rPr>
        <w:t xml:space="preserve">Palavras-chave: </w:t>
      </w:r>
      <w:r>
        <w:rPr>
          <w:rFonts w:ascii="Garamond" w:eastAsia="Garamond" w:hAnsi="Garamond" w:cs="Garamond"/>
          <w:sz w:val="24"/>
          <w:szCs w:val="24"/>
        </w:rPr>
        <w:t>Relatórios de Sustentabilidade,</w:t>
      </w:r>
      <w:r>
        <w:rPr>
          <w:rFonts w:ascii="Garamond" w:eastAsia="Garamond" w:hAnsi="Garamond" w:cs="Garamond"/>
          <w:i/>
          <w:sz w:val="24"/>
          <w:szCs w:val="24"/>
        </w:rPr>
        <w:t xml:space="preserve"> Global Reporting Initiative</w:t>
      </w:r>
      <w:r>
        <w:rPr>
          <w:rFonts w:ascii="Garamond" w:eastAsia="Garamond" w:hAnsi="Garamond" w:cs="Garamond"/>
          <w:sz w:val="24"/>
          <w:szCs w:val="24"/>
        </w:rPr>
        <w:t xml:space="preserve"> (GRI), Objetivos de Desenvolvimento Sustentável (ODS), qualidade, bancos, Brasil</w:t>
      </w:r>
    </w:p>
    <w:p w14:paraId="47252A52" w14:textId="77777777" w:rsidR="00EC4499" w:rsidRDefault="00EC4499">
      <w:pPr>
        <w:spacing w:after="0" w:line="360" w:lineRule="auto"/>
        <w:rPr>
          <w:rFonts w:ascii="Garamond" w:eastAsia="Garamond" w:hAnsi="Garamond" w:cs="Garamond"/>
          <w:b/>
          <w:sz w:val="28"/>
          <w:szCs w:val="28"/>
        </w:rPr>
      </w:pPr>
    </w:p>
    <w:p w14:paraId="77D5774F" w14:textId="77777777" w:rsidR="00EC4499" w:rsidRPr="00F73D0C" w:rsidRDefault="00433EA7">
      <w:pPr>
        <w:spacing w:after="0" w:line="360" w:lineRule="auto"/>
        <w:jc w:val="right"/>
        <w:rPr>
          <w:rFonts w:ascii="Garamond" w:eastAsia="Garamond" w:hAnsi="Garamond" w:cs="Garamond"/>
          <w:b/>
          <w:sz w:val="28"/>
          <w:szCs w:val="28"/>
          <w:lang w:val="en-GB"/>
        </w:rPr>
      </w:pPr>
      <w:r w:rsidRPr="00F73D0C">
        <w:rPr>
          <w:rFonts w:ascii="Garamond" w:eastAsia="Garamond" w:hAnsi="Garamond" w:cs="Garamond"/>
          <w:sz w:val="20"/>
          <w:szCs w:val="20"/>
          <w:lang w:val="en-GB"/>
        </w:rPr>
        <w:t>ii</w:t>
      </w:r>
    </w:p>
    <w:p w14:paraId="093DF5DA" w14:textId="77777777" w:rsidR="008C0513" w:rsidRDefault="008C0513">
      <w:pPr>
        <w:spacing w:after="0" w:line="360" w:lineRule="auto"/>
        <w:rPr>
          <w:rFonts w:ascii="Garamond" w:eastAsia="Garamond" w:hAnsi="Garamond" w:cs="Garamond"/>
          <w:b/>
          <w:sz w:val="28"/>
          <w:szCs w:val="28"/>
          <w:lang w:val="en-GB"/>
        </w:rPr>
      </w:pPr>
    </w:p>
    <w:p w14:paraId="534F04A3" w14:textId="659E6963" w:rsidR="00EC4499" w:rsidRPr="00F73D0C" w:rsidRDefault="00433EA7">
      <w:pPr>
        <w:spacing w:after="0" w:line="360" w:lineRule="auto"/>
        <w:rPr>
          <w:rFonts w:ascii="Garamond" w:eastAsia="Garamond" w:hAnsi="Garamond" w:cs="Garamond"/>
          <w:b/>
          <w:sz w:val="28"/>
          <w:szCs w:val="28"/>
          <w:lang w:val="en-GB"/>
        </w:rPr>
      </w:pPr>
      <w:r w:rsidRPr="00F73D0C">
        <w:rPr>
          <w:rFonts w:ascii="Garamond" w:eastAsia="Garamond" w:hAnsi="Garamond" w:cs="Garamond"/>
          <w:b/>
          <w:sz w:val="28"/>
          <w:szCs w:val="28"/>
          <w:lang w:val="en-GB"/>
        </w:rPr>
        <w:lastRenderedPageBreak/>
        <w:t>Abstract</w:t>
      </w:r>
    </w:p>
    <w:p w14:paraId="1971D3A2" w14:textId="77777777" w:rsidR="00EC4499" w:rsidRPr="00F73D0C" w:rsidRDefault="00EC4499">
      <w:pPr>
        <w:spacing w:after="0" w:line="360" w:lineRule="auto"/>
        <w:rPr>
          <w:rFonts w:ascii="Garamond" w:eastAsia="Garamond" w:hAnsi="Garamond" w:cs="Garamond"/>
          <w:b/>
          <w:sz w:val="28"/>
          <w:szCs w:val="28"/>
          <w:lang w:val="en-GB"/>
        </w:rPr>
      </w:pPr>
    </w:p>
    <w:p w14:paraId="3ED0AF57" w14:textId="77777777" w:rsidR="00EC4499" w:rsidRPr="00F73D0C" w:rsidRDefault="00433EA7">
      <w:pPr>
        <w:spacing w:after="0" w:line="360" w:lineRule="auto"/>
        <w:ind w:firstLine="708"/>
        <w:jc w:val="both"/>
        <w:rPr>
          <w:rFonts w:ascii="Garamond" w:eastAsia="Garamond" w:hAnsi="Garamond" w:cs="Garamond"/>
          <w:sz w:val="24"/>
          <w:szCs w:val="24"/>
          <w:lang w:val="en-GB"/>
        </w:rPr>
      </w:pPr>
      <w:r w:rsidRPr="00F73D0C">
        <w:rPr>
          <w:rFonts w:ascii="Garamond" w:eastAsia="Garamond" w:hAnsi="Garamond" w:cs="Garamond"/>
          <w:sz w:val="24"/>
          <w:szCs w:val="24"/>
          <w:lang w:val="en-GB"/>
        </w:rPr>
        <w:t>Banks play an important role in transferring financial resources to economic activities, which may or may not be sustainable, through credit or investment and are signatories to various sustainability pacts, in addition to having their activities constantly monitored and/or scrutinized.</w:t>
      </w:r>
    </w:p>
    <w:p w14:paraId="66E36D00" w14:textId="77777777" w:rsidR="00EC4499" w:rsidRPr="00F73D0C" w:rsidRDefault="00433EA7">
      <w:pPr>
        <w:spacing w:after="0" w:line="360" w:lineRule="auto"/>
        <w:ind w:firstLine="708"/>
        <w:jc w:val="both"/>
        <w:rPr>
          <w:rFonts w:ascii="Garamond" w:eastAsia="Garamond" w:hAnsi="Garamond" w:cs="Garamond"/>
          <w:sz w:val="24"/>
          <w:szCs w:val="24"/>
          <w:lang w:val="en-GB"/>
        </w:rPr>
      </w:pPr>
      <w:r w:rsidRPr="00F73D0C">
        <w:rPr>
          <w:rFonts w:ascii="Garamond" w:eastAsia="Garamond" w:hAnsi="Garamond" w:cs="Garamond"/>
          <w:sz w:val="24"/>
          <w:szCs w:val="24"/>
          <w:lang w:val="en-GB"/>
        </w:rPr>
        <w:t>Sustainability reports provide transparency to a company's actions to promote sustainable development, disclosing its most significant impacts on the economy, environment and people. As the relevance and obligation for these reports to be issued by different types and sizes of companies grows, the need for them to be prepared with quality also increases.</w:t>
      </w:r>
    </w:p>
    <w:p w14:paraId="3DD99562" w14:textId="77777777" w:rsidR="00EC4499" w:rsidRDefault="00433EA7">
      <w:pPr>
        <w:spacing w:after="0" w:line="360" w:lineRule="auto"/>
        <w:ind w:firstLine="708"/>
        <w:jc w:val="both"/>
        <w:rPr>
          <w:rFonts w:ascii="Garamond" w:eastAsia="Garamond" w:hAnsi="Garamond" w:cs="Garamond"/>
          <w:sz w:val="24"/>
          <w:szCs w:val="24"/>
          <w:lang w:val="en-GB"/>
        </w:rPr>
      </w:pPr>
      <w:r w:rsidRPr="00F73D0C">
        <w:rPr>
          <w:rFonts w:ascii="Garamond" w:eastAsia="Garamond" w:hAnsi="Garamond" w:cs="Garamond"/>
          <w:sz w:val="24"/>
          <w:szCs w:val="24"/>
          <w:lang w:val="en-GB"/>
        </w:rPr>
        <w:t>The objective of the work is to evaluate the quality of reports from banks operating in Brazil from the perspective of the GRI reporting principles and the coverage of reported content and its correlation with the SDGs to verify if the best reports were produced by national or foreign banks , whether publicly traded or privately held, government or privately controlled, commercial or development and, also, whether they are of the Integrated or Sustainability type.</w:t>
      </w:r>
    </w:p>
    <w:p w14:paraId="4FB27E31" w14:textId="0AA8027A" w:rsidR="00201E6B" w:rsidRPr="00F73D0C" w:rsidRDefault="005F7383">
      <w:pPr>
        <w:spacing w:after="0" w:line="360" w:lineRule="auto"/>
        <w:ind w:firstLine="708"/>
        <w:jc w:val="both"/>
        <w:rPr>
          <w:rFonts w:ascii="Garamond" w:eastAsia="Garamond" w:hAnsi="Garamond" w:cs="Garamond"/>
          <w:sz w:val="24"/>
          <w:szCs w:val="24"/>
          <w:lang w:val="en-GB"/>
        </w:rPr>
      </w:pPr>
      <w:r w:rsidRPr="005F7383">
        <w:rPr>
          <w:rFonts w:ascii="Garamond" w:eastAsia="Garamond" w:hAnsi="Garamond" w:cs="Garamond"/>
          <w:sz w:val="24"/>
          <w:szCs w:val="24"/>
          <w:lang w:val="en-GB"/>
        </w:rPr>
        <w:t>This research uses the System Disclosure Matrix (SDM) and Measurement System (M</w:t>
      </w:r>
      <w:r>
        <w:rPr>
          <w:rFonts w:ascii="Garamond" w:eastAsia="Garamond" w:hAnsi="Garamond" w:cs="Garamond"/>
          <w:sz w:val="24"/>
          <w:szCs w:val="24"/>
          <w:lang w:val="en-GB"/>
        </w:rPr>
        <w:t>S</w:t>
      </w:r>
      <w:r w:rsidRPr="005F7383">
        <w:rPr>
          <w:rFonts w:ascii="Garamond" w:eastAsia="Garamond" w:hAnsi="Garamond" w:cs="Garamond"/>
          <w:sz w:val="24"/>
          <w:szCs w:val="24"/>
          <w:lang w:val="en-GB"/>
        </w:rPr>
        <w:t xml:space="preserve">) methodology developed by </w:t>
      </w:r>
      <w:r w:rsidR="00794F4C">
        <w:rPr>
          <w:rFonts w:ascii="Garamond" w:eastAsia="Garamond" w:hAnsi="Garamond" w:cs="Garamond"/>
          <w:sz w:val="24"/>
          <w:szCs w:val="24"/>
          <w:lang w:val="en-GB"/>
        </w:rPr>
        <w:t>G</w:t>
      </w:r>
      <w:r w:rsidRPr="005F7383">
        <w:rPr>
          <w:rFonts w:ascii="Garamond" w:eastAsia="Garamond" w:hAnsi="Garamond" w:cs="Garamond"/>
          <w:sz w:val="24"/>
          <w:szCs w:val="24"/>
          <w:lang w:val="en-GB"/>
        </w:rPr>
        <w:t xml:space="preserve">reek researchers to assess quality based on economic, social and environmental contents and develops its own questionnaire, based on previous </w:t>
      </w:r>
      <w:r>
        <w:rPr>
          <w:rFonts w:ascii="Garamond" w:eastAsia="Garamond" w:hAnsi="Garamond" w:cs="Garamond"/>
          <w:sz w:val="24"/>
          <w:szCs w:val="24"/>
          <w:lang w:val="en-GB"/>
        </w:rPr>
        <w:t>studies</w:t>
      </w:r>
      <w:r w:rsidRPr="005F7383">
        <w:rPr>
          <w:rFonts w:ascii="Garamond" w:eastAsia="Garamond" w:hAnsi="Garamond" w:cs="Garamond"/>
          <w:sz w:val="24"/>
          <w:szCs w:val="24"/>
          <w:lang w:val="en-GB"/>
        </w:rPr>
        <w:t xml:space="preserve"> and official documents, to </w:t>
      </w:r>
      <w:r w:rsidR="00954455" w:rsidRPr="005F7383">
        <w:rPr>
          <w:rFonts w:ascii="Garamond" w:eastAsia="Garamond" w:hAnsi="Garamond" w:cs="Garamond"/>
          <w:sz w:val="24"/>
          <w:szCs w:val="24"/>
          <w:lang w:val="en-GB"/>
        </w:rPr>
        <w:t>analy</w:t>
      </w:r>
      <w:r w:rsidR="0092799B">
        <w:rPr>
          <w:rFonts w:ascii="Garamond" w:eastAsia="Garamond" w:hAnsi="Garamond" w:cs="Garamond"/>
          <w:sz w:val="24"/>
          <w:szCs w:val="24"/>
          <w:lang w:val="en-GB"/>
        </w:rPr>
        <w:t>z</w:t>
      </w:r>
      <w:r w:rsidR="00954455" w:rsidRPr="005F7383">
        <w:rPr>
          <w:rFonts w:ascii="Garamond" w:eastAsia="Garamond" w:hAnsi="Garamond" w:cs="Garamond"/>
          <w:sz w:val="24"/>
          <w:szCs w:val="24"/>
          <w:lang w:val="en-GB"/>
        </w:rPr>
        <w:t>e</w:t>
      </w:r>
      <w:r w:rsidRPr="005F7383">
        <w:rPr>
          <w:rFonts w:ascii="Garamond" w:eastAsia="Garamond" w:hAnsi="Garamond" w:cs="Garamond"/>
          <w:sz w:val="24"/>
          <w:szCs w:val="24"/>
          <w:lang w:val="en-GB"/>
        </w:rPr>
        <w:t xml:space="preserve"> compliance with GRI principles.</w:t>
      </w:r>
    </w:p>
    <w:p w14:paraId="5F449828" w14:textId="77777777" w:rsidR="00EC4499" w:rsidRPr="00F73D0C" w:rsidRDefault="00433EA7">
      <w:pPr>
        <w:spacing w:after="0" w:line="360" w:lineRule="auto"/>
        <w:ind w:firstLine="708"/>
        <w:jc w:val="both"/>
        <w:rPr>
          <w:rFonts w:ascii="Garamond" w:eastAsia="Garamond" w:hAnsi="Garamond" w:cs="Garamond"/>
          <w:sz w:val="24"/>
          <w:szCs w:val="24"/>
          <w:lang w:val="en-GB"/>
        </w:rPr>
      </w:pPr>
      <w:r w:rsidRPr="00F73D0C">
        <w:rPr>
          <w:rFonts w:ascii="Garamond" w:eastAsia="Garamond" w:hAnsi="Garamond" w:cs="Garamond"/>
          <w:sz w:val="24"/>
          <w:szCs w:val="24"/>
          <w:lang w:val="en-GB"/>
        </w:rPr>
        <w:t>The results indicate that the reports are generally of low quality, although there are some cases of medium or very low quality, demonstrating the need for improvement in their preparation. The best evaluations were for reports produced by private banks, publicly traded, based in Brazil and which use Integrated reporting.</w:t>
      </w:r>
    </w:p>
    <w:p w14:paraId="658E2247" w14:textId="77777777" w:rsidR="00EC4499" w:rsidRPr="00F73D0C" w:rsidRDefault="00EC4499">
      <w:pPr>
        <w:spacing w:after="0" w:line="360" w:lineRule="auto"/>
        <w:jc w:val="both"/>
        <w:rPr>
          <w:rFonts w:ascii="Garamond" w:eastAsia="Garamond" w:hAnsi="Garamond" w:cs="Garamond"/>
          <w:b/>
          <w:sz w:val="24"/>
          <w:szCs w:val="24"/>
          <w:lang w:val="en-GB"/>
        </w:rPr>
      </w:pPr>
    </w:p>
    <w:p w14:paraId="18C5DF47" w14:textId="1786FBA5" w:rsidR="00EC4499" w:rsidRPr="00F73D0C" w:rsidRDefault="00433EA7">
      <w:pPr>
        <w:spacing w:after="0" w:line="360" w:lineRule="auto"/>
        <w:jc w:val="both"/>
        <w:rPr>
          <w:rFonts w:ascii="Garamond" w:eastAsia="Garamond" w:hAnsi="Garamond" w:cs="Garamond"/>
          <w:sz w:val="24"/>
          <w:szCs w:val="24"/>
          <w:lang w:val="en-GB"/>
        </w:rPr>
      </w:pPr>
      <w:r w:rsidRPr="00F73D0C">
        <w:rPr>
          <w:rFonts w:ascii="Garamond" w:eastAsia="Garamond" w:hAnsi="Garamond" w:cs="Garamond"/>
          <w:b/>
          <w:sz w:val="24"/>
          <w:szCs w:val="24"/>
          <w:lang w:val="en-GB"/>
        </w:rPr>
        <w:t xml:space="preserve">Keywords: </w:t>
      </w:r>
      <w:r w:rsidRPr="00F73D0C">
        <w:rPr>
          <w:rFonts w:ascii="Garamond" w:eastAsia="Garamond" w:hAnsi="Garamond" w:cs="Garamond"/>
          <w:sz w:val="24"/>
          <w:szCs w:val="24"/>
          <w:lang w:val="en-GB"/>
        </w:rPr>
        <w:t>Sustainability Reports,</w:t>
      </w:r>
      <w:r w:rsidRPr="00F73D0C">
        <w:rPr>
          <w:rFonts w:ascii="Garamond" w:eastAsia="Garamond" w:hAnsi="Garamond" w:cs="Garamond"/>
          <w:i/>
          <w:sz w:val="24"/>
          <w:szCs w:val="24"/>
          <w:lang w:val="en-GB"/>
        </w:rPr>
        <w:t xml:space="preserve"> </w:t>
      </w:r>
      <w:r w:rsidRPr="00F73D0C">
        <w:rPr>
          <w:rFonts w:ascii="Garamond" w:eastAsia="Garamond" w:hAnsi="Garamond" w:cs="Garamond"/>
          <w:sz w:val="24"/>
          <w:szCs w:val="24"/>
          <w:lang w:val="en-GB"/>
        </w:rPr>
        <w:t>Global Reporting Initiative (GRI), Sustainable Development Goals (SDG), quality, banks, Brazil</w:t>
      </w:r>
    </w:p>
    <w:p w14:paraId="7A136654" w14:textId="77777777" w:rsidR="00EC4499" w:rsidRPr="00F73D0C" w:rsidRDefault="00EC4499">
      <w:pPr>
        <w:spacing w:after="0" w:line="360" w:lineRule="auto"/>
        <w:rPr>
          <w:rFonts w:ascii="Garamond" w:eastAsia="Garamond" w:hAnsi="Garamond" w:cs="Garamond"/>
          <w:b/>
          <w:sz w:val="28"/>
          <w:szCs w:val="28"/>
          <w:lang w:val="en-GB"/>
        </w:rPr>
      </w:pPr>
    </w:p>
    <w:p w14:paraId="21959939" w14:textId="77777777" w:rsidR="00EC4499" w:rsidRPr="00F73D0C" w:rsidRDefault="00EC4499">
      <w:pPr>
        <w:spacing w:after="0" w:line="360" w:lineRule="auto"/>
        <w:jc w:val="right"/>
        <w:rPr>
          <w:rFonts w:ascii="Garamond" w:eastAsia="Garamond" w:hAnsi="Garamond" w:cs="Garamond"/>
          <w:sz w:val="20"/>
          <w:szCs w:val="20"/>
          <w:lang w:val="en-GB"/>
        </w:rPr>
      </w:pPr>
    </w:p>
    <w:p w14:paraId="22165C2D" w14:textId="77777777" w:rsidR="005F7383" w:rsidRPr="00794F4C" w:rsidRDefault="005F7383">
      <w:pPr>
        <w:spacing w:after="0" w:line="360" w:lineRule="auto"/>
        <w:jc w:val="right"/>
        <w:rPr>
          <w:rFonts w:ascii="Garamond" w:eastAsia="Garamond" w:hAnsi="Garamond" w:cs="Garamond"/>
          <w:sz w:val="20"/>
          <w:szCs w:val="20"/>
          <w:lang w:val="en-US"/>
        </w:rPr>
      </w:pPr>
    </w:p>
    <w:p w14:paraId="3EB32B5B" w14:textId="77777777" w:rsidR="005F7383" w:rsidRPr="00794F4C" w:rsidRDefault="005F7383">
      <w:pPr>
        <w:spacing w:after="0" w:line="360" w:lineRule="auto"/>
        <w:jc w:val="right"/>
        <w:rPr>
          <w:rFonts w:ascii="Garamond" w:eastAsia="Garamond" w:hAnsi="Garamond" w:cs="Garamond"/>
          <w:sz w:val="20"/>
          <w:szCs w:val="20"/>
          <w:lang w:val="en-US"/>
        </w:rPr>
      </w:pPr>
    </w:p>
    <w:p w14:paraId="0323E399" w14:textId="4EDAE5EA" w:rsidR="00EC4499" w:rsidRDefault="00433EA7">
      <w:pPr>
        <w:spacing w:after="0" w:line="360" w:lineRule="auto"/>
        <w:jc w:val="right"/>
        <w:rPr>
          <w:rFonts w:ascii="Garamond" w:eastAsia="Garamond" w:hAnsi="Garamond" w:cs="Garamond"/>
          <w:sz w:val="20"/>
          <w:szCs w:val="20"/>
        </w:rPr>
      </w:pPr>
      <w:r>
        <w:rPr>
          <w:rFonts w:ascii="Garamond" w:eastAsia="Garamond" w:hAnsi="Garamond" w:cs="Garamond"/>
          <w:sz w:val="20"/>
          <w:szCs w:val="20"/>
        </w:rPr>
        <w:t>iii</w:t>
      </w:r>
    </w:p>
    <w:p w14:paraId="12DF1E6E" w14:textId="77777777" w:rsidR="00EC4499" w:rsidRDefault="00433EA7">
      <w:pPr>
        <w:spacing w:after="0" w:line="360" w:lineRule="auto"/>
        <w:rPr>
          <w:rFonts w:ascii="Garamond" w:eastAsia="Garamond" w:hAnsi="Garamond" w:cs="Garamond"/>
          <w:sz w:val="24"/>
          <w:szCs w:val="24"/>
        </w:rPr>
      </w:pPr>
      <w:r>
        <w:rPr>
          <w:rFonts w:ascii="Garamond" w:eastAsia="Garamond" w:hAnsi="Garamond" w:cs="Garamond"/>
          <w:b/>
          <w:sz w:val="28"/>
          <w:szCs w:val="28"/>
        </w:rPr>
        <w:lastRenderedPageBreak/>
        <w:t>Índice</w:t>
      </w:r>
    </w:p>
    <w:sdt>
      <w:sdtPr>
        <w:id w:val="-2025938512"/>
        <w:docPartObj>
          <w:docPartGallery w:val="Table of Contents"/>
          <w:docPartUnique/>
        </w:docPartObj>
      </w:sdtPr>
      <w:sdtContent>
        <w:p w14:paraId="149F1E22" w14:textId="77777777" w:rsidR="00EC4499" w:rsidRDefault="00433EA7">
          <w:pPr>
            <w:widowControl w:val="0"/>
            <w:tabs>
              <w:tab w:val="right" w:leader="dot" w:pos="12000"/>
            </w:tabs>
            <w:spacing w:before="60" w:after="0" w:line="240" w:lineRule="auto"/>
            <w:rPr>
              <w:rFonts w:ascii="Arial" w:eastAsia="Arial" w:hAnsi="Arial" w:cs="Arial"/>
              <w:b/>
              <w:color w:val="000000"/>
            </w:rPr>
          </w:pPr>
          <w:r>
            <w:fldChar w:fldCharType="begin"/>
          </w:r>
          <w:r>
            <w:instrText xml:space="preserve"> TOC \h \u \z \t "Heading 1,1,Heading 2,2,Heading 3,3,Heading 4,4,Heading 5,5,Heading 6,6,"</w:instrText>
          </w:r>
          <w:r>
            <w:fldChar w:fldCharType="separate"/>
          </w:r>
          <w:hyperlink w:anchor="_heading=h.tq1zjvs1gu08">
            <w:r>
              <w:rPr>
                <w:rFonts w:ascii="Garamond" w:eastAsia="Garamond" w:hAnsi="Garamond" w:cs="Garamond"/>
                <w:color w:val="000000"/>
                <w:sz w:val="24"/>
                <w:szCs w:val="24"/>
              </w:rPr>
              <w:t>1. Introdução</w:t>
            </w:r>
            <w:r>
              <w:rPr>
                <w:rFonts w:ascii="Garamond" w:eastAsia="Garamond" w:hAnsi="Garamond" w:cs="Garamond"/>
                <w:color w:val="000000"/>
                <w:sz w:val="24"/>
                <w:szCs w:val="24"/>
              </w:rPr>
              <w:tab/>
              <w:t>1</w:t>
            </w:r>
          </w:hyperlink>
        </w:p>
        <w:p w14:paraId="533AA430" w14:textId="5EB01970" w:rsidR="00EC4499" w:rsidRDefault="00000000">
          <w:pPr>
            <w:widowControl w:val="0"/>
            <w:tabs>
              <w:tab w:val="right" w:leader="dot" w:pos="12000"/>
            </w:tabs>
            <w:spacing w:before="60" w:after="0" w:line="240" w:lineRule="auto"/>
            <w:rPr>
              <w:rFonts w:ascii="Garamond" w:eastAsia="Garamond" w:hAnsi="Garamond" w:cs="Garamond"/>
              <w:color w:val="000000"/>
              <w:sz w:val="24"/>
              <w:szCs w:val="24"/>
            </w:rPr>
          </w:pPr>
          <w:hyperlink w:anchor="_heading=h.z5qn5yrwleja">
            <w:r w:rsidR="00433EA7">
              <w:rPr>
                <w:rFonts w:ascii="Garamond" w:eastAsia="Garamond" w:hAnsi="Garamond" w:cs="Garamond"/>
                <w:color w:val="000000"/>
                <w:sz w:val="24"/>
                <w:szCs w:val="24"/>
              </w:rPr>
              <w:t>2. Revisão da literatura</w:t>
            </w:r>
            <w:r w:rsidR="00F511B7">
              <w:rPr>
                <w:rFonts w:ascii="Garamond" w:eastAsia="Garamond" w:hAnsi="Garamond" w:cs="Garamond"/>
                <w:color w:val="000000"/>
                <w:sz w:val="24"/>
                <w:szCs w:val="24"/>
              </w:rPr>
              <w:t xml:space="preserve"> relevante</w:t>
            </w:r>
            <w:r w:rsidR="00433EA7">
              <w:rPr>
                <w:rFonts w:ascii="Garamond" w:eastAsia="Garamond" w:hAnsi="Garamond" w:cs="Garamond"/>
                <w:color w:val="000000"/>
                <w:sz w:val="24"/>
                <w:szCs w:val="24"/>
              </w:rPr>
              <w:tab/>
            </w:r>
          </w:hyperlink>
          <w:r w:rsidR="00A03739">
            <w:rPr>
              <w:rFonts w:ascii="Garamond" w:eastAsia="Garamond" w:hAnsi="Garamond" w:cs="Garamond"/>
              <w:color w:val="000000"/>
              <w:sz w:val="24"/>
              <w:szCs w:val="24"/>
            </w:rPr>
            <w:t>5</w:t>
          </w:r>
        </w:p>
        <w:p w14:paraId="6454AA61" w14:textId="3E79EA39" w:rsidR="006005C3" w:rsidRDefault="00000000" w:rsidP="006005C3">
          <w:pPr>
            <w:widowControl w:val="0"/>
            <w:tabs>
              <w:tab w:val="right" w:leader="dot" w:pos="12000"/>
            </w:tabs>
            <w:spacing w:before="60" w:after="0" w:line="240" w:lineRule="auto"/>
            <w:ind w:left="360"/>
            <w:rPr>
              <w:rFonts w:ascii="Arial" w:eastAsia="Arial" w:hAnsi="Arial" w:cs="Arial"/>
              <w:color w:val="000000"/>
            </w:rPr>
          </w:pPr>
          <w:hyperlink w:anchor="_heading=h.ad0dybnrp9xr">
            <w:r w:rsidR="006005C3">
              <w:rPr>
                <w:rFonts w:ascii="Garamond" w:eastAsia="Garamond" w:hAnsi="Garamond" w:cs="Garamond"/>
                <w:color w:val="000000"/>
                <w:sz w:val="24"/>
                <w:szCs w:val="24"/>
              </w:rPr>
              <w:t xml:space="preserve">2.1 </w:t>
            </w:r>
            <w:r w:rsidR="003D7510">
              <w:rPr>
                <w:rFonts w:ascii="Garamond" w:eastAsia="Garamond" w:hAnsi="Garamond" w:cs="Garamond"/>
                <w:color w:val="000000"/>
                <w:sz w:val="24"/>
                <w:szCs w:val="24"/>
              </w:rPr>
              <w:t xml:space="preserve"> Formas de relato</w:t>
            </w:r>
            <w:r w:rsidR="006005C3">
              <w:rPr>
                <w:rFonts w:ascii="Garamond" w:eastAsia="Garamond" w:hAnsi="Garamond" w:cs="Garamond"/>
                <w:color w:val="000000"/>
                <w:sz w:val="24"/>
                <w:szCs w:val="24"/>
              </w:rPr>
              <w:tab/>
            </w:r>
          </w:hyperlink>
          <w:r w:rsidR="00A03739">
            <w:rPr>
              <w:rFonts w:ascii="Garamond" w:eastAsia="Garamond" w:hAnsi="Garamond" w:cs="Garamond"/>
              <w:color w:val="000000"/>
              <w:sz w:val="24"/>
              <w:szCs w:val="24"/>
            </w:rPr>
            <w:t>5</w:t>
          </w:r>
        </w:p>
        <w:p w14:paraId="0BB9A520" w14:textId="1FFD8672" w:rsidR="00EC4499" w:rsidRDefault="00000000">
          <w:pPr>
            <w:widowControl w:val="0"/>
            <w:tabs>
              <w:tab w:val="right" w:leader="dot" w:pos="12000"/>
            </w:tabs>
            <w:spacing w:before="60" w:after="0" w:line="240" w:lineRule="auto"/>
            <w:ind w:left="360"/>
            <w:rPr>
              <w:rFonts w:ascii="Arial" w:eastAsia="Arial" w:hAnsi="Arial" w:cs="Arial"/>
              <w:color w:val="000000"/>
            </w:rPr>
          </w:pPr>
          <w:hyperlink w:anchor="_heading=h.ad0dybnrp9xr">
            <w:r w:rsidR="00433EA7">
              <w:rPr>
                <w:rFonts w:ascii="Garamond" w:eastAsia="Garamond" w:hAnsi="Garamond" w:cs="Garamond"/>
                <w:color w:val="000000"/>
                <w:sz w:val="24"/>
                <w:szCs w:val="24"/>
              </w:rPr>
              <w:t>2.</w:t>
            </w:r>
            <w:r w:rsidR="00152BC3">
              <w:rPr>
                <w:rFonts w:ascii="Garamond" w:eastAsia="Garamond" w:hAnsi="Garamond" w:cs="Garamond"/>
                <w:color w:val="000000"/>
                <w:sz w:val="24"/>
                <w:szCs w:val="24"/>
              </w:rPr>
              <w:t>2</w:t>
            </w:r>
            <w:r w:rsidR="00433EA7">
              <w:rPr>
                <w:rFonts w:ascii="Garamond" w:eastAsia="Garamond" w:hAnsi="Garamond" w:cs="Garamond"/>
                <w:color w:val="000000"/>
                <w:sz w:val="24"/>
                <w:szCs w:val="24"/>
              </w:rPr>
              <w:t xml:space="preserve"> </w:t>
            </w:r>
            <w:r w:rsidR="003D7510">
              <w:rPr>
                <w:rFonts w:ascii="Garamond" w:eastAsia="Garamond" w:hAnsi="Garamond" w:cs="Garamond"/>
                <w:color w:val="000000"/>
                <w:sz w:val="24"/>
                <w:szCs w:val="24"/>
              </w:rPr>
              <w:t xml:space="preserve"> </w:t>
            </w:r>
            <w:r w:rsidR="00433EA7">
              <w:rPr>
                <w:rFonts w:ascii="Garamond" w:eastAsia="Garamond" w:hAnsi="Garamond" w:cs="Garamond"/>
                <w:color w:val="000000"/>
                <w:sz w:val="24"/>
                <w:szCs w:val="24"/>
              </w:rPr>
              <w:t>Avaliação de relatórios de organizações de setores diversos</w:t>
            </w:r>
            <w:r w:rsidR="00433EA7">
              <w:rPr>
                <w:rFonts w:ascii="Garamond" w:eastAsia="Garamond" w:hAnsi="Garamond" w:cs="Garamond"/>
                <w:color w:val="000000"/>
                <w:sz w:val="24"/>
                <w:szCs w:val="24"/>
              </w:rPr>
              <w:tab/>
            </w:r>
          </w:hyperlink>
          <w:r w:rsidR="00A03739">
            <w:rPr>
              <w:rFonts w:ascii="Garamond" w:eastAsia="Garamond" w:hAnsi="Garamond" w:cs="Garamond"/>
              <w:color w:val="000000"/>
              <w:sz w:val="24"/>
              <w:szCs w:val="24"/>
            </w:rPr>
            <w:t>7</w:t>
          </w:r>
        </w:p>
        <w:p w14:paraId="6C006E60" w14:textId="5AF14547" w:rsidR="00EC4499" w:rsidRDefault="00000000">
          <w:pPr>
            <w:widowControl w:val="0"/>
            <w:tabs>
              <w:tab w:val="right" w:leader="dot" w:pos="12000"/>
            </w:tabs>
            <w:spacing w:before="60" w:after="0" w:line="240" w:lineRule="auto"/>
            <w:ind w:left="360"/>
            <w:rPr>
              <w:rFonts w:ascii="Arial" w:eastAsia="Arial" w:hAnsi="Arial" w:cs="Arial"/>
              <w:color w:val="000000"/>
            </w:rPr>
          </w:pPr>
          <w:hyperlink w:anchor="_heading=h.k7vijt6istq7">
            <w:r w:rsidR="00433EA7">
              <w:rPr>
                <w:rFonts w:ascii="Garamond" w:eastAsia="Garamond" w:hAnsi="Garamond" w:cs="Garamond"/>
                <w:color w:val="000000"/>
                <w:sz w:val="24"/>
                <w:szCs w:val="24"/>
              </w:rPr>
              <w:t>2.</w:t>
            </w:r>
            <w:r w:rsidR="00152BC3">
              <w:rPr>
                <w:rFonts w:ascii="Garamond" w:eastAsia="Garamond" w:hAnsi="Garamond" w:cs="Garamond"/>
                <w:color w:val="000000"/>
                <w:sz w:val="24"/>
                <w:szCs w:val="24"/>
              </w:rPr>
              <w:t>3</w:t>
            </w:r>
            <w:r w:rsidR="00433EA7">
              <w:rPr>
                <w:rFonts w:ascii="Garamond" w:eastAsia="Garamond" w:hAnsi="Garamond" w:cs="Garamond"/>
                <w:color w:val="000000"/>
                <w:sz w:val="24"/>
                <w:szCs w:val="24"/>
              </w:rPr>
              <w:t xml:space="preserve"> </w:t>
            </w:r>
            <w:r w:rsidR="003D7510">
              <w:rPr>
                <w:rFonts w:ascii="Garamond" w:eastAsia="Garamond" w:hAnsi="Garamond" w:cs="Garamond"/>
                <w:color w:val="000000"/>
                <w:sz w:val="24"/>
                <w:szCs w:val="24"/>
              </w:rPr>
              <w:t xml:space="preserve"> </w:t>
            </w:r>
            <w:r w:rsidR="00433EA7">
              <w:rPr>
                <w:rFonts w:ascii="Garamond" w:eastAsia="Garamond" w:hAnsi="Garamond" w:cs="Garamond"/>
                <w:color w:val="000000"/>
                <w:sz w:val="24"/>
                <w:szCs w:val="24"/>
              </w:rPr>
              <w:t>Avaliação de relatórios de instituições financeiras</w:t>
            </w:r>
            <w:r w:rsidR="00433EA7">
              <w:rPr>
                <w:rFonts w:ascii="Garamond" w:eastAsia="Garamond" w:hAnsi="Garamond" w:cs="Garamond"/>
                <w:color w:val="000000"/>
                <w:sz w:val="24"/>
                <w:szCs w:val="24"/>
              </w:rPr>
              <w:tab/>
              <w:t>8</w:t>
            </w:r>
          </w:hyperlink>
        </w:p>
        <w:p w14:paraId="67974A17" w14:textId="0636932D" w:rsidR="00EC4499" w:rsidRDefault="00000000">
          <w:pPr>
            <w:widowControl w:val="0"/>
            <w:tabs>
              <w:tab w:val="right" w:leader="dot" w:pos="12000"/>
            </w:tabs>
            <w:spacing w:before="60" w:after="0" w:line="240" w:lineRule="auto"/>
            <w:rPr>
              <w:rFonts w:ascii="Arial" w:eastAsia="Arial" w:hAnsi="Arial" w:cs="Arial"/>
              <w:b/>
              <w:color w:val="000000"/>
            </w:rPr>
          </w:pPr>
          <w:hyperlink w:anchor="_heading=h.x4mjgd45h6a0">
            <w:r w:rsidR="00433EA7">
              <w:rPr>
                <w:rFonts w:ascii="Garamond" w:eastAsia="Garamond" w:hAnsi="Garamond" w:cs="Garamond"/>
                <w:color w:val="000000"/>
                <w:sz w:val="24"/>
                <w:szCs w:val="24"/>
              </w:rPr>
              <w:t>3. Metodologia</w:t>
            </w:r>
            <w:r w:rsidR="00433EA7">
              <w:rPr>
                <w:rFonts w:ascii="Garamond" w:eastAsia="Garamond" w:hAnsi="Garamond" w:cs="Garamond"/>
                <w:color w:val="000000"/>
                <w:sz w:val="24"/>
                <w:szCs w:val="24"/>
              </w:rPr>
              <w:tab/>
              <w:t>1</w:t>
            </w:r>
          </w:hyperlink>
          <w:r w:rsidR="00A03739">
            <w:rPr>
              <w:rFonts w:ascii="Garamond" w:eastAsia="Garamond" w:hAnsi="Garamond" w:cs="Garamond"/>
              <w:color w:val="000000"/>
              <w:sz w:val="24"/>
              <w:szCs w:val="24"/>
            </w:rPr>
            <w:t>0</w:t>
          </w:r>
        </w:p>
        <w:p w14:paraId="32023FE1" w14:textId="3D2F5734" w:rsidR="00EC4499" w:rsidRDefault="00000000">
          <w:pPr>
            <w:widowControl w:val="0"/>
            <w:tabs>
              <w:tab w:val="right" w:leader="dot" w:pos="12000"/>
            </w:tabs>
            <w:spacing w:before="60" w:after="0" w:line="240" w:lineRule="auto"/>
            <w:ind w:left="360"/>
            <w:rPr>
              <w:rFonts w:ascii="Arial" w:eastAsia="Arial" w:hAnsi="Arial" w:cs="Arial"/>
              <w:color w:val="000000"/>
            </w:rPr>
          </w:pPr>
          <w:hyperlink w:anchor="_heading=h.po4zfss494dh">
            <w:r w:rsidR="00433EA7">
              <w:rPr>
                <w:rFonts w:ascii="Garamond" w:eastAsia="Garamond" w:hAnsi="Garamond" w:cs="Garamond"/>
                <w:color w:val="000000"/>
                <w:sz w:val="24"/>
                <w:szCs w:val="24"/>
              </w:rPr>
              <w:t xml:space="preserve">3.1 </w:t>
            </w:r>
            <w:r w:rsidR="003D7510">
              <w:rPr>
                <w:rFonts w:ascii="Garamond" w:eastAsia="Garamond" w:hAnsi="Garamond" w:cs="Garamond"/>
                <w:color w:val="000000"/>
                <w:sz w:val="24"/>
                <w:szCs w:val="24"/>
              </w:rPr>
              <w:t xml:space="preserve"> </w:t>
            </w:r>
            <w:r w:rsidR="00433EA7">
              <w:rPr>
                <w:rFonts w:ascii="Garamond" w:eastAsia="Garamond" w:hAnsi="Garamond" w:cs="Garamond"/>
                <w:color w:val="000000"/>
                <w:sz w:val="24"/>
                <w:szCs w:val="24"/>
              </w:rPr>
              <w:t>Estratégia metodológica</w:t>
            </w:r>
            <w:r w:rsidR="00433EA7">
              <w:rPr>
                <w:rFonts w:ascii="Garamond" w:eastAsia="Garamond" w:hAnsi="Garamond" w:cs="Garamond"/>
                <w:color w:val="000000"/>
                <w:sz w:val="24"/>
                <w:szCs w:val="24"/>
              </w:rPr>
              <w:tab/>
              <w:t>1</w:t>
            </w:r>
          </w:hyperlink>
          <w:r w:rsidR="00A03739">
            <w:rPr>
              <w:rFonts w:ascii="Garamond" w:eastAsia="Garamond" w:hAnsi="Garamond" w:cs="Garamond"/>
              <w:color w:val="000000"/>
              <w:sz w:val="24"/>
              <w:szCs w:val="24"/>
            </w:rPr>
            <w:t>0</w:t>
          </w:r>
        </w:p>
        <w:p w14:paraId="1B596751" w14:textId="2AE77966" w:rsidR="00EC4499" w:rsidRDefault="00000000">
          <w:pPr>
            <w:widowControl w:val="0"/>
            <w:tabs>
              <w:tab w:val="right" w:leader="dot" w:pos="12000"/>
            </w:tabs>
            <w:spacing w:before="60" w:after="0" w:line="240" w:lineRule="auto"/>
            <w:ind w:left="360"/>
            <w:rPr>
              <w:rFonts w:ascii="Arial" w:eastAsia="Arial" w:hAnsi="Arial" w:cs="Arial"/>
              <w:color w:val="000000"/>
            </w:rPr>
          </w:pPr>
          <w:hyperlink w:anchor="_heading=h.omo9xlnwwljq">
            <w:r w:rsidR="00433EA7">
              <w:rPr>
                <w:rFonts w:ascii="Garamond" w:eastAsia="Garamond" w:hAnsi="Garamond" w:cs="Garamond"/>
                <w:color w:val="000000"/>
                <w:sz w:val="24"/>
                <w:szCs w:val="24"/>
              </w:rPr>
              <w:t>3.2  Amostra</w:t>
            </w:r>
            <w:r w:rsidR="00433EA7">
              <w:rPr>
                <w:rFonts w:ascii="Garamond" w:eastAsia="Garamond" w:hAnsi="Garamond" w:cs="Garamond"/>
                <w:color w:val="000000"/>
                <w:sz w:val="24"/>
                <w:szCs w:val="24"/>
              </w:rPr>
              <w:tab/>
              <w:t>1</w:t>
            </w:r>
          </w:hyperlink>
          <w:r w:rsidR="00A03739">
            <w:rPr>
              <w:rFonts w:ascii="Garamond" w:eastAsia="Garamond" w:hAnsi="Garamond" w:cs="Garamond"/>
              <w:color w:val="000000"/>
              <w:sz w:val="24"/>
              <w:szCs w:val="24"/>
            </w:rPr>
            <w:t>6</w:t>
          </w:r>
        </w:p>
        <w:p w14:paraId="4FDD5A54" w14:textId="77777777" w:rsidR="00EC4499" w:rsidRDefault="00000000">
          <w:pPr>
            <w:widowControl w:val="0"/>
            <w:tabs>
              <w:tab w:val="right" w:leader="dot" w:pos="12000"/>
            </w:tabs>
            <w:spacing w:before="60" w:after="0" w:line="240" w:lineRule="auto"/>
            <w:rPr>
              <w:rFonts w:ascii="Arial" w:eastAsia="Arial" w:hAnsi="Arial" w:cs="Arial"/>
              <w:b/>
              <w:color w:val="000000"/>
            </w:rPr>
          </w:pPr>
          <w:hyperlink w:anchor="_heading=h.fnm4aui81u8f">
            <w:r w:rsidR="00433EA7">
              <w:rPr>
                <w:rFonts w:ascii="Garamond" w:eastAsia="Garamond" w:hAnsi="Garamond" w:cs="Garamond"/>
                <w:color w:val="000000"/>
                <w:sz w:val="24"/>
                <w:szCs w:val="24"/>
              </w:rPr>
              <w:t>4. Resultados</w:t>
            </w:r>
            <w:r w:rsidR="00433EA7">
              <w:rPr>
                <w:rFonts w:ascii="Garamond" w:eastAsia="Garamond" w:hAnsi="Garamond" w:cs="Garamond"/>
                <w:color w:val="000000"/>
                <w:sz w:val="24"/>
                <w:szCs w:val="24"/>
              </w:rPr>
              <w:tab/>
              <w:t>19</w:t>
            </w:r>
          </w:hyperlink>
        </w:p>
        <w:p w14:paraId="79DF226D" w14:textId="61319B78" w:rsidR="00EC4499" w:rsidRDefault="00000000">
          <w:pPr>
            <w:widowControl w:val="0"/>
            <w:tabs>
              <w:tab w:val="right" w:leader="dot" w:pos="12000"/>
            </w:tabs>
            <w:spacing w:before="60" w:after="0" w:line="240" w:lineRule="auto"/>
            <w:ind w:left="360"/>
            <w:rPr>
              <w:rFonts w:ascii="Arial" w:eastAsia="Arial" w:hAnsi="Arial" w:cs="Arial"/>
              <w:color w:val="000000"/>
            </w:rPr>
          </w:pPr>
          <w:hyperlink w:anchor="_heading=h.exwwev9d0q1v">
            <w:r w:rsidR="00433EA7">
              <w:rPr>
                <w:rFonts w:ascii="Garamond" w:eastAsia="Garamond" w:hAnsi="Garamond" w:cs="Garamond"/>
                <w:color w:val="000000"/>
                <w:sz w:val="24"/>
                <w:szCs w:val="24"/>
              </w:rPr>
              <w:t>4.1  Análise da qualidade conforme vinculação</w:t>
            </w:r>
            <w:r w:rsidR="00EF5929">
              <w:rPr>
                <w:rFonts w:ascii="Garamond" w:eastAsia="Garamond" w:hAnsi="Garamond" w:cs="Garamond"/>
                <w:color w:val="000000"/>
                <w:sz w:val="24"/>
                <w:szCs w:val="24"/>
              </w:rPr>
              <w:t xml:space="preserve"> </w:t>
            </w:r>
            <w:r w:rsidR="00535265">
              <w:rPr>
                <w:rFonts w:ascii="Garamond" w:eastAsia="Garamond" w:hAnsi="Garamond" w:cs="Garamond"/>
                <w:color w:val="000000"/>
                <w:sz w:val="24"/>
                <w:szCs w:val="24"/>
              </w:rPr>
              <w:t>de</w:t>
            </w:r>
            <w:r w:rsidR="00433EA7">
              <w:rPr>
                <w:rFonts w:ascii="Garamond" w:eastAsia="Garamond" w:hAnsi="Garamond" w:cs="Garamond"/>
                <w:color w:val="000000"/>
                <w:sz w:val="24"/>
                <w:szCs w:val="24"/>
              </w:rPr>
              <w:t xml:space="preserve"> Tsalis</w:t>
            </w:r>
            <w:r w:rsidR="00EF5929">
              <w:rPr>
                <w:rFonts w:ascii="Garamond" w:eastAsia="Garamond" w:hAnsi="Garamond" w:cs="Garamond"/>
                <w:color w:val="000000"/>
                <w:sz w:val="24"/>
                <w:szCs w:val="24"/>
              </w:rPr>
              <w:t xml:space="preserve"> </w:t>
            </w:r>
            <w:r w:rsidR="00EF5929" w:rsidRPr="00246F29">
              <w:rPr>
                <w:rFonts w:ascii="Garamond" w:eastAsia="Garamond" w:hAnsi="Garamond" w:cs="Garamond"/>
                <w:i/>
                <w:iCs/>
                <w:color w:val="000000"/>
                <w:sz w:val="24"/>
                <w:szCs w:val="24"/>
              </w:rPr>
              <w:t>et al</w:t>
            </w:r>
            <w:r w:rsidR="00EF5929">
              <w:rPr>
                <w:rFonts w:ascii="Garamond" w:eastAsia="Garamond" w:hAnsi="Garamond" w:cs="Garamond"/>
                <w:color w:val="000000"/>
                <w:sz w:val="24"/>
                <w:szCs w:val="24"/>
              </w:rPr>
              <w:t>. (2020)</w:t>
            </w:r>
            <w:r w:rsidR="00433EA7">
              <w:rPr>
                <w:rFonts w:ascii="Garamond" w:eastAsia="Garamond" w:hAnsi="Garamond" w:cs="Garamond"/>
                <w:color w:val="000000"/>
                <w:sz w:val="24"/>
                <w:szCs w:val="24"/>
              </w:rPr>
              <w:tab/>
              <w:t>19</w:t>
            </w:r>
          </w:hyperlink>
        </w:p>
        <w:p w14:paraId="0038AE9B" w14:textId="390FCD44" w:rsidR="00EC4499" w:rsidRDefault="00000000">
          <w:pPr>
            <w:widowControl w:val="0"/>
            <w:tabs>
              <w:tab w:val="right" w:leader="dot" w:pos="12000"/>
            </w:tabs>
            <w:spacing w:before="60" w:after="0" w:line="240" w:lineRule="auto"/>
            <w:ind w:left="360"/>
            <w:rPr>
              <w:rFonts w:ascii="Arial" w:eastAsia="Arial" w:hAnsi="Arial" w:cs="Arial"/>
              <w:color w:val="000000"/>
            </w:rPr>
          </w:pPr>
          <w:hyperlink w:anchor="_heading=h.4n5kubq91fnb">
            <w:r w:rsidR="00433EA7">
              <w:rPr>
                <w:rFonts w:ascii="Garamond" w:eastAsia="Garamond" w:hAnsi="Garamond" w:cs="Garamond"/>
                <w:color w:val="000000"/>
                <w:sz w:val="24"/>
                <w:szCs w:val="24"/>
              </w:rPr>
              <w:t xml:space="preserve">4.2  Análise da qualidade conforme vinculação </w:t>
            </w:r>
            <w:r w:rsidR="00535265">
              <w:rPr>
                <w:rFonts w:ascii="Garamond" w:eastAsia="Garamond" w:hAnsi="Garamond" w:cs="Garamond"/>
                <w:color w:val="000000"/>
                <w:sz w:val="24"/>
                <w:szCs w:val="24"/>
              </w:rPr>
              <w:t>d</w:t>
            </w:r>
            <w:r w:rsidR="00EF5929">
              <w:rPr>
                <w:rFonts w:ascii="Garamond" w:eastAsia="Garamond" w:hAnsi="Garamond" w:cs="Garamond"/>
                <w:color w:val="000000"/>
                <w:sz w:val="24"/>
                <w:szCs w:val="24"/>
              </w:rPr>
              <w:t xml:space="preserve">a </w:t>
            </w:r>
            <w:r w:rsidR="00433EA7">
              <w:rPr>
                <w:rFonts w:ascii="Garamond" w:eastAsia="Garamond" w:hAnsi="Garamond" w:cs="Garamond"/>
                <w:color w:val="000000"/>
                <w:sz w:val="24"/>
                <w:szCs w:val="24"/>
              </w:rPr>
              <w:t>GRI</w:t>
            </w:r>
            <w:r w:rsidR="00433EA7">
              <w:rPr>
                <w:rFonts w:ascii="Garamond" w:eastAsia="Garamond" w:hAnsi="Garamond" w:cs="Garamond"/>
                <w:color w:val="000000"/>
                <w:sz w:val="24"/>
                <w:szCs w:val="24"/>
              </w:rPr>
              <w:tab/>
              <w:t>22</w:t>
            </w:r>
          </w:hyperlink>
        </w:p>
        <w:p w14:paraId="198F1F4B" w14:textId="77777777" w:rsidR="00EC4499" w:rsidRDefault="00000000">
          <w:pPr>
            <w:widowControl w:val="0"/>
            <w:tabs>
              <w:tab w:val="right" w:leader="dot" w:pos="12000"/>
            </w:tabs>
            <w:spacing w:before="60" w:after="0" w:line="240" w:lineRule="auto"/>
            <w:ind w:left="360"/>
            <w:rPr>
              <w:rFonts w:ascii="Arial" w:eastAsia="Arial" w:hAnsi="Arial" w:cs="Arial"/>
              <w:color w:val="000000"/>
            </w:rPr>
          </w:pPr>
          <w:hyperlink w:anchor="_heading=h.1fob9te">
            <w:r w:rsidR="00433EA7">
              <w:rPr>
                <w:rFonts w:ascii="Garamond" w:eastAsia="Garamond" w:hAnsi="Garamond" w:cs="Garamond"/>
                <w:color w:val="000000"/>
                <w:sz w:val="24"/>
                <w:szCs w:val="24"/>
              </w:rPr>
              <w:t>4.3  Quantidade de conteúdos divulgados x DQPI</w:t>
            </w:r>
            <w:r w:rsidR="00433EA7">
              <w:rPr>
                <w:rFonts w:ascii="Garamond" w:eastAsia="Garamond" w:hAnsi="Garamond" w:cs="Garamond"/>
                <w:color w:val="000000"/>
                <w:sz w:val="24"/>
                <w:szCs w:val="24"/>
              </w:rPr>
              <w:tab/>
              <w:t>24</w:t>
            </w:r>
          </w:hyperlink>
        </w:p>
        <w:p w14:paraId="22B02F74" w14:textId="0D28F821" w:rsidR="00EC4499" w:rsidRDefault="00000000">
          <w:pPr>
            <w:widowControl w:val="0"/>
            <w:tabs>
              <w:tab w:val="right" w:leader="dot" w:pos="12000"/>
            </w:tabs>
            <w:spacing w:before="60" w:after="0" w:line="240" w:lineRule="auto"/>
            <w:ind w:left="360"/>
            <w:rPr>
              <w:rFonts w:ascii="Arial" w:eastAsia="Arial" w:hAnsi="Arial" w:cs="Arial"/>
              <w:color w:val="000000"/>
            </w:rPr>
          </w:pPr>
          <w:hyperlink w:anchor="_heading=h.ckd9ws873d8g">
            <w:r w:rsidR="00433EA7">
              <w:rPr>
                <w:rFonts w:ascii="Garamond" w:eastAsia="Garamond" w:hAnsi="Garamond" w:cs="Garamond"/>
                <w:color w:val="000000"/>
                <w:sz w:val="24"/>
                <w:szCs w:val="24"/>
              </w:rPr>
              <w:t>4.4  Análise da qualidade sem vinculação com os ODS</w:t>
            </w:r>
            <w:r w:rsidR="00433EA7">
              <w:rPr>
                <w:rFonts w:ascii="Garamond" w:eastAsia="Garamond" w:hAnsi="Garamond" w:cs="Garamond"/>
                <w:color w:val="000000"/>
                <w:sz w:val="24"/>
                <w:szCs w:val="24"/>
              </w:rPr>
              <w:tab/>
              <w:t>2</w:t>
            </w:r>
          </w:hyperlink>
          <w:r w:rsidR="007B1664">
            <w:rPr>
              <w:rFonts w:ascii="Garamond" w:eastAsia="Garamond" w:hAnsi="Garamond" w:cs="Garamond"/>
              <w:color w:val="000000"/>
              <w:sz w:val="24"/>
              <w:szCs w:val="24"/>
            </w:rPr>
            <w:t>8</w:t>
          </w:r>
        </w:p>
        <w:p w14:paraId="5C19479E" w14:textId="77C3B4B2" w:rsidR="00EC4499" w:rsidRDefault="00000000">
          <w:pPr>
            <w:widowControl w:val="0"/>
            <w:tabs>
              <w:tab w:val="right" w:leader="dot" w:pos="12000"/>
            </w:tabs>
            <w:spacing w:before="60" w:after="0" w:line="240" w:lineRule="auto"/>
            <w:ind w:left="360"/>
            <w:rPr>
              <w:rFonts w:ascii="Arial" w:eastAsia="Arial" w:hAnsi="Arial" w:cs="Arial"/>
              <w:color w:val="000000"/>
            </w:rPr>
          </w:pPr>
          <w:hyperlink w:anchor="_heading=h.ap7e543i6c43">
            <w:r w:rsidR="00433EA7">
              <w:rPr>
                <w:rFonts w:ascii="Garamond" w:eastAsia="Garamond" w:hAnsi="Garamond" w:cs="Garamond"/>
                <w:color w:val="000000"/>
                <w:sz w:val="24"/>
                <w:szCs w:val="24"/>
              </w:rPr>
              <w:t>4.5  Avaliação dos princípios de relato</w:t>
            </w:r>
            <w:r w:rsidR="00433EA7">
              <w:rPr>
                <w:rFonts w:ascii="Garamond" w:eastAsia="Garamond" w:hAnsi="Garamond" w:cs="Garamond"/>
                <w:color w:val="000000"/>
                <w:sz w:val="24"/>
                <w:szCs w:val="24"/>
              </w:rPr>
              <w:tab/>
              <w:t>3</w:t>
            </w:r>
          </w:hyperlink>
          <w:r w:rsidR="00F378DB">
            <w:rPr>
              <w:rFonts w:ascii="Garamond" w:eastAsia="Garamond" w:hAnsi="Garamond" w:cs="Garamond"/>
              <w:color w:val="000000"/>
              <w:sz w:val="24"/>
              <w:szCs w:val="24"/>
            </w:rPr>
            <w:t>0</w:t>
          </w:r>
        </w:p>
        <w:p w14:paraId="50DD5994" w14:textId="29F7FF09" w:rsidR="00EC4499" w:rsidRDefault="00000000">
          <w:pPr>
            <w:widowControl w:val="0"/>
            <w:tabs>
              <w:tab w:val="right" w:leader="dot" w:pos="12000"/>
            </w:tabs>
            <w:spacing w:before="60" w:after="0" w:line="240" w:lineRule="auto"/>
            <w:ind w:left="720"/>
            <w:rPr>
              <w:rFonts w:ascii="Arial" w:eastAsia="Arial" w:hAnsi="Arial" w:cs="Arial"/>
              <w:color w:val="000000"/>
            </w:rPr>
          </w:pPr>
          <w:hyperlink w:anchor="_heading=h.eer0qh5ja210">
            <w:r w:rsidR="00433EA7">
              <w:rPr>
                <w:rFonts w:ascii="Garamond" w:eastAsia="Garamond" w:hAnsi="Garamond" w:cs="Garamond"/>
                <w:color w:val="000000"/>
                <w:sz w:val="24"/>
                <w:szCs w:val="24"/>
              </w:rPr>
              <w:t>4.5.1  Princípio do Equilíbrio</w:t>
            </w:r>
            <w:r w:rsidR="00433EA7">
              <w:rPr>
                <w:rFonts w:ascii="Garamond" w:eastAsia="Garamond" w:hAnsi="Garamond" w:cs="Garamond"/>
                <w:color w:val="000000"/>
                <w:sz w:val="24"/>
                <w:szCs w:val="24"/>
              </w:rPr>
              <w:tab/>
              <w:t>3</w:t>
            </w:r>
          </w:hyperlink>
          <w:r w:rsidR="00F378DB">
            <w:rPr>
              <w:rFonts w:ascii="Garamond" w:eastAsia="Garamond" w:hAnsi="Garamond" w:cs="Garamond"/>
              <w:color w:val="000000"/>
              <w:sz w:val="24"/>
              <w:szCs w:val="24"/>
            </w:rPr>
            <w:t>0</w:t>
          </w:r>
        </w:p>
        <w:p w14:paraId="56C27328" w14:textId="29FFC52D" w:rsidR="00EC4499" w:rsidRDefault="00000000">
          <w:pPr>
            <w:widowControl w:val="0"/>
            <w:tabs>
              <w:tab w:val="right" w:leader="dot" w:pos="12000"/>
            </w:tabs>
            <w:spacing w:before="60" w:after="0" w:line="240" w:lineRule="auto"/>
            <w:ind w:left="720"/>
            <w:rPr>
              <w:rFonts w:ascii="Arial" w:eastAsia="Arial" w:hAnsi="Arial" w:cs="Arial"/>
              <w:color w:val="000000"/>
            </w:rPr>
          </w:pPr>
          <w:hyperlink w:anchor="_heading=h.7x28rt7lzqkx">
            <w:r w:rsidR="00433EA7">
              <w:rPr>
                <w:rFonts w:ascii="Garamond" w:eastAsia="Garamond" w:hAnsi="Garamond" w:cs="Garamond"/>
                <w:color w:val="000000"/>
                <w:sz w:val="24"/>
                <w:szCs w:val="24"/>
              </w:rPr>
              <w:t>4.5.2  Princípio da Comparabilidade</w:t>
            </w:r>
            <w:r w:rsidR="00433EA7">
              <w:rPr>
                <w:rFonts w:ascii="Garamond" w:eastAsia="Garamond" w:hAnsi="Garamond" w:cs="Garamond"/>
                <w:color w:val="000000"/>
                <w:sz w:val="24"/>
                <w:szCs w:val="24"/>
              </w:rPr>
              <w:tab/>
              <w:t>3</w:t>
            </w:r>
          </w:hyperlink>
          <w:r w:rsidR="00F378DB">
            <w:rPr>
              <w:rFonts w:ascii="Garamond" w:eastAsia="Garamond" w:hAnsi="Garamond" w:cs="Garamond"/>
              <w:color w:val="000000"/>
              <w:sz w:val="24"/>
              <w:szCs w:val="24"/>
            </w:rPr>
            <w:t>4</w:t>
          </w:r>
        </w:p>
        <w:p w14:paraId="7CC8B10D" w14:textId="543C1F12" w:rsidR="00EC4499" w:rsidRDefault="00000000">
          <w:pPr>
            <w:widowControl w:val="0"/>
            <w:tabs>
              <w:tab w:val="right" w:leader="dot" w:pos="12000"/>
            </w:tabs>
            <w:spacing w:before="60" w:after="0" w:line="240" w:lineRule="auto"/>
            <w:ind w:left="720"/>
            <w:rPr>
              <w:rFonts w:ascii="Arial" w:eastAsia="Arial" w:hAnsi="Arial" w:cs="Arial"/>
              <w:color w:val="000000"/>
            </w:rPr>
          </w:pPr>
          <w:hyperlink w:anchor="_heading=h.1ey8c853yag1">
            <w:r w:rsidR="00433EA7">
              <w:rPr>
                <w:rFonts w:ascii="Garamond" w:eastAsia="Garamond" w:hAnsi="Garamond" w:cs="Garamond"/>
                <w:color w:val="000000"/>
                <w:sz w:val="24"/>
                <w:szCs w:val="24"/>
              </w:rPr>
              <w:t>4.5.3  Princípio da Exatidão</w:t>
            </w:r>
            <w:r w:rsidR="00433EA7">
              <w:rPr>
                <w:rFonts w:ascii="Garamond" w:eastAsia="Garamond" w:hAnsi="Garamond" w:cs="Garamond"/>
                <w:color w:val="000000"/>
                <w:sz w:val="24"/>
                <w:szCs w:val="24"/>
              </w:rPr>
              <w:tab/>
              <w:t>3</w:t>
            </w:r>
          </w:hyperlink>
          <w:r w:rsidR="00F378DB">
            <w:rPr>
              <w:rFonts w:ascii="Garamond" w:eastAsia="Garamond" w:hAnsi="Garamond" w:cs="Garamond"/>
              <w:color w:val="000000"/>
              <w:sz w:val="24"/>
              <w:szCs w:val="24"/>
            </w:rPr>
            <w:t>5</w:t>
          </w:r>
        </w:p>
        <w:p w14:paraId="3A3D32AA" w14:textId="1AB8E136" w:rsidR="00EC4499" w:rsidRDefault="00000000">
          <w:pPr>
            <w:widowControl w:val="0"/>
            <w:tabs>
              <w:tab w:val="right" w:leader="dot" w:pos="12000"/>
            </w:tabs>
            <w:spacing w:before="60" w:after="0" w:line="240" w:lineRule="auto"/>
            <w:ind w:left="720"/>
            <w:rPr>
              <w:rFonts w:ascii="Arial" w:eastAsia="Arial" w:hAnsi="Arial" w:cs="Arial"/>
              <w:color w:val="000000"/>
            </w:rPr>
          </w:pPr>
          <w:hyperlink w:anchor="_heading=h.5u0b0rmdpq6i">
            <w:r w:rsidR="00433EA7">
              <w:rPr>
                <w:rFonts w:ascii="Garamond" w:eastAsia="Garamond" w:hAnsi="Garamond" w:cs="Garamond"/>
                <w:color w:val="000000"/>
                <w:sz w:val="24"/>
                <w:szCs w:val="24"/>
              </w:rPr>
              <w:t xml:space="preserve">4.5.4 </w:t>
            </w:r>
            <w:r w:rsidR="00D93E8E">
              <w:rPr>
                <w:rFonts w:ascii="Garamond" w:eastAsia="Garamond" w:hAnsi="Garamond" w:cs="Garamond"/>
                <w:color w:val="000000"/>
                <w:sz w:val="24"/>
                <w:szCs w:val="24"/>
              </w:rPr>
              <w:t xml:space="preserve"> </w:t>
            </w:r>
            <w:r w:rsidR="00433EA7">
              <w:rPr>
                <w:rFonts w:ascii="Garamond" w:eastAsia="Garamond" w:hAnsi="Garamond" w:cs="Garamond"/>
                <w:color w:val="000000"/>
                <w:sz w:val="24"/>
                <w:szCs w:val="24"/>
              </w:rPr>
              <w:t>Princípio da Tempestividade</w:t>
            </w:r>
            <w:r w:rsidR="00433EA7">
              <w:rPr>
                <w:rFonts w:ascii="Garamond" w:eastAsia="Garamond" w:hAnsi="Garamond" w:cs="Garamond"/>
                <w:color w:val="000000"/>
                <w:sz w:val="24"/>
                <w:szCs w:val="24"/>
              </w:rPr>
              <w:tab/>
              <w:t>3</w:t>
            </w:r>
          </w:hyperlink>
          <w:r w:rsidR="00F378DB">
            <w:rPr>
              <w:rFonts w:ascii="Garamond" w:eastAsia="Garamond" w:hAnsi="Garamond" w:cs="Garamond"/>
              <w:color w:val="000000"/>
              <w:sz w:val="24"/>
              <w:szCs w:val="24"/>
            </w:rPr>
            <w:t>7</w:t>
          </w:r>
        </w:p>
        <w:p w14:paraId="58CD6FCF" w14:textId="0A413B37" w:rsidR="00EC4499" w:rsidRDefault="00000000">
          <w:pPr>
            <w:widowControl w:val="0"/>
            <w:tabs>
              <w:tab w:val="right" w:leader="dot" w:pos="12000"/>
            </w:tabs>
            <w:spacing w:before="60" w:after="0" w:line="240" w:lineRule="auto"/>
            <w:ind w:left="720"/>
            <w:rPr>
              <w:rFonts w:ascii="Arial" w:eastAsia="Arial" w:hAnsi="Arial" w:cs="Arial"/>
              <w:color w:val="000000"/>
            </w:rPr>
          </w:pPr>
          <w:hyperlink w:anchor="_heading=h.pm4tcz6o08si">
            <w:r w:rsidR="00433EA7">
              <w:rPr>
                <w:rFonts w:ascii="Garamond" w:eastAsia="Garamond" w:hAnsi="Garamond" w:cs="Garamond"/>
                <w:color w:val="000000"/>
                <w:sz w:val="24"/>
                <w:szCs w:val="24"/>
              </w:rPr>
              <w:t xml:space="preserve">4.5.5 </w:t>
            </w:r>
            <w:r w:rsidR="00D93E8E">
              <w:rPr>
                <w:rFonts w:ascii="Garamond" w:eastAsia="Garamond" w:hAnsi="Garamond" w:cs="Garamond"/>
                <w:color w:val="000000"/>
                <w:sz w:val="24"/>
                <w:szCs w:val="24"/>
              </w:rPr>
              <w:t xml:space="preserve"> </w:t>
            </w:r>
            <w:r w:rsidR="00433EA7">
              <w:rPr>
                <w:rFonts w:ascii="Garamond" w:eastAsia="Garamond" w:hAnsi="Garamond" w:cs="Garamond"/>
                <w:color w:val="000000"/>
                <w:sz w:val="24"/>
                <w:szCs w:val="24"/>
              </w:rPr>
              <w:t>Princípio da Clareza</w:t>
            </w:r>
            <w:r w:rsidR="00433EA7">
              <w:rPr>
                <w:rFonts w:ascii="Garamond" w:eastAsia="Garamond" w:hAnsi="Garamond" w:cs="Garamond"/>
                <w:color w:val="000000"/>
                <w:sz w:val="24"/>
                <w:szCs w:val="24"/>
              </w:rPr>
              <w:tab/>
            </w:r>
          </w:hyperlink>
          <w:r w:rsidR="00F378DB">
            <w:rPr>
              <w:rFonts w:ascii="Garamond" w:eastAsia="Garamond" w:hAnsi="Garamond" w:cs="Garamond"/>
              <w:color w:val="000000"/>
              <w:sz w:val="24"/>
              <w:szCs w:val="24"/>
            </w:rPr>
            <w:t>38</w:t>
          </w:r>
        </w:p>
        <w:p w14:paraId="5C47400C" w14:textId="70D93E29" w:rsidR="00EC4499" w:rsidRDefault="00000000">
          <w:pPr>
            <w:widowControl w:val="0"/>
            <w:tabs>
              <w:tab w:val="right" w:leader="dot" w:pos="12000"/>
            </w:tabs>
            <w:spacing w:before="60" w:after="0" w:line="240" w:lineRule="auto"/>
            <w:ind w:left="720"/>
            <w:rPr>
              <w:rFonts w:ascii="Arial" w:eastAsia="Arial" w:hAnsi="Arial" w:cs="Arial"/>
              <w:color w:val="000000"/>
            </w:rPr>
          </w:pPr>
          <w:hyperlink w:anchor="_heading=h.1igjkn2pqsfp">
            <w:r w:rsidR="00433EA7">
              <w:rPr>
                <w:rFonts w:ascii="Garamond" w:eastAsia="Garamond" w:hAnsi="Garamond" w:cs="Garamond"/>
                <w:color w:val="000000"/>
                <w:sz w:val="24"/>
                <w:szCs w:val="24"/>
              </w:rPr>
              <w:t>4.5.6  Princípio da Verificabilidade</w:t>
            </w:r>
            <w:r w:rsidR="00433EA7">
              <w:rPr>
                <w:rFonts w:ascii="Garamond" w:eastAsia="Garamond" w:hAnsi="Garamond" w:cs="Garamond"/>
                <w:color w:val="000000"/>
                <w:sz w:val="24"/>
                <w:szCs w:val="24"/>
              </w:rPr>
              <w:tab/>
              <w:t>4</w:t>
            </w:r>
          </w:hyperlink>
          <w:r w:rsidR="00033732">
            <w:rPr>
              <w:rFonts w:ascii="Garamond" w:eastAsia="Garamond" w:hAnsi="Garamond" w:cs="Garamond"/>
              <w:color w:val="000000"/>
              <w:sz w:val="24"/>
              <w:szCs w:val="24"/>
            </w:rPr>
            <w:t>1</w:t>
          </w:r>
        </w:p>
        <w:p w14:paraId="3471031F" w14:textId="058E8F6B" w:rsidR="00EC4499" w:rsidRDefault="00000000">
          <w:pPr>
            <w:widowControl w:val="0"/>
            <w:tabs>
              <w:tab w:val="right" w:leader="dot" w:pos="12000"/>
            </w:tabs>
            <w:spacing w:before="60" w:after="0" w:line="240" w:lineRule="auto"/>
            <w:ind w:left="720"/>
            <w:rPr>
              <w:rFonts w:ascii="Garamond" w:eastAsia="Garamond" w:hAnsi="Garamond" w:cs="Garamond"/>
              <w:color w:val="000000"/>
              <w:sz w:val="24"/>
              <w:szCs w:val="24"/>
            </w:rPr>
          </w:pPr>
          <w:hyperlink w:anchor="_heading=h.x7of1xv69qf2">
            <w:r w:rsidR="00433EA7">
              <w:rPr>
                <w:rFonts w:ascii="Garamond" w:eastAsia="Garamond" w:hAnsi="Garamond" w:cs="Garamond"/>
                <w:color w:val="000000"/>
                <w:sz w:val="24"/>
                <w:szCs w:val="24"/>
              </w:rPr>
              <w:t xml:space="preserve">4.5.7 </w:t>
            </w:r>
            <w:r w:rsidR="00D93E8E">
              <w:rPr>
                <w:rFonts w:ascii="Garamond" w:eastAsia="Garamond" w:hAnsi="Garamond" w:cs="Garamond"/>
                <w:color w:val="000000"/>
                <w:sz w:val="24"/>
                <w:szCs w:val="24"/>
              </w:rPr>
              <w:t xml:space="preserve"> </w:t>
            </w:r>
            <w:r w:rsidR="00433EA7">
              <w:rPr>
                <w:rFonts w:ascii="Garamond" w:eastAsia="Garamond" w:hAnsi="Garamond" w:cs="Garamond"/>
                <w:color w:val="000000"/>
                <w:sz w:val="24"/>
                <w:szCs w:val="24"/>
              </w:rPr>
              <w:t>Resultado Consolidado</w:t>
            </w:r>
            <w:r w:rsidR="00433EA7">
              <w:rPr>
                <w:rFonts w:ascii="Garamond" w:eastAsia="Garamond" w:hAnsi="Garamond" w:cs="Garamond"/>
                <w:color w:val="000000"/>
                <w:sz w:val="24"/>
                <w:szCs w:val="24"/>
              </w:rPr>
              <w:tab/>
              <w:t>4</w:t>
            </w:r>
          </w:hyperlink>
          <w:r w:rsidR="00033732">
            <w:rPr>
              <w:rFonts w:ascii="Garamond" w:eastAsia="Garamond" w:hAnsi="Garamond" w:cs="Garamond"/>
              <w:color w:val="000000"/>
              <w:sz w:val="24"/>
              <w:szCs w:val="24"/>
            </w:rPr>
            <w:t>3</w:t>
          </w:r>
        </w:p>
        <w:p w14:paraId="1FD47C46" w14:textId="77818CFA" w:rsidR="00033732" w:rsidRDefault="008A1437" w:rsidP="006868B7">
          <w:pPr>
            <w:widowControl w:val="0"/>
            <w:tabs>
              <w:tab w:val="right" w:leader="dot" w:pos="12000"/>
            </w:tabs>
            <w:spacing w:before="60" w:after="0" w:line="240" w:lineRule="auto"/>
            <w:rPr>
              <w:rFonts w:ascii="Arial" w:eastAsia="Arial" w:hAnsi="Arial" w:cs="Arial"/>
              <w:color w:val="000000"/>
            </w:rPr>
          </w:pPr>
          <w:r>
            <w:t xml:space="preserve">       </w:t>
          </w:r>
          <w:hyperlink w:anchor="_heading=h.ap7e543i6c43">
            <w:r w:rsidR="00033732">
              <w:rPr>
                <w:rFonts w:ascii="Garamond" w:eastAsia="Garamond" w:hAnsi="Garamond" w:cs="Garamond"/>
                <w:color w:val="000000"/>
                <w:sz w:val="24"/>
                <w:szCs w:val="24"/>
              </w:rPr>
              <w:t>4.</w:t>
            </w:r>
            <w:r>
              <w:rPr>
                <w:rFonts w:ascii="Garamond" w:eastAsia="Garamond" w:hAnsi="Garamond" w:cs="Garamond"/>
                <w:color w:val="000000"/>
                <w:sz w:val="24"/>
                <w:szCs w:val="24"/>
              </w:rPr>
              <w:t>6</w:t>
            </w:r>
            <w:r w:rsidR="00033732">
              <w:rPr>
                <w:rFonts w:ascii="Garamond" w:eastAsia="Garamond" w:hAnsi="Garamond" w:cs="Garamond"/>
                <w:color w:val="000000"/>
                <w:sz w:val="24"/>
                <w:szCs w:val="24"/>
              </w:rPr>
              <w:t xml:space="preserve">  </w:t>
            </w:r>
            <w:r w:rsidR="005F16E8">
              <w:rPr>
                <w:rFonts w:ascii="Garamond" w:eastAsia="Garamond" w:hAnsi="Garamond" w:cs="Garamond"/>
                <w:color w:val="000000"/>
                <w:sz w:val="24"/>
                <w:szCs w:val="24"/>
              </w:rPr>
              <w:t>Questõe</w:t>
            </w:r>
            <w:r w:rsidR="007E7D4E">
              <w:rPr>
                <w:rFonts w:ascii="Garamond" w:eastAsia="Garamond" w:hAnsi="Garamond" w:cs="Garamond"/>
                <w:color w:val="000000"/>
                <w:sz w:val="24"/>
                <w:szCs w:val="24"/>
              </w:rPr>
              <w:t>s</w:t>
            </w:r>
            <w:r w:rsidR="005F16E8">
              <w:rPr>
                <w:rFonts w:ascii="Garamond" w:eastAsia="Garamond" w:hAnsi="Garamond" w:cs="Garamond"/>
                <w:color w:val="000000"/>
                <w:sz w:val="24"/>
                <w:szCs w:val="24"/>
              </w:rPr>
              <w:t xml:space="preserve"> de Investigação</w:t>
            </w:r>
            <w:r w:rsidR="00033732">
              <w:rPr>
                <w:rFonts w:ascii="Garamond" w:eastAsia="Garamond" w:hAnsi="Garamond" w:cs="Garamond"/>
                <w:color w:val="000000"/>
                <w:sz w:val="24"/>
                <w:szCs w:val="24"/>
              </w:rPr>
              <w:tab/>
            </w:r>
          </w:hyperlink>
          <w:r w:rsidR="005F16E8">
            <w:rPr>
              <w:rFonts w:ascii="Garamond" w:eastAsia="Garamond" w:hAnsi="Garamond" w:cs="Garamond"/>
              <w:color w:val="000000"/>
              <w:sz w:val="24"/>
              <w:szCs w:val="24"/>
            </w:rPr>
            <w:t>45</w:t>
          </w:r>
        </w:p>
        <w:p w14:paraId="6E919247" w14:textId="08000E14" w:rsidR="00EC4499" w:rsidRDefault="00000000">
          <w:pPr>
            <w:widowControl w:val="0"/>
            <w:tabs>
              <w:tab w:val="right" w:leader="dot" w:pos="12000"/>
            </w:tabs>
            <w:spacing w:before="60" w:after="0" w:line="240" w:lineRule="auto"/>
            <w:rPr>
              <w:rFonts w:ascii="Arial" w:eastAsia="Arial" w:hAnsi="Arial" w:cs="Arial"/>
              <w:b/>
              <w:color w:val="000000"/>
            </w:rPr>
          </w:pPr>
          <w:hyperlink w:anchor="_heading=h.wx4bv9k3ssdz">
            <w:r w:rsidR="00433EA7">
              <w:rPr>
                <w:rFonts w:ascii="Garamond" w:eastAsia="Garamond" w:hAnsi="Garamond" w:cs="Garamond"/>
                <w:color w:val="000000"/>
                <w:sz w:val="24"/>
                <w:szCs w:val="24"/>
              </w:rPr>
              <w:t>5. Conclusões</w:t>
            </w:r>
            <w:r w:rsidR="00433EA7">
              <w:rPr>
                <w:rFonts w:ascii="Garamond" w:eastAsia="Garamond" w:hAnsi="Garamond" w:cs="Garamond"/>
                <w:color w:val="000000"/>
                <w:sz w:val="24"/>
                <w:szCs w:val="24"/>
              </w:rPr>
              <w:tab/>
            </w:r>
          </w:hyperlink>
          <w:r w:rsidR="005F16E8">
            <w:rPr>
              <w:rFonts w:ascii="Garamond" w:eastAsia="Garamond" w:hAnsi="Garamond" w:cs="Garamond"/>
              <w:color w:val="000000"/>
              <w:sz w:val="24"/>
              <w:szCs w:val="24"/>
            </w:rPr>
            <w:t>50</w:t>
          </w:r>
        </w:p>
        <w:p w14:paraId="61A59BB6" w14:textId="0528B916" w:rsidR="00EC4499" w:rsidRDefault="00000000">
          <w:pPr>
            <w:widowControl w:val="0"/>
            <w:tabs>
              <w:tab w:val="right" w:leader="dot" w:pos="12000"/>
            </w:tabs>
            <w:spacing w:before="60" w:after="0" w:line="240" w:lineRule="auto"/>
            <w:ind w:left="360"/>
            <w:rPr>
              <w:rFonts w:ascii="Arial" w:eastAsia="Arial" w:hAnsi="Arial" w:cs="Arial"/>
              <w:color w:val="000000"/>
            </w:rPr>
          </w:pPr>
          <w:hyperlink w:anchor="_heading=h.rvfgfl9r18f3">
            <w:r w:rsidR="00433EA7">
              <w:rPr>
                <w:rFonts w:ascii="Garamond" w:eastAsia="Garamond" w:hAnsi="Garamond" w:cs="Garamond"/>
                <w:color w:val="000000"/>
                <w:sz w:val="24"/>
                <w:szCs w:val="24"/>
              </w:rPr>
              <w:t>5.1  Conclusões</w:t>
            </w:r>
            <w:r w:rsidR="00433EA7">
              <w:rPr>
                <w:rFonts w:ascii="Garamond" w:eastAsia="Garamond" w:hAnsi="Garamond" w:cs="Garamond"/>
                <w:color w:val="000000"/>
                <w:sz w:val="24"/>
                <w:szCs w:val="24"/>
              </w:rPr>
              <w:tab/>
            </w:r>
          </w:hyperlink>
          <w:r w:rsidR="0061395E">
            <w:rPr>
              <w:rFonts w:ascii="Garamond" w:eastAsia="Garamond" w:hAnsi="Garamond" w:cs="Garamond"/>
              <w:color w:val="000000"/>
              <w:sz w:val="24"/>
              <w:szCs w:val="24"/>
            </w:rPr>
            <w:t>50</w:t>
          </w:r>
        </w:p>
        <w:p w14:paraId="295380F1" w14:textId="06512DBA" w:rsidR="00EC4499" w:rsidRDefault="00000000">
          <w:pPr>
            <w:widowControl w:val="0"/>
            <w:tabs>
              <w:tab w:val="right" w:leader="dot" w:pos="12000"/>
            </w:tabs>
            <w:spacing w:before="60" w:after="0" w:line="240" w:lineRule="auto"/>
            <w:ind w:left="360"/>
            <w:rPr>
              <w:rFonts w:ascii="Arial" w:eastAsia="Arial" w:hAnsi="Arial" w:cs="Arial"/>
              <w:color w:val="000000"/>
            </w:rPr>
          </w:pPr>
          <w:hyperlink w:anchor="_heading=h.zbgjrzawpy5a">
            <w:r w:rsidR="00433EA7">
              <w:rPr>
                <w:rFonts w:ascii="Garamond" w:eastAsia="Garamond" w:hAnsi="Garamond" w:cs="Garamond"/>
                <w:color w:val="000000"/>
                <w:sz w:val="24"/>
                <w:szCs w:val="24"/>
              </w:rPr>
              <w:t>5.2  Limitações e sugestões para investigações futuras</w:t>
            </w:r>
            <w:r w:rsidR="00433EA7">
              <w:rPr>
                <w:rFonts w:ascii="Garamond" w:eastAsia="Garamond" w:hAnsi="Garamond" w:cs="Garamond"/>
                <w:color w:val="000000"/>
                <w:sz w:val="24"/>
                <w:szCs w:val="24"/>
              </w:rPr>
              <w:tab/>
              <w:t>5</w:t>
            </w:r>
          </w:hyperlink>
          <w:r w:rsidR="00433EA7">
            <w:fldChar w:fldCharType="end"/>
          </w:r>
          <w:r w:rsidR="0061395E">
            <w:rPr>
              <w:rFonts w:ascii="Garamond" w:eastAsia="Garamond" w:hAnsi="Garamond" w:cs="Garamond"/>
              <w:color w:val="000000"/>
              <w:sz w:val="24"/>
              <w:szCs w:val="24"/>
            </w:rPr>
            <w:t>0</w:t>
          </w:r>
        </w:p>
      </w:sdtContent>
    </w:sdt>
    <w:p w14:paraId="03865FA4" w14:textId="77777777" w:rsidR="00EC4499" w:rsidRDefault="00EC4499">
      <w:pPr>
        <w:spacing w:after="0" w:line="360" w:lineRule="auto"/>
        <w:jc w:val="right"/>
        <w:rPr>
          <w:rFonts w:ascii="Garamond" w:eastAsia="Garamond" w:hAnsi="Garamond" w:cs="Garamond"/>
          <w:sz w:val="20"/>
          <w:szCs w:val="20"/>
        </w:rPr>
      </w:pPr>
    </w:p>
    <w:p w14:paraId="550FD1FF" w14:textId="77777777" w:rsidR="00EC4499" w:rsidRDefault="00EC4499">
      <w:pPr>
        <w:spacing w:after="0" w:line="360" w:lineRule="auto"/>
        <w:jc w:val="right"/>
        <w:rPr>
          <w:rFonts w:ascii="Garamond" w:eastAsia="Garamond" w:hAnsi="Garamond" w:cs="Garamond"/>
          <w:sz w:val="20"/>
          <w:szCs w:val="20"/>
        </w:rPr>
      </w:pPr>
    </w:p>
    <w:p w14:paraId="5AF7FF0C" w14:textId="77777777" w:rsidR="00EC4499" w:rsidRDefault="00EC4499">
      <w:pPr>
        <w:spacing w:after="0" w:line="360" w:lineRule="auto"/>
        <w:jc w:val="right"/>
        <w:rPr>
          <w:rFonts w:ascii="Garamond" w:eastAsia="Garamond" w:hAnsi="Garamond" w:cs="Garamond"/>
          <w:sz w:val="20"/>
          <w:szCs w:val="20"/>
        </w:rPr>
      </w:pPr>
    </w:p>
    <w:p w14:paraId="77006046" w14:textId="77777777" w:rsidR="00EC4499" w:rsidRDefault="00EC4499">
      <w:pPr>
        <w:spacing w:after="0" w:line="360" w:lineRule="auto"/>
        <w:jc w:val="right"/>
        <w:rPr>
          <w:rFonts w:ascii="Garamond" w:eastAsia="Garamond" w:hAnsi="Garamond" w:cs="Garamond"/>
          <w:sz w:val="20"/>
          <w:szCs w:val="20"/>
        </w:rPr>
      </w:pPr>
    </w:p>
    <w:p w14:paraId="647A535D" w14:textId="77777777" w:rsidR="00EC4499" w:rsidRDefault="00EC4499">
      <w:pPr>
        <w:spacing w:after="0" w:line="360" w:lineRule="auto"/>
        <w:jc w:val="right"/>
        <w:rPr>
          <w:rFonts w:ascii="Garamond" w:eastAsia="Garamond" w:hAnsi="Garamond" w:cs="Garamond"/>
          <w:sz w:val="20"/>
          <w:szCs w:val="20"/>
        </w:rPr>
      </w:pPr>
    </w:p>
    <w:p w14:paraId="43DD1364" w14:textId="77777777" w:rsidR="00EC4499" w:rsidRDefault="00EC4499">
      <w:pPr>
        <w:spacing w:after="0" w:line="360" w:lineRule="auto"/>
        <w:jc w:val="right"/>
        <w:rPr>
          <w:rFonts w:ascii="Garamond" w:eastAsia="Garamond" w:hAnsi="Garamond" w:cs="Garamond"/>
          <w:sz w:val="20"/>
          <w:szCs w:val="20"/>
        </w:rPr>
      </w:pPr>
    </w:p>
    <w:p w14:paraId="133DBFCB" w14:textId="77777777" w:rsidR="00EC4499" w:rsidRDefault="00EC4499">
      <w:pPr>
        <w:spacing w:after="0" w:line="360" w:lineRule="auto"/>
        <w:jc w:val="right"/>
        <w:rPr>
          <w:rFonts w:ascii="Garamond" w:eastAsia="Garamond" w:hAnsi="Garamond" w:cs="Garamond"/>
          <w:sz w:val="20"/>
          <w:szCs w:val="20"/>
        </w:rPr>
      </w:pPr>
    </w:p>
    <w:p w14:paraId="42F387C4" w14:textId="77777777" w:rsidR="00EC4499" w:rsidRDefault="00EC4499">
      <w:pPr>
        <w:spacing w:after="0" w:line="360" w:lineRule="auto"/>
        <w:jc w:val="right"/>
        <w:rPr>
          <w:rFonts w:ascii="Garamond" w:eastAsia="Garamond" w:hAnsi="Garamond" w:cs="Garamond"/>
          <w:sz w:val="20"/>
          <w:szCs w:val="20"/>
        </w:rPr>
      </w:pPr>
    </w:p>
    <w:p w14:paraId="13AC4CD0" w14:textId="77777777" w:rsidR="00EC4499" w:rsidRDefault="00EC4499">
      <w:pPr>
        <w:spacing w:after="0" w:line="360" w:lineRule="auto"/>
        <w:jc w:val="right"/>
        <w:rPr>
          <w:rFonts w:ascii="Garamond" w:eastAsia="Garamond" w:hAnsi="Garamond" w:cs="Garamond"/>
          <w:sz w:val="20"/>
          <w:szCs w:val="20"/>
        </w:rPr>
      </w:pPr>
    </w:p>
    <w:p w14:paraId="540B7C89" w14:textId="77777777" w:rsidR="00EC4499" w:rsidRDefault="00EC4499">
      <w:pPr>
        <w:spacing w:after="0" w:line="360" w:lineRule="auto"/>
        <w:jc w:val="right"/>
        <w:rPr>
          <w:rFonts w:ascii="Garamond" w:eastAsia="Garamond" w:hAnsi="Garamond" w:cs="Garamond"/>
          <w:sz w:val="20"/>
          <w:szCs w:val="20"/>
        </w:rPr>
      </w:pPr>
    </w:p>
    <w:p w14:paraId="57B57DB8" w14:textId="77777777" w:rsidR="00EC4499" w:rsidRDefault="00EC4499">
      <w:pPr>
        <w:spacing w:after="0" w:line="360" w:lineRule="auto"/>
        <w:jc w:val="right"/>
        <w:rPr>
          <w:rFonts w:ascii="Garamond" w:eastAsia="Garamond" w:hAnsi="Garamond" w:cs="Garamond"/>
          <w:sz w:val="20"/>
          <w:szCs w:val="20"/>
        </w:rPr>
      </w:pPr>
    </w:p>
    <w:p w14:paraId="68A4CF89" w14:textId="77777777" w:rsidR="00EC4499" w:rsidRDefault="00433EA7">
      <w:pPr>
        <w:spacing w:after="0" w:line="360" w:lineRule="auto"/>
        <w:jc w:val="right"/>
        <w:rPr>
          <w:rFonts w:ascii="Garamond" w:eastAsia="Garamond" w:hAnsi="Garamond" w:cs="Garamond"/>
          <w:b/>
          <w:sz w:val="28"/>
          <w:szCs w:val="28"/>
        </w:rPr>
      </w:pPr>
      <w:r>
        <w:rPr>
          <w:rFonts w:ascii="Garamond" w:eastAsia="Garamond" w:hAnsi="Garamond" w:cs="Garamond"/>
          <w:sz w:val="20"/>
          <w:szCs w:val="20"/>
        </w:rPr>
        <w:t>iv</w:t>
      </w:r>
    </w:p>
    <w:p w14:paraId="15BAB6DB" w14:textId="77777777" w:rsidR="00EC4499" w:rsidRDefault="00433EA7">
      <w:pPr>
        <w:pageBreakBefore/>
        <w:spacing w:after="0" w:line="360" w:lineRule="auto"/>
        <w:rPr>
          <w:rFonts w:ascii="Garamond" w:eastAsia="Garamond" w:hAnsi="Garamond" w:cs="Garamond"/>
          <w:b/>
          <w:sz w:val="28"/>
          <w:szCs w:val="28"/>
        </w:rPr>
      </w:pPr>
      <w:r>
        <w:rPr>
          <w:rFonts w:ascii="Garamond" w:eastAsia="Garamond" w:hAnsi="Garamond" w:cs="Garamond"/>
          <w:b/>
          <w:sz w:val="28"/>
          <w:szCs w:val="28"/>
        </w:rPr>
        <w:lastRenderedPageBreak/>
        <w:t>Índice de Figuras</w:t>
      </w:r>
    </w:p>
    <w:p w14:paraId="37059B3E" w14:textId="290FD4AA" w:rsidR="00EC4499" w:rsidRDefault="00433EA7">
      <w:pPr>
        <w:spacing w:after="0" w:line="360" w:lineRule="auto"/>
        <w:jc w:val="both"/>
        <w:rPr>
          <w:rFonts w:ascii="Garamond" w:eastAsia="Garamond" w:hAnsi="Garamond" w:cs="Garamond"/>
          <w:color w:val="000000"/>
          <w:sz w:val="24"/>
          <w:szCs w:val="24"/>
        </w:rPr>
      </w:pPr>
      <w:r>
        <w:rPr>
          <w:rFonts w:ascii="Garamond" w:eastAsia="Garamond" w:hAnsi="Garamond" w:cs="Garamond"/>
          <w:sz w:val="24"/>
          <w:szCs w:val="24"/>
        </w:rPr>
        <w:t xml:space="preserve">Figura 1: </w:t>
      </w:r>
      <w:r>
        <w:rPr>
          <w:rFonts w:ascii="Garamond" w:eastAsia="Garamond" w:hAnsi="Garamond" w:cs="Garamond"/>
          <w:color w:val="000000"/>
          <w:sz w:val="24"/>
          <w:szCs w:val="24"/>
        </w:rPr>
        <w:t>Relatório Integrado x Relatório de Sustentabilidade.</w:t>
      </w:r>
      <w:r w:rsidR="00804504">
        <w:rPr>
          <w:rFonts w:ascii="Garamond" w:eastAsia="Garamond" w:hAnsi="Garamond" w:cs="Garamond"/>
          <w:color w:val="000000"/>
          <w:sz w:val="24"/>
          <w:szCs w:val="24"/>
        </w:rPr>
        <w:t>..</w:t>
      </w:r>
      <w:r>
        <w:rPr>
          <w:rFonts w:ascii="Garamond" w:eastAsia="Garamond" w:hAnsi="Garamond" w:cs="Garamond"/>
          <w:color w:val="000000"/>
          <w:sz w:val="24"/>
          <w:szCs w:val="24"/>
        </w:rPr>
        <w:t>...................................................</w:t>
      </w:r>
      <w:r>
        <w:rPr>
          <w:rFonts w:ascii="Garamond" w:eastAsia="Garamond" w:hAnsi="Garamond" w:cs="Garamond"/>
          <w:sz w:val="24"/>
          <w:szCs w:val="24"/>
        </w:rPr>
        <w:t xml:space="preserve">5 Figura 2: </w:t>
      </w:r>
      <w:r>
        <w:rPr>
          <w:rFonts w:ascii="Garamond" w:eastAsia="Garamond" w:hAnsi="Garamond" w:cs="Garamond"/>
          <w:color w:val="000000"/>
          <w:sz w:val="24"/>
          <w:szCs w:val="24"/>
        </w:rPr>
        <w:t>Estrutura das Normas GRI.........................................................................................</w:t>
      </w:r>
      <w:r>
        <w:rPr>
          <w:rFonts w:ascii="Garamond" w:eastAsia="Garamond" w:hAnsi="Garamond" w:cs="Garamond"/>
          <w:sz w:val="24"/>
          <w:szCs w:val="24"/>
        </w:rPr>
        <w:t>....</w:t>
      </w:r>
      <w:r w:rsidR="00837CF4">
        <w:rPr>
          <w:rFonts w:ascii="Garamond" w:eastAsia="Garamond" w:hAnsi="Garamond" w:cs="Garamond"/>
          <w:sz w:val="24"/>
          <w:szCs w:val="24"/>
        </w:rPr>
        <w:t>...</w:t>
      </w:r>
      <w:r>
        <w:rPr>
          <w:rFonts w:ascii="Garamond" w:eastAsia="Garamond" w:hAnsi="Garamond" w:cs="Garamond"/>
          <w:sz w:val="24"/>
          <w:szCs w:val="24"/>
        </w:rPr>
        <w:t xml:space="preserve">6 Figura 3: </w:t>
      </w:r>
      <w:r>
        <w:rPr>
          <w:rFonts w:ascii="Garamond" w:eastAsia="Garamond" w:hAnsi="Garamond" w:cs="Garamond"/>
          <w:color w:val="000000"/>
          <w:sz w:val="24"/>
          <w:szCs w:val="24"/>
        </w:rPr>
        <w:t>Gráfico regressão linear para dados de 2021</w:t>
      </w:r>
      <w:r w:rsidR="00B07D4E">
        <w:rPr>
          <w:rFonts w:ascii="Garamond" w:eastAsia="Garamond" w:hAnsi="Garamond" w:cs="Garamond"/>
          <w:color w:val="000000"/>
          <w:sz w:val="24"/>
          <w:szCs w:val="24"/>
        </w:rPr>
        <w:t>..........</w:t>
      </w:r>
      <w:r>
        <w:rPr>
          <w:rFonts w:ascii="Garamond" w:eastAsia="Garamond" w:hAnsi="Garamond" w:cs="Garamond"/>
          <w:color w:val="000000"/>
          <w:sz w:val="24"/>
          <w:szCs w:val="24"/>
        </w:rPr>
        <w:t>..</w:t>
      </w:r>
      <w:r w:rsidR="00804504">
        <w:rPr>
          <w:rFonts w:ascii="Garamond" w:eastAsia="Garamond" w:hAnsi="Garamond" w:cs="Garamond"/>
          <w:color w:val="000000"/>
          <w:sz w:val="24"/>
          <w:szCs w:val="24"/>
        </w:rPr>
        <w:t>..</w:t>
      </w:r>
      <w:r>
        <w:rPr>
          <w:rFonts w:ascii="Garamond" w:eastAsia="Garamond" w:hAnsi="Garamond" w:cs="Garamond"/>
          <w:color w:val="000000"/>
          <w:sz w:val="24"/>
          <w:szCs w:val="24"/>
        </w:rPr>
        <w:t>........................................</w:t>
      </w:r>
      <w:r w:rsidR="00837CF4">
        <w:rPr>
          <w:rFonts w:ascii="Garamond" w:eastAsia="Garamond" w:hAnsi="Garamond" w:cs="Garamond"/>
          <w:sz w:val="24"/>
          <w:szCs w:val="24"/>
        </w:rPr>
        <w:t>...........</w:t>
      </w:r>
      <w:r>
        <w:rPr>
          <w:rFonts w:ascii="Garamond" w:eastAsia="Garamond" w:hAnsi="Garamond" w:cs="Garamond"/>
          <w:sz w:val="24"/>
          <w:szCs w:val="24"/>
        </w:rPr>
        <w:t xml:space="preserve">25 Figura 4: </w:t>
      </w:r>
      <w:r>
        <w:rPr>
          <w:rFonts w:ascii="Garamond" w:eastAsia="Garamond" w:hAnsi="Garamond" w:cs="Garamond"/>
          <w:color w:val="000000"/>
          <w:sz w:val="24"/>
          <w:szCs w:val="24"/>
        </w:rPr>
        <w:t>Gráfico regressão linear para dados de 2022............</w:t>
      </w:r>
      <w:r w:rsidR="00804504">
        <w:rPr>
          <w:rFonts w:ascii="Garamond" w:eastAsia="Garamond" w:hAnsi="Garamond" w:cs="Garamond"/>
          <w:color w:val="000000"/>
          <w:sz w:val="24"/>
          <w:szCs w:val="24"/>
        </w:rPr>
        <w:t>..</w:t>
      </w:r>
      <w:r>
        <w:rPr>
          <w:rFonts w:ascii="Garamond" w:eastAsia="Garamond" w:hAnsi="Garamond" w:cs="Garamond"/>
          <w:color w:val="000000"/>
          <w:sz w:val="24"/>
          <w:szCs w:val="24"/>
        </w:rPr>
        <w:t>....</w:t>
      </w:r>
      <w:r w:rsidR="00374DF8">
        <w:rPr>
          <w:rFonts w:ascii="Garamond" w:eastAsia="Garamond" w:hAnsi="Garamond" w:cs="Garamond"/>
          <w:color w:val="000000"/>
          <w:sz w:val="24"/>
          <w:szCs w:val="24"/>
        </w:rPr>
        <w:t>...........</w:t>
      </w:r>
      <w:r>
        <w:rPr>
          <w:rFonts w:ascii="Garamond" w:eastAsia="Garamond" w:hAnsi="Garamond" w:cs="Garamond"/>
          <w:color w:val="000000"/>
          <w:sz w:val="24"/>
          <w:szCs w:val="24"/>
        </w:rPr>
        <w:t>.........................</w:t>
      </w:r>
      <w:r w:rsidR="00837CF4">
        <w:rPr>
          <w:rFonts w:ascii="Garamond" w:eastAsia="Garamond" w:hAnsi="Garamond" w:cs="Garamond"/>
          <w:color w:val="000000"/>
          <w:sz w:val="24"/>
          <w:szCs w:val="24"/>
        </w:rPr>
        <w:t>...........</w:t>
      </w:r>
      <w:r>
        <w:rPr>
          <w:rFonts w:ascii="Garamond" w:eastAsia="Garamond" w:hAnsi="Garamond" w:cs="Garamond"/>
          <w:sz w:val="24"/>
          <w:szCs w:val="24"/>
        </w:rPr>
        <w:t xml:space="preserve">26 Figura 5: </w:t>
      </w:r>
      <w:r>
        <w:rPr>
          <w:rFonts w:ascii="Garamond" w:eastAsia="Garamond" w:hAnsi="Garamond" w:cs="Garamond"/>
          <w:color w:val="000000"/>
          <w:sz w:val="24"/>
          <w:szCs w:val="24"/>
        </w:rPr>
        <w:t>Gráfico regressão linear para dados de 2021...............</w:t>
      </w:r>
      <w:r w:rsidR="00804504">
        <w:rPr>
          <w:rFonts w:ascii="Garamond" w:eastAsia="Garamond" w:hAnsi="Garamond" w:cs="Garamond"/>
          <w:color w:val="000000"/>
          <w:sz w:val="24"/>
          <w:szCs w:val="24"/>
        </w:rPr>
        <w:t>.</w:t>
      </w:r>
      <w:r>
        <w:rPr>
          <w:rFonts w:ascii="Garamond" w:eastAsia="Garamond" w:hAnsi="Garamond" w:cs="Garamond"/>
          <w:color w:val="000000"/>
          <w:sz w:val="24"/>
          <w:szCs w:val="24"/>
        </w:rPr>
        <w:t>....................</w:t>
      </w:r>
      <w:r w:rsidR="00374DF8">
        <w:rPr>
          <w:rFonts w:ascii="Garamond" w:eastAsia="Garamond" w:hAnsi="Garamond" w:cs="Garamond"/>
          <w:color w:val="000000"/>
          <w:sz w:val="24"/>
          <w:szCs w:val="24"/>
        </w:rPr>
        <w:t>........</w:t>
      </w:r>
      <w:r>
        <w:rPr>
          <w:rFonts w:ascii="Garamond" w:eastAsia="Garamond" w:hAnsi="Garamond" w:cs="Garamond"/>
          <w:color w:val="000000"/>
          <w:sz w:val="24"/>
          <w:szCs w:val="24"/>
        </w:rPr>
        <w:t>..........</w:t>
      </w:r>
      <w:r w:rsidR="00C40FC1">
        <w:rPr>
          <w:rFonts w:ascii="Garamond" w:eastAsia="Garamond" w:hAnsi="Garamond" w:cs="Garamond"/>
          <w:color w:val="000000"/>
          <w:sz w:val="24"/>
          <w:szCs w:val="24"/>
        </w:rPr>
        <w:t>...........</w:t>
      </w:r>
      <w:r>
        <w:rPr>
          <w:rFonts w:ascii="Garamond" w:eastAsia="Garamond" w:hAnsi="Garamond" w:cs="Garamond"/>
          <w:color w:val="000000"/>
          <w:sz w:val="24"/>
          <w:szCs w:val="24"/>
        </w:rPr>
        <w:t>27</w:t>
      </w:r>
      <w:r>
        <w:rPr>
          <w:rFonts w:ascii="Garamond" w:eastAsia="Garamond" w:hAnsi="Garamond" w:cs="Garamond"/>
          <w:sz w:val="24"/>
          <w:szCs w:val="24"/>
        </w:rPr>
        <w:t xml:space="preserve"> Figura 6: </w:t>
      </w:r>
      <w:r>
        <w:rPr>
          <w:rFonts w:ascii="Garamond" w:eastAsia="Garamond" w:hAnsi="Garamond" w:cs="Garamond"/>
          <w:color w:val="000000"/>
          <w:sz w:val="24"/>
          <w:szCs w:val="24"/>
        </w:rPr>
        <w:t>Gráfico regressão linear para dados de 2022</w:t>
      </w:r>
      <w:r w:rsidR="00DC2302">
        <w:rPr>
          <w:rFonts w:ascii="Garamond" w:eastAsia="Garamond" w:hAnsi="Garamond" w:cs="Garamond"/>
          <w:color w:val="000000"/>
          <w:sz w:val="24"/>
          <w:szCs w:val="24"/>
        </w:rPr>
        <w:t>...........</w:t>
      </w:r>
      <w:r>
        <w:rPr>
          <w:rFonts w:ascii="Garamond" w:eastAsia="Garamond" w:hAnsi="Garamond" w:cs="Garamond"/>
          <w:color w:val="000000"/>
          <w:sz w:val="24"/>
          <w:szCs w:val="24"/>
        </w:rPr>
        <w:t>..............................................</w:t>
      </w:r>
      <w:r w:rsidR="00374DF8">
        <w:rPr>
          <w:rFonts w:ascii="Garamond" w:eastAsia="Garamond" w:hAnsi="Garamond" w:cs="Garamond"/>
          <w:color w:val="000000"/>
          <w:sz w:val="24"/>
          <w:szCs w:val="24"/>
        </w:rPr>
        <w:t>........</w:t>
      </w:r>
      <w:r>
        <w:rPr>
          <w:rFonts w:ascii="Garamond" w:eastAsia="Garamond" w:hAnsi="Garamond" w:cs="Garamond"/>
          <w:sz w:val="24"/>
          <w:szCs w:val="24"/>
        </w:rPr>
        <w:t xml:space="preserve">28 Figura </w:t>
      </w:r>
      <w:r w:rsidR="00D53A56">
        <w:rPr>
          <w:rFonts w:ascii="Garamond" w:eastAsia="Garamond" w:hAnsi="Garamond" w:cs="Garamond"/>
          <w:sz w:val="24"/>
          <w:szCs w:val="24"/>
        </w:rPr>
        <w:t>7</w:t>
      </w:r>
      <w:r>
        <w:rPr>
          <w:rFonts w:ascii="Garamond" w:eastAsia="Garamond" w:hAnsi="Garamond" w:cs="Garamond"/>
          <w:sz w:val="24"/>
          <w:szCs w:val="24"/>
        </w:rPr>
        <w:t xml:space="preserve">: </w:t>
      </w:r>
      <w:r>
        <w:rPr>
          <w:rFonts w:ascii="Garamond" w:eastAsia="Garamond" w:hAnsi="Garamond" w:cs="Garamond"/>
          <w:color w:val="000000"/>
          <w:sz w:val="24"/>
          <w:szCs w:val="24"/>
        </w:rPr>
        <w:t>Lista de Bancos Credores.......................</w:t>
      </w:r>
      <w:r w:rsidR="00804504">
        <w:rPr>
          <w:rFonts w:ascii="Garamond" w:eastAsia="Garamond" w:hAnsi="Garamond" w:cs="Garamond"/>
          <w:color w:val="000000"/>
          <w:sz w:val="24"/>
          <w:szCs w:val="24"/>
        </w:rPr>
        <w:t>...</w:t>
      </w:r>
      <w:r>
        <w:rPr>
          <w:rFonts w:ascii="Garamond" w:eastAsia="Garamond" w:hAnsi="Garamond" w:cs="Garamond"/>
          <w:color w:val="000000"/>
          <w:sz w:val="24"/>
          <w:szCs w:val="24"/>
        </w:rPr>
        <w:t>.....................................................................</w:t>
      </w:r>
      <w:r w:rsidR="00C40FC1">
        <w:rPr>
          <w:rFonts w:ascii="Garamond" w:eastAsia="Garamond" w:hAnsi="Garamond" w:cs="Garamond"/>
          <w:color w:val="000000"/>
          <w:sz w:val="24"/>
          <w:szCs w:val="24"/>
        </w:rPr>
        <w:t>..</w:t>
      </w:r>
      <w:r>
        <w:rPr>
          <w:rFonts w:ascii="Garamond" w:eastAsia="Garamond" w:hAnsi="Garamond" w:cs="Garamond"/>
          <w:sz w:val="24"/>
          <w:szCs w:val="24"/>
        </w:rPr>
        <w:t>3</w:t>
      </w:r>
      <w:r w:rsidR="000F31D7">
        <w:rPr>
          <w:rFonts w:ascii="Garamond" w:eastAsia="Garamond" w:hAnsi="Garamond" w:cs="Garamond"/>
          <w:sz w:val="24"/>
          <w:szCs w:val="24"/>
        </w:rPr>
        <w:t>3</w:t>
      </w:r>
      <w:r>
        <w:rPr>
          <w:rFonts w:ascii="Garamond" w:eastAsia="Garamond" w:hAnsi="Garamond" w:cs="Garamond"/>
          <w:sz w:val="24"/>
          <w:szCs w:val="24"/>
        </w:rPr>
        <w:t xml:space="preserve"> Figura </w:t>
      </w:r>
      <w:r w:rsidR="00D53A56">
        <w:rPr>
          <w:rFonts w:ascii="Garamond" w:eastAsia="Garamond" w:hAnsi="Garamond" w:cs="Garamond"/>
          <w:sz w:val="24"/>
          <w:szCs w:val="24"/>
        </w:rPr>
        <w:t>8</w:t>
      </w:r>
      <w:r>
        <w:rPr>
          <w:rFonts w:ascii="Garamond" w:eastAsia="Garamond" w:hAnsi="Garamond" w:cs="Garamond"/>
          <w:sz w:val="24"/>
          <w:szCs w:val="24"/>
        </w:rPr>
        <w:t xml:space="preserve">: </w:t>
      </w:r>
      <w:r>
        <w:rPr>
          <w:rFonts w:ascii="Garamond" w:eastAsia="Garamond" w:hAnsi="Garamond" w:cs="Garamond"/>
          <w:color w:val="000000"/>
          <w:sz w:val="24"/>
          <w:szCs w:val="24"/>
        </w:rPr>
        <w:t>Gráfico do Resultado Consolidado............................................................................</w:t>
      </w:r>
      <w:r w:rsidR="00C40FC1">
        <w:rPr>
          <w:rFonts w:ascii="Garamond" w:eastAsia="Garamond" w:hAnsi="Garamond" w:cs="Garamond"/>
          <w:color w:val="000000"/>
          <w:sz w:val="24"/>
          <w:szCs w:val="24"/>
        </w:rPr>
        <w:t>..</w:t>
      </w:r>
      <w:r w:rsidR="0051430C">
        <w:rPr>
          <w:rFonts w:ascii="Garamond" w:eastAsia="Garamond" w:hAnsi="Garamond" w:cs="Garamond"/>
          <w:color w:val="000000"/>
          <w:sz w:val="24"/>
          <w:szCs w:val="24"/>
        </w:rPr>
        <w:t>..</w:t>
      </w:r>
      <w:r>
        <w:rPr>
          <w:rFonts w:ascii="Garamond" w:eastAsia="Garamond" w:hAnsi="Garamond" w:cs="Garamond"/>
          <w:sz w:val="24"/>
          <w:szCs w:val="24"/>
        </w:rPr>
        <w:t>4</w:t>
      </w:r>
      <w:r w:rsidR="00FB3173">
        <w:rPr>
          <w:rFonts w:ascii="Garamond" w:eastAsia="Garamond" w:hAnsi="Garamond" w:cs="Garamond"/>
          <w:sz w:val="24"/>
          <w:szCs w:val="24"/>
        </w:rPr>
        <w:t>4</w:t>
      </w:r>
    </w:p>
    <w:p w14:paraId="6D216F64" w14:textId="77777777" w:rsidR="00EC4499" w:rsidRDefault="00EC4499">
      <w:pPr>
        <w:spacing w:after="0" w:line="360" w:lineRule="auto"/>
        <w:rPr>
          <w:rFonts w:ascii="Garamond" w:eastAsia="Garamond" w:hAnsi="Garamond" w:cs="Garamond"/>
          <w:b/>
          <w:sz w:val="28"/>
          <w:szCs w:val="28"/>
        </w:rPr>
      </w:pPr>
    </w:p>
    <w:p w14:paraId="36BB2F50" w14:textId="77777777" w:rsidR="00EC4499" w:rsidRDefault="00EC4499">
      <w:pPr>
        <w:spacing w:after="0" w:line="360" w:lineRule="auto"/>
        <w:rPr>
          <w:rFonts w:ascii="Garamond" w:eastAsia="Garamond" w:hAnsi="Garamond" w:cs="Garamond"/>
          <w:b/>
          <w:sz w:val="28"/>
          <w:szCs w:val="28"/>
        </w:rPr>
      </w:pPr>
    </w:p>
    <w:p w14:paraId="4612DDC3" w14:textId="77777777" w:rsidR="00EC4499" w:rsidRDefault="00EC4499">
      <w:pPr>
        <w:spacing w:after="0" w:line="360" w:lineRule="auto"/>
        <w:rPr>
          <w:rFonts w:ascii="Garamond" w:eastAsia="Garamond" w:hAnsi="Garamond" w:cs="Garamond"/>
          <w:b/>
          <w:sz w:val="28"/>
          <w:szCs w:val="28"/>
        </w:rPr>
      </w:pPr>
    </w:p>
    <w:p w14:paraId="5CD2698A" w14:textId="77777777" w:rsidR="00EC4499" w:rsidRDefault="00EC4499">
      <w:pPr>
        <w:spacing w:after="0" w:line="360" w:lineRule="auto"/>
        <w:rPr>
          <w:rFonts w:ascii="Garamond" w:eastAsia="Garamond" w:hAnsi="Garamond" w:cs="Garamond"/>
          <w:b/>
          <w:sz w:val="28"/>
          <w:szCs w:val="28"/>
        </w:rPr>
      </w:pPr>
    </w:p>
    <w:p w14:paraId="0F27BBF6" w14:textId="77777777" w:rsidR="00EC4499" w:rsidRDefault="00EC4499">
      <w:pPr>
        <w:spacing w:after="0" w:line="360" w:lineRule="auto"/>
        <w:rPr>
          <w:rFonts w:ascii="Garamond" w:eastAsia="Garamond" w:hAnsi="Garamond" w:cs="Garamond"/>
          <w:b/>
          <w:sz w:val="28"/>
          <w:szCs w:val="28"/>
        </w:rPr>
      </w:pPr>
    </w:p>
    <w:p w14:paraId="02628445" w14:textId="77777777" w:rsidR="00EC4499" w:rsidRDefault="00EC4499">
      <w:pPr>
        <w:spacing w:after="0" w:line="360" w:lineRule="auto"/>
        <w:rPr>
          <w:rFonts w:ascii="Garamond" w:eastAsia="Garamond" w:hAnsi="Garamond" w:cs="Garamond"/>
          <w:b/>
          <w:sz w:val="28"/>
          <w:szCs w:val="28"/>
        </w:rPr>
      </w:pPr>
    </w:p>
    <w:p w14:paraId="1878EB83" w14:textId="77777777" w:rsidR="00EC4499" w:rsidRDefault="00EC4499">
      <w:pPr>
        <w:spacing w:after="0" w:line="360" w:lineRule="auto"/>
        <w:rPr>
          <w:rFonts w:ascii="Garamond" w:eastAsia="Garamond" w:hAnsi="Garamond" w:cs="Garamond"/>
          <w:b/>
          <w:sz w:val="28"/>
          <w:szCs w:val="28"/>
        </w:rPr>
      </w:pPr>
    </w:p>
    <w:p w14:paraId="71EFCD04" w14:textId="77777777" w:rsidR="00EC4499" w:rsidRDefault="00EC4499">
      <w:pPr>
        <w:spacing w:after="0" w:line="360" w:lineRule="auto"/>
        <w:rPr>
          <w:rFonts w:ascii="Garamond" w:eastAsia="Garamond" w:hAnsi="Garamond" w:cs="Garamond"/>
          <w:b/>
          <w:sz w:val="28"/>
          <w:szCs w:val="28"/>
        </w:rPr>
      </w:pPr>
    </w:p>
    <w:p w14:paraId="17990DCA" w14:textId="77777777" w:rsidR="00EC4499" w:rsidRDefault="00EC4499">
      <w:pPr>
        <w:spacing w:after="0" w:line="360" w:lineRule="auto"/>
        <w:rPr>
          <w:rFonts w:ascii="Garamond" w:eastAsia="Garamond" w:hAnsi="Garamond" w:cs="Garamond"/>
          <w:b/>
          <w:sz w:val="28"/>
          <w:szCs w:val="28"/>
        </w:rPr>
      </w:pPr>
    </w:p>
    <w:p w14:paraId="65B2B142" w14:textId="77777777" w:rsidR="00EC4499" w:rsidRDefault="00EC4499">
      <w:pPr>
        <w:spacing w:after="0" w:line="360" w:lineRule="auto"/>
        <w:rPr>
          <w:rFonts w:ascii="Garamond" w:eastAsia="Garamond" w:hAnsi="Garamond" w:cs="Garamond"/>
          <w:b/>
          <w:sz w:val="28"/>
          <w:szCs w:val="28"/>
        </w:rPr>
      </w:pPr>
    </w:p>
    <w:p w14:paraId="134717A2" w14:textId="77777777" w:rsidR="00EC4499" w:rsidRDefault="00EC4499">
      <w:pPr>
        <w:spacing w:after="0" w:line="360" w:lineRule="auto"/>
        <w:rPr>
          <w:rFonts w:ascii="Garamond" w:eastAsia="Garamond" w:hAnsi="Garamond" w:cs="Garamond"/>
          <w:b/>
          <w:sz w:val="28"/>
          <w:szCs w:val="28"/>
        </w:rPr>
      </w:pPr>
    </w:p>
    <w:p w14:paraId="29624F7C" w14:textId="77777777" w:rsidR="00EC4499" w:rsidRDefault="00EC4499">
      <w:pPr>
        <w:spacing w:after="0" w:line="360" w:lineRule="auto"/>
        <w:rPr>
          <w:rFonts w:ascii="Garamond" w:eastAsia="Garamond" w:hAnsi="Garamond" w:cs="Garamond"/>
          <w:b/>
          <w:sz w:val="28"/>
          <w:szCs w:val="28"/>
        </w:rPr>
      </w:pPr>
    </w:p>
    <w:p w14:paraId="3B901347" w14:textId="77777777" w:rsidR="00EC4499" w:rsidRDefault="00EC4499">
      <w:pPr>
        <w:spacing w:after="0" w:line="360" w:lineRule="auto"/>
        <w:rPr>
          <w:rFonts w:ascii="Garamond" w:eastAsia="Garamond" w:hAnsi="Garamond" w:cs="Garamond"/>
          <w:b/>
          <w:sz w:val="28"/>
          <w:szCs w:val="28"/>
        </w:rPr>
      </w:pPr>
    </w:p>
    <w:p w14:paraId="21404C5C" w14:textId="77777777" w:rsidR="00EC4499" w:rsidRDefault="00EC4499">
      <w:pPr>
        <w:spacing w:after="0" w:line="360" w:lineRule="auto"/>
        <w:jc w:val="right"/>
        <w:rPr>
          <w:rFonts w:ascii="Garamond" w:eastAsia="Garamond" w:hAnsi="Garamond" w:cs="Garamond"/>
          <w:sz w:val="20"/>
          <w:szCs w:val="20"/>
        </w:rPr>
      </w:pPr>
    </w:p>
    <w:p w14:paraId="60035D58" w14:textId="77777777" w:rsidR="003717CF" w:rsidRDefault="003717CF">
      <w:pPr>
        <w:spacing w:after="0" w:line="360" w:lineRule="auto"/>
        <w:jc w:val="right"/>
        <w:rPr>
          <w:rFonts w:ascii="Garamond" w:eastAsia="Garamond" w:hAnsi="Garamond" w:cs="Garamond"/>
          <w:sz w:val="20"/>
          <w:szCs w:val="20"/>
        </w:rPr>
      </w:pPr>
    </w:p>
    <w:p w14:paraId="72869EBF" w14:textId="77777777" w:rsidR="003717CF" w:rsidRDefault="003717CF">
      <w:pPr>
        <w:spacing w:after="0" w:line="360" w:lineRule="auto"/>
        <w:jc w:val="right"/>
        <w:rPr>
          <w:rFonts w:ascii="Garamond" w:eastAsia="Garamond" w:hAnsi="Garamond" w:cs="Garamond"/>
          <w:sz w:val="20"/>
          <w:szCs w:val="20"/>
        </w:rPr>
      </w:pPr>
    </w:p>
    <w:p w14:paraId="0B0FF5A3" w14:textId="77777777" w:rsidR="003717CF" w:rsidRDefault="003717CF">
      <w:pPr>
        <w:spacing w:after="0" w:line="360" w:lineRule="auto"/>
        <w:jc w:val="right"/>
        <w:rPr>
          <w:rFonts w:ascii="Garamond" w:eastAsia="Garamond" w:hAnsi="Garamond" w:cs="Garamond"/>
          <w:sz w:val="20"/>
          <w:szCs w:val="20"/>
        </w:rPr>
      </w:pPr>
    </w:p>
    <w:p w14:paraId="251C659D" w14:textId="77777777" w:rsidR="003717CF" w:rsidRDefault="003717CF">
      <w:pPr>
        <w:spacing w:after="0" w:line="360" w:lineRule="auto"/>
        <w:jc w:val="right"/>
        <w:rPr>
          <w:rFonts w:ascii="Garamond" w:eastAsia="Garamond" w:hAnsi="Garamond" w:cs="Garamond"/>
          <w:sz w:val="20"/>
          <w:szCs w:val="20"/>
        </w:rPr>
      </w:pPr>
    </w:p>
    <w:p w14:paraId="78973DFD" w14:textId="77777777" w:rsidR="003717CF" w:rsidRDefault="003717CF">
      <w:pPr>
        <w:spacing w:after="0" w:line="360" w:lineRule="auto"/>
        <w:jc w:val="right"/>
        <w:rPr>
          <w:rFonts w:ascii="Garamond" w:eastAsia="Garamond" w:hAnsi="Garamond" w:cs="Garamond"/>
          <w:sz w:val="20"/>
          <w:szCs w:val="20"/>
        </w:rPr>
      </w:pPr>
    </w:p>
    <w:p w14:paraId="7D214EDE" w14:textId="77777777" w:rsidR="003717CF" w:rsidRDefault="003717CF">
      <w:pPr>
        <w:spacing w:after="0" w:line="360" w:lineRule="auto"/>
        <w:jc w:val="right"/>
        <w:rPr>
          <w:rFonts w:ascii="Garamond" w:eastAsia="Garamond" w:hAnsi="Garamond" w:cs="Garamond"/>
          <w:sz w:val="20"/>
          <w:szCs w:val="20"/>
        </w:rPr>
      </w:pPr>
    </w:p>
    <w:p w14:paraId="7CAB8402" w14:textId="77777777" w:rsidR="003717CF" w:rsidRDefault="003717CF">
      <w:pPr>
        <w:spacing w:after="0" w:line="360" w:lineRule="auto"/>
        <w:jc w:val="right"/>
        <w:rPr>
          <w:rFonts w:ascii="Garamond" w:eastAsia="Garamond" w:hAnsi="Garamond" w:cs="Garamond"/>
          <w:sz w:val="20"/>
          <w:szCs w:val="20"/>
        </w:rPr>
      </w:pPr>
    </w:p>
    <w:p w14:paraId="3C23DB9A" w14:textId="77777777" w:rsidR="003717CF" w:rsidRDefault="003717CF">
      <w:pPr>
        <w:spacing w:after="0" w:line="360" w:lineRule="auto"/>
        <w:jc w:val="right"/>
        <w:rPr>
          <w:rFonts w:ascii="Garamond" w:eastAsia="Garamond" w:hAnsi="Garamond" w:cs="Garamond"/>
          <w:sz w:val="20"/>
          <w:szCs w:val="20"/>
        </w:rPr>
      </w:pPr>
    </w:p>
    <w:p w14:paraId="3ABE166D" w14:textId="4CED069F" w:rsidR="00EC4499" w:rsidRDefault="00433EA7">
      <w:pPr>
        <w:spacing w:after="0" w:line="360" w:lineRule="auto"/>
        <w:jc w:val="right"/>
        <w:rPr>
          <w:rFonts w:ascii="Garamond" w:eastAsia="Garamond" w:hAnsi="Garamond" w:cs="Garamond"/>
          <w:sz w:val="20"/>
          <w:szCs w:val="20"/>
        </w:rPr>
      </w:pPr>
      <w:r>
        <w:rPr>
          <w:rFonts w:ascii="Garamond" w:eastAsia="Garamond" w:hAnsi="Garamond" w:cs="Garamond"/>
          <w:sz w:val="20"/>
          <w:szCs w:val="20"/>
        </w:rPr>
        <w:t>v</w:t>
      </w:r>
    </w:p>
    <w:p w14:paraId="296F257F" w14:textId="4F2F2ECE" w:rsidR="00EC4499" w:rsidRDefault="00433EA7">
      <w:pPr>
        <w:spacing w:after="0" w:line="360" w:lineRule="auto"/>
        <w:rPr>
          <w:rFonts w:ascii="Garamond" w:eastAsia="Garamond" w:hAnsi="Garamond" w:cs="Garamond"/>
          <w:b/>
          <w:sz w:val="28"/>
          <w:szCs w:val="28"/>
        </w:rPr>
      </w:pPr>
      <w:r>
        <w:rPr>
          <w:rFonts w:ascii="Garamond" w:eastAsia="Garamond" w:hAnsi="Garamond" w:cs="Garamond"/>
          <w:b/>
          <w:sz w:val="28"/>
          <w:szCs w:val="28"/>
        </w:rPr>
        <w:lastRenderedPageBreak/>
        <w:t>Índice de Tabelas</w:t>
      </w:r>
    </w:p>
    <w:p w14:paraId="27FE4112" w14:textId="5F5E4025" w:rsidR="00EC4499" w:rsidRDefault="00433EA7">
      <w:pPr>
        <w:spacing w:after="0" w:line="360" w:lineRule="auto"/>
        <w:jc w:val="both"/>
        <w:rPr>
          <w:rFonts w:ascii="Garamond" w:eastAsia="Garamond" w:hAnsi="Garamond" w:cs="Garamond"/>
          <w:i/>
          <w:color w:val="000000"/>
          <w:sz w:val="24"/>
          <w:szCs w:val="24"/>
        </w:rPr>
      </w:pPr>
      <w:r>
        <w:rPr>
          <w:rFonts w:ascii="Garamond" w:eastAsia="Garamond" w:hAnsi="Garamond" w:cs="Garamond"/>
          <w:sz w:val="24"/>
          <w:szCs w:val="24"/>
        </w:rPr>
        <w:t>Tabela 1: Objetivos de Desenvolvimento Sustentável...........................</w:t>
      </w:r>
      <w:r w:rsidR="00AF240C">
        <w:rPr>
          <w:rFonts w:ascii="Garamond" w:eastAsia="Garamond" w:hAnsi="Garamond" w:cs="Garamond"/>
          <w:sz w:val="24"/>
          <w:szCs w:val="24"/>
        </w:rPr>
        <w:t>.</w:t>
      </w:r>
      <w:r>
        <w:rPr>
          <w:rFonts w:ascii="Garamond" w:eastAsia="Garamond" w:hAnsi="Garamond" w:cs="Garamond"/>
          <w:sz w:val="24"/>
          <w:szCs w:val="24"/>
        </w:rPr>
        <w:t>......................................</w:t>
      </w:r>
      <w:r w:rsidR="002A1F11">
        <w:rPr>
          <w:rFonts w:ascii="Garamond" w:eastAsia="Garamond" w:hAnsi="Garamond" w:cs="Garamond"/>
          <w:sz w:val="24"/>
          <w:szCs w:val="24"/>
        </w:rPr>
        <w:t>.</w:t>
      </w:r>
      <w:r w:rsidR="00DC5D55">
        <w:rPr>
          <w:rFonts w:ascii="Garamond" w:eastAsia="Garamond" w:hAnsi="Garamond" w:cs="Garamond"/>
          <w:sz w:val="24"/>
          <w:szCs w:val="24"/>
        </w:rPr>
        <w:t>1</w:t>
      </w:r>
      <w:r>
        <w:rPr>
          <w:rFonts w:ascii="Garamond" w:eastAsia="Garamond" w:hAnsi="Garamond" w:cs="Garamond"/>
          <w:sz w:val="24"/>
          <w:szCs w:val="24"/>
        </w:rPr>
        <w:t xml:space="preserve"> Tabela 2: </w:t>
      </w:r>
      <w:r>
        <w:rPr>
          <w:rFonts w:ascii="Garamond" w:eastAsia="Garamond" w:hAnsi="Garamond" w:cs="Garamond"/>
          <w:color w:val="000000"/>
          <w:sz w:val="24"/>
          <w:szCs w:val="24"/>
        </w:rPr>
        <w:t>Vinculação ODS x GRI</w:t>
      </w:r>
      <w:r w:rsidR="0027425B">
        <w:rPr>
          <w:rFonts w:ascii="Garamond" w:eastAsia="Garamond" w:hAnsi="Garamond" w:cs="Garamond"/>
          <w:color w:val="000000"/>
          <w:sz w:val="24"/>
          <w:szCs w:val="24"/>
        </w:rPr>
        <w:t>.........................</w:t>
      </w:r>
      <w:r>
        <w:rPr>
          <w:rFonts w:ascii="Garamond" w:eastAsia="Garamond" w:hAnsi="Garamond" w:cs="Garamond"/>
          <w:color w:val="000000"/>
          <w:sz w:val="24"/>
          <w:szCs w:val="24"/>
        </w:rPr>
        <w:t>....................................</w:t>
      </w:r>
      <w:r w:rsidR="00AF240C">
        <w:rPr>
          <w:rFonts w:ascii="Garamond" w:eastAsia="Garamond" w:hAnsi="Garamond" w:cs="Garamond"/>
          <w:color w:val="000000"/>
          <w:sz w:val="24"/>
          <w:szCs w:val="24"/>
        </w:rPr>
        <w:t>.</w:t>
      </w:r>
      <w:r>
        <w:rPr>
          <w:rFonts w:ascii="Garamond" w:eastAsia="Garamond" w:hAnsi="Garamond" w:cs="Garamond"/>
          <w:color w:val="000000"/>
          <w:sz w:val="24"/>
          <w:szCs w:val="24"/>
        </w:rPr>
        <w:t>.....................................</w:t>
      </w:r>
      <w:r>
        <w:rPr>
          <w:rFonts w:ascii="Garamond" w:eastAsia="Garamond" w:hAnsi="Garamond" w:cs="Garamond"/>
          <w:sz w:val="24"/>
          <w:szCs w:val="24"/>
        </w:rPr>
        <w:t>11</w:t>
      </w:r>
      <w:r>
        <w:rPr>
          <w:rFonts w:ascii="Garamond" w:eastAsia="Garamond" w:hAnsi="Garamond" w:cs="Garamond"/>
          <w:i/>
          <w:sz w:val="24"/>
          <w:szCs w:val="24"/>
        </w:rPr>
        <w:t xml:space="preserve"> </w:t>
      </w:r>
      <w:r>
        <w:rPr>
          <w:rFonts w:ascii="Garamond" w:eastAsia="Garamond" w:hAnsi="Garamond" w:cs="Garamond"/>
          <w:sz w:val="24"/>
          <w:szCs w:val="24"/>
        </w:rPr>
        <w:t xml:space="preserve">Tabela 3: </w:t>
      </w:r>
      <w:r>
        <w:rPr>
          <w:rFonts w:ascii="Garamond" w:eastAsia="Garamond" w:hAnsi="Garamond" w:cs="Garamond"/>
          <w:color w:val="000000"/>
          <w:sz w:val="24"/>
          <w:szCs w:val="24"/>
        </w:rPr>
        <w:t>Vinculação ODS x GRI.............................................................</w:t>
      </w:r>
      <w:r w:rsidR="00AF240C">
        <w:rPr>
          <w:rFonts w:ascii="Garamond" w:eastAsia="Garamond" w:hAnsi="Garamond" w:cs="Garamond"/>
          <w:color w:val="000000"/>
          <w:sz w:val="24"/>
          <w:szCs w:val="24"/>
        </w:rPr>
        <w:t>.</w:t>
      </w:r>
      <w:r>
        <w:rPr>
          <w:rFonts w:ascii="Garamond" w:eastAsia="Garamond" w:hAnsi="Garamond" w:cs="Garamond"/>
          <w:color w:val="000000"/>
          <w:sz w:val="24"/>
          <w:szCs w:val="24"/>
        </w:rPr>
        <w:t>.................................</w:t>
      </w:r>
      <w:r>
        <w:rPr>
          <w:rFonts w:ascii="Garamond" w:eastAsia="Garamond" w:hAnsi="Garamond" w:cs="Garamond"/>
          <w:sz w:val="24"/>
          <w:szCs w:val="24"/>
        </w:rPr>
        <w:t>...</w:t>
      </w:r>
      <w:r w:rsidR="002A1F11">
        <w:rPr>
          <w:rFonts w:ascii="Garamond" w:eastAsia="Garamond" w:hAnsi="Garamond" w:cs="Garamond"/>
          <w:color w:val="000000"/>
          <w:sz w:val="24"/>
          <w:szCs w:val="24"/>
        </w:rPr>
        <w:t>.</w:t>
      </w:r>
      <w:r>
        <w:rPr>
          <w:rFonts w:ascii="Garamond" w:eastAsia="Garamond" w:hAnsi="Garamond" w:cs="Garamond"/>
          <w:color w:val="000000"/>
          <w:sz w:val="24"/>
          <w:szCs w:val="24"/>
        </w:rPr>
        <w:t>12</w:t>
      </w:r>
      <w:r>
        <w:rPr>
          <w:rFonts w:ascii="Garamond" w:eastAsia="Garamond" w:hAnsi="Garamond" w:cs="Garamond"/>
          <w:sz w:val="24"/>
          <w:szCs w:val="24"/>
        </w:rPr>
        <w:t xml:space="preserve"> Tabela 4: </w:t>
      </w:r>
      <w:r>
        <w:rPr>
          <w:rFonts w:ascii="Garamond" w:eastAsia="Garamond" w:hAnsi="Garamond" w:cs="Garamond"/>
          <w:color w:val="000000"/>
          <w:sz w:val="24"/>
          <w:szCs w:val="24"/>
        </w:rPr>
        <w:t>Informações sobre os bancos...................................................</w:t>
      </w:r>
      <w:r w:rsidR="00AF240C">
        <w:rPr>
          <w:rFonts w:ascii="Garamond" w:eastAsia="Garamond" w:hAnsi="Garamond" w:cs="Garamond"/>
          <w:color w:val="000000"/>
          <w:sz w:val="24"/>
          <w:szCs w:val="24"/>
        </w:rPr>
        <w:t>.</w:t>
      </w:r>
      <w:r>
        <w:rPr>
          <w:rFonts w:ascii="Garamond" w:eastAsia="Garamond" w:hAnsi="Garamond" w:cs="Garamond"/>
          <w:color w:val="000000"/>
          <w:sz w:val="24"/>
          <w:szCs w:val="24"/>
        </w:rPr>
        <w:t>....................................</w:t>
      </w:r>
      <w:r w:rsidR="002A1F11">
        <w:rPr>
          <w:rFonts w:ascii="Garamond" w:eastAsia="Garamond" w:hAnsi="Garamond" w:cs="Garamond"/>
          <w:color w:val="000000"/>
          <w:sz w:val="24"/>
          <w:szCs w:val="24"/>
        </w:rPr>
        <w:t>.</w:t>
      </w:r>
      <w:r>
        <w:rPr>
          <w:rFonts w:ascii="Garamond" w:eastAsia="Garamond" w:hAnsi="Garamond" w:cs="Garamond"/>
          <w:color w:val="000000"/>
          <w:sz w:val="24"/>
          <w:szCs w:val="24"/>
        </w:rPr>
        <w:t>17</w:t>
      </w:r>
      <w:r>
        <w:rPr>
          <w:rFonts w:ascii="Garamond" w:eastAsia="Garamond" w:hAnsi="Garamond" w:cs="Garamond"/>
          <w:sz w:val="24"/>
          <w:szCs w:val="24"/>
        </w:rPr>
        <w:t xml:space="preserve"> Tabela 5: </w:t>
      </w:r>
      <w:r>
        <w:rPr>
          <w:rFonts w:ascii="Garamond" w:eastAsia="Garamond" w:hAnsi="Garamond" w:cs="Garamond"/>
          <w:color w:val="000000"/>
          <w:sz w:val="24"/>
          <w:szCs w:val="24"/>
        </w:rPr>
        <w:t>Características dos Relatórios...................................................</w:t>
      </w:r>
      <w:r w:rsidR="00AF240C">
        <w:rPr>
          <w:rFonts w:ascii="Garamond" w:eastAsia="Garamond" w:hAnsi="Garamond" w:cs="Garamond"/>
          <w:color w:val="000000"/>
          <w:sz w:val="24"/>
          <w:szCs w:val="24"/>
        </w:rPr>
        <w:t>.</w:t>
      </w:r>
      <w:r>
        <w:rPr>
          <w:rFonts w:ascii="Garamond" w:eastAsia="Garamond" w:hAnsi="Garamond" w:cs="Garamond"/>
          <w:color w:val="000000"/>
          <w:sz w:val="24"/>
          <w:szCs w:val="24"/>
        </w:rPr>
        <w:t>....................................</w:t>
      </w:r>
      <w:r w:rsidR="002A1F11">
        <w:rPr>
          <w:rFonts w:ascii="Garamond" w:eastAsia="Garamond" w:hAnsi="Garamond" w:cs="Garamond"/>
          <w:color w:val="000000"/>
          <w:sz w:val="24"/>
          <w:szCs w:val="24"/>
        </w:rPr>
        <w:t>.</w:t>
      </w:r>
      <w:r>
        <w:rPr>
          <w:rFonts w:ascii="Garamond" w:eastAsia="Garamond" w:hAnsi="Garamond" w:cs="Garamond"/>
          <w:sz w:val="24"/>
          <w:szCs w:val="24"/>
        </w:rPr>
        <w:t xml:space="preserve">18 Tabela 6: </w:t>
      </w:r>
      <w:r>
        <w:rPr>
          <w:rFonts w:ascii="Garamond" w:eastAsia="Garamond" w:hAnsi="Garamond" w:cs="Garamond"/>
          <w:color w:val="000000"/>
          <w:sz w:val="24"/>
          <w:szCs w:val="24"/>
        </w:rPr>
        <w:t>Resultados Qualidade 2020.</w:t>
      </w:r>
      <w:r w:rsidR="00CE7D35">
        <w:rPr>
          <w:rFonts w:ascii="Garamond" w:eastAsia="Garamond" w:hAnsi="Garamond" w:cs="Garamond"/>
          <w:color w:val="000000"/>
          <w:sz w:val="24"/>
          <w:szCs w:val="24"/>
        </w:rPr>
        <w:t>...................</w:t>
      </w:r>
      <w:r>
        <w:rPr>
          <w:rFonts w:ascii="Garamond" w:eastAsia="Garamond" w:hAnsi="Garamond" w:cs="Garamond"/>
          <w:color w:val="000000"/>
          <w:sz w:val="24"/>
          <w:szCs w:val="24"/>
        </w:rPr>
        <w:t>...................................</w:t>
      </w:r>
      <w:r w:rsidR="00AF240C">
        <w:rPr>
          <w:rFonts w:ascii="Garamond" w:eastAsia="Garamond" w:hAnsi="Garamond" w:cs="Garamond"/>
          <w:color w:val="000000"/>
          <w:sz w:val="24"/>
          <w:szCs w:val="24"/>
        </w:rPr>
        <w:t>.</w:t>
      </w:r>
      <w:r>
        <w:rPr>
          <w:rFonts w:ascii="Garamond" w:eastAsia="Garamond" w:hAnsi="Garamond" w:cs="Garamond"/>
          <w:color w:val="000000"/>
          <w:sz w:val="24"/>
          <w:szCs w:val="24"/>
        </w:rPr>
        <w:t>....................................</w:t>
      </w:r>
      <w:r w:rsidR="002A1F11">
        <w:rPr>
          <w:rFonts w:ascii="Garamond" w:eastAsia="Garamond" w:hAnsi="Garamond" w:cs="Garamond"/>
          <w:color w:val="000000"/>
          <w:sz w:val="24"/>
          <w:szCs w:val="24"/>
        </w:rPr>
        <w:t>.</w:t>
      </w:r>
      <w:r>
        <w:rPr>
          <w:rFonts w:ascii="Garamond" w:eastAsia="Garamond" w:hAnsi="Garamond" w:cs="Garamond"/>
          <w:sz w:val="24"/>
          <w:szCs w:val="24"/>
        </w:rPr>
        <w:t>19</w:t>
      </w:r>
    </w:p>
    <w:p w14:paraId="37D56D61" w14:textId="3E416A1F" w:rsidR="00465DAC" w:rsidRDefault="00433EA7">
      <w:pPr>
        <w:spacing w:after="0" w:line="360" w:lineRule="auto"/>
        <w:jc w:val="both"/>
        <w:rPr>
          <w:rFonts w:ascii="Garamond" w:eastAsia="Garamond" w:hAnsi="Garamond" w:cs="Garamond"/>
          <w:sz w:val="24"/>
          <w:szCs w:val="24"/>
        </w:rPr>
      </w:pPr>
      <w:r>
        <w:rPr>
          <w:rFonts w:ascii="Garamond" w:eastAsia="Garamond" w:hAnsi="Garamond" w:cs="Garamond"/>
          <w:sz w:val="24"/>
          <w:szCs w:val="24"/>
        </w:rPr>
        <w:t>Tabela</w:t>
      </w:r>
      <w:r w:rsidR="002A1F11">
        <w:rPr>
          <w:rFonts w:ascii="Garamond" w:eastAsia="Garamond" w:hAnsi="Garamond" w:cs="Garamond"/>
          <w:sz w:val="24"/>
          <w:szCs w:val="24"/>
        </w:rPr>
        <w:t xml:space="preserve"> </w:t>
      </w:r>
      <w:r>
        <w:rPr>
          <w:rFonts w:ascii="Garamond" w:eastAsia="Garamond" w:hAnsi="Garamond" w:cs="Garamond"/>
          <w:sz w:val="24"/>
          <w:szCs w:val="24"/>
        </w:rPr>
        <w:t xml:space="preserve">7: </w:t>
      </w:r>
      <w:r>
        <w:rPr>
          <w:rFonts w:ascii="Garamond" w:eastAsia="Garamond" w:hAnsi="Garamond" w:cs="Garamond"/>
          <w:color w:val="000000"/>
          <w:sz w:val="24"/>
          <w:szCs w:val="24"/>
        </w:rPr>
        <w:t>Resultados Qualidade 2021...................</w:t>
      </w:r>
      <w:r w:rsidR="00CE7D35">
        <w:rPr>
          <w:rFonts w:ascii="Garamond" w:eastAsia="Garamond" w:hAnsi="Garamond" w:cs="Garamond"/>
          <w:color w:val="000000"/>
          <w:sz w:val="24"/>
          <w:szCs w:val="24"/>
        </w:rPr>
        <w:t>.......</w:t>
      </w:r>
      <w:r w:rsidR="000D5CA2">
        <w:rPr>
          <w:rFonts w:ascii="Garamond" w:eastAsia="Garamond" w:hAnsi="Garamond" w:cs="Garamond"/>
          <w:color w:val="000000"/>
          <w:sz w:val="24"/>
          <w:szCs w:val="24"/>
        </w:rPr>
        <w:t>.</w:t>
      </w:r>
      <w:r>
        <w:rPr>
          <w:rFonts w:ascii="Garamond" w:eastAsia="Garamond" w:hAnsi="Garamond" w:cs="Garamond"/>
          <w:color w:val="000000"/>
          <w:sz w:val="24"/>
          <w:szCs w:val="24"/>
        </w:rPr>
        <w:t>.................</w:t>
      </w:r>
      <w:r w:rsidR="00AF240C">
        <w:rPr>
          <w:rFonts w:ascii="Garamond" w:eastAsia="Garamond" w:hAnsi="Garamond" w:cs="Garamond"/>
          <w:color w:val="000000"/>
          <w:sz w:val="24"/>
          <w:szCs w:val="24"/>
        </w:rPr>
        <w:t>...........</w:t>
      </w:r>
      <w:r>
        <w:rPr>
          <w:rFonts w:ascii="Garamond" w:eastAsia="Garamond" w:hAnsi="Garamond" w:cs="Garamond"/>
          <w:color w:val="000000"/>
          <w:sz w:val="24"/>
          <w:szCs w:val="24"/>
        </w:rPr>
        <w:t>.................................</w:t>
      </w:r>
      <w:r>
        <w:rPr>
          <w:rFonts w:ascii="Garamond" w:eastAsia="Garamond" w:hAnsi="Garamond" w:cs="Garamond"/>
          <w:sz w:val="24"/>
          <w:szCs w:val="24"/>
        </w:rPr>
        <w:t>...</w:t>
      </w:r>
      <w:r w:rsidR="000D5CA2">
        <w:rPr>
          <w:rFonts w:ascii="Garamond" w:eastAsia="Garamond" w:hAnsi="Garamond" w:cs="Garamond"/>
          <w:sz w:val="24"/>
          <w:szCs w:val="24"/>
        </w:rPr>
        <w:t>..</w:t>
      </w:r>
      <w:r>
        <w:rPr>
          <w:rFonts w:ascii="Garamond" w:eastAsia="Garamond" w:hAnsi="Garamond" w:cs="Garamond"/>
          <w:sz w:val="24"/>
          <w:szCs w:val="24"/>
        </w:rPr>
        <w:t>20 Tabela</w:t>
      </w:r>
      <w:r w:rsidR="002A1F11">
        <w:rPr>
          <w:rFonts w:ascii="Garamond" w:eastAsia="Garamond" w:hAnsi="Garamond" w:cs="Garamond"/>
          <w:sz w:val="24"/>
          <w:szCs w:val="24"/>
        </w:rPr>
        <w:t xml:space="preserve"> </w:t>
      </w:r>
      <w:r>
        <w:rPr>
          <w:rFonts w:ascii="Garamond" w:eastAsia="Garamond" w:hAnsi="Garamond" w:cs="Garamond"/>
          <w:sz w:val="24"/>
          <w:szCs w:val="24"/>
        </w:rPr>
        <w:t xml:space="preserve">8: </w:t>
      </w:r>
      <w:r>
        <w:rPr>
          <w:rFonts w:ascii="Garamond" w:eastAsia="Garamond" w:hAnsi="Garamond" w:cs="Garamond"/>
          <w:color w:val="000000"/>
          <w:sz w:val="24"/>
          <w:szCs w:val="24"/>
        </w:rPr>
        <w:t>Resultados Qualidade 2022.....................................................</w:t>
      </w:r>
      <w:r w:rsidR="00AF240C">
        <w:rPr>
          <w:rFonts w:ascii="Garamond" w:eastAsia="Garamond" w:hAnsi="Garamond" w:cs="Garamond"/>
          <w:color w:val="000000"/>
          <w:sz w:val="24"/>
          <w:szCs w:val="24"/>
        </w:rPr>
        <w:t>..</w:t>
      </w:r>
      <w:r>
        <w:rPr>
          <w:rFonts w:ascii="Garamond" w:eastAsia="Garamond" w:hAnsi="Garamond" w:cs="Garamond"/>
          <w:color w:val="000000"/>
          <w:sz w:val="24"/>
          <w:szCs w:val="24"/>
        </w:rPr>
        <w:t>..................</w:t>
      </w:r>
      <w:r w:rsidR="00CE2868">
        <w:rPr>
          <w:rFonts w:ascii="Garamond" w:eastAsia="Garamond" w:hAnsi="Garamond" w:cs="Garamond"/>
          <w:color w:val="000000"/>
          <w:sz w:val="24"/>
          <w:szCs w:val="24"/>
        </w:rPr>
        <w:t>.........</w:t>
      </w:r>
      <w:r w:rsidR="002A1F11">
        <w:rPr>
          <w:rFonts w:ascii="Garamond" w:eastAsia="Garamond" w:hAnsi="Garamond" w:cs="Garamond"/>
          <w:color w:val="000000"/>
          <w:sz w:val="24"/>
          <w:szCs w:val="24"/>
        </w:rPr>
        <w:t>...........</w:t>
      </w:r>
      <w:r>
        <w:rPr>
          <w:rFonts w:ascii="Garamond" w:eastAsia="Garamond" w:hAnsi="Garamond" w:cs="Garamond"/>
          <w:color w:val="000000"/>
          <w:sz w:val="24"/>
          <w:szCs w:val="24"/>
        </w:rPr>
        <w:t>2</w:t>
      </w:r>
      <w:r>
        <w:rPr>
          <w:rFonts w:ascii="Garamond" w:eastAsia="Garamond" w:hAnsi="Garamond" w:cs="Garamond"/>
          <w:sz w:val="24"/>
          <w:szCs w:val="24"/>
        </w:rPr>
        <w:t xml:space="preserve">0 Tabela 9: </w:t>
      </w:r>
      <w:r>
        <w:rPr>
          <w:rFonts w:ascii="Garamond" w:eastAsia="Garamond" w:hAnsi="Garamond" w:cs="Garamond"/>
          <w:color w:val="000000"/>
          <w:sz w:val="24"/>
          <w:szCs w:val="24"/>
        </w:rPr>
        <w:t>DQPIs médios por grupo.........................................................</w:t>
      </w:r>
      <w:r w:rsidR="00AF240C">
        <w:rPr>
          <w:rFonts w:ascii="Garamond" w:eastAsia="Garamond" w:hAnsi="Garamond" w:cs="Garamond"/>
          <w:color w:val="000000"/>
          <w:sz w:val="24"/>
          <w:szCs w:val="24"/>
        </w:rPr>
        <w:t>.</w:t>
      </w:r>
      <w:r>
        <w:rPr>
          <w:rFonts w:ascii="Garamond" w:eastAsia="Garamond" w:hAnsi="Garamond" w:cs="Garamond"/>
          <w:color w:val="000000"/>
          <w:sz w:val="24"/>
          <w:szCs w:val="24"/>
        </w:rPr>
        <w:t>...................................</w:t>
      </w:r>
      <w:r w:rsidR="002A1F11">
        <w:rPr>
          <w:rFonts w:ascii="Garamond" w:eastAsia="Garamond" w:hAnsi="Garamond" w:cs="Garamond"/>
          <w:color w:val="000000"/>
          <w:sz w:val="24"/>
          <w:szCs w:val="24"/>
        </w:rPr>
        <w:t>...</w:t>
      </w:r>
      <w:r>
        <w:rPr>
          <w:rFonts w:ascii="Garamond" w:eastAsia="Garamond" w:hAnsi="Garamond" w:cs="Garamond"/>
          <w:sz w:val="24"/>
          <w:szCs w:val="24"/>
        </w:rPr>
        <w:t>2</w:t>
      </w:r>
      <w:r w:rsidR="00456348">
        <w:rPr>
          <w:rFonts w:ascii="Garamond" w:eastAsia="Garamond" w:hAnsi="Garamond" w:cs="Garamond"/>
          <w:sz w:val="24"/>
          <w:szCs w:val="24"/>
        </w:rPr>
        <w:t>2</w:t>
      </w:r>
      <w:r>
        <w:rPr>
          <w:rFonts w:ascii="Garamond" w:eastAsia="Garamond" w:hAnsi="Garamond" w:cs="Garamond"/>
          <w:sz w:val="24"/>
          <w:szCs w:val="24"/>
        </w:rPr>
        <w:t xml:space="preserve"> Tabela</w:t>
      </w:r>
      <w:r w:rsidR="002A1F11">
        <w:rPr>
          <w:rFonts w:ascii="Garamond" w:eastAsia="Garamond" w:hAnsi="Garamond" w:cs="Garamond"/>
          <w:sz w:val="24"/>
          <w:szCs w:val="24"/>
        </w:rPr>
        <w:t xml:space="preserve"> </w:t>
      </w:r>
      <w:r>
        <w:rPr>
          <w:rFonts w:ascii="Garamond" w:eastAsia="Garamond" w:hAnsi="Garamond" w:cs="Garamond"/>
          <w:sz w:val="24"/>
          <w:szCs w:val="24"/>
        </w:rPr>
        <w:t xml:space="preserve">10: </w:t>
      </w:r>
      <w:r>
        <w:rPr>
          <w:rFonts w:ascii="Garamond" w:eastAsia="Garamond" w:hAnsi="Garamond" w:cs="Garamond"/>
          <w:color w:val="000000"/>
          <w:sz w:val="24"/>
          <w:szCs w:val="24"/>
        </w:rPr>
        <w:t>Resultados Qualidade 2021...................................................</w:t>
      </w:r>
      <w:r w:rsidR="00AF240C">
        <w:rPr>
          <w:rFonts w:ascii="Garamond" w:eastAsia="Garamond" w:hAnsi="Garamond" w:cs="Garamond"/>
          <w:color w:val="000000"/>
          <w:sz w:val="24"/>
          <w:szCs w:val="24"/>
        </w:rPr>
        <w:t>..</w:t>
      </w:r>
      <w:r>
        <w:rPr>
          <w:rFonts w:ascii="Garamond" w:eastAsia="Garamond" w:hAnsi="Garamond" w:cs="Garamond"/>
          <w:color w:val="000000"/>
          <w:sz w:val="24"/>
          <w:szCs w:val="24"/>
        </w:rPr>
        <w:t>....................</w:t>
      </w:r>
      <w:r w:rsidR="00CE2868">
        <w:rPr>
          <w:rFonts w:ascii="Garamond" w:eastAsia="Garamond" w:hAnsi="Garamond" w:cs="Garamond"/>
          <w:color w:val="000000"/>
          <w:sz w:val="24"/>
          <w:szCs w:val="24"/>
        </w:rPr>
        <w:t>........</w:t>
      </w:r>
      <w:r w:rsidR="002A1F11">
        <w:rPr>
          <w:rFonts w:ascii="Garamond" w:eastAsia="Garamond" w:hAnsi="Garamond" w:cs="Garamond"/>
          <w:color w:val="000000"/>
          <w:sz w:val="24"/>
          <w:szCs w:val="24"/>
        </w:rPr>
        <w:t>..........</w:t>
      </w:r>
      <w:r>
        <w:rPr>
          <w:rFonts w:ascii="Garamond" w:eastAsia="Garamond" w:hAnsi="Garamond" w:cs="Garamond"/>
          <w:sz w:val="24"/>
          <w:szCs w:val="24"/>
        </w:rPr>
        <w:t>2</w:t>
      </w:r>
      <w:r w:rsidR="00456348">
        <w:rPr>
          <w:rFonts w:ascii="Garamond" w:eastAsia="Garamond" w:hAnsi="Garamond" w:cs="Garamond"/>
          <w:sz w:val="24"/>
          <w:szCs w:val="24"/>
        </w:rPr>
        <w:t>3</w:t>
      </w:r>
      <w:r>
        <w:rPr>
          <w:rFonts w:ascii="Garamond" w:eastAsia="Garamond" w:hAnsi="Garamond" w:cs="Garamond"/>
          <w:sz w:val="24"/>
          <w:szCs w:val="24"/>
        </w:rPr>
        <w:t xml:space="preserve"> Tabela</w:t>
      </w:r>
      <w:r w:rsidR="002A1F11">
        <w:rPr>
          <w:rFonts w:ascii="Garamond" w:eastAsia="Garamond" w:hAnsi="Garamond" w:cs="Garamond"/>
          <w:sz w:val="24"/>
          <w:szCs w:val="24"/>
        </w:rPr>
        <w:t xml:space="preserve"> </w:t>
      </w:r>
      <w:r>
        <w:rPr>
          <w:rFonts w:ascii="Garamond" w:eastAsia="Garamond" w:hAnsi="Garamond" w:cs="Garamond"/>
          <w:sz w:val="24"/>
          <w:szCs w:val="24"/>
        </w:rPr>
        <w:t xml:space="preserve">11: </w:t>
      </w:r>
      <w:r>
        <w:rPr>
          <w:rFonts w:ascii="Garamond" w:eastAsia="Garamond" w:hAnsi="Garamond" w:cs="Garamond"/>
          <w:color w:val="000000"/>
          <w:sz w:val="24"/>
          <w:szCs w:val="24"/>
        </w:rPr>
        <w:t>Resultados Qualidade 2022...................................................</w:t>
      </w:r>
      <w:r w:rsidR="00AF240C">
        <w:rPr>
          <w:rFonts w:ascii="Garamond" w:eastAsia="Garamond" w:hAnsi="Garamond" w:cs="Garamond"/>
          <w:color w:val="000000"/>
          <w:sz w:val="24"/>
          <w:szCs w:val="24"/>
        </w:rPr>
        <w:t>..</w:t>
      </w:r>
      <w:r>
        <w:rPr>
          <w:rFonts w:ascii="Garamond" w:eastAsia="Garamond" w:hAnsi="Garamond" w:cs="Garamond"/>
          <w:color w:val="000000"/>
          <w:sz w:val="24"/>
          <w:szCs w:val="24"/>
        </w:rPr>
        <w:t>....................</w:t>
      </w:r>
      <w:r w:rsidR="00CE2868">
        <w:rPr>
          <w:rFonts w:ascii="Garamond" w:eastAsia="Garamond" w:hAnsi="Garamond" w:cs="Garamond"/>
          <w:color w:val="000000"/>
          <w:sz w:val="24"/>
          <w:szCs w:val="24"/>
        </w:rPr>
        <w:t>......</w:t>
      </w:r>
      <w:r w:rsidR="00E23033">
        <w:rPr>
          <w:rFonts w:ascii="Garamond" w:eastAsia="Garamond" w:hAnsi="Garamond" w:cs="Garamond"/>
          <w:color w:val="000000"/>
          <w:sz w:val="24"/>
          <w:szCs w:val="24"/>
        </w:rPr>
        <w:t>............</w:t>
      </w:r>
      <w:r>
        <w:rPr>
          <w:rFonts w:ascii="Garamond" w:eastAsia="Garamond" w:hAnsi="Garamond" w:cs="Garamond"/>
          <w:sz w:val="24"/>
          <w:szCs w:val="24"/>
        </w:rPr>
        <w:t xml:space="preserve">23 Tabela 12: </w:t>
      </w:r>
      <w:r>
        <w:rPr>
          <w:rFonts w:ascii="Garamond" w:eastAsia="Garamond" w:hAnsi="Garamond" w:cs="Garamond"/>
          <w:color w:val="000000"/>
          <w:sz w:val="24"/>
          <w:szCs w:val="24"/>
        </w:rPr>
        <w:t>DQPIs médios por grupo...........................................................................................</w:t>
      </w:r>
      <w:r w:rsidR="00E23033">
        <w:rPr>
          <w:rFonts w:ascii="Garamond" w:eastAsia="Garamond" w:hAnsi="Garamond" w:cs="Garamond"/>
          <w:color w:val="000000"/>
          <w:sz w:val="24"/>
          <w:szCs w:val="24"/>
        </w:rPr>
        <w:t>..</w:t>
      </w:r>
      <w:r>
        <w:rPr>
          <w:rFonts w:ascii="Garamond" w:eastAsia="Garamond" w:hAnsi="Garamond" w:cs="Garamond"/>
          <w:sz w:val="24"/>
          <w:szCs w:val="24"/>
        </w:rPr>
        <w:t xml:space="preserve">24 Tabela 13: </w:t>
      </w:r>
      <w:r>
        <w:rPr>
          <w:rFonts w:ascii="Garamond" w:eastAsia="Garamond" w:hAnsi="Garamond" w:cs="Garamond"/>
          <w:color w:val="000000"/>
          <w:sz w:val="24"/>
          <w:szCs w:val="24"/>
        </w:rPr>
        <w:t>Resultado regressão linear para dados de 2021..........</w:t>
      </w:r>
      <w:r w:rsidR="00AF240C">
        <w:rPr>
          <w:rFonts w:ascii="Garamond" w:eastAsia="Garamond" w:hAnsi="Garamond" w:cs="Garamond"/>
          <w:color w:val="000000"/>
          <w:sz w:val="24"/>
          <w:szCs w:val="24"/>
        </w:rPr>
        <w:t>...........</w:t>
      </w:r>
      <w:r>
        <w:rPr>
          <w:rFonts w:ascii="Garamond" w:eastAsia="Garamond" w:hAnsi="Garamond" w:cs="Garamond"/>
          <w:color w:val="000000"/>
          <w:sz w:val="24"/>
          <w:szCs w:val="24"/>
        </w:rPr>
        <w:t>...</w:t>
      </w:r>
      <w:r w:rsidR="00BB212E">
        <w:rPr>
          <w:rFonts w:ascii="Garamond" w:eastAsia="Garamond" w:hAnsi="Garamond" w:cs="Garamond"/>
          <w:color w:val="000000"/>
          <w:sz w:val="24"/>
          <w:szCs w:val="24"/>
        </w:rPr>
        <w:t>.........</w:t>
      </w:r>
      <w:r>
        <w:rPr>
          <w:rFonts w:ascii="Garamond" w:eastAsia="Garamond" w:hAnsi="Garamond" w:cs="Garamond"/>
          <w:color w:val="000000"/>
          <w:sz w:val="24"/>
          <w:szCs w:val="24"/>
        </w:rPr>
        <w:t>........................</w:t>
      </w:r>
      <w:r w:rsidR="00E23033">
        <w:rPr>
          <w:rFonts w:ascii="Garamond" w:eastAsia="Garamond" w:hAnsi="Garamond" w:cs="Garamond"/>
          <w:color w:val="000000"/>
          <w:sz w:val="24"/>
          <w:szCs w:val="24"/>
        </w:rPr>
        <w:t>..</w:t>
      </w:r>
      <w:r>
        <w:rPr>
          <w:rFonts w:ascii="Garamond" w:eastAsia="Garamond" w:hAnsi="Garamond" w:cs="Garamond"/>
          <w:sz w:val="24"/>
          <w:szCs w:val="24"/>
        </w:rPr>
        <w:t>2</w:t>
      </w:r>
      <w:r w:rsidR="00456348">
        <w:rPr>
          <w:rFonts w:ascii="Garamond" w:eastAsia="Garamond" w:hAnsi="Garamond" w:cs="Garamond"/>
          <w:sz w:val="24"/>
          <w:szCs w:val="24"/>
        </w:rPr>
        <w:t>5</w:t>
      </w:r>
      <w:r>
        <w:rPr>
          <w:rFonts w:ascii="Garamond" w:eastAsia="Garamond" w:hAnsi="Garamond" w:cs="Garamond"/>
          <w:sz w:val="24"/>
          <w:szCs w:val="24"/>
        </w:rPr>
        <w:t xml:space="preserve"> Tabela 14: </w:t>
      </w:r>
      <w:r>
        <w:rPr>
          <w:rFonts w:ascii="Garamond" w:eastAsia="Garamond" w:hAnsi="Garamond" w:cs="Garamond"/>
          <w:color w:val="000000"/>
          <w:sz w:val="24"/>
          <w:szCs w:val="24"/>
        </w:rPr>
        <w:t>Resultado regressão linear para dados de 2022.</w:t>
      </w:r>
      <w:r w:rsidR="0088170E">
        <w:rPr>
          <w:rFonts w:ascii="Garamond" w:eastAsia="Garamond" w:hAnsi="Garamond" w:cs="Garamond"/>
          <w:color w:val="000000"/>
          <w:sz w:val="24"/>
          <w:szCs w:val="24"/>
        </w:rPr>
        <w:t>............</w:t>
      </w:r>
      <w:r>
        <w:rPr>
          <w:rFonts w:ascii="Garamond" w:eastAsia="Garamond" w:hAnsi="Garamond" w:cs="Garamond"/>
          <w:color w:val="000000"/>
          <w:sz w:val="24"/>
          <w:szCs w:val="24"/>
        </w:rPr>
        <w:t>...............................</w:t>
      </w:r>
      <w:r w:rsidR="00BB212E">
        <w:rPr>
          <w:rFonts w:ascii="Garamond" w:eastAsia="Garamond" w:hAnsi="Garamond" w:cs="Garamond"/>
          <w:color w:val="000000"/>
          <w:sz w:val="24"/>
          <w:szCs w:val="24"/>
        </w:rPr>
        <w:t>........</w:t>
      </w:r>
      <w:r>
        <w:rPr>
          <w:rFonts w:ascii="Garamond" w:eastAsia="Garamond" w:hAnsi="Garamond" w:cs="Garamond"/>
          <w:color w:val="000000"/>
          <w:sz w:val="24"/>
          <w:szCs w:val="24"/>
        </w:rPr>
        <w:t>.....</w:t>
      </w:r>
      <w:r w:rsidR="00E23033">
        <w:rPr>
          <w:rFonts w:ascii="Garamond" w:eastAsia="Garamond" w:hAnsi="Garamond" w:cs="Garamond"/>
          <w:color w:val="000000"/>
          <w:sz w:val="24"/>
          <w:szCs w:val="24"/>
        </w:rPr>
        <w:t>..</w:t>
      </w:r>
      <w:r>
        <w:rPr>
          <w:rFonts w:ascii="Garamond" w:eastAsia="Garamond" w:hAnsi="Garamond" w:cs="Garamond"/>
          <w:sz w:val="24"/>
          <w:szCs w:val="24"/>
        </w:rPr>
        <w:t xml:space="preserve">25 Tabela 15: </w:t>
      </w:r>
      <w:r>
        <w:rPr>
          <w:rFonts w:ascii="Garamond" w:eastAsia="Garamond" w:hAnsi="Garamond" w:cs="Garamond"/>
          <w:color w:val="000000"/>
          <w:sz w:val="24"/>
          <w:szCs w:val="24"/>
        </w:rPr>
        <w:t>Resultado regressão linear para dados de 2021.</w:t>
      </w:r>
      <w:r w:rsidR="0088170E">
        <w:rPr>
          <w:rFonts w:ascii="Garamond" w:eastAsia="Garamond" w:hAnsi="Garamond" w:cs="Garamond"/>
          <w:color w:val="000000"/>
          <w:sz w:val="24"/>
          <w:szCs w:val="24"/>
        </w:rPr>
        <w:t>............</w:t>
      </w:r>
      <w:r>
        <w:rPr>
          <w:rFonts w:ascii="Garamond" w:eastAsia="Garamond" w:hAnsi="Garamond" w:cs="Garamond"/>
          <w:color w:val="000000"/>
          <w:sz w:val="24"/>
          <w:szCs w:val="24"/>
        </w:rPr>
        <w:t>.....................................</w:t>
      </w:r>
      <w:r w:rsidR="00E23033">
        <w:rPr>
          <w:rFonts w:ascii="Garamond" w:eastAsia="Garamond" w:hAnsi="Garamond" w:cs="Garamond"/>
          <w:color w:val="000000"/>
          <w:sz w:val="24"/>
          <w:szCs w:val="24"/>
        </w:rPr>
        <w:t>...</w:t>
      </w:r>
      <w:r w:rsidR="00BB212E">
        <w:rPr>
          <w:rFonts w:ascii="Garamond" w:eastAsia="Garamond" w:hAnsi="Garamond" w:cs="Garamond"/>
          <w:color w:val="000000"/>
          <w:sz w:val="24"/>
          <w:szCs w:val="24"/>
        </w:rPr>
        <w:t>......</w:t>
      </w:r>
      <w:r>
        <w:rPr>
          <w:rFonts w:ascii="Garamond" w:eastAsia="Garamond" w:hAnsi="Garamond" w:cs="Garamond"/>
          <w:sz w:val="24"/>
          <w:szCs w:val="24"/>
        </w:rPr>
        <w:t xml:space="preserve">26 Tabela 16: </w:t>
      </w:r>
      <w:r>
        <w:rPr>
          <w:rFonts w:ascii="Garamond" w:eastAsia="Garamond" w:hAnsi="Garamond" w:cs="Garamond"/>
          <w:color w:val="000000"/>
          <w:sz w:val="24"/>
          <w:szCs w:val="24"/>
        </w:rPr>
        <w:t>Resultado regressão linear para dados de 2022.</w:t>
      </w:r>
      <w:r w:rsidR="0088170E">
        <w:rPr>
          <w:rFonts w:ascii="Garamond" w:eastAsia="Garamond" w:hAnsi="Garamond" w:cs="Garamond"/>
          <w:color w:val="000000"/>
          <w:sz w:val="24"/>
          <w:szCs w:val="24"/>
        </w:rPr>
        <w:t>............</w:t>
      </w:r>
      <w:r>
        <w:rPr>
          <w:rFonts w:ascii="Garamond" w:eastAsia="Garamond" w:hAnsi="Garamond" w:cs="Garamond"/>
          <w:color w:val="000000"/>
          <w:sz w:val="24"/>
          <w:szCs w:val="24"/>
        </w:rPr>
        <w:t>......................................</w:t>
      </w:r>
      <w:r w:rsidR="00E23033">
        <w:rPr>
          <w:rFonts w:ascii="Garamond" w:eastAsia="Garamond" w:hAnsi="Garamond" w:cs="Garamond"/>
          <w:color w:val="000000"/>
          <w:sz w:val="24"/>
          <w:szCs w:val="24"/>
        </w:rPr>
        <w:t>..</w:t>
      </w:r>
      <w:r w:rsidR="00BB212E">
        <w:rPr>
          <w:rFonts w:ascii="Garamond" w:eastAsia="Garamond" w:hAnsi="Garamond" w:cs="Garamond"/>
          <w:color w:val="000000"/>
          <w:sz w:val="24"/>
          <w:szCs w:val="24"/>
        </w:rPr>
        <w:t>......</w:t>
      </w:r>
      <w:r>
        <w:rPr>
          <w:rFonts w:ascii="Garamond" w:eastAsia="Garamond" w:hAnsi="Garamond" w:cs="Garamond"/>
          <w:sz w:val="24"/>
          <w:szCs w:val="24"/>
        </w:rPr>
        <w:t xml:space="preserve">27 Tabela 17: </w:t>
      </w:r>
      <w:r>
        <w:rPr>
          <w:rFonts w:ascii="Garamond" w:eastAsia="Garamond" w:hAnsi="Garamond" w:cs="Garamond"/>
          <w:color w:val="000000"/>
          <w:sz w:val="24"/>
          <w:szCs w:val="24"/>
        </w:rPr>
        <w:t>Resultados Conteúdos 2021.......</w:t>
      </w:r>
      <w:r w:rsidR="0088170E">
        <w:rPr>
          <w:rFonts w:ascii="Garamond" w:eastAsia="Garamond" w:hAnsi="Garamond" w:cs="Garamond"/>
          <w:color w:val="000000"/>
          <w:sz w:val="24"/>
          <w:szCs w:val="24"/>
        </w:rPr>
        <w:t>.</w:t>
      </w:r>
      <w:r>
        <w:rPr>
          <w:rFonts w:ascii="Garamond" w:eastAsia="Garamond" w:hAnsi="Garamond" w:cs="Garamond"/>
          <w:color w:val="000000"/>
          <w:sz w:val="24"/>
          <w:szCs w:val="24"/>
        </w:rPr>
        <w:t>.................................................................................</w:t>
      </w:r>
      <w:r w:rsidR="00E23033">
        <w:rPr>
          <w:rFonts w:ascii="Garamond" w:eastAsia="Garamond" w:hAnsi="Garamond" w:cs="Garamond"/>
          <w:color w:val="000000"/>
          <w:sz w:val="24"/>
          <w:szCs w:val="24"/>
        </w:rPr>
        <w:t>.</w:t>
      </w:r>
      <w:r>
        <w:rPr>
          <w:rFonts w:ascii="Garamond" w:eastAsia="Garamond" w:hAnsi="Garamond" w:cs="Garamond"/>
          <w:sz w:val="24"/>
          <w:szCs w:val="24"/>
        </w:rPr>
        <w:t xml:space="preserve">29 Tabela 18: </w:t>
      </w:r>
      <w:r>
        <w:rPr>
          <w:rFonts w:ascii="Garamond" w:eastAsia="Garamond" w:hAnsi="Garamond" w:cs="Garamond"/>
          <w:color w:val="000000"/>
          <w:sz w:val="24"/>
          <w:szCs w:val="24"/>
        </w:rPr>
        <w:t>Resultados Conteúdos 2022.......</w:t>
      </w:r>
      <w:r w:rsidR="0088170E">
        <w:rPr>
          <w:rFonts w:ascii="Garamond" w:eastAsia="Garamond" w:hAnsi="Garamond" w:cs="Garamond"/>
          <w:color w:val="000000"/>
          <w:sz w:val="24"/>
          <w:szCs w:val="24"/>
        </w:rPr>
        <w:t>.</w:t>
      </w:r>
      <w:r>
        <w:rPr>
          <w:rFonts w:ascii="Garamond" w:eastAsia="Garamond" w:hAnsi="Garamond" w:cs="Garamond"/>
          <w:color w:val="000000"/>
          <w:sz w:val="24"/>
          <w:szCs w:val="24"/>
        </w:rPr>
        <w:t>.................................................................................</w:t>
      </w:r>
      <w:r w:rsidR="00E23033">
        <w:rPr>
          <w:rFonts w:ascii="Garamond" w:eastAsia="Garamond" w:hAnsi="Garamond" w:cs="Garamond"/>
          <w:color w:val="000000"/>
          <w:sz w:val="24"/>
          <w:szCs w:val="24"/>
        </w:rPr>
        <w:t>.</w:t>
      </w:r>
      <w:r>
        <w:rPr>
          <w:rFonts w:ascii="Garamond" w:eastAsia="Garamond" w:hAnsi="Garamond" w:cs="Garamond"/>
          <w:sz w:val="24"/>
          <w:szCs w:val="24"/>
        </w:rPr>
        <w:t xml:space="preserve">29 Tabela 19: </w:t>
      </w:r>
      <w:r>
        <w:rPr>
          <w:rFonts w:ascii="Garamond" w:eastAsia="Garamond" w:hAnsi="Garamond" w:cs="Garamond"/>
          <w:color w:val="000000"/>
          <w:sz w:val="24"/>
          <w:szCs w:val="24"/>
        </w:rPr>
        <w:t>AIs médios por grupo.................</w:t>
      </w:r>
      <w:r w:rsidR="0088170E">
        <w:rPr>
          <w:rFonts w:ascii="Garamond" w:eastAsia="Garamond" w:hAnsi="Garamond" w:cs="Garamond"/>
          <w:color w:val="000000"/>
          <w:sz w:val="24"/>
          <w:szCs w:val="24"/>
        </w:rPr>
        <w:t>.</w:t>
      </w:r>
      <w:r>
        <w:rPr>
          <w:rFonts w:ascii="Garamond" w:eastAsia="Garamond" w:hAnsi="Garamond" w:cs="Garamond"/>
          <w:color w:val="000000"/>
          <w:sz w:val="24"/>
          <w:szCs w:val="24"/>
        </w:rPr>
        <w:t>.................................................................................</w:t>
      </w:r>
      <w:r w:rsidR="00E23033">
        <w:rPr>
          <w:rFonts w:ascii="Garamond" w:eastAsia="Garamond" w:hAnsi="Garamond" w:cs="Garamond"/>
          <w:color w:val="000000"/>
          <w:sz w:val="24"/>
          <w:szCs w:val="24"/>
        </w:rPr>
        <w:t>.</w:t>
      </w:r>
      <w:r>
        <w:rPr>
          <w:rFonts w:ascii="Garamond" w:eastAsia="Garamond" w:hAnsi="Garamond" w:cs="Garamond"/>
          <w:sz w:val="24"/>
          <w:szCs w:val="24"/>
        </w:rPr>
        <w:t xml:space="preserve">30 Tabela 20: </w:t>
      </w:r>
      <w:r>
        <w:rPr>
          <w:rFonts w:ascii="Garamond" w:eastAsia="Garamond" w:hAnsi="Garamond" w:cs="Garamond"/>
          <w:color w:val="000000"/>
          <w:sz w:val="24"/>
          <w:szCs w:val="24"/>
        </w:rPr>
        <w:t>Princípio do Equilíbrio...............</w:t>
      </w:r>
      <w:r w:rsidR="0088170E">
        <w:rPr>
          <w:rFonts w:ascii="Garamond" w:eastAsia="Garamond" w:hAnsi="Garamond" w:cs="Garamond"/>
          <w:color w:val="000000"/>
          <w:sz w:val="24"/>
          <w:szCs w:val="24"/>
        </w:rPr>
        <w:t>.</w:t>
      </w:r>
      <w:r>
        <w:rPr>
          <w:rFonts w:ascii="Garamond" w:eastAsia="Garamond" w:hAnsi="Garamond" w:cs="Garamond"/>
          <w:color w:val="000000"/>
          <w:sz w:val="24"/>
          <w:szCs w:val="24"/>
        </w:rPr>
        <w:t>................................................................................</w:t>
      </w:r>
      <w:r>
        <w:rPr>
          <w:rFonts w:ascii="Garamond" w:eastAsia="Garamond" w:hAnsi="Garamond" w:cs="Garamond"/>
          <w:sz w:val="24"/>
          <w:szCs w:val="24"/>
        </w:rPr>
        <w:t>.</w:t>
      </w:r>
      <w:r w:rsidR="00E23033">
        <w:rPr>
          <w:rFonts w:ascii="Garamond" w:eastAsia="Garamond" w:hAnsi="Garamond" w:cs="Garamond"/>
          <w:color w:val="000000"/>
          <w:sz w:val="24"/>
          <w:szCs w:val="24"/>
        </w:rPr>
        <w:t>.</w:t>
      </w:r>
      <w:r>
        <w:rPr>
          <w:rFonts w:ascii="Garamond" w:eastAsia="Garamond" w:hAnsi="Garamond" w:cs="Garamond"/>
          <w:sz w:val="24"/>
          <w:szCs w:val="24"/>
        </w:rPr>
        <w:t>31</w:t>
      </w:r>
    </w:p>
    <w:p w14:paraId="30F2849F" w14:textId="6E910F1C" w:rsidR="0010409E" w:rsidRDefault="0010409E">
      <w:pPr>
        <w:spacing w:after="0" w:line="360" w:lineRule="auto"/>
        <w:jc w:val="both"/>
        <w:rPr>
          <w:rFonts w:ascii="Garamond" w:eastAsia="Garamond" w:hAnsi="Garamond" w:cs="Garamond"/>
          <w:sz w:val="24"/>
          <w:szCs w:val="24"/>
        </w:rPr>
      </w:pPr>
      <w:r>
        <w:rPr>
          <w:rFonts w:ascii="Garamond" w:eastAsia="Garamond" w:hAnsi="Garamond" w:cs="Garamond"/>
          <w:sz w:val="24"/>
          <w:szCs w:val="24"/>
        </w:rPr>
        <w:t>Tabela 21: Análises de Sentimento</w:t>
      </w:r>
      <w:r>
        <w:rPr>
          <w:rFonts w:ascii="Garamond" w:eastAsia="Garamond" w:hAnsi="Garamond" w:cs="Garamond"/>
          <w:color w:val="000000"/>
          <w:sz w:val="24"/>
          <w:szCs w:val="24"/>
        </w:rPr>
        <w:t>..............</w:t>
      </w:r>
      <w:r w:rsidR="0088170E">
        <w:rPr>
          <w:rFonts w:ascii="Garamond" w:eastAsia="Garamond" w:hAnsi="Garamond" w:cs="Garamond"/>
          <w:color w:val="000000"/>
          <w:sz w:val="24"/>
          <w:szCs w:val="24"/>
        </w:rPr>
        <w:t>.</w:t>
      </w:r>
      <w:r>
        <w:rPr>
          <w:rFonts w:ascii="Garamond" w:eastAsia="Garamond" w:hAnsi="Garamond" w:cs="Garamond"/>
          <w:color w:val="000000"/>
          <w:sz w:val="24"/>
          <w:szCs w:val="24"/>
        </w:rPr>
        <w:t>.................................................................................</w:t>
      </w:r>
      <w:r>
        <w:rPr>
          <w:rFonts w:ascii="Garamond" w:eastAsia="Garamond" w:hAnsi="Garamond" w:cs="Garamond"/>
          <w:sz w:val="24"/>
          <w:szCs w:val="24"/>
        </w:rPr>
        <w:t>.</w:t>
      </w:r>
      <w:r>
        <w:rPr>
          <w:rFonts w:ascii="Garamond" w:eastAsia="Garamond" w:hAnsi="Garamond" w:cs="Garamond"/>
          <w:color w:val="000000"/>
          <w:sz w:val="24"/>
          <w:szCs w:val="24"/>
        </w:rPr>
        <w:t>.</w:t>
      </w:r>
      <w:r>
        <w:rPr>
          <w:rFonts w:ascii="Garamond" w:eastAsia="Garamond" w:hAnsi="Garamond" w:cs="Garamond"/>
          <w:sz w:val="24"/>
          <w:szCs w:val="24"/>
        </w:rPr>
        <w:t>3</w:t>
      </w:r>
      <w:r w:rsidR="0048255A">
        <w:rPr>
          <w:rFonts w:ascii="Garamond" w:eastAsia="Garamond" w:hAnsi="Garamond" w:cs="Garamond"/>
          <w:sz w:val="24"/>
          <w:szCs w:val="24"/>
        </w:rPr>
        <w:t>2</w:t>
      </w:r>
    </w:p>
    <w:p w14:paraId="60131166" w14:textId="1F27E200" w:rsidR="00EC4499" w:rsidRDefault="00433EA7">
      <w:pPr>
        <w:spacing w:after="0" w:line="360" w:lineRule="auto"/>
        <w:jc w:val="both"/>
        <w:rPr>
          <w:rFonts w:ascii="Garamond" w:eastAsia="Garamond" w:hAnsi="Garamond" w:cs="Garamond"/>
          <w:sz w:val="24"/>
          <w:szCs w:val="24"/>
        </w:rPr>
      </w:pPr>
      <w:r>
        <w:rPr>
          <w:rFonts w:ascii="Garamond" w:eastAsia="Garamond" w:hAnsi="Garamond" w:cs="Garamond"/>
          <w:sz w:val="24"/>
          <w:szCs w:val="24"/>
        </w:rPr>
        <w:t>Tabela 2</w:t>
      </w:r>
      <w:r w:rsidR="0010409E">
        <w:rPr>
          <w:rFonts w:ascii="Garamond" w:eastAsia="Garamond" w:hAnsi="Garamond" w:cs="Garamond"/>
          <w:sz w:val="24"/>
          <w:szCs w:val="24"/>
        </w:rPr>
        <w:t>2</w:t>
      </w:r>
      <w:r>
        <w:rPr>
          <w:rFonts w:ascii="Garamond" w:eastAsia="Garamond" w:hAnsi="Garamond" w:cs="Garamond"/>
          <w:sz w:val="24"/>
          <w:szCs w:val="24"/>
        </w:rPr>
        <w:t xml:space="preserve">: </w:t>
      </w:r>
      <w:r>
        <w:rPr>
          <w:rFonts w:ascii="Garamond" w:eastAsia="Garamond" w:hAnsi="Garamond" w:cs="Garamond"/>
          <w:color w:val="000000"/>
          <w:sz w:val="24"/>
          <w:szCs w:val="24"/>
        </w:rPr>
        <w:t>Princípio da Comparabilidade..</w:t>
      </w:r>
      <w:r w:rsidR="0088170E">
        <w:rPr>
          <w:rFonts w:ascii="Garamond" w:eastAsia="Garamond" w:hAnsi="Garamond" w:cs="Garamond"/>
          <w:color w:val="000000"/>
          <w:sz w:val="24"/>
          <w:szCs w:val="24"/>
        </w:rPr>
        <w:t>.</w:t>
      </w:r>
      <w:r>
        <w:rPr>
          <w:rFonts w:ascii="Garamond" w:eastAsia="Garamond" w:hAnsi="Garamond" w:cs="Garamond"/>
          <w:color w:val="000000"/>
          <w:sz w:val="24"/>
          <w:szCs w:val="24"/>
        </w:rPr>
        <w:t>..................................................................................</w:t>
      </w:r>
      <w:r w:rsidR="00E23033">
        <w:rPr>
          <w:rFonts w:ascii="Garamond" w:eastAsia="Garamond" w:hAnsi="Garamond" w:cs="Garamond"/>
          <w:color w:val="000000"/>
          <w:sz w:val="24"/>
          <w:szCs w:val="24"/>
        </w:rPr>
        <w:t>.</w:t>
      </w:r>
      <w:r>
        <w:rPr>
          <w:rFonts w:ascii="Garamond" w:eastAsia="Garamond" w:hAnsi="Garamond" w:cs="Garamond"/>
          <w:sz w:val="24"/>
          <w:szCs w:val="24"/>
        </w:rPr>
        <w:t>3</w:t>
      </w:r>
      <w:r w:rsidR="00942F1B">
        <w:rPr>
          <w:rFonts w:ascii="Garamond" w:eastAsia="Garamond" w:hAnsi="Garamond" w:cs="Garamond"/>
          <w:sz w:val="24"/>
          <w:szCs w:val="24"/>
        </w:rPr>
        <w:t>4</w:t>
      </w:r>
      <w:r>
        <w:rPr>
          <w:rFonts w:ascii="Garamond" w:eastAsia="Garamond" w:hAnsi="Garamond" w:cs="Garamond"/>
          <w:sz w:val="24"/>
          <w:szCs w:val="24"/>
        </w:rPr>
        <w:t xml:space="preserve"> Tabela 2</w:t>
      </w:r>
      <w:r w:rsidR="00F140A0">
        <w:rPr>
          <w:rFonts w:ascii="Garamond" w:eastAsia="Garamond" w:hAnsi="Garamond" w:cs="Garamond"/>
          <w:sz w:val="24"/>
          <w:szCs w:val="24"/>
        </w:rPr>
        <w:t>3</w:t>
      </w:r>
      <w:r>
        <w:rPr>
          <w:rFonts w:ascii="Garamond" w:eastAsia="Garamond" w:hAnsi="Garamond" w:cs="Garamond"/>
          <w:sz w:val="24"/>
          <w:szCs w:val="24"/>
        </w:rPr>
        <w:t xml:space="preserve">: </w:t>
      </w:r>
      <w:r>
        <w:rPr>
          <w:rFonts w:ascii="Garamond" w:eastAsia="Garamond" w:hAnsi="Garamond" w:cs="Garamond"/>
          <w:color w:val="000000"/>
          <w:sz w:val="24"/>
          <w:szCs w:val="24"/>
        </w:rPr>
        <w:t>Princípio da Exatidão.................</w:t>
      </w:r>
      <w:r w:rsidR="0088170E">
        <w:rPr>
          <w:rFonts w:ascii="Garamond" w:eastAsia="Garamond" w:hAnsi="Garamond" w:cs="Garamond"/>
          <w:color w:val="000000"/>
          <w:sz w:val="24"/>
          <w:szCs w:val="24"/>
        </w:rPr>
        <w:t>.</w:t>
      </w:r>
      <w:r>
        <w:rPr>
          <w:rFonts w:ascii="Garamond" w:eastAsia="Garamond" w:hAnsi="Garamond" w:cs="Garamond"/>
          <w:color w:val="000000"/>
          <w:sz w:val="24"/>
          <w:szCs w:val="24"/>
        </w:rPr>
        <w:t>..................................................................................</w:t>
      </w:r>
      <w:r w:rsidR="00E23033">
        <w:rPr>
          <w:rFonts w:ascii="Garamond" w:eastAsia="Garamond" w:hAnsi="Garamond" w:cs="Garamond"/>
          <w:color w:val="000000"/>
          <w:sz w:val="24"/>
          <w:szCs w:val="24"/>
        </w:rPr>
        <w:t>.</w:t>
      </w:r>
      <w:r>
        <w:rPr>
          <w:rFonts w:ascii="Garamond" w:eastAsia="Garamond" w:hAnsi="Garamond" w:cs="Garamond"/>
          <w:sz w:val="24"/>
          <w:szCs w:val="24"/>
        </w:rPr>
        <w:t>3</w:t>
      </w:r>
      <w:r w:rsidR="00942F1B">
        <w:rPr>
          <w:rFonts w:ascii="Garamond" w:eastAsia="Garamond" w:hAnsi="Garamond" w:cs="Garamond"/>
          <w:sz w:val="24"/>
          <w:szCs w:val="24"/>
        </w:rPr>
        <w:t>6</w:t>
      </w:r>
      <w:r>
        <w:rPr>
          <w:rFonts w:ascii="Garamond" w:eastAsia="Garamond" w:hAnsi="Garamond" w:cs="Garamond"/>
          <w:sz w:val="24"/>
          <w:szCs w:val="24"/>
        </w:rPr>
        <w:t xml:space="preserve"> Tabela 2</w:t>
      </w:r>
      <w:r w:rsidR="00F140A0">
        <w:rPr>
          <w:rFonts w:ascii="Garamond" w:eastAsia="Garamond" w:hAnsi="Garamond" w:cs="Garamond"/>
          <w:sz w:val="24"/>
          <w:szCs w:val="24"/>
        </w:rPr>
        <w:t>4</w:t>
      </w:r>
      <w:r>
        <w:rPr>
          <w:rFonts w:ascii="Garamond" w:eastAsia="Garamond" w:hAnsi="Garamond" w:cs="Garamond"/>
          <w:sz w:val="24"/>
          <w:szCs w:val="24"/>
        </w:rPr>
        <w:t xml:space="preserve">: </w:t>
      </w:r>
      <w:r>
        <w:rPr>
          <w:rFonts w:ascii="Garamond" w:eastAsia="Garamond" w:hAnsi="Garamond" w:cs="Garamond"/>
          <w:color w:val="000000"/>
          <w:sz w:val="24"/>
          <w:szCs w:val="24"/>
        </w:rPr>
        <w:t>Princípio da Tempestividade....</w:t>
      </w:r>
      <w:r w:rsidR="0088170E">
        <w:rPr>
          <w:rFonts w:ascii="Garamond" w:eastAsia="Garamond" w:hAnsi="Garamond" w:cs="Garamond"/>
          <w:color w:val="000000"/>
          <w:sz w:val="24"/>
          <w:szCs w:val="24"/>
        </w:rPr>
        <w:t>.</w:t>
      </w:r>
      <w:r>
        <w:rPr>
          <w:rFonts w:ascii="Garamond" w:eastAsia="Garamond" w:hAnsi="Garamond" w:cs="Garamond"/>
          <w:color w:val="000000"/>
          <w:sz w:val="24"/>
          <w:szCs w:val="24"/>
        </w:rPr>
        <w:t>...................................................................................</w:t>
      </w:r>
      <w:r>
        <w:rPr>
          <w:rFonts w:ascii="Garamond" w:eastAsia="Garamond" w:hAnsi="Garamond" w:cs="Garamond"/>
          <w:sz w:val="24"/>
          <w:szCs w:val="24"/>
        </w:rPr>
        <w:t>3</w:t>
      </w:r>
      <w:r w:rsidR="00942F1B">
        <w:rPr>
          <w:rFonts w:ascii="Garamond" w:eastAsia="Garamond" w:hAnsi="Garamond" w:cs="Garamond"/>
          <w:sz w:val="24"/>
          <w:szCs w:val="24"/>
        </w:rPr>
        <w:t>7</w:t>
      </w:r>
      <w:r>
        <w:rPr>
          <w:rFonts w:ascii="Garamond" w:eastAsia="Garamond" w:hAnsi="Garamond" w:cs="Garamond"/>
          <w:sz w:val="24"/>
          <w:szCs w:val="24"/>
        </w:rPr>
        <w:t xml:space="preserve"> Tabela 2</w:t>
      </w:r>
      <w:r w:rsidR="00F140A0">
        <w:rPr>
          <w:rFonts w:ascii="Garamond" w:eastAsia="Garamond" w:hAnsi="Garamond" w:cs="Garamond"/>
          <w:sz w:val="24"/>
          <w:szCs w:val="24"/>
        </w:rPr>
        <w:t>5</w:t>
      </w:r>
      <w:r>
        <w:rPr>
          <w:rFonts w:ascii="Garamond" w:eastAsia="Garamond" w:hAnsi="Garamond" w:cs="Garamond"/>
          <w:sz w:val="24"/>
          <w:szCs w:val="24"/>
        </w:rPr>
        <w:t>:</w:t>
      </w:r>
      <w:r>
        <w:rPr>
          <w:rFonts w:ascii="Garamond" w:eastAsia="Garamond" w:hAnsi="Garamond" w:cs="Garamond"/>
          <w:color w:val="000000"/>
          <w:sz w:val="24"/>
          <w:szCs w:val="24"/>
        </w:rPr>
        <w:t xml:space="preserve"> Princípio da Clareza...................</w:t>
      </w:r>
      <w:r w:rsidR="0088170E">
        <w:rPr>
          <w:rFonts w:ascii="Garamond" w:eastAsia="Garamond" w:hAnsi="Garamond" w:cs="Garamond"/>
          <w:color w:val="000000"/>
          <w:sz w:val="24"/>
          <w:szCs w:val="24"/>
        </w:rPr>
        <w:t>.</w:t>
      </w:r>
      <w:r>
        <w:rPr>
          <w:rFonts w:ascii="Garamond" w:eastAsia="Garamond" w:hAnsi="Garamond" w:cs="Garamond"/>
          <w:color w:val="000000"/>
          <w:sz w:val="24"/>
          <w:szCs w:val="24"/>
        </w:rPr>
        <w:t>..................................................................................</w:t>
      </w:r>
      <w:r w:rsidR="00E23033">
        <w:rPr>
          <w:rFonts w:ascii="Garamond" w:eastAsia="Garamond" w:hAnsi="Garamond" w:cs="Garamond"/>
          <w:color w:val="000000"/>
          <w:sz w:val="24"/>
          <w:szCs w:val="24"/>
        </w:rPr>
        <w:t>.</w:t>
      </w:r>
      <w:r w:rsidR="00942F1B">
        <w:rPr>
          <w:rFonts w:ascii="Garamond" w:eastAsia="Garamond" w:hAnsi="Garamond" w:cs="Garamond"/>
          <w:sz w:val="24"/>
          <w:szCs w:val="24"/>
        </w:rPr>
        <w:t>38</w:t>
      </w:r>
      <w:r>
        <w:rPr>
          <w:rFonts w:ascii="Garamond" w:eastAsia="Garamond" w:hAnsi="Garamond" w:cs="Garamond"/>
          <w:sz w:val="24"/>
          <w:szCs w:val="24"/>
        </w:rPr>
        <w:t xml:space="preserve"> Tabela 2</w:t>
      </w:r>
      <w:r w:rsidR="00F140A0">
        <w:rPr>
          <w:rFonts w:ascii="Garamond" w:eastAsia="Garamond" w:hAnsi="Garamond" w:cs="Garamond"/>
          <w:sz w:val="24"/>
          <w:szCs w:val="24"/>
        </w:rPr>
        <w:t>6</w:t>
      </w:r>
      <w:r>
        <w:rPr>
          <w:rFonts w:ascii="Garamond" w:eastAsia="Garamond" w:hAnsi="Garamond" w:cs="Garamond"/>
          <w:sz w:val="24"/>
          <w:szCs w:val="24"/>
        </w:rPr>
        <w:t xml:space="preserve">: </w:t>
      </w:r>
      <w:r>
        <w:rPr>
          <w:rFonts w:ascii="Garamond" w:eastAsia="Garamond" w:hAnsi="Garamond" w:cs="Garamond"/>
          <w:color w:val="000000"/>
          <w:sz w:val="24"/>
          <w:szCs w:val="24"/>
        </w:rPr>
        <w:t>Recursos avaliados.....................</w:t>
      </w:r>
      <w:r w:rsidR="0088170E">
        <w:rPr>
          <w:rFonts w:ascii="Garamond" w:eastAsia="Garamond" w:hAnsi="Garamond" w:cs="Garamond"/>
          <w:color w:val="000000"/>
          <w:sz w:val="24"/>
          <w:szCs w:val="24"/>
        </w:rPr>
        <w:t>.</w:t>
      </w:r>
      <w:r>
        <w:rPr>
          <w:rFonts w:ascii="Garamond" w:eastAsia="Garamond" w:hAnsi="Garamond" w:cs="Garamond"/>
          <w:color w:val="000000"/>
          <w:sz w:val="24"/>
          <w:szCs w:val="24"/>
        </w:rPr>
        <w:t>...................................................................................</w:t>
      </w:r>
      <w:r w:rsidR="00942F1B">
        <w:rPr>
          <w:rFonts w:ascii="Garamond" w:eastAsia="Garamond" w:hAnsi="Garamond" w:cs="Garamond"/>
          <w:sz w:val="24"/>
          <w:szCs w:val="24"/>
        </w:rPr>
        <w:t>39</w:t>
      </w:r>
      <w:r>
        <w:rPr>
          <w:rFonts w:ascii="Garamond" w:eastAsia="Garamond" w:hAnsi="Garamond" w:cs="Garamond"/>
          <w:sz w:val="24"/>
          <w:szCs w:val="24"/>
        </w:rPr>
        <w:t xml:space="preserve"> Tabela 2</w:t>
      </w:r>
      <w:r w:rsidR="00F140A0">
        <w:rPr>
          <w:rFonts w:ascii="Garamond" w:eastAsia="Garamond" w:hAnsi="Garamond" w:cs="Garamond"/>
          <w:sz w:val="24"/>
          <w:szCs w:val="24"/>
        </w:rPr>
        <w:t>7</w:t>
      </w:r>
      <w:r>
        <w:rPr>
          <w:rFonts w:ascii="Garamond" w:eastAsia="Garamond" w:hAnsi="Garamond" w:cs="Garamond"/>
          <w:sz w:val="24"/>
          <w:szCs w:val="24"/>
        </w:rPr>
        <w:t xml:space="preserve">: </w:t>
      </w:r>
      <w:r>
        <w:rPr>
          <w:rFonts w:ascii="Garamond" w:eastAsia="Garamond" w:hAnsi="Garamond" w:cs="Garamond"/>
          <w:color w:val="000000"/>
          <w:sz w:val="24"/>
          <w:szCs w:val="24"/>
        </w:rPr>
        <w:t>Princípio da Verificabilidade.....</w:t>
      </w:r>
      <w:r w:rsidR="0088170E">
        <w:rPr>
          <w:rFonts w:ascii="Garamond" w:eastAsia="Garamond" w:hAnsi="Garamond" w:cs="Garamond"/>
          <w:color w:val="000000"/>
          <w:sz w:val="24"/>
          <w:szCs w:val="24"/>
        </w:rPr>
        <w:t>.</w:t>
      </w:r>
      <w:r>
        <w:rPr>
          <w:rFonts w:ascii="Garamond" w:eastAsia="Garamond" w:hAnsi="Garamond" w:cs="Garamond"/>
          <w:color w:val="000000"/>
          <w:sz w:val="24"/>
          <w:szCs w:val="24"/>
        </w:rPr>
        <w:t>..................................................................................</w:t>
      </w:r>
      <w:r w:rsidR="00E23033">
        <w:rPr>
          <w:rFonts w:ascii="Garamond" w:eastAsia="Garamond" w:hAnsi="Garamond" w:cs="Garamond"/>
          <w:color w:val="000000"/>
          <w:sz w:val="24"/>
          <w:szCs w:val="24"/>
        </w:rPr>
        <w:t>.</w:t>
      </w:r>
      <w:r>
        <w:rPr>
          <w:rFonts w:ascii="Garamond" w:eastAsia="Garamond" w:hAnsi="Garamond" w:cs="Garamond"/>
          <w:sz w:val="24"/>
          <w:szCs w:val="24"/>
        </w:rPr>
        <w:t>4</w:t>
      </w:r>
      <w:r w:rsidR="003103F1">
        <w:rPr>
          <w:rFonts w:ascii="Garamond" w:eastAsia="Garamond" w:hAnsi="Garamond" w:cs="Garamond"/>
          <w:sz w:val="24"/>
          <w:szCs w:val="24"/>
        </w:rPr>
        <w:t>1</w:t>
      </w:r>
      <w:r>
        <w:rPr>
          <w:rFonts w:ascii="Garamond" w:eastAsia="Garamond" w:hAnsi="Garamond" w:cs="Garamond"/>
          <w:sz w:val="24"/>
          <w:szCs w:val="24"/>
        </w:rPr>
        <w:t xml:space="preserve"> Tabela 2</w:t>
      </w:r>
      <w:r w:rsidR="00F140A0">
        <w:rPr>
          <w:rFonts w:ascii="Garamond" w:eastAsia="Garamond" w:hAnsi="Garamond" w:cs="Garamond"/>
          <w:sz w:val="24"/>
          <w:szCs w:val="24"/>
        </w:rPr>
        <w:t>8</w:t>
      </w:r>
      <w:r>
        <w:rPr>
          <w:rFonts w:ascii="Garamond" w:eastAsia="Garamond" w:hAnsi="Garamond" w:cs="Garamond"/>
          <w:sz w:val="24"/>
          <w:szCs w:val="24"/>
        </w:rPr>
        <w:t xml:space="preserve">: </w:t>
      </w:r>
      <w:r>
        <w:rPr>
          <w:rFonts w:ascii="Garamond" w:eastAsia="Garamond" w:hAnsi="Garamond" w:cs="Garamond"/>
          <w:color w:val="000000"/>
          <w:sz w:val="24"/>
          <w:szCs w:val="24"/>
        </w:rPr>
        <w:t>Resultado Consolidado..............</w:t>
      </w:r>
      <w:r w:rsidR="0088170E">
        <w:rPr>
          <w:rFonts w:ascii="Garamond" w:eastAsia="Garamond" w:hAnsi="Garamond" w:cs="Garamond"/>
          <w:color w:val="000000"/>
          <w:sz w:val="24"/>
          <w:szCs w:val="24"/>
        </w:rPr>
        <w:t>.</w:t>
      </w:r>
      <w:r>
        <w:rPr>
          <w:rFonts w:ascii="Garamond" w:eastAsia="Garamond" w:hAnsi="Garamond" w:cs="Garamond"/>
          <w:color w:val="000000"/>
          <w:sz w:val="24"/>
          <w:szCs w:val="24"/>
        </w:rPr>
        <w:t>..................................................................................</w:t>
      </w:r>
      <w:r w:rsidR="00E23033">
        <w:rPr>
          <w:rFonts w:ascii="Garamond" w:eastAsia="Garamond" w:hAnsi="Garamond" w:cs="Garamond"/>
          <w:color w:val="000000"/>
          <w:sz w:val="24"/>
          <w:szCs w:val="24"/>
        </w:rPr>
        <w:t>.</w:t>
      </w:r>
      <w:r>
        <w:rPr>
          <w:rFonts w:ascii="Garamond" w:eastAsia="Garamond" w:hAnsi="Garamond" w:cs="Garamond"/>
          <w:sz w:val="24"/>
          <w:szCs w:val="24"/>
        </w:rPr>
        <w:t>4</w:t>
      </w:r>
      <w:r w:rsidR="003103F1">
        <w:rPr>
          <w:rFonts w:ascii="Garamond" w:eastAsia="Garamond" w:hAnsi="Garamond" w:cs="Garamond"/>
          <w:sz w:val="24"/>
          <w:szCs w:val="24"/>
        </w:rPr>
        <w:t>3</w:t>
      </w:r>
      <w:r>
        <w:rPr>
          <w:rFonts w:ascii="Garamond" w:eastAsia="Garamond" w:hAnsi="Garamond" w:cs="Garamond"/>
          <w:sz w:val="24"/>
          <w:szCs w:val="24"/>
        </w:rPr>
        <w:t xml:space="preserve"> Tabela 2</w:t>
      </w:r>
      <w:r w:rsidR="00F140A0">
        <w:rPr>
          <w:rFonts w:ascii="Garamond" w:eastAsia="Garamond" w:hAnsi="Garamond" w:cs="Garamond"/>
          <w:sz w:val="24"/>
          <w:szCs w:val="24"/>
        </w:rPr>
        <w:t>9</w:t>
      </w:r>
      <w:r>
        <w:rPr>
          <w:rFonts w:ascii="Garamond" w:eastAsia="Garamond" w:hAnsi="Garamond" w:cs="Garamond"/>
          <w:sz w:val="24"/>
          <w:szCs w:val="24"/>
        </w:rPr>
        <w:t xml:space="preserve">: </w:t>
      </w:r>
      <w:r>
        <w:rPr>
          <w:rFonts w:ascii="Garamond" w:eastAsia="Garamond" w:hAnsi="Garamond" w:cs="Garamond"/>
          <w:color w:val="000000"/>
          <w:sz w:val="24"/>
          <w:szCs w:val="24"/>
        </w:rPr>
        <w:t>Pontuação média por grupo......</w:t>
      </w:r>
      <w:r w:rsidR="0088170E">
        <w:rPr>
          <w:rFonts w:ascii="Garamond" w:eastAsia="Garamond" w:hAnsi="Garamond" w:cs="Garamond"/>
          <w:color w:val="000000"/>
          <w:sz w:val="24"/>
          <w:szCs w:val="24"/>
        </w:rPr>
        <w:t>.</w:t>
      </w:r>
      <w:r>
        <w:rPr>
          <w:rFonts w:ascii="Garamond" w:eastAsia="Garamond" w:hAnsi="Garamond" w:cs="Garamond"/>
          <w:color w:val="000000"/>
          <w:sz w:val="24"/>
          <w:szCs w:val="24"/>
        </w:rPr>
        <w:t>..................................................................................</w:t>
      </w:r>
      <w:r w:rsidR="00E23033">
        <w:rPr>
          <w:rFonts w:ascii="Garamond" w:eastAsia="Garamond" w:hAnsi="Garamond" w:cs="Garamond"/>
          <w:color w:val="000000"/>
          <w:sz w:val="24"/>
          <w:szCs w:val="24"/>
        </w:rPr>
        <w:t>.</w:t>
      </w:r>
      <w:r>
        <w:rPr>
          <w:rFonts w:ascii="Garamond" w:eastAsia="Garamond" w:hAnsi="Garamond" w:cs="Garamond"/>
          <w:sz w:val="24"/>
          <w:szCs w:val="24"/>
        </w:rPr>
        <w:t>4</w:t>
      </w:r>
      <w:r w:rsidR="003103F1">
        <w:rPr>
          <w:rFonts w:ascii="Garamond" w:eastAsia="Garamond" w:hAnsi="Garamond" w:cs="Garamond"/>
          <w:sz w:val="24"/>
          <w:szCs w:val="24"/>
        </w:rPr>
        <w:t>5</w:t>
      </w:r>
    </w:p>
    <w:p w14:paraId="568F694B" w14:textId="77777777" w:rsidR="00EC4499" w:rsidRDefault="00EC4499">
      <w:pPr>
        <w:spacing w:after="0" w:line="360" w:lineRule="auto"/>
        <w:rPr>
          <w:rFonts w:ascii="Garamond" w:eastAsia="Garamond" w:hAnsi="Garamond" w:cs="Garamond"/>
          <w:sz w:val="24"/>
          <w:szCs w:val="24"/>
        </w:rPr>
      </w:pPr>
    </w:p>
    <w:p w14:paraId="56C74A05" w14:textId="77777777" w:rsidR="00EC4499" w:rsidRDefault="00EC4499">
      <w:pPr>
        <w:spacing w:after="0" w:line="360" w:lineRule="auto"/>
        <w:rPr>
          <w:rFonts w:ascii="Garamond" w:eastAsia="Garamond" w:hAnsi="Garamond" w:cs="Garamond"/>
          <w:sz w:val="24"/>
          <w:szCs w:val="24"/>
        </w:rPr>
      </w:pPr>
    </w:p>
    <w:p w14:paraId="75AE6CDD" w14:textId="77777777" w:rsidR="008C0513" w:rsidRDefault="008C0513" w:rsidP="008C0513">
      <w:pPr>
        <w:spacing w:after="0" w:line="360" w:lineRule="auto"/>
        <w:jc w:val="right"/>
        <w:rPr>
          <w:rFonts w:ascii="Garamond" w:eastAsia="Garamond" w:hAnsi="Garamond" w:cs="Garamond"/>
          <w:sz w:val="20"/>
          <w:szCs w:val="20"/>
        </w:rPr>
      </w:pPr>
      <w:r>
        <w:rPr>
          <w:rFonts w:ascii="Garamond" w:eastAsia="Garamond" w:hAnsi="Garamond" w:cs="Garamond"/>
          <w:sz w:val="20"/>
          <w:szCs w:val="20"/>
        </w:rPr>
        <w:t>vi</w:t>
      </w:r>
    </w:p>
    <w:p w14:paraId="2296DDBF" w14:textId="77777777" w:rsidR="00EC4499" w:rsidRDefault="00433EA7">
      <w:pPr>
        <w:spacing w:after="0" w:line="360" w:lineRule="auto"/>
        <w:rPr>
          <w:rFonts w:ascii="Garamond" w:eastAsia="Garamond" w:hAnsi="Garamond" w:cs="Garamond"/>
          <w:sz w:val="24"/>
          <w:szCs w:val="24"/>
        </w:rPr>
      </w:pPr>
      <w:r>
        <w:rPr>
          <w:rFonts w:ascii="Garamond" w:eastAsia="Garamond" w:hAnsi="Garamond" w:cs="Garamond"/>
          <w:b/>
          <w:sz w:val="28"/>
          <w:szCs w:val="28"/>
        </w:rPr>
        <w:lastRenderedPageBreak/>
        <w:t>Lista de Siglas, Acrônimos e Abreviaturas</w:t>
      </w:r>
    </w:p>
    <w:p w14:paraId="10C5B172" w14:textId="77777777" w:rsidR="00EC4499" w:rsidRDefault="00433EA7">
      <w:pPr>
        <w:spacing w:after="0" w:line="360" w:lineRule="auto"/>
        <w:rPr>
          <w:rFonts w:ascii="Garamond" w:eastAsia="Garamond" w:hAnsi="Garamond" w:cs="Garamond"/>
          <w:sz w:val="24"/>
          <w:szCs w:val="24"/>
        </w:rPr>
      </w:pPr>
      <w:r>
        <w:rPr>
          <w:rFonts w:ascii="Garamond" w:eastAsia="Garamond" w:hAnsi="Garamond" w:cs="Garamond"/>
          <w:sz w:val="24"/>
          <w:szCs w:val="24"/>
        </w:rPr>
        <w:t xml:space="preserve">Bacen – Banco Central do Brasil </w:t>
      </w:r>
    </w:p>
    <w:p w14:paraId="0B3519B7" w14:textId="77777777" w:rsidR="00EC4499" w:rsidRDefault="00433EA7">
      <w:pPr>
        <w:spacing w:after="0" w:line="360" w:lineRule="auto"/>
        <w:rPr>
          <w:rFonts w:ascii="Garamond" w:eastAsia="Garamond" w:hAnsi="Garamond" w:cs="Garamond"/>
          <w:sz w:val="24"/>
          <w:szCs w:val="24"/>
        </w:rPr>
      </w:pPr>
      <w:r>
        <w:rPr>
          <w:rFonts w:ascii="Garamond" w:eastAsia="Garamond" w:hAnsi="Garamond" w:cs="Garamond"/>
          <w:sz w:val="24"/>
          <w:szCs w:val="24"/>
        </w:rPr>
        <w:t>BB – Banco do Brasil</w:t>
      </w:r>
    </w:p>
    <w:p w14:paraId="0F2836E8" w14:textId="77777777" w:rsidR="00EC4499" w:rsidRDefault="00433EA7">
      <w:pPr>
        <w:spacing w:after="0" w:line="360" w:lineRule="auto"/>
        <w:rPr>
          <w:rFonts w:ascii="Garamond" w:eastAsia="Garamond" w:hAnsi="Garamond" w:cs="Garamond"/>
          <w:sz w:val="24"/>
          <w:szCs w:val="24"/>
        </w:rPr>
      </w:pPr>
      <w:r>
        <w:rPr>
          <w:rFonts w:ascii="Garamond" w:eastAsia="Garamond" w:hAnsi="Garamond" w:cs="Garamond"/>
          <w:sz w:val="24"/>
          <w:szCs w:val="24"/>
        </w:rPr>
        <w:t xml:space="preserve">BNB – Banco do Nordeste </w:t>
      </w:r>
    </w:p>
    <w:p w14:paraId="14CF2951" w14:textId="77777777" w:rsidR="00EC4499" w:rsidRDefault="00433EA7">
      <w:pPr>
        <w:spacing w:after="0" w:line="360" w:lineRule="auto"/>
        <w:rPr>
          <w:rFonts w:ascii="Garamond" w:eastAsia="Garamond" w:hAnsi="Garamond" w:cs="Garamond"/>
          <w:sz w:val="24"/>
          <w:szCs w:val="24"/>
        </w:rPr>
      </w:pPr>
      <w:r>
        <w:rPr>
          <w:rFonts w:ascii="Garamond" w:eastAsia="Garamond" w:hAnsi="Garamond" w:cs="Garamond"/>
          <w:sz w:val="24"/>
          <w:szCs w:val="24"/>
        </w:rPr>
        <w:t>BNDES – Banco Nacional de Desenvolvimento Econômico e Social</w:t>
      </w:r>
    </w:p>
    <w:p w14:paraId="6A70C364" w14:textId="77777777" w:rsidR="00EC4499" w:rsidRDefault="00433EA7">
      <w:pPr>
        <w:spacing w:after="0" w:line="360" w:lineRule="auto"/>
        <w:rPr>
          <w:rFonts w:ascii="Garamond" w:eastAsia="Garamond" w:hAnsi="Garamond" w:cs="Garamond"/>
          <w:sz w:val="24"/>
          <w:szCs w:val="24"/>
        </w:rPr>
      </w:pPr>
      <w:bookmarkStart w:id="0" w:name="_heading=h.gjdgxs" w:colFirst="0" w:colLast="0"/>
      <w:bookmarkEnd w:id="0"/>
      <w:r>
        <w:rPr>
          <w:rFonts w:ascii="Garamond" w:eastAsia="Garamond" w:hAnsi="Garamond" w:cs="Garamond"/>
          <w:sz w:val="24"/>
          <w:szCs w:val="24"/>
        </w:rPr>
        <w:t>CEBDS – Conselho Empresarial Brasileiro para o Desenvolvimento Sustentável</w:t>
      </w:r>
    </w:p>
    <w:p w14:paraId="0304D1A9" w14:textId="77777777" w:rsidR="00EC4499" w:rsidRDefault="00433EA7">
      <w:pPr>
        <w:spacing w:after="0" w:line="360" w:lineRule="auto"/>
        <w:rPr>
          <w:rFonts w:ascii="Garamond" w:eastAsia="Garamond" w:hAnsi="Garamond" w:cs="Garamond"/>
          <w:sz w:val="24"/>
          <w:szCs w:val="24"/>
        </w:rPr>
      </w:pPr>
      <w:r>
        <w:rPr>
          <w:rFonts w:ascii="Garamond" w:eastAsia="Garamond" w:hAnsi="Garamond" w:cs="Garamond"/>
          <w:sz w:val="24"/>
          <w:szCs w:val="24"/>
        </w:rPr>
        <w:t>CMN – Conselho Monetário Nacional</w:t>
      </w:r>
    </w:p>
    <w:p w14:paraId="6AEBFD4F" w14:textId="77777777" w:rsidR="00EC4499" w:rsidRDefault="00433EA7">
      <w:pPr>
        <w:spacing w:after="0" w:line="360" w:lineRule="auto"/>
        <w:rPr>
          <w:rFonts w:ascii="Garamond" w:eastAsia="Garamond" w:hAnsi="Garamond" w:cs="Garamond"/>
          <w:sz w:val="24"/>
          <w:szCs w:val="24"/>
        </w:rPr>
      </w:pPr>
      <w:r>
        <w:rPr>
          <w:rFonts w:ascii="Garamond" w:eastAsia="Garamond" w:hAnsi="Garamond" w:cs="Garamond"/>
          <w:sz w:val="24"/>
          <w:szCs w:val="24"/>
        </w:rPr>
        <w:t>CNJ – Conselho Nacional de Justiça</w:t>
      </w:r>
    </w:p>
    <w:p w14:paraId="7A61B363" w14:textId="77777777" w:rsidR="00EC4499" w:rsidRDefault="00433EA7">
      <w:pPr>
        <w:spacing w:after="0" w:line="360" w:lineRule="auto"/>
        <w:rPr>
          <w:rFonts w:ascii="Garamond" w:eastAsia="Garamond" w:hAnsi="Garamond" w:cs="Garamond"/>
          <w:sz w:val="24"/>
          <w:szCs w:val="24"/>
        </w:rPr>
      </w:pPr>
      <w:r>
        <w:rPr>
          <w:rFonts w:ascii="Garamond" w:eastAsia="Garamond" w:hAnsi="Garamond" w:cs="Garamond"/>
          <w:sz w:val="24"/>
          <w:szCs w:val="24"/>
        </w:rPr>
        <w:t>CPI – Comissão Parlamentar de Inquérito</w:t>
      </w:r>
    </w:p>
    <w:p w14:paraId="112BDF45" w14:textId="77777777" w:rsidR="00EC4499" w:rsidRDefault="00433EA7">
      <w:pPr>
        <w:spacing w:after="0" w:line="360" w:lineRule="auto"/>
        <w:rPr>
          <w:rFonts w:ascii="Garamond" w:eastAsia="Garamond" w:hAnsi="Garamond" w:cs="Garamond"/>
          <w:sz w:val="24"/>
          <w:szCs w:val="24"/>
        </w:rPr>
      </w:pPr>
      <w:r>
        <w:rPr>
          <w:rFonts w:ascii="Garamond" w:eastAsia="Garamond" w:hAnsi="Garamond" w:cs="Garamond"/>
          <w:sz w:val="24"/>
          <w:szCs w:val="24"/>
        </w:rPr>
        <w:t>CVM – Comissão de Valores Mobiliários</w:t>
      </w:r>
    </w:p>
    <w:p w14:paraId="5B2108BF" w14:textId="77777777" w:rsidR="00EC4499" w:rsidRPr="00F73D0C" w:rsidRDefault="00433EA7">
      <w:pPr>
        <w:spacing w:after="0" w:line="360" w:lineRule="auto"/>
        <w:rPr>
          <w:rFonts w:ascii="Garamond" w:eastAsia="Garamond" w:hAnsi="Garamond" w:cs="Garamond"/>
          <w:sz w:val="24"/>
          <w:szCs w:val="24"/>
          <w:lang w:val="en-GB"/>
        </w:rPr>
      </w:pPr>
      <w:r w:rsidRPr="00F73D0C">
        <w:rPr>
          <w:rFonts w:ascii="Garamond" w:eastAsia="Garamond" w:hAnsi="Garamond" w:cs="Garamond"/>
          <w:sz w:val="24"/>
          <w:szCs w:val="24"/>
          <w:lang w:val="en-GB"/>
        </w:rPr>
        <w:t xml:space="preserve">DQPI – </w:t>
      </w:r>
      <w:r w:rsidRPr="00F73D0C">
        <w:rPr>
          <w:rFonts w:ascii="Garamond" w:eastAsia="Garamond" w:hAnsi="Garamond" w:cs="Garamond"/>
          <w:i/>
          <w:sz w:val="24"/>
          <w:szCs w:val="24"/>
          <w:lang w:val="en-GB"/>
        </w:rPr>
        <w:t>Disclousure Quality Performance Indicator</w:t>
      </w:r>
    </w:p>
    <w:p w14:paraId="1D596772" w14:textId="77777777" w:rsidR="00EC4499" w:rsidRPr="00F73D0C" w:rsidRDefault="00433EA7">
      <w:pPr>
        <w:spacing w:after="0" w:line="360" w:lineRule="auto"/>
        <w:rPr>
          <w:rFonts w:ascii="Garamond" w:eastAsia="Garamond" w:hAnsi="Garamond" w:cs="Garamond"/>
          <w:i/>
          <w:sz w:val="24"/>
          <w:szCs w:val="24"/>
          <w:lang w:val="en-GB"/>
        </w:rPr>
      </w:pPr>
      <w:r w:rsidRPr="00F73D0C">
        <w:rPr>
          <w:rFonts w:ascii="Garamond" w:eastAsia="Garamond" w:hAnsi="Garamond" w:cs="Garamond"/>
          <w:sz w:val="24"/>
          <w:szCs w:val="24"/>
          <w:lang w:val="en-GB"/>
        </w:rPr>
        <w:t xml:space="preserve">ESG – </w:t>
      </w:r>
      <w:r w:rsidRPr="00F73D0C">
        <w:rPr>
          <w:rFonts w:ascii="Garamond" w:eastAsia="Garamond" w:hAnsi="Garamond" w:cs="Garamond"/>
          <w:i/>
          <w:sz w:val="24"/>
          <w:szCs w:val="24"/>
          <w:lang w:val="en-GB"/>
        </w:rPr>
        <w:t>Environmental, Social and Governance</w:t>
      </w:r>
    </w:p>
    <w:p w14:paraId="09E25503" w14:textId="77777777" w:rsidR="00EC4499" w:rsidRDefault="00433EA7">
      <w:pPr>
        <w:spacing w:after="0" w:line="360" w:lineRule="auto"/>
        <w:rPr>
          <w:rFonts w:ascii="Garamond" w:eastAsia="Garamond" w:hAnsi="Garamond" w:cs="Garamond"/>
          <w:sz w:val="24"/>
          <w:szCs w:val="24"/>
        </w:rPr>
      </w:pPr>
      <w:r>
        <w:rPr>
          <w:rFonts w:ascii="Garamond" w:eastAsia="Garamond" w:hAnsi="Garamond" w:cs="Garamond"/>
          <w:sz w:val="24"/>
          <w:szCs w:val="24"/>
        </w:rPr>
        <w:t>EUA – Estados Unidos da América</w:t>
      </w:r>
    </w:p>
    <w:p w14:paraId="4AE40A56" w14:textId="77777777" w:rsidR="00EC4499" w:rsidRDefault="00433EA7">
      <w:pPr>
        <w:spacing w:after="0" w:line="360" w:lineRule="auto"/>
        <w:rPr>
          <w:rFonts w:ascii="Garamond" w:eastAsia="Garamond" w:hAnsi="Garamond" w:cs="Garamond"/>
          <w:sz w:val="24"/>
          <w:szCs w:val="24"/>
        </w:rPr>
      </w:pPr>
      <w:r>
        <w:rPr>
          <w:rFonts w:ascii="Garamond" w:eastAsia="Garamond" w:hAnsi="Garamond" w:cs="Garamond"/>
          <w:sz w:val="24"/>
          <w:szCs w:val="24"/>
        </w:rPr>
        <w:t>GEE – Gases de Efeito Estufa</w:t>
      </w:r>
    </w:p>
    <w:p w14:paraId="296D7290" w14:textId="77777777" w:rsidR="00EC4499" w:rsidRPr="00F73D0C" w:rsidRDefault="00433EA7">
      <w:pPr>
        <w:spacing w:after="0" w:line="360" w:lineRule="auto"/>
        <w:rPr>
          <w:rFonts w:ascii="Garamond" w:eastAsia="Garamond" w:hAnsi="Garamond" w:cs="Garamond"/>
          <w:sz w:val="24"/>
          <w:szCs w:val="24"/>
          <w:lang w:val="en-GB"/>
        </w:rPr>
      </w:pPr>
      <w:r w:rsidRPr="00F73D0C">
        <w:rPr>
          <w:rFonts w:ascii="Garamond" w:eastAsia="Garamond" w:hAnsi="Garamond" w:cs="Garamond"/>
          <w:sz w:val="24"/>
          <w:szCs w:val="24"/>
          <w:lang w:val="en-GB"/>
        </w:rPr>
        <w:t xml:space="preserve">GHG – </w:t>
      </w:r>
      <w:r w:rsidRPr="00F73D0C">
        <w:rPr>
          <w:rFonts w:ascii="Garamond" w:eastAsia="Garamond" w:hAnsi="Garamond" w:cs="Garamond"/>
          <w:i/>
          <w:sz w:val="24"/>
          <w:szCs w:val="24"/>
          <w:lang w:val="en-GB"/>
        </w:rPr>
        <w:t>Greenhouse Gases</w:t>
      </w:r>
    </w:p>
    <w:p w14:paraId="66D0D8AD" w14:textId="77777777" w:rsidR="00EC4499" w:rsidRPr="00F73D0C" w:rsidRDefault="00433EA7">
      <w:pPr>
        <w:spacing w:after="0" w:line="360" w:lineRule="auto"/>
        <w:rPr>
          <w:rFonts w:ascii="Garamond" w:eastAsia="Garamond" w:hAnsi="Garamond" w:cs="Garamond"/>
          <w:i/>
          <w:sz w:val="24"/>
          <w:szCs w:val="24"/>
          <w:lang w:val="en-GB"/>
        </w:rPr>
      </w:pPr>
      <w:r w:rsidRPr="00F73D0C">
        <w:rPr>
          <w:rFonts w:ascii="Garamond" w:eastAsia="Garamond" w:hAnsi="Garamond" w:cs="Garamond"/>
          <w:sz w:val="24"/>
          <w:szCs w:val="24"/>
          <w:lang w:val="en-GB"/>
        </w:rPr>
        <w:t xml:space="preserve">GRI – </w:t>
      </w:r>
      <w:r w:rsidRPr="00F73D0C">
        <w:rPr>
          <w:rFonts w:ascii="Garamond" w:eastAsia="Garamond" w:hAnsi="Garamond" w:cs="Garamond"/>
          <w:i/>
          <w:sz w:val="24"/>
          <w:szCs w:val="24"/>
          <w:lang w:val="en-GB"/>
        </w:rPr>
        <w:t>Global Reporting Initiative</w:t>
      </w:r>
    </w:p>
    <w:p w14:paraId="751540EE" w14:textId="77777777" w:rsidR="00EC4499" w:rsidRPr="00F73D0C" w:rsidRDefault="00433EA7">
      <w:pPr>
        <w:spacing w:after="0" w:line="360" w:lineRule="auto"/>
        <w:rPr>
          <w:rFonts w:ascii="Garamond" w:eastAsia="Garamond" w:hAnsi="Garamond" w:cs="Garamond"/>
          <w:sz w:val="24"/>
          <w:szCs w:val="24"/>
          <w:lang w:val="en-GB"/>
        </w:rPr>
      </w:pPr>
      <w:r w:rsidRPr="00F73D0C">
        <w:rPr>
          <w:rFonts w:ascii="Garamond" w:eastAsia="Garamond" w:hAnsi="Garamond" w:cs="Garamond"/>
          <w:sz w:val="24"/>
          <w:szCs w:val="24"/>
          <w:lang w:val="en-GB"/>
        </w:rPr>
        <w:t xml:space="preserve">GSSB – </w:t>
      </w:r>
      <w:r w:rsidRPr="00F73D0C">
        <w:rPr>
          <w:rFonts w:ascii="Garamond" w:eastAsia="Garamond" w:hAnsi="Garamond" w:cs="Garamond"/>
          <w:i/>
          <w:sz w:val="24"/>
          <w:szCs w:val="24"/>
          <w:lang w:val="en-GB"/>
        </w:rPr>
        <w:t>Global Sustainability Standards Board</w:t>
      </w:r>
    </w:p>
    <w:p w14:paraId="4B68F3BB" w14:textId="77777777" w:rsidR="00EC4499" w:rsidRPr="00F73D0C" w:rsidRDefault="00433EA7">
      <w:pPr>
        <w:spacing w:after="0" w:line="360" w:lineRule="auto"/>
        <w:rPr>
          <w:rFonts w:ascii="Garamond" w:eastAsia="Garamond" w:hAnsi="Garamond" w:cs="Garamond"/>
          <w:sz w:val="24"/>
          <w:szCs w:val="24"/>
          <w:lang w:val="en-GB"/>
        </w:rPr>
      </w:pPr>
      <w:r w:rsidRPr="00F73D0C">
        <w:rPr>
          <w:rFonts w:ascii="Garamond" w:eastAsia="Garamond" w:hAnsi="Garamond" w:cs="Garamond"/>
          <w:sz w:val="24"/>
          <w:szCs w:val="24"/>
          <w:lang w:val="en-GB"/>
        </w:rPr>
        <w:t xml:space="preserve">IBM – </w:t>
      </w:r>
      <w:r w:rsidRPr="00F73D0C">
        <w:rPr>
          <w:rFonts w:ascii="Garamond" w:eastAsia="Garamond" w:hAnsi="Garamond" w:cs="Garamond"/>
          <w:i/>
          <w:sz w:val="24"/>
          <w:szCs w:val="24"/>
          <w:lang w:val="en-GB"/>
        </w:rPr>
        <w:t>International Business Machines Corporation</w:t>
      </w:r>
    </w:p>
    <w:p w14:paraId="145B1DC9" w14:textId="77777777" w:rsidR="00EC4499" w:rsidRPr="00F73D0C" w:rsidRDefault="00433EA7">
      <w:pPr>
        <w:rPr>
          <w:rFonts w:ascii="Garamond" w:eastAsia="Garamond" w:hAnsi="Garamond" w:cs="Garamond"/>
          <w:i/>
          <w:sz w:val="24"/>
          <w:szCs w:val="24"/>
          <w:lang w:val="en-GB"/>
        </w:rPr>
      </w:pPr>
      <w:r w:rsidRPr="00F73D0C">
        <w:rPr>
          <w:rFonts w:ascii="Garamond" w:eastAsia="Garamond" w:hAnsi="Garamond" w:cs="Garamond"/>
          <w:sz w:val="24"/>
          <w:szCs w:val="24"/>
          <w:lang w:val="en-GB"/>
        </w:rPr>
        <w:t>IFC –</w:t>
      </w:r>
      <w:r w:rsidRPr="00F73D0C">
        <w:rPr>
          <w:rFonts w:ascii="Garamond" w:eastAsia="Garamond" w:hAnsi="Garamond" w:cs="Garamond"/>
          <w:i/>
          <w:sz w:val="24"/>
          <w:szCs w:val="24"/>
          <w:lang w:val="en-GB"/>
        </w:rPr>
        <w:t xml:space="preserve"> International Finance Corporation</w:t>
      </w:r>
    </w:p>
    <w:p w14:paraId="06925B20" w14:textId="77777777" w:rsidR="00EC4499" w:rsidRPr="00F73D0C" w:rsidRDefault="00433EA7">
      <w:pPr>
        <w:rPr>
          <w:rFonts w:ascii="Garamond" w:eastAsia="Garamond" w:hAnsi="Garamond" w:cs="Garamond"/>
          <w:sz w:val="24"/>
          <w:szCs w:val="24"/>
          <w:lang w:val="en-GB"/>
        </w:rPr>
      </w:pPr>
      <w:r w:rsidRPr="00F73D0C">
        <w:rPr>
          <w:rFonts w:ascii="Garamond" w:eastAsia="Garamond" w:hAnsi="Garamond" w:cs="Garamond"/>
          <w:sz w:val="24"/>
          <w:szCs w:val="24"/>
          <w:lang w:val="en-GB"/>
        </w:rPr>
        <w:t xml:space="preserve">IFRS – </w:t>
      </w:r>
      <w:r w:rsidRPr="00F73D0C">
        <w:rPr>
          <w:rFonts w:ascii="Garamond" w:eastAsia="Garamond" w:hAnsi="Garamond" w:cs="Garamond"/>
          <w:i/>
          <w:sz w:val="24"/>
          <w:szCs w:val="24"/>
          <w:lang w:val="en-GB"/>
        </w:rPr>
        <w:t>International Financial Reporting Standards</w:t>
      </w:r>
    </w:p>
    <w:p w14:paraId="37BE8975" w14:textId="77777777" w:rsidR="00EC4499" w:rsidRPr="00557890" w:rsidRDefault="00433EA7">
      <w:pPr>
        <w:rPr>
          <w:rFonts w:ascii="Garamond" w:eastAsia="Garamond" w:hAnsi="Garamond" w:cs="Garamond"/>
          <w:i/>
          <w:sz w:val="24"/>
          <w:szCs w:val="24"/>
          <w:lang w:val="en-GB"/>
        </w:rPr>
      </w:pPr>
      <w:r w:rsidRPr="00557890">
        <w:rPr>
          <w:rFonts w:ascii="Garamond" w:eastAsia="Garamond" w:hAnsi="Garamond" w:cs="Garamond"/>
          <w:sz w:val="24"/>
          <w:szCs w:val="24"/>
          <w:lang w:val="en-GB"/>
        </w:rPr>
        <w:t xml:space="preserve">IIRC – </w:t>
      </w:r>
      <w:r w:rsidRPr="00557890">
        <w:rPr>
          <w:rFonts w:ascii="Garamond" w:eastAsia="Garamond" w:hAnsi="Garamond" w:cs="Garamond"/>
          <w:i/>
          <w:sz w:val="24"/>
          <w:szCs w:val="24"/>
          <w:lang w:val="en-GB"/>
        </w:rPr>
        <w:t>International Integrated Reporting Council</w:t>
      </w:r>
    </w:p>
    <w:p w14:paraId="23AC1523" w14:textId="77777777" w:rsidR="00EC4499" w:rsidRDefault="00433EA7">
      <w:pPr>
        <w:rPr>
          <w:rFonts w:ascii="Garamond" w:eastAsia="Garamond" w:hAnsi="Garamond" w:cs="Garamond"/>
          <w:sz w:val="24"/>
          <w:szCs w:val="24"/>
        </w:rPr>
      </w:pPr>
      <w:r>
        <w:rPr>
          <w:rFonts w:ascii="Garamond" w:eastAsia="Garamond" w:hAnsi="Garamond" w:cs="Garamond"/>
          <w:sz w:val="24"/>
          <w:szCs w:val="24"/>
        </w:rPr>
        <w:t>ISE – Índice de Sustentabilidade Empresarial</w:t>
      </w:r>
    </w:p>
    <w:p w14:paraId="1BB3AC12" w14:textId="77777777" w:rsidR="00EC4499" w:rsidRPr="00F73D0C" w:rsidRDefault="00433EA7">
      <w:pPr>
        <w:rPr>
          <w:rFonts w:ascii="Garamond" w:eastAsia="Garamond" w:hAnsi="Garamond" w:cs="Garamond"/>
          <w:i/>
          <w:sz w:val="24"/>
          <w:szCs w:val="24"/>
          <w:lang w:val="en-GB"/>
        </w:rPr>
      </w:pPr>
      <w:r w:rsidRPr="00F73D0C">
        <w:rPr>
          <w:rFonts w:ascii="Garamond" w:eastAsia="Garamond" w:hAnsi="Garamond" w:cs="Garamond"/>
          <w:sz w:val="24"/>
          <w:szCs w:val="24"/>
          <w:lang w:val="en-GB"/>
        </w:rPr>
        <w:t>ISSB –</w:t>
      </w:r>
      <w:r w:rsidRPr="00F73D0C">
        <w:rPr>
          <w:rFonts w:ascii="Garamond" w:eastAsia="Garamond" w:hAnsi="Garamond" w:cs="Garamond"/>
          <w:i/>
          <w:sz w:val="24"/>
          <w:szCs w:val="24"/>
          <w:lang w:val="en-GB"/>
        </w:rPr>
        <w:t xml:space="preserve"> International Sustainability Standards Board</w:t>
      </w:r>
    </w:p>
    <w:p w14:paraId="56DCE589" w14:textId="77777777" w:rsidR="00EC4499" w:rsidRPr="00F73D0C" w:rsidRDefault="00433EA7">
      <w:pPr>
        <w:rPr>
          <w:rFonts w:ascii="Garamond" w:eastAsia="Garamond" w:hAnsi="Garamond" w:cs="Garamond"/>
          <w:i/>
          <w:sz w:val="24"/>
          <w:szCs w:val="24"/>
          <w:lang w:val="en-GB"/>
        </w:rPr>
      </w:pPr>
      <w:r w:rsidRPr="00F73D0C">
        <w:rPr>
          <w:rFonts w:ascii="Garamond" w:eastAsia="Garamond" w:hAnsi="Garamond" w:cs="Garamond"/>
          <w:sz w:val="24"/>
          <w:szCs w:val="24"/>
          <w:lang w:val="en-GB"/>
        </w:rPr>
        <w:t xml:space="preserve">Malena – </w:t>
      </w:r>
      <w:r w:rsidRPr="00F73D0C">
        <w:rPr>
          <w:rFonts w:ascii="Garamond" w:eastAsia="Garamond" w:hAnsi="Garamond" w:cs="Garamond"/>
          <w:i/>
          <w:sz w:val="24"/>
          <w:szCs w:val="24"/>
          <w:lang w:val="en-GB"/>
        </w:rPr>
        <w:t>Machine Learning ESG Analyst</w:t>
      </w:r>
    </w:p>
    <w:p w14:paraId="735E9F0B" w14:textId="77777777" w:rsidR="00EC4499" w:rsidRDefault="00433EA7">
      <w:pPr>
        <w:spacing w:after="0" w:line="360" w:lineRule="auto"/>
        <w:rPr>
          <w:rFonts w:ascii="Garamond" w:eastAsia="Garamond" w:hAnsi="Garamond" w:cs="Garamond"/>
          <w:sz w:val="24"/>
          <w:szCs w:val="24"/>
        </w:rPr>
      </w:pPr>
      <w:r>
        <w:rPr>
          <w:rFonts w:ascii="Garamond" w:eastAsia="Garamond" w:hAnsi="Garamond" w:cs="Garamond"/>
          <w:sz w:val="24"/>
          <w:szCs w:val="24"/>
        </w:rPr>
        <w:t>ODS – Objetivos de Desenvolvimento Sustentável</w:t>
      </w:r>
    </w:p>
    <w:p w14:paraId="100866E1" w14:textId="77777777" w:rsidR="00EC4499" w:rsidRDefault="00433EA7">
      <w:pPr>
        <w:spacing w:after="0" w:line="360" w:lineRule="auto"/>
        <w:rPr>
          <w:rFonts w:ascii="Garamond" w:eastAsia="Garamond" w:hAnsi="Garamond" w:cs="Garamond"/>
          <w:sz w:val="24"/>
          <w:szCs w:val="24"/>
        </w:rPr>
      </w:pPr>
      <w:r>
        <w:rPr>
          <w:rFonts w:ascii="Garamond" w:eastAsia="Garamond" w:hAnsi="Garamond" w:cs="Garamond"/>
          <w:sz w:val="24"/>
          <w:szCs w:val="24"/>
        </w:rPr>
        <w:t>ONU – Organização das Nações Unidas</w:t>
      </w:r>
    </w:p>
    <w:p w14:paraId="2D5F7F36" w14:textId="77777777" w:rsidR="00EC4499" w:rsidRPr="00F73D0C" w:rsidRDefault="00433EA7">
      <w:pPr>
        <w:spacing w:after="0" w:line="360" w:lineRule="auto"/>
        <w:rPr>
          <w:rFonts w:ascii="Garamond" w:eastAsia="Garamond" w:hAnsi="Garamond" w:cs="Garamond"/>
          <w:i/>
          <w:sz w:val="24"/>
          <w:szCs w:val="24"/>
          <w:lang w:val="en-GB"/>
        </w:rPr>
      </w:pPr>
      <w:r w:rsidRPr="00F73D0C">
        <w:rPr>
          <w:rFonts w:ascii="Garamond" w:eastAsia="Garamond" w:hAnsi="Garamond" w:cs="Garamond"/>
          <w:sz w:val="24"/>
          <w:szCs w:val="24"/>
          <w:lang w:val="en-GB"/>
        </w:rPr>
        <w:t xml:space="preserve">PCAF – </w:t>
      </w:r>
      <w:r w:rsidRPr="00F73D0C">
        <w:rPr>
          <w:rFonts w:ascii="Garamond" w:eastAsia="Garamond" w:hAnsi="Garamond" w:cs="Garamond"/>
          <w:i/>
          <w:sz w:val="24"/>
          <w:szCs w:val="24"/>
          <w:lang w:val="en-GB"/>
        </w:rPr>
        <w:t>Partnership for Carbon Accounting Financials</w:t>
      </w:r>
    </w:p>
    <w:p w14:paraId="439FFA4E" w14:textId="77777777" w:rsidR="00EC4499" w:rsidRPr="00F73D0C" w:rsidRDefault="00433EA7">
      <w:pPr>
        <w:spacing w:after="0" w:line="360" w:lineRule="auto"/>
        <w:rPr>
          <w:rFonts w:ascii="Garamond" w:eastAsia="Garamond" w:hAnsi="Garamond" w:cs="Garamond"/>
          <w:i/>
          <w:sz w:val="24"/>
          <w:szCs w:val="24"/>
          <w:lang w:val="en-GB"/>
        </w:rPr>
      </w:pPr>
      <w:r w:rsidRPr="00F73D0C">
        <w:rPr>
          <w:rFonts w:ascii="Garamond" w:eastAsia="Garamond" w:hAnsi="Garamond" w:cs="Garamond"/>
          <w:sz w:val="24"/>
          <w:szCs w:val="24"/>
          <w:lang w:val="en-GB"/>
        </w:rPr>
        <w:t>PRB –</w:t>
      </w:r>
      <w:r w:rsidRPr="00F73D0C">
        <w:rPr>
          <w:rFonts w:ascii="Garamond" w:eastAsia="Garamond" w:hAnsi="Garamond" w:cs="Garamond"/>
          <w:i/>
          <w:sz w:val="24"/>
          <w:szCs w:val="24"/>
          <w:lang w:val="en-GB"/>
        </w:rPr>
        <w:t xml:space="preserve"> Principles for Responsible Banking</w:t>
      </w:r>
    </w:p>
    <w:p w14:paraId="6B526B4F" w14:textId="77F03EEC" w:rsidR="00EC4499" w:rsidRPr="00F73D0C" w:rsidRDefault="00433EA7">
      <w:pPr>
        <w:spacing w:after="0" w:line="360" w:lineRule="auto"/>
        <w:rPr>
          <w:rFonts w:ascii="Garamond" w:eastAsia="Garamond" w:hAnsi="Garamond" w:cs="Garamond"/>
          <w:sz w:val="20"/>
          <w:szCs w:val="20"/>
          <w:lang w:val="en-GB"/>
        </w:rPr>
        <w:sectPr w:rsidR="00EC4499" w:rsidRPr="00F73D0C">
          <w:headerReference w:type="first" r:id="rId9"/>
          <w:footerReference w:type="first" r:id="rId10"/>
          <w:pgSz w:w="11906" w:h="16838"/>
          <w:pgMar w:top="1701" w:right="1418" w:bottom="1701" w:left="1985" w:header="709" w:footer="709" w:gutter="0"/>
          <w:pgNumType w:start="0"/>
          <w:cols w:space="720"/>
        </w:sectPr>
      </w:pPr>
      <w:r w:rsidRPr="00F73D0C">
        <w:rPr>
          <w:rFonts w:ascii="Garamond" w:eastAsia="Garamond" w:hAnsi="Garamond" w:cs="Garamond"/>
          <w:sz w:val="24"/>
          <w:szCs w:val="24"/>
          <w:lang w:val="en-GB"/>
        </w:rPr>
        <w:t xml:space="preserve">SASB </w:t>
      </w:r>
      <w:r w:rsidR="00AC2824" w:rsidRPr="00F73D0C">
        <w:rPr>
          <w:rFonts w:ascii="Garamond" w:eastAsia="Garamond" w:hAnsi="Garamond" w:cs="Garamond"/>
          <w:sz w:val="24"/>
          <w:szCs w:val="24"/>
          <w:lang w:val="en-GB"/>
        </w:rPr>
        <w:t>–</w:t>
      </w:r>
      <w:r w:rsidRPr="00F73D0C">
        <w:rPr>
          <w:rFonts w:ascii="Garamond" w:eastAsia="Garamond" w:hAnsi="Garamond" w:cs="Garamond"/>
          <w:sz w:val="24"/>
          <w:szCs w:val="24"/>
          <w:lang w:val="en-GB"/>
        </w:rPr>
        <w:t xml:space="preserve"> </w:t>
      </w:r>
      <w:r w:rsidRPr="00F73D0C">
        <w:rPr>
          <w:rFonts w:ascii="Garamond" w:eastAsia="Garamond" w:hAnsi="Garamond" w:cs="Garamond"/>
          <w:i/>
          <w:sz w:val="24"/>
          <w:szCs w:val="24"/>
          <w:highlight w:val="white"/>
          <w:lang w:val="en-GB"/>
        </w:rPr>
        <w:t>Sustainability Accounting Standards Board</w:t>
      </w:r>
      <w:r w:rsidRPr="00F73D0C">
        <w:rPr>
          <w:rFonts w:ascii="Garamond" w:eastAsia="Garamond" w:hAnsi="Garamond" w:cs="Garamond"/>
          <w:i/>
          <w:sz w:val="24"/>
          <w:szCs w:val="24"/>
          <w:highlight w:val="white"/>
          <w:lang w:val="en-GB"/>
        </w:rPr>
        <w:br/>
      </w:r>
      <w:r w:rsidRPr="00F73D0C">
        <w:rPr>
          <w:rFonts w:ascii="Garamond" w:eastAsia="Garamond" w:hAnsi="Garamond" w:cs="Garamond"/>
          <w:sz w:val="24"/>
          <w:szCs w:val="24"/>
          <w:highlight w:val="white"/>
          <w:lang w:val="en-GB"/>
        </w:rPr>
        <w:t>SFN – Sistema Financeiro Nacional</w:t>
      </w:r>
      <w:r w:rsidRPr="00F73D0C">
        <w:rPr>
          <w:rFonts w:ascii="Garamond" w:eastAsia="Garamond" w:hAnsi="Garamond" w:cs="Garamond"/>
          <w:sz w:val="24"/>
          <w:szCs w:val="24"/>
          <w:lang w:val="en-GB"/>
        </w:rPr>
        <w:br/>
        <w:t xml:space="preserve">TCFD – </w:t>
      </w:r>
      <w:r w:rsidRPr="00F73D0C">
        <w:rPr>
          <w:rFonts w:ascii="Garamond" w:eastAsia="Garamond" w:hAnsi="Garamond" w:cs="Garamond"/>
          <w:i/>
          <w:sz w:val="24"/>
          <w:szCs w:val="24"/>
          <w:lang w:val="en-GB"/>
        </w:rPr>
        <w:t>Task Force on Climate Related Financial Disclosures</w:t>
      </w:r>
      <w:r w:rsidRPr="00F73D0C">
        <w:rPr>
          <w:rFonts w:ascii="Garamond" w:eastAsia="Garamond" w:hAnsi="Garamond" w:cs="Garamond"/>
          <w:sz w:val="24"/>
          <w:szCs w:val="24"/>
          <w:lang w:val="en-GB"/>
        </w:rPr>
        <w:t xml:space="preserve"> </w:t>
      </w:r>
      <w:r w:rsidRPr="00F73D0C">
        <w:rPr>
          <w:rFonts w:ascii="Garamond" w:eastAsia="Garamond" w:hAnsi="Garamond" w:cs="Garamond"/>
          <w:sz w:val="24"/>
          <w:szCs w:val="24"/>
          <w:lang w:val="en-GB"/>
        </w:rPr>
        <w:br/>
        <w:t xml:space="preserve">                                                                                                                                 </w:t>
      </w:r>
      <w:r w:rsidRPr="00F73D0C">
        <w:rPr>
          <w:rFonts w:ascii="Garamond" w:eastAsia="Garamond" w:hAnsi="Garamond" w:cs="Garamond"/>
          <w:sz w:val="20"/>
          <w:szCs w:val="20"/>
          <w:lang w:val="en-GB"/>
        </w:rPr>
        <w:t xml:space="preserve">  vii</w:t>
      </w:r>
    </w:p>
    <w:p w14:paraId="53EBA1E5" w14:textId="77777777" w:rsidR="00EC4499" w:rsidRDefault="00433EA7" w:rsidP="008347B5">
      <w:pPr>
        <w:pStyle w:val="Ttulo1"/>
      </w:pPr>
      <w:bookmarkStart w:id="1" w:name="_heading=h.tq1zjvs1gu08" w:colFirst="0" w:colLast="0"/>
      <w:bookmarkEnd w:id="1"/>
      <w:r>
        <w:lastRenderedPageBreak/>
        <w:t>Introdução</w:t>
      </w:r>
    </w:p>
    <w:p w14:paraId="535C8FF9" w14:textId="77777777" w:rsidR="00EC4499" w:rsidRDefault="00EC4499">
      <w:pPr>
        <w:spacing w:after="0" w:line="360" w:lineRule="auto"/>
        <w:ind w:firstLine="360"/>
        <w:rPr>
          <w:rFonts w:ascii="Garamond" w:eastAsia="Garamond" w:hAnsi="Garamond" w:cs="Garamond"/>
          <w:color w:val="000000"/>
          <w:sz w:val="24"/>
          <w:szCs w:val="24"/>
        </w:rPr>
      </w:pPr>
      <w:bookmarkStart w:id="2" w:name="_heading=h.ik2hd2sx6x26" w:colFirst="0" w:colLast="0"/>
      <w:bookmarkStart w:id="3" w:name="_heading=h.tuoe8e1bgf20" w:colFirst="0" w:colLast="0"/>
      <w:bookmarkEnd w:id="2"/>
      <w:bookmarkEnd w:id="3"/>
    </w:p>
    <w:p w14:paraId="210C3414" w14:textId="77777777" w:rsidR="00EC4499" w:rsidRDefault="00433EA7">
      <w:pPr>
        <w:spacing w:after="0" w:line="360" w:lineRule="auto"/>
        <w:jc w:val="right"/>
        <w:rPr>
          <w:rFonts w:ascii="Garamond" w:eastAsia="Garamond" w:hAnsi="Garamond" w:cs="Garamond"/>
          <w:i/>
          <w:color w:val="000000"/>
          <w:sz w:val="24"/>
          <w:szCs w:val="24"/>
          <w:highlight w:val="white"/>
        </w:rPr>
      </w:pPr>
      <w:r>
        <w:rPr>
          <w:rFonts w:ascii="Garamond" w:eastAsia="Garamond" w:hAnsi="Garamond" w:cs="Garamond"/>
          <w:i/>
          <w:color w:val="000000"/>
          <w:sz w:val="24"/>
          <w:szCs w:val="24"/>
        </w:rPr>
        <w:t>“Nem só de pão vive o homem. Vive de pão e de crédito” (Machado de Assis, 1957)</w:t>
      </w:r>
    </w:p>
    <w:p w14:paraId="6119C077" w14:textId="77777777" w:rsidR="00AC0B89" w:rsidRDefault="00AC0B89" w:rsidP="00AC0B89">
      <w:pPr>
        <w:spacing w:after="0" w:line="360" w:lineRule="auto"/>
        <w:ind w:firstLine="708"/>
        <w:jc w:val="both"/>
        <w:rPr>
          <w:rFonts w:ascii="Garamond" w:eastAsia="Garamond" w:hAnsi="Garamond" w:cs="Garamond"/>
          <w:color w:val="000000"/>
          <w:sz w:val="24"/>
          <w:szCs w:val="24"/>
        </w:rPr>
      </w:pPr>
    </w:p>
    <w:p w14:paraId="21196F38" w14:textId="7FF26F0B" w:rsidR="00AC0B89" w:rsidRDefault="00AC0B89" w:rsidP="003B6A6B">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Os 17 Objetivos de Desenvolvimento Sustentável (ODS) estabelecidos pela ONU são uma agenda adotada por 193 países em 2015 para definir prioridades de atuação de governos, empresas e sociedade em geral, com foco em áreas críticas e estruturados em 5 princípios: Planeta, Pessoas, Prosperidade, Paz e Parcerias. Os ODS, conforme Tabela 1, se desdobram em 169 metas a serem atingidas até 2030.</w:t>
      </w:r>
    </w:p>
    <w:p w14:paraId="0CEFE1C0" w14:textId="77777777" w:rsidR="003B6A6B" w:rsidRDefault="003B6A6B" w:rsidP="00627D02">
      <w:pPr>
        <w:spacing w:after="0" w:line="360" w:lineRule="auto"/>
        <w:ind w:firstLine="708"/>
        <w:jc w:val="both"/>
        <w:rPr>
          <w:rFonts w:ascii="Garamond" w:eastAsia="Garamond" w:hAnsi="Garamond" w:cs="Garamond"/>
          <w:sz w:val="24"/>
          <w:szCs w:val="24"/>
        </w:rPr>
      </w:pPr>
    </w:p>
    <w:p w14:paraId="4DCB4997" w14:textId="0074EFA0" w:rsidR="00AC0B89" w:rsidRDefault="00AC0B89" w:rsidP="00AC0B89">
      <w:pPr>
        <w:spacing w:after="0" w:line="360" w:lineRule="auto"/>
        <w:jc w:val="center"/>
        <w:rPr>
          <w:rFonts w:ascii="Garamond" w:eastAsia="Garamond" w:hAnsi="Garamond" w:cs="Garamond"/>
          <w:sz w:val="24"/>
          <w:szCs w:val="24"/>
        </w:rPr>
      </w:pPr>
      <w:r>
        <w:rPr>
          <w:rFonts w:ascii="Garamond" w:eastAsia="Garamond" w:hAnsi="Garamond" w:cs="Garamond"/>
          <w:sz w:val="24"/>
          <w:szCs w:val="24"/>
        </w:rPr>
        <w:t>Tabela 1 - Objetivos de Desenvolvimento Sustentável</w:t>
      </w:r>
    </w:p>
    <w:p w14:paraId="4B9967E9" w14:textId="77777777" w:rsidR="003B6A6B" w:rsidRDefault="003B6A6B" w:rsidP="00AC0B89">
      <w:pPr>
        <w:spacing w:after="0" w:line="360" w:lineRule="auto"/>
        <w:jc w:val="center"/>
        <w:rPr>
          <w:rFonts w:ascii="Garamond" w:eastAsia="Garamond" w:hAnsi="Garamond" w:cs="Garamond"/>
        </w:rPr>
      </w:pPr>
    </w:p>
    <w:tbl>
      <w:tblPr>
        <w:tblStyle w:val="a"/>
        <w:tblW w:w="8364" w:type="dxa"/>
        <w:tblInd w:w="0" w:type="dxa"/>
        <w:tblLayout w:type="fixed"/>
        <w:tblLook w:val="0400" w:firstRow="0" w:lastRow="0" w:firstColumn="0" w:lastColumn="0" w:noHBand="0" w:noVBand="1"/>
      </w:tblPr>
      <w:tblGrid>
        <w:gridCol w:w="1134"/>
        <w:gridCol w:w="4824"/>
        <w:gridCol w:w="2406"/>
      </w:tblGrid>
      <w:tr w:rsidR="00AC0B89" w14:paraId="6B1C8066" w14:textId="77777777" w:rsidTr="00396C8D">
        <w:trPr>
          <w:trHeight w:val="300"/>
        </w:trPr>
        <w:tc>
          <w:tcPr>
            <w:tcW w:w="1134" w:type="dxa"/>
            <w:tcBorders>
              <w:top w:val="single" w:sz="4" w:space="0" w:color="000000"/>
              <w:bottom w:val="single" w:sz="4" w:space="0" w:color="000000"/>
            </w:tcBorders>
            <w:shd w:val="clear" w:color="auto" w:fill="auto"/>
            <w:vAlign w:val="bottom"/>
          </w:tcPr>
          <w:p w14:paraId="0AD30DDC" w14:textId="77777777" w:rsidR="00AC0B89" w:rsidRDefault="00AC0B89" w:rsidP="00396C8D">
            <w:pPr>
              <w:spacing w:after="0" w:line="240" w:lineRule="auto"/>
              <w:jc w:val="center"/>
              <w:rPr>
                <w:rFonts w:ascii="Garamond" w:eastAsia="Garamond" w:hAnsi="Garamond" w:cs="Garamond"/>
                <w:b/>
                <w:color w:val="000000"/>
                <w:sz w:val="16"/>
                <w:szCs w:val="16"/>
              </w:rPr>
            </w:pPr>
            <w:r>
              <w:rPr>
                <w:rFonts w:ascii="Garamond" w:eastAsia="Garamond" w:hAnsi="Garamond" w:cs="Garamond"/>
                <w:b/>
                <w:color w:val="000000"/>
                <w:sz w:val="16"/>
                <w:szCs w:val="16"/>
              </w:rPr>
              <w:t>ODS</w:t>
            </w:r>
          </w:p>
        </w:tc>
        <w:tc>
          <w:tcPr>
            <w:tcW w:w="4824" w:type="dxa"/>
            <w:tcBorders>
              <w:top w:val="single" w:sz="4" w:space="0" w:color="000000"/>
              <w:bottom w:val="single" w:sz="4" w:space="0" w:color="000000"/>
            </w:tcBorders>
            <w:shd w:val="clear" w:color="auto" w:fill="auto"/>
            <w:vAlign w:val="bottom"/>
          </w:tcPr>
          <w:p w14:paraId="5DC768E4" w14:textId="77777777" w:rsidR="00AC0B89" w:rsidRDefault="00AC0B89" w:rsidP="00396C8D">
            <w:pPr>
              <w:spacing w:after="0" w:line="240" w:lineRule="auto"/>
              <w:jc w:val="center"/>
              <w:rPr>
                <w:rFonts w:ascii="Garamond" w:eastAsia="Garamond" w:hAnsi="Garamond" w:cs="Garamond"/>
                <w:b/>
                <w:color w:val="000000"/>
                <w:sz w:val="16"/>
                <w:szCs w:val="16"/>
              </w:rPr>
            </w:pPr>
          </w:p>
        </w:tc>
        <w:tc>
          <w:tcPr>
            <w:tcW w:w="2406" w:type="dxa"/>
            <w:tcBorders>
              <w:top w:val="single" w:sz="4" w:space="0" w:color="000000"/>
              <w:bottom w:val="single" w:sz="4" w:space="0" w:color="000000"/>
            </w:tcBorders>
            <w:shd w:val="clear" w:color="auto" w:fill="auto"/>
            <w:vAlign w:val="bottom"/>
          </w:tcPr>
          <w:p w14:paraId="460FE6F8" w14:textId="5F82EB4E" w:rsidR="00AC0B89" w:rsidRDefault="00AC0B89" w:rsidP="00445A49">
            <w:pPr>
              <w:spacing w:after="0" w:line="240" w:lineRule="auto"/>
              <w:ind w:left="1440"/>
              <w:jc w:val="right"/>
              <w:rPr>
                <w:rFonts w:ascii="Garamond" w:eastAsia="Garamond" w:hAnsi="Garamond" w:cs="Garamond"/>
                <w:b/>
                <w:color w:val="000000"/>
                <w:sz w:val="16"/>
                <w:szCs w:val="16"/>
              </w:rPr>
            </w:pPr>
            <w:r>
              <w:rPr>
                <w:rFonts w:ascii="Garamond" w:eastAsia="Garamond" w:hAnsi="Garamond" w:cs="Garamond"/>
                <w:b/>
                <w:color w:val="000000"/>
                <w:sz w:val="16"/>
                <w:szCs w:val="16"/>
              </w:rPr>
              <w:t>Metas</w:t>
            </w:r>
          </w:p>
        </w:tc>
      </w:tr>
      <w:tr w:rsidR="00AC0B89" w14:paraId="1FB9BF7A" w14:textId="77777777" w:rsidTr="00396C8D">
        <w:trPr>
          <w:trHeight w:val="315"/>
        </w:trPr>
        <w:tc>
          <w:tcPr>
            <w:tcW w:w="1134" w:type="dxa"/>
            <w:tcBorders>
              <w:top w:val="single" w:sz="4" w:space="0" w:color="000000"/>
            </w:tcBorders>
            <w:shd w:val="clear" w:color="auto" w:fill="auto"/>
            <w:vAlign w:val="bottom"/>
          </w:tcPr>
          <w:p w14:paraId="3F76ADC2" w14:textId="77777777" w:rsidR="00AC0B89" w:rsidRDefault="00AC0B89" w:rsidP="00396C8D">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w:t>
            </w:r>
          </w:p>
        </w:tc>
        <w:tc>
          <w:tcPr>
            <w:tcW w:w="4824" w:type="dxa"/>
            <w:tcBorders>
              <w:top w:val="single" w:sz="4" w:space="0" w:color="000000"/>
            </w:tcBorders>
            <w:shd w:val="clear" w:color="auto" w:fill="auto"/>
            <w:vAlign w:val="bottom"/>
          </w:tcPr>
          <w:p w14:paraId="46F4CA1C" w14:textId="77777777" w:rsidR="00AC0B89" w:rsidRDefault="00AC0B89" w:rsidP="00396C8D">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Erradicar a pobreza</w:t>
            </w:r>
          </w:p>
        </w:tc>
        <w:tc>
          <w:tcPr>
            <w:tcW w:w="2406" w:type="dxa"/>
            <w:tcBorders>
              <w:top w:val="single" w:sz="4" w:space="0" w:color="000000"/>
            </w:tcBorders>
            <w:shd w:val="clear" w:color="auto" w:fill="auto"/>
            <w:vAlign w:val="bottom"/>
          </w:tcPr>
          <w:p w14:paraId="37FA7DD2" w14:textId="77777777" w:rsidR="00AC0B89" w:rsidRDefault="00AC0B89" w:rsidP="00396C8D">
            <w:pPr>
              <w:spacing w:after="0" w:line="24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7</w:t>
            </w:r>
          </w:p>
        </w:tc>
      </w:tr>
      <w:tr w:rsidR="00AC0B89" w14:paraId="4E51270A" w14:textId="77777777" w:rsidTr="00396C8D">
        <w:trPr>
          <w:trHeight w:val="315"/>
        </w:trPr>
        <w:tc>
          <w:tcPr>
            <w:tcW w:w="1134" w:type="dxa"/>
            <w:shd w:val="clear" w:color="auto" w:fill="auto"/>
            <w:vAlign w:val="bottom"/>
          </w:tcPr>
          <w:p w14:paraId="33F36B29" w14:textId="77777777" w:rsidR="00AC0B89" w:rsidRDefault="00AC0B89" w:rsidP="00396C8D">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w:t>
            </w:r>
          </w:p>
        </w:tc>
        <w:tc>
          <w:tcPr>
            <w:tcW w:w="4824" w:type="dxa"/>
            <w:shd w:val="clear" w:color="auto" w:fill="auto"/>
            <w:vAlign w:val="bottom"/>
          </w:tcPr>
          <w:p w14:paraId="1C62D472" w14:textId="77777777" w:rsidR="00AC0B89" w:rsidRDefault="00AC0B89" w:rsidP="00396C8D">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Acabar com a fome</w:t>
            </w:r>
          </w:p>
        </w:tc>
        <w:tc>
          <w:tcPr>
            <w:tcW w:w="2406" w:type="dxa"/>
            <w:shd w:val="clear" w:color="auto" w:fill="auto"/>
            <w:vAlign w:val="bottom"/>
          </w:tcPr>
          <w:p w14:paraId="167CD702" w14:textId="77777777" w:rsidR="00AC0B89" w:rsidRDefault="00AC0B89" w:rsidP="00396C8D">
            <w:pPr>
              <w:spacing w:after="0" w:line="24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8</w:t>
            </w:r>
          </w:p>
        </w:tc>
      </w:tr>
      <w:tr w:rsidR="00AC0B89" w14:paraId="2A425C74" w14:textId="77777777" w:rsidTr="00396C8D">
        <w:trPr>
          <w:trHeight w:val="315"/>
        </w:trPr>
        <w:tc>
          <w:tcPr>
            <w:tcW w:w="1134" w:type="dxa"/>
            <w:shd w:val="clear" w:color="auto" w:fill="auto"/>
            <w:vAlign w:val="bottom"/>
          </w:tcPr>
          <w:p w14:paraId="1A539722" w14:textId="77777777" w:rsidR="00AC0B89" w:rsidRDefault="00AC0B89" w:rsidP="00396C8D">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3</w:t>
            </w:r>
          </w:p>
        </w:tc>
        <w:tc>
          <w:tcPr>
            <w:tcW w:w="4824" w:type="dxa"/>
            <w:shd w:val="clear" w:color="auto" w:fill="auto"/>
            <w:vAlign w:val="bottom"/>
          </w:tcPr>
          <w:p w14:paraId="13D9A76E" w14:textId="77777777" w:rsidR="00AC0B89" w:rsidRDefault="00AC0B89" w:rsidP="00396C8D">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Vida saudável</w:t>
            </w:r>
          </w:p>
        </w:tc>
        <w:tc>
          <w:tcPr>
            <w:tcW w:w="2406" w:type="dxa"/>
            <w:shd w:val="clear" w:color="auto" w:fill="auto"/>
            <w:vAlign w:val="bottom"/>
          </w:tcPr>
          <w:p w14:paraId="1FF8E3A8" w14:textId="77777777" w:rsidR="00AC0B89" w:rsidRDefault="00AC0B89" w:rsidP="00396C8D">
            <w:pPr>
              <w:spacing w:after="0" w:line="24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13</w:t>
            </w:r>
          </w:p>
        </w:tc>
      </w:tr>
      <w:tr w:rsidR="00AC0B89" w14:paraId="686A942F" w14:textId="77777777" w:rsidTr="00396C8D">
        <w:trPr>
          <w:trHeight w:val="315"/>
        </w:trPr>
        <w:tc>
          <w:tcPr>
            <w:tcW w:w="1134" w:type="dxa"/>
            <w:shd w:val="clear" w:color="auto" w:fill="auto"/>
            <w:vAlign w:val="bottom"/>
          </w:tcPr>
          <w:p w14:paraId="4EE19F5D" w14:textId="77777777" w:rsidR="00AC0B89" w:rsidRDefault="00AC0B89" w:rsidP="00396C8D">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4</w:t>
            </w:r>
          </w:p>
        </w:tc>
        <w:tc>
          <w:tcPr>
            <w:tcW w:w="4824" w:type="dxa"/>
            <w:shd w:val="clear" w:color="auto" w:fill="auto"/>
            <w:vAlign w:val="bottom"/>
          </w:tcPr>
          <w:p w14:paraId="40AB88BA" w14:textId="77777777" w:rsidR="00AC0B89" w:rsidRDefault="00AC0B89" w:rsidP="00396C8D">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Educação de Qualidade</w:t>
            </w:r>
          </w:p>
        </w:tc>
        <w:tc>
          <w:tcPr>
            <w:tcW w:w="2406" w:type="dxa"/>
            <w:shd w:val="clear" w:color="auto" w:fill="auto"/>
            <w:vAlign w:val="bottom"/>
          </w:tcPr>
          <w:p w14:paraId="0FA92E86" w14:textId="77777777" w:rsidR="00AC0B89" w:rsidRDefault="00AC0B89" w:rsidP="00396C8D">
            <w:pPr>
              <w:spacing w:after="0" w:line="24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10</w:t>
            </w:r>
          </w:p>
        </w:tc>
      </w:tr>
      <w:tr w:rsidR="00AC0B89" w14:paraId="6DBEBBFC" w14:textId="77777777" w:rsidTr="00396C8D">
        <w:trPr>
          <w:trHeight w:val="315"/>
        </w:trPr>
        <w:tc>
          <w:tcPr>
            <w:tcW w:w="1134" w:type="dxa"/>
            <w:shd w:val="clear" w:color="auto" w:fill="auto"/>
            <w:vAlign w:val="bottom"/>
          </w:tcPr>
          <w:p w14:paraId="5BC3B02E" w14:textId="77777777" w:rsidR="00AC0B89" w:rsidRDefault="00AC0B89" w:rsidP="00396C8D">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5</w:t>
            </w:r>
          </w:p>
        </w:tc>
        <w:tc>
          <w:tcPr>
            <w:tcW w:w="4824" w:type="dxa"/>
            <w:shd w:val="clear" w:color="auto" w:fill="auto"/>
            <w:vAlign w:val="bottom"/>
          </w:tcPr>
          <w:p w14:paraId="7D4ABE22" w14:textId="77777777" w:rsidR="00AC0B89" w:rsidRDefault="00AC0B89" w:rsidP="00396C8D">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Igualdade de gênero</w:t>
            </w:r>
          </w:p>
        </w:tc>
        <w:tc>
          <w:tcPr>
            <w:tcW w:w="2406" w:type="dxa"/>
            <w:shd w:val="clear" w:color="auto" w:fill="auto"/>
            <w:vAlign w:val="bottom"/>
          </w:tcPr>
          <w:p w14:paraId="376D0DFF" w14:textId="77777777" w:rsidR="00AC0B89" w:rsidRDefault="00AC0B89" w:rsidP="00396C8D">
            <w:pPr>
              <w:spacing w:after="0" w:line="24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9</w:t>
            </w:r>
          </w:p>
        </w:tc>
      </w:tr>
      <w:tr w:rsidR="00AC0B89" w14:paraId="0BDC46AA" w14:textId="77777777" w:rsidTr="00396C8D">
        <w:trPr>
          <w:trHeight w:val="315"/>
        </w:trPr>
        <w:tc>
          <w:tcPr>
            <w:tcW w:w="1134" w:type="dxa"/>
            <w:shd w:val="clear" w:color="auto" w:fill="auto"/>
            <w:vAlign w:val="bottom"/>
          </w:tcPr>
          <w:p w14:paraId="493EB645" w14:textId="77777777" w:rsidR="00AC0B89" w:rsidRDefault="00AC0B89" w:rsidP="00396C8D">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6</w:t>
            </w:r>
          </w:p>
        </w:tc>
        <w:tc>
          <w:tcPr>
            <w:tcW w:w="4824" w:type="dxa"/>
            <w:shd w:val="clear" w:color="auto" w:fill="auto"/>
            <w:vAlign w:val="bottom"/>
          </w:tcPr>
          <w:p w14:paraId="05E35B7F" w14:textId="77777777" w:rsidR="00AC0B89" w:rsidRDefault="00AC0B89" w:rsidP="00396C8D">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Água e saneamento</w:t>
            </w:r>
          </w:p>
        </w:tc>
        <w:tc>
          <w:tcPr>
            <w:tcW w:w="2406" w:type="dxa"/>
            <w:shd w:val="clear" w:color="auto" w:fill="auto"/>
            <w:vAlign w:val="bottom"/>
          </w:tcPr>
          <w:p w14:paraId="7E39D639" w14:textId="77777777" w:rsidR="00AC0B89" w:rsidRDefault="00AC0B89" w:rsidP="00396C8D">
            <w:pPr>
              <w:spacing w:after="0" w:line="24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8</w:t>
            </w:r>
          </w:p>
        </w:tc>
      </w:tr>
      <w:tr w:rsidR="00AC0B89" w14:paraId="1694A70E" w14:textId="77777777" w:rsidTr="00396C8D">
        <w:trPr>
          <w:trHeight w:val="315"/>
        </w:trPr>
        <w:tc>
          <w:tcPr>
            <w:tcW w:w="1134" w:type="dxa"/>
            <w:shd w:val="clear" w:color="auto" w:fill="auto"/>
            <w:vAlign w:val="bottom"/>
          </w:tcPr>
          <w:p w14:paraId="1C8FA846" w14:textId="77777777" w:rsidR="00AC0B89" w:rsidRDefault="00AC0B89" w:rsidP="00396C8D">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7</w:t>
            </w:r>
          </w:p>
        </w:tc>
        <w:tc>
          <w:tcPr>
            <w:tcW w:w="4824" w:type="dxa"/>
            <w:shd w:val="clear" w:color="auto" w:fill="auto"/>
            <w:vAlign w:val="bottom"/>
          </w:tcPr>
          <w:p w14:paraId="4E3747F7" w14:textId="77777777" w:rsidR="00AC0B89" w:rsidRDefault="00AC0B89" w:rsidP="00396C8D">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Energias renováveis</w:t>
            </w:r>
          </w:p>
        </w:tc>
        <w:tc>
          <w:tcPr>
            <w:tcW w:w="2406" w:type="dxa"/>
            <w:shd w:val="clear" w:color="auto" w:fill="auto"/>
            <w:vAlign w:val="bottom"/>
          </w:tcPr>
          <w:p w14:paraId="39D0B3F6" w14:textId="77777777" w:rsidR="00AC0B89" w:rsidRDefault="00AC0B89" w:rsidP="00396C8D">
            <w:pPr>
              <w:spacing w:after="0" w:line="24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5</w:t>
            </w:r>
          </w:p>
        </w:tc>
      </w:tr>
      <w:tr w:rsidR="00AC0B89" w14:paraId="4146F5F3" w14:textId="77777777" w:rsidTr="00396C8D">
        <w:trPr>
          <w:trHeight w:val="315"/>
        </w:trPr>
        <w:tc>
          <w:tcPr>
            <w:tcW w:w="1134" w:type="dxa"/>
            <w:shd w:val="clear" w:color="auto" w:fill="auto"/>
            <w:vAlign w:val="bottom"/>
          </w:tcPr>
          <w:p w14:paraId="5FD990E3" w14:textId="77777777" w:rsidR="00AC0B89" w:rsidRDefault="00AC0B89" w:rsidP="00396C8D">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4824" w:type="dxa"/>
            <w:shd w:val="clear" w:color="auto" w:fill="auto"/>
            <w:vAlign w:val="bottom"/>
          </w:tcPr>
          <w:p w14:paraId="38983546" w14:textId="77777777" w:rsidR="00AC0B89" w:rsidRDefault="00AC0B89" w:rsidP="00396C8D">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Trabalho digno e crescimento econômico</w:t>
            </w:r>
          </w:p>
        </w:tc>
        <w:tc>
          <w:tcPr>
            <w:tcW w:w="2406" w:type="dxa"/>
            <w:shd w:val="clear" w:color="auto" w:fill="auto"/>
            <w:vAlign w:val="bottom"/>
          </w:tcPr>
          <w:p w14:paraId="42408BFB" w14:textId="77777777" w:rsidR="00AC0B89" w:rsidRDefault="00AC0B89" w:rsidP="00396C8D">
            <w:pPr>
              <w:spacing w:after="0" w:line="24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12</w:t>
            </w:r>
          </w:p>
        </w:tc>
      </w:tr>
      <w:tr w:rsidR="00AC0B89" w14:paraId="455EBC3A" w14:textId="77777777" w:rsidTr="00396C8D">
        <w:trPr>
          <w:trHeight w:val="315"/>
        </w:trPr>
        <w:tc>
          <w:tcPr>
            <w:tcW w:w="1134" w:type="dxa"/>
            <w:shd w:val="clear" w:color="auto" w:fill="auto"/>
            <w:vAlign w:val="bottom"/>
          </w:tcPr>
          <w:p w14:paraId="5A5635FB" w14:textId="77777777" w:rsidR="00AC0B89" w:rsidRDefault="00AC0B89" w:rsidP="00396C8D">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9</w:t>
            </w:r>
          </w:p>
        </w:tc>
        <w:tc>
          <w:tcPr>
            <w:tcW w:w="4824" w:type="dxa"/>
            <w:shd w:val="clear" w:color="auto" w:fill="auto"/>
            <w:vAlign w:val="bottom"/>
          </w:tcPr>
          <w:p w14:paraId="3861BBB2" w14:textId="77777777" w:rsidR="00AC0B89" w:rsidRDefault="00AC0B89" w:rsidP="00396C8D">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Inovação e infraestruturas</w:t>
            </w:r>
          </w:p>
        </w:tc>
        <w:tc>
          <w:tcPr>
            <w:tcW w:w="2406" w:type="dxa"/>
            <w:shd w:val="clear" w:color="auto" w:fill="auto"/>
            <w:vAlign w:val="bottom"/>
          </w:tcPr>
          <w:p w14:paraId="186A6984" w14:textId="77777777" w:rsidR="00AC0B89" w:rsidRDefault="00AC0B89" w:rsidP="00396C8D">
            <w:pPr>
              <w:spacing w:after="0" w:line="24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8</w:t>
            </w:r>
          </w:p>
        </w:tc>
      </w:tr>
      <w:tr w:rsidR="00AC0B89" w14:paraId="04F9A867" w14:textId="77777777" w:rsidTr="00396C8D">
        <w:trPr>
          <w:trHeight w:val="315"/>
        </w:trPr>
        <w:tc>
          <w:tcPr>
            <w:tcW w:w="1134" w:type="dxa"/>
            <w:shd w:val="clear" w:color="auto" w:fill="auto"/>
            <w:vAlign w:val="bottom"/>
          </w:tcPr>
          <w:p w14:paraId="5E67DDA7" w14:textId="77777777" w:rsidR="00AC0B89" w:rsidRDefault="00AC0B89" w:rsidP="00396C8D">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10</w:t>
            </w:r>
          </w:p>
        </w:tc>
        <w:tc>
          <w:tcPr>
            <w:tcW w:w="4824" w:type="dxa"/>
            <w:shd w:val="clear" w:color="auto" w:fill="auto"/>
            <w:vAlign w:val="bottom"/>
          </w:tcPr>
          <w:p w14:paraId="51AF2EAD" w14:textId="77777777" w:rsidR="00AC0B89" w:rsidRDefault="00AC0B89" w:rsidP="00396C8D">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Reduzir as desigualdades</w:t>
            </w:r>
          </w:p>
        </w:tc>
        <w:tc>
          <w:tcPr>
            <w:tcW w:w="2406" w:type="dxa"/>
            <w:shd w:val="clear" w:color="auto" w:fill="auto"/>
            <w:vAlign w:val="bottom"/>
          </w:tcPr>
          <w:p w14:paraId="489E88FA" w14:textId="77777777" w:rsidR="00AC0B89" w:rsidRDefault="00AC0B89" w:rsidP="00396C8D">
            <w:pPr>
              <w:spacing w:after="0" w:line="24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10</w:t>
            </w:r>
          </w:p>
        </w:tc>
      </w:tr>
      <w:tr w:rsidR="00AC0B89" w14:paraId="4CC98099" w14:textId="77777777" w:rsidTr="00396C8D">
        <w:trPr>
          <w:trHeight w:val="315"/>
        </w:trPr>
        <w:tc>
          <w:tcPr>
            <w:tcW w:w="1134" w:type="dxa"/>
            <w:shd w:val="clear" w:color="auto" w:fill="auto"/>
            <w:vAlign w:val="bottom"/>
          </w:tcPr>
          <w:p w14:paraId="78BE3920" w14:textId="77777777" w:rsidR="00AC0B89" w:rsidRDefault="00AC0B89" w:rsidP="00396C8D">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11</w:t>
            </w:r>
          </w:p>
        </w:tc>
        <w:tc>
          <w:tcPr>
            <w:tcW w:w="4824" w:type="dxa"/>
            <w:shd w:val="clear" w:color="auto" w:fill="auto"/>
            <w:vAlign w:val="bottom"/>
          </w:tcPr>
          <w:p w14:paraId="34A28C4B" w14:textId="77777777" w:rsidR="00AC0B89" w:rsidRDefault="00AC0B89" w:rsidP="00396C8D">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Cidades e comunidades sustentáveis</w:t>
            </w:r>
          </w:p>
        </w:tc>
        <w:tc>
          <w:tcPr>
            <w:tcW w:w="2406" w:type="dxa"/>
            <w:shd w:val="clear" w:color="auto" w:fill="auto"/>
            <w:vAlign w:val="bottom"/>
          </w:tcPr>
          <w:p w14:paraId="5AECE2E6" w14:textId="77777777" w:rsidR="00AC0B89" w:rsidRDefault="00AC0B89" w:rsidP="00396C8D">
            <w:pPr>
              <w:spacing w:after="0" w:line="24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10</w:t>
            </w:r>
          </w:p>
        </w:tc>
      </w:tr>
      <w:tr w:rsidR="00AC0B89" w14:paraId="45E8B495" w14:textId="77777777" w:rsidTr="00396C8D">
        <w:trPr>
          <w:trHeight w:val="315"/>
        </w:trPr>
        <w:tc>
          <w:tcPr>
            <w:tcW w:w="1134" w:type="dxa"/>
            <w:shd w:val="clear" w:color="auto" w:fill="auto"/>
            <w:vAlign w:val="bottom"/>
          </w:tcPr>
          <w:p w14:paraId="69574EC3" w14:textId="77777777" w:rsidR="00AC0B89" w:rsidRDefault="00AC0B89" w:rsidP="00396C8D">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12</w:t>
            </w:r>
          </w:p>
        </w:tc>
        <w:tc>
          <w:tcPr>
            <w:tcW w:w="4824" w:type="dxa"/>
            <w:shd w:val="clear" w:color="auto" w:fill="auto"/>
            <w:vAlign w:val="bottom"/>
          </w:tcPr>
          <w:p w14:paraId="55757F3B" w14:textId="77777777" w:rsidR="00AC0B89" w:rsidRDefault="00AC0B89" w:rsidP="00396C8D">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Produção e consumo sustentáveis</w:t>
            </w:r>
          </w:p>
        </w:tc>
        <w:tc>
          <w:tcPr>
            <w:tcW w:w="2406" w:type="dxa"/>
            <w:shd w:val="clear" w:color="auto" w:fill="auto"/>
            <w:vAlign w:val="bottom"/>
          </w:tcPr>
          <w:p w14:paraId="179EE5F5" w14:textId="77777777" w:rsidR="00AC0B89" w:rsidRDefault="00AC0B89" w:rsidP="00396C8D">
            <w:pPr>
              <w:spacing w:after="0" w:line="24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11</w:t>
            </w:r>
          </w:p>
        </w:tc>
      </w:tr>
      <w:tr w:rsidR="00AC0B89" w14:paraId="2B238FBB" w14:textId="77777777" w:rsidTr="00396C8D">
        <w:trPr>
          <w:trHeight w:val="315"/>
        </w:trPr>
        <w:tc>
          <w:tcPr>
            <w:tcW w:w="1134" w:type="dxa"/>
            <w:shd w:val="clear" w:color="auto" w:fill="auto"/>
            <w:vAlign w:val="bottom"/>
          </w:tcPr>
          <w:p w14:paraId="0B648409" w14:textId="77777777" w:rsidR="00AC0B89" w:rsidRDefault="00AC0B89" w:rsidP="00396C8D">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13</w:t>
            </w:r>
          </w:p>
        </w:tc>
        <w:tc>
          <w:tcPr>
            <w:tcW w:w="4824" w:type="dxa"/>
            <w:shd w:val="clear" w:color="auto" w:fill="auto"/>
            <w:vAlign w:val="bottom"/>
          </w:tcPr>
          <w:p w14:paraId="2A2A00D2" w14:textId="77777777" w:rsidR="00AC0B89" w:rsidRDefault="00AC0B89" w:rsidP="00396C8D">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Combater as alterações climáticas</w:t>
            </w:r>
          </w:p>
        </w:tc>
        <w:tc>
          <w:tcPr>
            <w:tcW w:w="2406" w:type="dxa"/>
            <w:shd w:val="clear" w:color="auto" w:fill="auto"/>
            <w:vAlign w:val="bottom"/>
          </w:tcPr>
          <w:p w14:paraId="286E50EE" w14:textId="77777777" w:rsidR="00AC0B89" w:rsidRDefault="00AC0B89" w:rsidP="00396C8D">
            <w:pPr>
              <w:spacing w:after="0" w:line="24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5</w:t>
            </w:r>
          </w:p>
        </w:tc>
      </w:tr>
      <w:tr w:rsidR="00AC0B89" w14:paraId="7CD80B0D" w14:textId="77777777" w:rsidTr="00396C8D">
        <w:trPr>
          <w:trHeight w:val="315"/>
        </w:trPr>
        <w:tc>
          <w:tcPr>
            <w:tcW w:w="1134" w:type="dxa"/>
            <w:shd w:val="clear" w:color="auto" w:fill="auto"/>
            <w:vAlign w:val="bottom"/>
          </w:tcPr>
          <w:p w14:paraId="0E4DC789" w14:textId="77777777" w:rsidR="00AC0B89" w:rsidRDefault="00AC0B89" w:rsidP="00396C8D">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14</w:t>
            </w:r>
          </w:p>
        </w:tc>
        <w:tc>
          <w:tcPr>
            <w:tcW w:w="4824" w:type="dxa"/>
            <w:shd w:val="clear" w:color="auto" w:fill="auto"/>
            <w:vAlign w:val="bottom"/>
          </w:tcPr>
          <w:p w14:paraId="58EC9B00" w14:textId="77777777" w:rsidR="00AC0B89" w:rsidRDefault="00AC0B89" w:rsidP="00396C8D">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Oceanos, mares e recursos marinhos</w:t>
            </w:r>
          </w:p>
        </w:tc>
        <w:tc>
          <w:tcPr>
            <w:tcW w:w="2406" w:type="dxa"/>
            <w:shd w:val="clear" w:color="auto" w:fill="auto"/>
            <w:vAlign w:val="bottom"/>
          </w:tcPr>
          <w:p w14:paraId="08032CBD" w14:textId="77777777" w:rsidR="00AC0B89" w:rsidRDefault="00AC0B89" w:rsidP="00396C8D">
            <w:pPr>
              <w:spacing w:after="0" w:line="24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10</w:t>
            </w:r>
          </w:p>
        </w:tc>
      </w:tr>
      <w:tr w:rsidR="00AC0B89" w14:paraId="1674A913" w14:textId="77777777" w:rsidTr="00396C8D">
        <w:trPr>
          <w:trHeight w:val="315"/>
        </w:trPr>
        <w:tc>
          <w:tcPr>
            <w:tcW w:w="1134" w:type="dxa"/>
            <w:shd w:val="clear" w:color="auto" w:fill="auto"/>
            <w:vAlign w:val="bottom"/>
          </w:tcPr>
          <w:p w14:paraId="072CDB00" w14:textId="77777777" w:rsidR="00AC0B89" w:rsidRDefault="00AC0B89" w:rsidP="00396C8D">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15</w:t>
            </w:r>
          </w:p>
        </w:tc>
        <w:tc>
          <w:tcPr>
            <w:tcW w:w="4824" w:type="dxa"/>
            <w:shd w:val="clear" w:color="auto" w:fill="auto"/>
            <w:vAlign w:val="bottom"/>
          </w:tcPr>
          <w:p w14:paraId="5EDA4A6B" w14:textId="77777777" w:rsidR="00AC0B89" w:rsidRDefault="00AC0B89" w:rsidP="00396C8D">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Ecossistemas terrestres e biodiversidade</w:t>
            </w:r>
          </w:p>
        </w:tc>
        <w:tc>
          <w:tcPr>
            <w:tcW w:w="2406" w:type="dxa"/>
            <w:shd w:val="clear" w:color="auto" w:fill="auto"/>
            <w:vAlign w:val="bottom"/>
          </w:tcPr>
          <w:p w14:paraId="7765C648" w14:textId="77777777" w:rsidR="00AC0B89" w:rsidRDefault="00AC0B89" w:rsidP="00396C8D">
            <w:pPr>
              <w:spacing w:after="0" w:line="24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12</w:t>
            </w:r>
          </w:p>
        </w:tc>
      </w:tr>
      <w:tr w:rsidR="00AC0B89" w14:paraId="006C86BD" w14:textId="77777777" w:rsidTr="00396C8D">
        <w:trPr>
          <w:trHeight w:val="315"/>
        </w:trPr>
        <w:tc>
          <w:tcPr>
            <w:tcW w:w="1134" w:type="dxa"/>
            <w:shd w:val="clear" w:color="auto" w:fill="auto"/>
            <w:vAlign w:val="bottom"/>
          </w:tcPr>
          <w:p w14:paraId="14870D8E" w14:textId="77777777" w:rsidR="00AC0B89" w:rsidRDefault="00AC0B89" w:rsidP="00396C8D">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16</w:t>
            </w:r>
          </w:p>
        </w:tc>
        <w:tc>
          <w:tcPr>
            <w:tcW w:w="4824" w:type="dxa"/>
            <w:shd w:val="clear" w:color="auto" w:fill="auto"/>
            <w:vAlign w:val="bottom"/>
          </w:tcPr>
          <w:p w14:paraId="1C1FB749" w14:textId="77777777" w:rsidR="00AC0B89" w:rsidRDefault="00AC0B89" w:rsidP="00396C8D">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Paz e justiça</w:t>
            </w:r>
          </w:p>
        </w:tc>
        <w:tc>
          <w:tcPr>
            <w:tcW w:w="2406" w:type="dxa"/>
            <w:shd w:val="clear" w:color="auto" w:fill="auto"/>
            <w:vAlign w:val="bottom"/>
          </w:tcPr>
          <w:p w14:paraId="07C735ED" w14:textId="77777777" w:rsidR="00AC0B89" w:rsidRDefault="00AC0B89" w:rsidP="00396C8D">
            <w:pPr>
              <w:spacing w:after="0" w:line="24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12</w:t>
            </w:r>
          </w:p>
        </w:tc>
      </w:tr>
      <w:tr w:rsidR="00AC0B89" w14:paraId="27BCB0D1" w14:textId="77777777" w:rsidTr="00396C8D">
        <w:trPr>
          <w:trHeight w:val="315"/>
        </w:trPr>
        <w:tc>
          <w:tcPr>
            <w:tcW w:w="1134" w:type="dxa"/>
            <w:shd w:val="clear" w:color="auto" w:fill="auto"/>
            <w:vAlign w:val="bottom"/>
          </w:tcPr>
          <w:p w14:paraId="5E79B8A1" w14:textId="77777777" w:rsidR="00AC0B89" w:rsidRDefault="00AC0B89" w:rsidP="00396C8D">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17</w:t>
            </w:r>
          </w:p>
        </w:tc>
        <w:tc>
          <w:tcPr>
            <w:tcW w:w="4824" w:type="dxa"/>
            <w:shd w:val="clear" w:color="auto" w:fill="auto"/>
            <w:vAlign w:val="bottom"/>
          </w:tcPr>
          <w:p w14:paraId="7EACECA0" w14:textId="77777777" w:rsidR="00AC0B89" w:rsidRDefault="00AC0B89" w:rsidP="00396C8D">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Parcerias para o desenvolvimento</w:t>
            </w:r>
          </w:p>
        </w:tc>
        <w:tc>
          <w:tcPr>
            <w:tcW w:w="2406" w:type="dxa"/>
            <w:shd w:val="clear" w:color="auto" w:fill="auto"/>
            <w:vAlign w:val="bottom"/>
          </w:tcPr>
          <w:p w14:paraId="4AFEB042" w14:textId="77777777" w:rsidR="00AC0B89" w:rsidRDefault="00AC0B89" w:rsidP="00396C8D">
            <w:pPr>
              <w:spacing w:after="0" w:line="24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19</w:t>
            </w:r>
          </w:p>
        </w:tc>
      </w:tr>
      <w:tr w:rsidR="00AC0B89" w14:paraId="3F0EF416" w14:textId="77777777" w:rsidTr="00396C8D">
        <w:trPr>
          <w:trHeight w:val="300"/>
        </w:trPr>
        <w:tc>
          <w:tcPr>
            <w:tcW w:w="1134" w:type="dxa"/>
            <w:tcBorders>
              <w:bottom w:val="single" w:sz="4" w:space="0" w:color="000000"/>
            </w:tcBorders>
            <w:shd w:val="clear" w:color="auto" w:fill="auto"/>
            <w:vAlign w:val="bottom"/>
          </w:tcPr>
          <w:p w14:paraId="0CD7F76E" w14:textId="77777777" w:rsidR="00AC0B89" w:rsidRDefault="00AC0B89" w:rsidP="00396C8D">
            <w:pPr>
              <w:spacing w:after="0" w:line="240" w:lineRule="auto"/>
              <w:jc w:val="center"/>
              <w:rPr>
                <w:rFonts w:ascii="Garamond" w:eastAsia="Garamond" w:hAnsi="Garamond" w:cs="Garamond"/>
                <w:b/>
                <w:color w:val="000000"/>
                <w:sz w:val="16"/>
                <w:szCs w:val="16"/>
              </w:rPr>
            </w:pPr>
            <w:r>
              <w:rPr>
                <w:rFonts w:ascii="Garamond" w:eastAsia="Garamond" w:hAnsi="Garamond" w:cs="Garamond"/>
                <w:b/>
                <w:color w:val="000000"/>
                <w:sz w:val="16"/>
                <w:szCs w:val="16"/>
              </w:rPr>
              <w:t>Total</w:t>
            </w:r>
          </w:p>
        </w:tc>
        <w:tc>
          <w:tcPr>
            <w:tcW w:w="4824" w:type="dxa"/>
            <w:tcBorders>
              <w:bottom w:val="single" w:sz="4" w:space="0" w:color="000000"/>
            </w:tcBorders>
            <w:shd w:val="clear" w:color="auto" w:fill="auto"/>
            <w:vAlign w:val="bottom"/>
          </w:tcPr>
          <w:p w14:paraId="543BDE99" w14:textId="77777777" w:rsidR="00AC0B89" w:rsidRDefault="00AC0B89" w:rsidP="00396C8D">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 </w:t>
            </w:r>
          </w:p>
        </w:tc>
        <w:tc>
          <w:tcPr>
            <w:tcW w:w="2406" w:type="dxa"/>
            <w:tcBorders>
              <w:bottom w:val="single" w:sz="4" w:space="0" w:color="000000"/>
            </w:tcBorders>
            <w:shd w:val="clear" w:color="auto" w:fill="auto"/>
            <w:vAlign w:val="bottom"/>
          </w:tcPr>
          <w:p w14:paraId="17D770CC" w14:textId="77777777" w:rsidR="00AC0B89" w:rsidRDefault="00AC0B89" w:rsidP="00396C8D">
            <w:pPr>
              <w:spacing w:after="0" w:line="240" w:lineRule="auto"/>
              <w:jc w:val="right"/>
              <w:rPr>
                <w:rFonts w:ascii="Garamond" w:eastAsia="Garamond" w:hAnsi="Garamond" w:cs="Garamond"/>
                <w:b/>
                <w:color w:val="000000"/>
                <w:sz w:val="16"/>
                <w:szCs w:val="16"/>
              </w:rPr>
            </w:pPr>
            <w:r>
              <w:rPr>
                <w:rFonts w:ascii="Garamond" w:eastAsia="Garamond" w:hAnsi="Garamond" w:cs="Garamond"/>
                <w:b/>
                <w:color w:val="000000"/>
                <w:sz w:val="16"/>
                <w:szCs w:val="16"/>
              </w:rPr>
              <w:t>169</w:t>
            </w:r>
          </w:p>
        </w:tc>
      </w:tr>
    </w:tbl>
    <w:p w14:paraId="6DEE232C" w14:textId="77777777" w:rsidR="00AC0B89" w:rsidRDefault="00AC0B89" w:rsidP="00AC0B89">
      <w:pPr>
        <w:spacing w:after="0" w:line="360" w:lineRule="auto"/>
        <w:ind w:firstLine="708"/>
        <w:jc w:val="both"/>
        <w:rPr>
          <w:rFonts w:ascii="Garamond" w:eastAsia="Garamond" w:hAnsi="Garamond" w:cs="Garamond"/>
          <w:color w:val="000000"/>
          <w:sz w:val="24"/>
          <w:szCs w:val="24"/>
        </w:rPr>
      </w:pPr>
    </w:p>
    <w:p w14:paraId="6F4CD7D5" w14:textId="58A931F3" w:rsidR="00AC0B89" w:rsidRDefault="00AC0B89" w:rsidP="00AC0B89">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No ranking mundial de atingimento dos ODS o Brasil ocupa a 50ª colocação (73,69%), com destaques positivos para os ODS 1, 4, 7 e 13 e negativos para 10, 14, 15 e 16 (</w:t>
      </w:r>
      <w:r>
        <w:rPr>
          <w:rFonts w:ascii="Garamond" w:eastAsia="Garamond" w:hAnsi="Garamond" w:cs="Garamond"/>
          <w:sz w:val="24"/>
          <w:szCs w:val="24"/>
        </w:rPr>
        <w:t xml:space="preserve">Sachs </w:t>
      </w:r>
      <w:r w:rsidRPr="00AC0B89">
        <w:rPr>
          <w:rFonts w:ascii="Garamond" w:eastAsia="Garamond" w:hAnsi="Garamond" w:cs="Garamond"/>
          <w:i/>
          <w:iCs/>
          <w:sz w:val="24"/>
          <w:szCs w:val="24"/>
        </w:rPr>
        <w:t>et al</w:t>
      </w:r>
      <w:r>
        <w:rPr>
          <w:rFonts w:ascii="Garamond" w:eastAsia="Garamond" w:hAnsi="Garamond" w:cs="Garamond"/>
          <w:sz w:val="24"/>
          <w:szCs w:val="24"/>
        </w:rPr>
        <w:t>.</w:t>
      </w:r>
      <w:r>
        <w:rPr>
          <w:rFonts w:ascii="Garamond" w:eastAsia="Garamond" w:hAnsi="Garamond" w:cs="Garamond"/>
          <w:color w:val="000000"/>
          <w:sz w:val="24"/>
          <w:szCs w:val="24"/>
        </w:rPr>
        <w:t xml:space="preserve">, 2023). </w:t>
      </w:r>
    </w:p>
    <w:p w14:paraId="6C3696F7" w14:textId="5754BDB6" w:rsidR="00EC4499" w:rsidRDefault="00AC0B89" w:rsidP="00AC0B89">
      <w:pPr>
        <w:spacing w:after="0" w:line="360" w:lineRule="auto"/>
        <w:ind w:firstLine="708"/>
        <w:jc w:val="both"/>
        <w:rPr>
          <w:rFonts w:ascii="Garamond" w:eastAsia="Garamond" w:hAnsi="Garamond" w:cs="Garamond"/>
          <w:color w:val="000000"/>
          <w:sz w:val="24"/>
          <w:szCs w:val="24"/>
        </w:rPr>
      </w:pPr>
      <w:r>
        <w:rPr>
          <w:rFonts w:ascii="Garamond" w:eastAsia="Garamond" w:hAnsi="Garamond" w:cs="Garamond"/>
          <w:color w:val="000000"/>
          <w:sz w:val="24"/>
          <w:szCs w:val="24"/>
        </w:rPr>
        <w:lastRenderedPageBreak/>
        <w:t xml:space="preserve">Yiu e Saner (2017) concluíram que o setor empresarial é um ator importante na contribuição para os ODS devido ao seu conhecimento de gestão e controle de recursos. Dressler e Bucher (2018) examinaram a complexidade dos ODS no mundo dos negócios, identificando uma ligação entre a implementação dos ODS e possíveis inovações. Topple </w:t>
      </w:r>
      <w:r>
        <w:rPr>
          <w:rFonts w:ascii="Garamond" w:eastAsia="Garamond" w:hAnsi="Garamond" w:cs="Garamond"/>
          <w:i/>
          <w:color w:val="000000"/>
          <w:sz w:val="24"/>
          <w:szCs w:val="24"/>
        </w:rPr>
        <w:t>et al</w:t>
      </w:r>
      <w:r>
        <w:rPr>
          <w:rFonts w:ascii="Garamond" w:eastAsia="Garamond" w:hAnsi="Garamond" w:cs="Garamond"/>
          <w:color w:val="000000"/>
          <w:sz w:val="24"/>
          <w:szCs w:val="24"/>
        </w:rPr>
        <w:t xml:space="preserve">. (2017) sugeriram que o uso de padrões e diretrizes internacionais de sustentabilidade (ODS, GRI) pode ajudar as empresas a atingirem as metas de desenvolvimento sustentável com mais sucesso. </w:t>
      </w:r>
    </w:p>
    <w:p w14:paraId="46E65916" w14:textId="77777777" w:rsidR="00AC0B8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Graças à sua posição como intermediários, os bancos desempenham um papel essencial no direcionamento de recursos financeiros para atividades sustentáveis (Cerqueti </w:t>
      </w:r>
      <w:r>
        <w:rPr>
          <w:rFonts w:ascii="Garamond" w:eastAsia="Garamond" w:hAnsi="Garamond" w:cs="Garamond"/>
          <w:i/>
          <w:color w:val="000000"/>
          <w:sz w:val="24"/>
          <w:szCs w:val="24"/>
        </w:rPr>
        <w:t>et al.</w:t>
      </w:r>
      <w:r>
        <w:rPr>
          <w:rFonts w:ascii="Garamond" w:eastAsia="Garamond" w:hAnsi="Garamond" w:cs="Garamond"/>
          <w:color w:val="000000"/>
          <w:sz w:val="24"/>
          <w:szCs w:val="24"/>
        </w:rPr>
        <w:t xml:space="preserve">, 2023), tanto através de políticas de crédito como através de estratégias de investimento (Xia </w:t>
      </w:r>
      <w:r>
        <w:rPr>
          <w:rFonts w:ascii="Garamond" w:eastAsia="Garamond" w:hAnsi="Garamond" w:cs="Garamond"/>
          <w:i/>
          <w:color w:val="000000"/>
          <w:sz w:val="24"/>
          <w:szCs w:val="24"/>
        </w:rPr>
        <w:t>et al</w:t>
      </w:r>
      <w:r>
        <w:rPr>
          <w:rFonts w:ascii="Garamond" w:eastAsia="Garamond" w:hAnsi="Garamond" w:cs="Garamond"/>
          <w:color w:val="000000"/>
          <w:sz w:val="24"/>
          <w:szCs w:val="24"/>
        </w:rPr>
        <w:t xml:space="preserve">., 2023). </w:t>
      </w:r>
      <w:r w:rsidR="00AC0B89">
        <w:rPr>
          <w:rFonts w:ascii="Garamond" w:eastAsia="Garamond" w:hAnsi="Garamond" w:cs="Garamond"/>
          <w:color w:val="000000"/>
          <w:sz w:val="24"/>
          <w:szCs w:val="24"/>
        </w:rPr>
        <w:t xml:space="preserve">Para Avrampou </w:t>
      </w:r>
      <w:r w:rsidR="00AC0B89">
        <w:rPr>
          <w:rFonts w:ascii="Garamond" w:eastAsia="Garamond" w:hAnsi="Garamond" w:cs="Garamond"/>
          <w:i/>
          <w:color w:val="000000"/>
          <w:sz w:val="24"/>
          <w:szCs w:val="24"/>
        </w:rPr>
        <w:t>et al.</w:t>
      </w:r>
      <w:r w:rsidR="00AC0B89">
        <w:rPr>
          <w:rFonts w:ascii="Garamond" w:eastAsia="Garamond" w:hAnsi="Garamond" w:cs="Garamond"/>
          <w:color w:val="000000"/>
          <w:sz w:val="24"/>
          <w:szCs w:val="24"/>
        </w:rPr>
        <w:t xml:space="preserve"> (2019) o setor financeiro é essencial na transição para uma economia sustentável já que são necessárias grandes quantidades de capital (5 a 7 bilhões de dólares/ano) e os bancos são responsáveis pelo direcionamento dos fundos para a promoção do crescimento sustentável. </w:t>
      </w:r>
    </w:p>
    <w:p w14:paraId="12906BCE" w14:textId="52E0DB88"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Nos últimos 20 anos, o sistema bancário mundial adotou diversos “pactos” em prol da sustentabilidade, dentre eles o</w:t>
      </w:r>
      <w:r w:rsidR="0046209F">
        <w:rPr>
          <w:rFonts w:ascii="Garamond" w:eastAsia="Garamond" w:hAnsi="Garamond" w:cs="Garamond"/>
          <w:color w:val="000000"/>
          <w:sz w:val="24"/>
          <w:szCs w:val="24"/>
        </w:rPr>
        <w:t>s</w:t>
      </w:r>
      <w:r>
        <w:rPr>
          <w:rFonts w:ascii="Garamond" w:eastAsia="Garamond" w:hAnsi="Garamond" w:cs="Garamond"/>
          <w:color w:val="000000"/>
          <w:sz w:val="24"/>
          <w:szCs w:val="24"/>
        </w:rPr>
        <w:t xml:space="preserve"> Princípios do Equador (gerir riscos ambientais e sociais), PCAF </w:t>
      </w:r>
      <w:r>
        <w:rPr>
          <w:rFonts w:ascii="Garamond" w:eastAsia="Garamond" w:hAnsi="Garamond" w:cs="Garamond"/>
          <w:i/>
          <w:color w:val="000000"/>
          <w:sz w:val="24"/>
          <w:szCs w:val="24"/>
        </w:rPr>
        <w:t>– Partnership for carbon accounting financials</w:t>
      </w:r>
      <w:r>
        <w:rPr>
          <w:rFonts w:ascii="Garamond" w:eastAsia="Garamond" w:hAnsi="Garamond" w:cs="Garamond"/>
          <w:color w:val="000000"/>
          <w:sz w:val="24"/>
          <w:szCs w:val="24"/>
        </w:rPr>
        <w:t xml:space="preserve"> (medir e divulgar emissões de carbono de atividades financiadas) e </w:t>
      </w:r>
      <w:r>
        <w:rPr>
          <w:rFonts w:ascii="Garamond" w:eastAsia="Garamond" w:hAnsi="Garamond" w:cs="Garamond"/>
          <w:i/>
          <w:color w:val="000000"/>
          <w:sz w:val="24"/>
          <w:szCs w:val="24"/>
        </w:rPr>
        <w:t>UN Principles for responsible banking</w:t>
      </w:r>
      <w:r>
        <w:rPr>
          <w:rFonts w:ascii="Garamond" w:eastAsia="Garamond" w:hAnsi="Garamond" w:cs="Garamond"/>
          <w:color w:val="000000"/>
          <w:sz w:val="24"/>
          <w:szCs w:val="24"/>
        </w:rPr>
        <w:t xml:space="preserve"> (alinhar estratégia com os Objetivos de Desenvolvimento Sustentável da ONU e com acordos internacionais).</w:t>
      </w:r>
    </w:p>
    <w:p w14:paraId="7874C1CF" w14:textId="70B43CC6"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sz w:val="24"/>
          <w:szCs w:val="24"/>
        </w:rPr>
        <w:t xml:space="preserve">Os Princípios do Equador (PE) constituem importante estrutura de gestão de risco e conjunto de padrões criados pelo setor financeiro para abordar os impactos ambientais e sociais das carteiras de empréstimos dos bancos para grandes projetos (Light </w:t>
      </w:r>
      <w:r>
        <w:rPr>
          <w:rFonts w:ascii="Garamond" w:eastAsia="Garamond" w:hAnsi="Garamond" w:cs="Garamond"/>
          <w:color w:val="000000"/>
          <w:sz w:val="24"/>
          <w:szCs w:val="24"/>
        </w:rPr>
        <w:t>&amp; Skinner, 2021)</w:t>
      </w:r>
      <w:r>
        <w:rPr>
          <w:rFonts w:ascii="Garamond" w:eastAsia="Garamond" w:hAnsi="Garamond" w:cs="Garamond"/>
          <w:sz w:val="24"/>
          <w:szCs w:val="24"/>
        </w:rPr>
        <w:t>.</w:t>
      </w:r>
      <w:r w:rsidR="00AC0B89">
        <w:rPr>
          <w:rFonts w:ascii="Garamond" w:eastAsia="Garamond" w:hAnsi="Garamond" w:cs="Garamond"/>
          <w:sz w:val="24"/>
          <w:szCs w:val="24"/>
        </w:rPr>
        <w:t xml:space="preserve"> </w:t>
      </w:r>
      <w:r>
        <w:rPr>
          <w:rFonts w:ascii="Garamond" w:eastAsia="Garamond" w:hAnsi="Garamond" w:cs="Garamond"/>
          <w:color w:val="000000"/>
          <w:sz w:val="24"/>
          <w:szCs w:val="24"/>
        </w:rPr>
        <w:t xml:space="preserve">Ainda conforme Light e Skiner (2021), o </w:t>
      </w:r>
      <w:r>
        <w:rPr>
          <w:rFonts w:ascii="Garamond" w:eastAsia="Garamond" w:hAnsi="Garamond" w:cs="Garamond"/>
          <w:i/>
          <w:color w:val="000000"/>
          <w:sz w:val="24"/>
          <w:szCs w:val="24"/>
        </w:rPr>
        <w:t>Global GHG Accounting and Reporting Standard,</w:t>
      </w:r>
      <w:r>
        <w:rPr>
          <w:rFonts w:ascii="Garamond" w:eastAsia="Garamond" w:hAnsi="Garamond" w:cs="Garamond"/>
          <w:color w:val="000000"/>
          <w:sz w:val="24"/>
          <w:szCs w:val="24"/>
        </w:rPr>
        <w:t xml:space="preserve"> lançado pela PCAF, foi o primeiro padrão direcionado para as instituições financeiras medirem e relatarem emissões de gases de efeito estufa (GEE) em suas carteiras de empréstimos e investimentos. Estas ações dos bancos buscam reduzir emissões e promover ações ambientalmente positivas em toda a sua cadeia de valor.</w:t>
      </w:r>
    </w:p>
    <w:p w14:paraId="53AD5CBB" w14:textId="77777777" w:rsidR="00EC4499" w:rsidRDefault="00433EA7">
      <w:pPr>
        <w:spacing w:after="0" w:line="360" w:lineRule="auto"/>
        <w:ind w:firstLine="708"/>
        <w:jc w:val="both"/>
        <w:rPr>
          <w:rFonts w:ascii="Garamond" w:eastAsia="Garamond" w:hAnsi="Garamond" w:cs="Garamond"/>
          <w:sz w:val="24"/>
          <w:szCs w:val="24"/>
          <w:highlight w:val="yellow"/>
        </w:rPr>
      </w:pPr>
      <w:bookmarkStart w:id="4" w:name="_heading=h.30j0zll" w:colFirst="0" w:colLast="0"/>
      <w:bookmarkEnd w:id="4"/>
      <w:r>
        <w:rPr>
          <w:rFonts w:ascii="Garamond" w:eastAsia="Garamond" w:hAnsi="Garamond" w:cs="Garamond"/>
          <w:sz w:val="24"/>
          <w:szCs w:val="24"/>
        </w:rPr>
        <w:t>Ao financiar um projeto, as instituições devem adotar a “Triple Bottom Analysis”, avaliando os impactos e performances ambientais e sociais e não apenas financeiras dos tomadores (Singh, 2015) ou ainda recusar financiamentos a empresas que afetam negativamente pessoas vulneráveis e violam os direitos humanos (Brightwell &amp; Gardener, 2018).</w:t>
      </w:r>
    </w:p>
    <w:p w14:paraId="3CCB5C68"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sz w:val="24"/>
          <w:szCs w:val="24"/>
        </w:rPr>
        <w:lastRenderedPageBreak/>
        <w:t>Para Krasodomska (2015) a atividade bancária, certamente, não é tão danosa para o meio quanto as indústrias químicas, farmacêuticas ou extrativistas e os bancos, conforme observam Simpson e Kohers (2002, p. 108) “não enfrentam os mesmos desafios de responsabilidade social em matéria de poluição, segurança dos produtos e dos trabalhadores, mas têm uma responsabilidade social e jurídica porque concedem empréstimos a empresas que poluem, produzem produtos inseguros, etc.”</w:t>
      </w:r>
    </w:p>
    <w:p w14:paraId="60A4DFE4" w14:textId="668A5204"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sz w:val="24"/>
          <w:szCs w:val="24"/>
        </w:rPr>
        <w:t xml:space="preserve">A Norma Internacional de Relatórios Financeiros (IFRS) S2 – </w:t>
      </w:r>
      <w:r>
        <w:rPr>
          <w:rFonts w:ascii="Garamond" w:eastAsia="Garamond" w:hAnsi="Garamond" w:cs="Garamond"/>
          <w:i/>
          <w:sz w:val="24"/>
          <w:szCs w:val="24"/>
        </w:rPr>
        <w:t>Sustainability Disclousure Standard</w:t>
      </w:r>
      <w:r>
        <w:rPr>
          <w:rFonts w:ascii="Garamond" w:eastAsia="Garamond" w:hAnsi="Garamond" w:cs="Garamond"/>
          <w:sz w:val="24"/>
          <w:szCs w:val="24"/>
        </w:rPr>
        <w:t xml:space="preserve">, publicada pelo ISSB e cujo objetivo é a divulgação nos relatórios financeiros de informações sobre riscos relacionados ao clima, inclui um tópico específico “Financed Emissions” para que os bancos incluam nos seus relatos os dados de emissões de GEE relacionados às empresas que financiam (IFRS Foundation, 2023). </w:t>
      </w:r>
    </w:p>
    <w:p w14:paraId="302E0D10" w14:textId="3042F3A4"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Ao mesmo tempo em que há uma preocupação quanto às emissões financiadas e à descarbonização de portfolios de crédito, os 60 maiores bancos do mundo, incluindo alguns com atividades no Brasil e objetos deste estudo, investiram mais de 5,5 trilhões de dólares</w:t>
      </w:r>
      <w:r>
        <w:rPr>
          <w:sz w:val="24"/>
          <w:szCs w:val="24"/>
        </w:rPr>
        <w:t xml:space="preserve"> </w:t>
      </w:r>
      <w:r>
        <w:rPr>
          <w:rFonts w:ascii="Garamond" w:eastAsia="Garamond" w:hAnsi="Garamond" w:cs="Garamond"/>
          <w:color w:val="000000"/>
          <w:sz w:val="24"/>
          <w:szCs w:val="24"/>
        </w:rPr>
        <w:t>de 2016 a 2022 na indústria dos combustíveis fósseis, segundo relatório de financiamento ao setor de combustíveis fósseis emitido em 2023 (</w:t>
      </w:r>
      <w:r w:rsidR="00EA7D4D" w:rsidRPr="00892172">
        <w:rPr>
          <w:rFonts w:ascii="Garamond" w:eastAsia="Garamond" w:hAnsi="Garamond" w:cs="Garamond"/>
          <w:i/>
          <w:iCs/>
          <w:color w:val="000000"/>
          <w:sz w:val="24"/>
          <w:szCs w:val="24"/>
        </w:rPr>
        <w:t xml:space="preserve">Banking on </w:t>
      </w:r>
      <w:proofErr w:type="spellStart"/>
      <w:r w:rsidR="00EA7D4D" w:rsidRPr="00892172">
        <w:rPr>
          <w:rFonts w:ascii="Garamond" w:eastAsia="Garamond" w:hAnsi="Garamond" w:cs="Garamond"/>
          <w:i/>
          <w:iCs/>
          <w:color w:val="000000"/>
          <w:sz w:val="24"/>
          <w:szCs w:val="24"/>
        </w:rPr>
        <w:t>Climate</w:t>
      </w:r>
      <w:proofErr w:type="spellEnd"/>
      <w:r w:rsidR="00EA7D4D" w:rsidRPr="00892172">
        <w:rPr>
          <w:rFonts w:ascii="Garamond" w:eastAsia="Garamond" w:hAnsi="Garamond" w:cs="Garamond"/>
          <w:i/>
          <w:iCs/>
          <w:color w:val="000000"/>
          <w:sz w:val="24"/>
          <w:szCs w:val="24"/>
        </w:rPr>
        <w:t xml:space="preserve"> Chaos</w:t>
      </w:r>
      <w:r>
        <w:rPr>
          <w:rFonts w:ascii="Garamond" w:eastAsia="Garamond" w:hAnsi="Garamond" w:cs="Garamond"/>
          <w:color w:val="000000"/>
          <w:sz w:val="24"/>
          <w:szCs w:val="24"/>
        </w:rPr>
        <w:t>, 2023, p. 3).</w:t>
      </w:r>
    </w:p>
    <w:p w14:paraId="71B7F37B" w14:textId="09E33EDA" w:rsidR="00EC4499" w:rsidRDefault="00433EA7">
      <w:pPr>
        <w:spacing w:after="0" w:line="360" w:lineRule="auto"/>
        <w:ind w:firstLine="708"/>
        <w:jc w:val="both"/>
        <w:rPr>
          <w:rFonts w:ascii="Garamond" w:eastAsia="Garamond" w:hAnsi="Garamond" w:cs="Garamond"/>
          <w:sz w:val="24"/>
          <w:szCs w:val="24"/>
          <w:highlight w:val="white"/>
        </w:rPr>
      </w:pPr>
      <w:r>
        <w:rPr>
          <w:rFonts w:ascii="Garamond" w:eastAsia="Garamond" w:hAnsi="Garamond" w:cs="Garamond"/>
          <w:color w:val="000000"/>
          <w:sz w:val="24"/>
          <w:szCs w:val="24"/>
          <w:highlight w:val="white"/>
        </w:rPr>
        <w:t>Estudo produzido pela Coalizão Florestas &amp; Finanças (2023, p. 3</w:t>
      </w:r>
      <w:r>
        <w:rPr>
          <w:rFonts w:ascii="Garamond" w:eastAsia="Garamond" w:hAnsi="Garamond" w:cs="Garamond"/>
          <w:i/>
          <w:color w:val="000000"/>
          <w:sz w:val="24"/>
          <w:szCs w:val="24"/>
          <w:highlight w:val="white"/>
        </w:rPr>
        <w:t>)</w:t>
      </w:r>
      <w:r>
        <w:rPr>
          <w:rFonts w:ascii="Garamond" w:eastAsia="Garamond" w:hAnsi="Garamond" w:cs="Garamond"/>
          <w:color w:val="000000"/>
          <w:sz w:val="24"/>
          <w:szCs w:val="24"/>
          <w:highlight w:val="white"/>
        </w:rPr>
        <w:t xml:space="preserve"> demonstrou que de janeiro de 2016 a setembro de 2023 as instituições financeiras brasileiras aplicaram pelo menos 127 bilhões de dólares em organizações com histórico de violações socioambientais na produção de carne bovina, soja, óleo de palma, celulose e papel, borracha e madeira – representando 41% do total global de empréstimos.</w:t>
      </w:r>
    </w:p>
    <w:p w14:paraId="39049944"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A quantidade de emissões de gases de efeito estufa financiadas em 2022 pelo maior banco privado brasileiro representou 99,6% das suas emissões totais, ou seja, o somatório de todas as emissões de operações próprias (escopo 1), de energia adquirida (escopo 2) e as de cadeia de valor (escopo 3) equivale a 0,4% do seu inventário.</w:t>
      </w:r>
    </w:p>
    <w:p w14:paraId="0078889E"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Dentre os temas materiais dos principais bancos brasileiros é possível identificar que a palavra “clima” é uma das mais citadas, com 15 ocorrências. Tal fato indica que os stakeholders consideram que os bancos devem se preocupar com seu impacto nas alterações climáticas e isso inclui esforços para redução das emissões de GEE, sendo as financiadas o principal foco de atenção.  </w:t>
      </w:r>
    </w:p>
    <w:p w14:paraId="2B1DD0BE" w14:textId="3F18E526" w:rsidR="00EC4499" w:rsidRDefault="00433EA7">
      <w:pPr>
        <w:spacing w:after="0" w:line="360" w:lineRule="auto"/>
        <w:ind w:firstLine="708"/>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Em 2020, o Banco Central do Brasil incluiu o pilar “Sustentabilidade” à Agenda BC#, seguindo “tendência internacional motivada pela identificação de que a mudança climática </w:t>
      </w:r>
      <w:r>
        <w:rPr>
          <w:rFonts w:ascii="Garamond" w:eastAsia="Garamond" w:hAnsi="Garamond" w:cs="Garamond"/>
          <w:color w:val="000000"/>
          <w:sz w:val="24"/>
          <w:szCs w:val="24"/>
        </w:rPr>
        <w:lastRenderedPageBreak/>
        <w:t>não é só uma fonte de preocupação social e ambiental, mas um risco para a estabilidade financeira” (Banco Central do Brasil, n</w:t>
      </w:r>
      <w:r w:rsidR="00C86525">
        <w:rPr>
          <w:rFonts w:ascii="Garamond" w:eastAsia="Garamond" w:hAnsi="Garamond" w:cs="Garamond"/>
          <w:color w:val="000000"/>
          <w:sz w:val="24"/>
          <w:szCs w:val="24"/>
        </w:rPr>
        <w:t>.</w:t>
      </w:r>
      <w:r>
        <w:rPr>
          <w:rFonts w:ascii="Garamond" w:eastAsia="Garamond" w:hAnsi="Garamond" w:cs="Garamond"/>
          <w:color w:val="000000"/>
          <w:sz w:val="24"/>
          <w:szCs w:val="24"/>
        </w:rPr>
        <w:t>d</w:t>
      </w:r>
      <w:r w:rsidR="00C86525">
        <w:rPr>
          <w:rFonts w:ascii="Garamond" w:eastAsia="Garamond" w:hAnsi="Garamond" w:cs="Garamond"/>
          <w:color w:val="000000"/>
          <w:sz w:val="24"/>
          <w:szCs w:val="24"/>
        </w:rPr>
        <w:t>.</w:t>
      </w:r>
      <w:r>
        <w:rPr>
          <w:rFonts w:ascii="Garamond" w:eastAsia="Garamond" w:hAnsi="Garamond" w:cs="Garamond"/>
          <w:color w:val="000000"/>
          <w:sz w:val="24"/>
          <w:szCs w:val="24"/>
        </w:rPr>
        <w:t>).</w:t>
      </w:r>
    </w:p>
    <w:p w14:paraId="46B0D59D" w14:textId="77777777" w:rsidR="006A3B20" w:rsidRDefault="006A3B20" w:rsidP="006A3B20">
      <w:pPr>
        <w:spacing w:after="0" w:line="360" w:lineRule="auto"/>
        <w:ind w:firstLine="708"/>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O objetivo do trabalho é avaliar a qualidade dos Relatórios de Sustentabilidade dos principais bancos nacionais ou estrangeiros, com capital aberto ou fechado, públicos ou privados, múltiplos ou de desenvolvimento, com atuação no território brasileiro, e que utilizem o padrão da </w:t>
      </w:r>
      <w:r>
        <w:rPr>
          <w:rFonts w:ascii="Garamond" w:eastAsia="Garamond" w:hAnsi="Garamond" w:cs="Garamond"/>
          <w:i/>
          <w:color w:val="000000"/>
          <w:sz w:val="24"/>
          <w:szCs w:val="24"/>
        </w:rPr>
        <w:t>Global Reporting Initiative</w:t>
      </w:r>
      <w:r>
        <w:rPr>
          <w:rFonts w:ascii="Garamond" w:eastAsia="Garamond" w:hAnsi="Garamond" w:cs="Garamond"/>
          <w:color w:val="000000"/>
          <w:sz w:val="24"/>
          <w:szCs w:val="24"/>
        </w:rPr>
        <w:t xml:space="preserve"> (GRI) em suas demonstrações não financeiras.</w:t>
      </w:r>
    </w:p>
    <w:p w14:paraId="08FFB849" w14:textId="77777777" w:rsidR="006A3B20" w:rsidRDefault="006A3B20" w:rsidP="006A3B20">
      <w:pPr>
        <w:spacing w:after="0" w:line="360" w:lineRule="auto"/>
        <w:jc w:val="both"/>
        <w:rPr>
          <w:rFonts w:ascii="Garamond" w:eastAsia="Garamond" w:hAnsi="Garamond" w:cs="Garamond"/>
          <w:color w:val="000000"/>
          <w:sz w:val="24"/>
          <w:szCs w:val="24"/>
        </w:rPr>
      </w:pPr>
      <w:r>
        <w:rPr>
          <w:rFonts w:ascii="Garamond" w:eastAsia="Garamond" w:hAnsi="Garamond" w:cs="Garamond"/>
          <w:color w:val="000000"/>
          <w:sz w:val="24"/>
          <w:szCs w:val="24"/>
        </w:rPr>
        <w:t>Para atingir os objetivos do estudo, foram propostas as seguintes questões:</w:t>
      </w:r>
    </w:p>
    <w:p w14:paraId="554D9099" w14:textId="77777777" w:rsidR="006A3B20" w:rsidRDefault="006A3B20" w:rsidP="006A3B20">
      <w:pPr>
        <w:spacing w:after="0" w:line="360" w:lineRule="auto"/>
        <w:ind w:firstLine="708"/>
        <w:jc w:val="both"/>
        <w:rPr>
          <w:rFonts w:ascii="Garamond" w:eastAsia="Garamond" w:hAnsi="Garamond" w:cs="Garamond"/>
          <w:sz w:val="24"/>
          <w:szCs w:val="24"/>
        </w:rPr>
      </w:pPr>
      <w:r>
        <w:rPr>
          <w:rFonts w:ascii="Garamond" w:eastAsia="Garamond" w:hAnsi="Garamond" w:cs="Garamond"/>
          <w:b/>
          <w:color w:val="000000"/>
          <w:sz w:val="24"/>
          <w:szCs w:val="24"/>
        </w:rPr>
        <w:t>Q1:</w:t>
      </w:r>
      <w:r>
        <w:rPr>
          <w:rFonts w:ascii="Garamond" w:eastAsia="Garamond" w:hAnsi="Garamond" w:cs="Garamond"/>
          <w:color w:val="000000"/>
          <w:sz w:val="24"/>
          <w:szCs w:val="24"/>
        </w:rPr>
        <w:t xml:space="preserve"> Há diferenças na qualidade dos Relatórios considerando o controle (público x privado), capital (aberto x fechado), sede (brasileiros x estrangeiros) ou atuação (múltiplos x desenvolvimento)?</w:t>
      </w:r>
    </w:p>
    <w:p w14:paraId="1BB133BF" w14:textId="4A31FF02" w:rsidR="006A3B20" w:rsidRDefault="006A3B20" w:rsidP="006A3B20">
      <w:pPr>
        <w:spacing w:after="0" w:line="360" w:lineRule="auto"/>
        <w:ind w:firstLine="708"/>
        <w:jc w:val="both"/>
        <w:rPr>
          <w:rFonts w:ascii="Garamond" w:eastAsia="Garamond" w:hAnsi="Garamond" w:cs="Garamond"/>
          <w:sz w:val="24"/>
          <w:szCs w:val="24"/>
        </w:rPr>
      </w:pPr>
      <w:r>
        <w:rPr>
          <w:rFonts w:ascii="Garamond" w:eastAsia="Garamond" w:hAnsi="Garamond" w:cs="Garamond"/>
          <w:b/>
          <w:color w:val="000000"/>
          <w:sz w:val="24"/>
          <w:szCs w:val="24"/>
        </w:rPr>
        <w:t>Q2:</w:t>
      </w:r>
      <w:r>
        <w:rPr>
          <w:rFonts w:ascii="Garamond" w:eastAsia="Garamond" w:hAnsi="Garamond" w:cs="Garamond"/>
          <w:color w:val="000000"/>
          <w:sz w:val="24"/>
          <w:szCs w:val="24"/>
        </w:rPr>
        <w:t xml:space="preserve"> Há diferenças na qualidade considerando o tipo de Relatório (Integrado</w:t>
      </w:r>
      <w:r w:rsidR="002C448F">
        <w:rPr>
          <w:rFonts w:ascii="Garamond" w:eastAsia="Garamond" w:hAnsi="Garamond" w:cs="Garamond"/>
          <w:color w:val="000000"/>
          <w:sz w:val="24"/>
          <w:szCs w:val="24"/>
        </w:rPr>
        <w:t xml:space="preserve"> ou</w:t>
      </w:r>
      <w:r>
        <w:rPr>
          <w:rFonts w:ascii="Garamond" w:eastAsia="Garamond" w:hAnsi="Garamond" w:cs="Garamond"/>
          <w:color w:val="000000"/>
          <w:sz w:val="24"/>
          <w:szCs w:val="24"/>
        </w:rPr>
        <w:t xml:space="preserve"> Sustentabilidade</w:t>
      </w:r>
      <w:r w:rsidR="002C448F">
        <w:rPr>
          <w:rFonts w:ascii="Garamond" w:eastAsia="Garamond" w:hAnsi="Garamond" w:cs="Garamond"/>
          <w:color w:val="000000"/>
          <w:sz w:val="24"/>
          <w:szCs w:val="24"/>
        </w:rPr>
        <w:t>/</w:t>
      </w:r>
      <w:r>
        <w:rPr>
          <w:rFonts w:ascii="Garamond" w:eastAsia="Garamond" w:hAnsi="Garamond" w:cs="Garamond"/>
          <w:color w:val="000000"/>
          <w:sz w:val="24"/>
          <w:szCs w:val="24"/>
        </w:rPr>
        <w:t>ESG)?</w:t>
      </w:r>
    </w:p>
    <w:p w14:paraId="781AEB05" w14:textId="77777777" w:rsidR="006A3B20" w:rsidRDefault="006A3B20" w:rsidP="006A3B20">
      <w:pPr>
        <w:spacing w:after="0" w:line="360" w:lineRule="auto"/>
        <w:ind w:firstLine="708"/>
        <w:jc w:val="both"/>
        <w:rPr>
          <w:rFonts w:ascii="Garamond" w:eastAsia="Garamond" w:hAnsi="Garamond" w:cs="Garamond"/>
          <w:sz w:val="24"/>
          <w:szCs w:val="24"/>
        </w:rPr>
      </w:pPr>
      <w:r>
        <w:rPr>
          <w:rFonts w:ascii="Garamond" w:eastAsia="Garamond" w:hAnsi="Garamond" w:cs="Garamond"/>
          <w:b/>
          <w:color w:val="000000"/>
          <w:sz w:val="24"/>
          <w:szCs w:val="24"/>
        </w:rPr>
        <w:t>Q3:</w:t>
      </w:r>
      <w:r>
        <w:rPr>
          <w:rFonts w:ascii="Garamond" w:eastAsia="Garamond" w:hAnsi="Garamond" w:cs="Garamond"/>
          <w:color w:val="000000"/>
          <w:sz w:val="24"/>
          <w:szCs w:val="24"/>
        </w:rPr>
        <w:t xml:space="preserve"> Houve evolução na qualidade dos Relatórios?</w:t>
      </w:r>
    </w:p>
    <w:p w14:paraId="3BB70758" w14:textId="77777777" w:rsidR="006A3B20" w:rsidRDefault="006A3B20" w:rsidP="006A3B20">
      <w:pPr>
        <w:spacing w:after="0" w:line="360" w:lineRule="auto"/>
        <w:ind w:firstLine="708"/>
        <w:jc w:val="both"/>
        <w:rPr>
          <w:rFonts w:ascii="Garamond" w:eastAsia="Garamond" w:hAnsi="Garamond" w:cs="Garamond"/>
          <w:color w:val="000000"/>
          <w:sz w:val="24"/>
          <w:szCs w:val="24"/>
        </w:rPr>
      </w:pPr>
      <w:r>
        <w:rPr>
          <w:rFonts w:ascii="Garamond" w:eastAsia="Garamond" w:hAnsi="Garamond" w:cs="Garamond"/>
          <w:b/>
          <w:color w:val="000000"/>
          <w:sz w:val="24"/>
          <w:szCs w:val="24"/>
        </w:rPr>
        <w:t>Q4:</w:t>
      </w:r>
      <w:r>
        <w:rPr>
          <w:rFonts w:ascii="Garamond" w:eastAsia="Garamond" w:hAnsi="Garamond" w:cs="Garamond"/>
          <w:color w:val="000000"/>
          <w:sz w:val="24"/>
          <w:szCs w:val="24"/>
        </w:rPr>
        <w:t xml:space="preserve"> Quais bancos se destacaram positiva e negativamente?</w:t>
      </w:r>
    </w:p>
    <w:p w14:paraId="1BF5B705" w14:textId="77777777" w:rsidR="006A3B20" w:rsidRDefault="006A3B20" w:rsidP="006A3B20">
      <w:pPr>
        <w:spacing w:after="0" w:line="360" w:lineRule="auto"/>
        <w:ind w:firstLine="708"/>
        <w:jc w:val="both"/>
        <w:rPr>
          <w:rFonts w:ascii="Garamond" w:eastAsia="Garamond" w:hAnsi="Garamond" w:cs="Garamond"/>
          <w:color w:val="000000"/>
          <w:sz w:val="24"/>
          <w:szCs w:val="24"/>
        </w:rPr>
      </w:pPr>
    </w:p>
    <w:p w14:paraId="6E41E2AF" w14:textId="625AE2CF" w:rsidR="006A3B20" w:rsidRPr="00804685" w:rsidRDefault="006A3B20" w:rsidP="006A3B20">
      <w:pPr>
        <w:spacing w:after="0" w:line="360" w:lineRule="auto"/>
        <w:ind w:firstLine="708"/>
        <w:jc w:val="both"/>
        <w:rPr>
          <w:rFonts w:ascii="Garamond" w:eastAsia="Garamond" w:hAnsi="Garamond" w:cs="Garamond"/>
          <w:color w:val="000000"/>
          <w:sz w:val="24"/>
          <w:szCs w:val="24"/>
        </w:rPr>
      </w:pPr>
      <w:r w:rsidRPr="00445CF3">
        <w:rPr>
          <w:rFonts w:ascii="Garamond" w:eastAsia="Garamond" w:hAnsi="Garamond" w:cs="Garamond"/>
          <w:color w:val="000000"/>
          <w:sz w:val="24"/>
          <w:szCs w:val="24"/>
        </w:rPr>
        <w:t>Em termos de metodologia</w:t>
      </w:r>
      <w:r w:rsidR="00017023" w:rsidRPr="00804685">
        <w:rPr>
          <w:rFonts w:ascii="Garamond" w:eastAsia="Garamond" w:hAnsi="Garamond" w:cs="Garamond"/>
          <w:color w:val="000000"/>
          <w:sz w:val="24"/>
          <w:szCs w:val="24"/>
        </w:rPr>
        <w:t xml:space="preserve">, </w:t>
      </w:r>
      <w:r w:rsidR="00ED3387" w:rsidRPr="00804685">
        <w:rPr>
          <w:rFonts w:ascii="Garamond" w:eastAsia="Garamond" w:hAnsi="Garamond" w:cs="Garamond"/>
          <w:color w:val="000000"/>
          <w:sz w:val="24"/>
          <w:szCs w:val="24"/>
        </w:rPr>
        <w:t>os relatórios foram avaliados quanto à sua cobertura</w:t>
      </w:r>
      <w:r w:rsidR="00CC3A5A" w:rsidRPr="00804685">
        <w:rPr>
          <w:rFonts w:ascii="Garamond" w:eastAsia="Garamond" w:hAnsi="Garamond" w:cs="Garamond"/>
          <w:color w:val="000000"/>
          <w:sz w:val="24"/>
          <w:szCs w:val="24"/>
        </w:rPr>
        <w:t xml:space="preserve"> </w:t>
      </w:r>
      <w:r w:rsidR="006E2013" w:rsidRPr="00804685">
        <w:rPr>
          <w:rFonts w:ascii="Garamond" w:eastAsia="Garamond" w:hAnsi="Garamond" w:cs="Garamond"/>
          <w:color w:val="000000"/>
          <w:sz w:val="24"/>
          <w:szCs w:val="24"/>
        </w:rPr>
        <w:t>em</w:t>
      </w:r>
      <w:r w:rsidR="00CC3A5A" w:rsidRPr="00804685">
        <w:rPr>
          <w:rFonts w:ascii="Garamond" w:eastAsia="Garamond" w:hAnsi="Garamond" w:cs="Garamond"/>
          <w:color w:val="000000"/>
          <w:sz w:val="24"/>
          <w:szCs w:val="24"/>
        </w:rPr>
        <w:t xml:space="preserve"> relação aos</w:t>
      </w:r>
      <w:r w:rsidR="00B27A20" w:rsidRPr="00804685">
        <w:rPr>
          <w:rFonts w:ascii="Garamond" w:eastAsia="Garamond" w:hAnsi="Garamond" w:cs="Garamond"/>
          <w:color w:val="000000"/>
          <w:sz w:val="24"/>
          <w:szCs w:val="24"/>
        </w:rPr>
        <w:t xml:space="preserve"> </w:t>
      </w:r>
      <w:r w:rsidR="00891659" w:rsidRPr="00804685">
        <w:rPr>
          <w:rFonts w:ascii="Garamond" w:eastAsia="Garamond" w:hAnsi="Garamond" w:cs="Garamond"/>
          <w:color w:val="000000"/>
          <w:sz w:val="24"/>
          <w:szCs w:val="24"/>
        </w:rPr>
        <w:t>17</w:t>
      </w:r>
      <w:r w:rsidR="00CC3A5A" w:rsidRPr="00804685">
        <w:rPr>
          <w:rFonts w:ascii="Garamond" w:eastAsia="Garamond" w:hAnsi="Garamond" w:cs="Garamond"/>
          <w:color w:val="000000"/>
          <w:sz w:val="24"/>
          <w:szCs w:val="24"/>
        </w:rPr>
        <w:t xml:space="preserve"> O</w:t>
      </w:r>
      <w:r w:rsidR="00B27A20" w:rsidRPr="00804685">
        <w:rPr>
          <w:rFonts w:ascii="Garamond" w:eastAsia="Garamond" w:hAnsi="Garamond" w:cs="Garamond"/>
          <w:color w:val="000000"/>
          <w:sz w:val="24"/>
          <w:szCs w:val="24"/>
        </w:rPr>
        <w:t xml:space="preserve">bjetivos de </w:t>
      </w:r>
      <w:r w:rsidR="00CC3A5A" w:rsidRPr="00804685">
        <w:rPr>
          <w:rFonts w:ascii="Garamond" w:eastAsia="Garamond" w:hAnsi="Garamond" w:cs="Garamond"/>
          <w:color w:val="000000"/>
          <w:sz w:val="24"/>
          <w:szCs w:val="24"/>
        </w:rPr>
        <w:t>D</w:t>
      </w:r>
      <w:r w:rsidR="00B27A20" w:rsidRPr="00804685">
        <w:rPr>
          <w:rFonts w:ascii="Garamond" w:eastAsia="Garamond" w:hAnsi="Garamond" w:cs="Garamond"/>
          <w:color w:val="000000"/>
          <w:sz w:val="24"/>
          <w:szCs w:val="24"/>
        </w:rPr>
        <w:t xml:space="preserve">esenvolvimento </w:t>
      </w:r>
      <w:r w:rsidR="00CC3A5A" w:rsidRPr="00804685">
        <w:rPr>
          <w:rFonts w:ascii="Garamond" w:eastAsia="Garamond" w:hAnsi="Garamond" w:cs="Garamond"/>
          <w:color w:val="000000"/>
          <w:sz w:val="24"/>
          <w:szCs w:val="24"/>
        </w:rPr>
        <w:t>S</w:t>
      </w:r>
      <w:r w:rsidR="00B27A20" w:rsidRPr="00804685">
        <w:rPr>
          <w:rFonts w:ascii="Garamond" w:eastAsia="Garamond" w:hAnsi="Garamond" w:cs="Garamond"/>
          <w:color w:val="000000"/>
          <w:sz w:val="24"/>
          <w:szCs w:val="24"/>
        </w:rPr>
        <w:t>ustentável</w:t>
      </w:r>
      <w:r w:rsidR="00CC3A5A" w:rsidRPr="00804685">
        <w:rPr>
          <w:rFonts w:ascii="Garamond" w:eastAsia="Garamond" w:hAnsi="Garamond" w:cs="Garamond"/>
          <w:color w:val="000000"/>
          <w:sz w:val="24"/>
          <w:szCs w:val="24"/>
        </w:rPr>
        <w:t xml:space="preserve">, utilizando </w:t>
      </w:r>
      <w:r w:rsidR="00A231BD" w:rsidRPr="00804685">
        <w:rPr>
          <w:rFonts w:ascii="Garamond" w:eastAsia="Garamond" w:hAnsi="Garamond" w:cs="Garamond"/>
          <w:color w:val="000000"/>
          <w:sz w:val="24"/>
          <w:szCs w:val="24"/>
        </w:rPr>
        <w:t xml:space="preserve">sistema de pontuação </w:t>
      </w:r>
      <w:r w:rsidR="00046CF5" w:rsidRPr="00804685">
        <w:rPr>
          <w:rFonts w:ascii="Garamond" w:eastAsia="Garamond" w:hAnsi="Garamond" w:cs="Garamond"/>
          <w:color w:val="000000"/>
          <w:sz w:val="24"/>
          <w:szCs w:val="24"/>
        </w:rPr>
        <w:t xml:space="preserve">no qual são classificados como de muito baixa, baixa, média ou boa </w:t>
      </w:r>
      <w:r w:rsidR="00445CF3" w:rsidRPr="00445CF3">
        <w:rPr>
          <w:rFonts w:ascii="Garamond" w:eastAsia="Garamond" w:hAnsi="Garamond" w:cs="Garamond"/>
          <w:color w:val="000000"/>
          <w:sz w:val="24"/>
          <w:szCs w:val="24"/>
        </w:rPr>
        <w:t>qualidade. Foram</w:t>
      </w:r>
      <w:r w:rsidR="0061639E" w:rsidRPr="00804685">
        <w:rPr>
          <w:rFonts w:ascii="Garamond" w:eastAsia="Garamond" w:hAnsi="Garamond" w:cs="Garamond"/>
          <w:color w:val="000000"/>
          <w:sz w:val="24"/>
          <w:szCs w:val="24"/>
        </w:rPr>
        <w:t>, também, avaliados quanto à aderência a</w:t>
      </w:r>
      <w:r w:rsidR="0031713C" w:rsidRPr="00804685">
        <w:rPr>
          <w:rFonts w:ascii="Garamond" w:eastAsia="Garamond" w:hAnsi="Garamond" w:cs="Garamond"/>
          <w:color w:val="000000"/>
          <w:sz w:val="24"/>
          <w:szCs w:val="24"/>
        </w:rPr>
        <w:t xml:space="preserve">os </w:t>
      </w:r>
      <w:r w:rsidR="00804685">
        <w:rPr>
          <w:rFonts w:ascii="Garamond" w:eastAsia="Garamond" w:hAnsi="Garamond" w:cs="Garamond"/>
          <w:color w:val="000000"/>
          <w:sz w:val="24"/>
          <w:szCs w:val="24"/>
        </w:rPr>
        <w:t>P</w:t>
      </w:r>
      <w:r w:rsidR="0061639E" w:rsidRPr="00804685">
        <w:rPr>
          <w:rFonts w:ascii="Garamond" w:eastAsia="Garamond" w:hAnsi="Garamond" w:cs="Garamond"/>
          <w:color w:val="000000"/>
          <w:sz w:val="24"/>
          <w:szCs w:val="24"/>
        </w:rPr>
        <w:t xml:space="preserve">rincípios de </w:t>
      </w:r>
      <w:r w:rsidR="00804685">
        <w:rPr>
          <w:rFonts w:ascii="Garamond" w:eastAsia="Garamond" w:hAnsi="Garamond" w:cs="Garamond"/>
          <w:color w:val="000000"/>
          <w:sz w:val="24"/>
          <w:szCs w:val="24"/>
        </w:rPr>
        <w:t>Q</w:t>
      </w:r>
      <w:r w:rsidR="0061639E" w:rsidRPr="00804685">
        <w:rPr>
          <w:rFonts w:ascii="Garamond" w:eastAsia="Garamond" w:hAnsi="Garamond" w:cs="Garamond"/>
          <w:color w:val="000000"/>
          <w:sz w:val="24"/>
          <w:szCs w:val="24"/>
        </w:rPr>
        <w:t>ualidade definidos</w:t>
      </w:r>
      <w:r w:rsidR="00803391" w:rsidRPr="00804685">
        <w:rPr>
          <w:rFonts w:ascii="Garamond" w:eastAsia="Garamond" w:hAnsi="Garamond" w:cs="Garamond"/>
          <w:color w:val="000000"/>
          <w:sz w:val="24"/>
          <w:szCs w:val="24"/>
        </w:rPr>
        <w:t xml:space="preserve"> pela GRI</w:t>
      </w:r>
      <w:r w:rsidR="00D92384" w:rsidRPr="00804685">
        <w:rPr>
          <w:rFonts w:ascii="Garamond" w:eastAsia="Garamond" w:hAnsi="Garamond" w:cs="Garamond"/>
          <w:color w:val="000000"/>
          <w:sz w:val="24"/>
          <w:szCs w:val="24"/>
        </w:rPr>
        <w:t>.</w:t>
      </w:r>
      <w:r w:rsidR="0061639E" w:rsidRPr="00804685">
        <w:rPr>
          <w:rFonts w:ascii="Garamond" w:eastAsia="Garamond" w:hAnsi="Garamond" w:cs="Garamond"/>
          <w:color w:val="000000"/>
          <w:sz w:val="24"/>
          <w:szCs w:val="24"/>
        </w:rPr>
        <w:t xml:space="preserve"> </w:t>
      </w:r>
    </w:p>
    <w:p w14:paraId="0EC0DD6C" w14:textId="595B15B2" w:rsidR="004D5480" w:rsidRDefault="006A3B20" w:rsidP="006A3B20">
      <w:pPr>
        <w:spacing w:after="0" w:line="360" w:lineRule="auto"/>
        <w:ind w:firstLine="708"/>
        <w:jc w:val="both"/>
        <w:rPr>
          <w:rFonts w:ascii="Garamond" w:eastAsia="Garamond" w:hAnsi="Garamond" w:cs="Garamond"/>
          <w:color w:val="000000"/>
          <w:sz w:val="24"/>
          <w:szCs w:val="24"/>
        </w:rPr>
      </w:pPr>
      <w:r w:rsidRPr="00445CF3">
        <w:rPr>
          <w:rFonts w:ascii="Garamond" w:eastAsia="Garamond" w:hAnsi="Garamond" w:cs="Garamond"/>
          <w:color w:val="000000"/>
          <w:sz w:val="24"/>
          <w:szCs w:val="24"/>
        </w:rPr>
        <w:t>Entre os principais resultados, destaca-se</w:t>
      </w:r>
      <w:r w:rsidR="00A9340F" w:rsidRPr="00804685">
        <w:rPr>
          <w:rFonts w:ascii="Garamond" w:eastAsia="Garamond" w:hAnsi="Garamond" w:cs="Garamond"/>
          <w:color w:val="000000"/>
          <w:sz w:val="24"/>
          <w:szCs w:val="24"/>
        </w:rPr>
        <w:t xml:space="preserve"> que os relatórios com mais qualidade </w:t>
      </w:r>
      <w:r w:rsidR="00D54AE9">
        <w:rPr>
          <w:rFonts w:ascii="Garamond" w:eastAsia="Garamond" w:hAnsi="Garamond" w:cs="Garamond"/>
          <w:color w:val="000000"/>
          <w:sz w:val="24"/>
          <w:szCs w:val="24"/>
        </w:rPr>
        <w:t>e</w:t>
      </w:r>
      <w:r w:rsidR="00A9340F" w:rsidRPr="00804685">
        <w:rPr>
          <w:rFonts w:ascii="Garamond" w:eastAsia="Garamond" w:hAnsi="Garamond" w:cs="Garamond"/>
          <w:color w:val="000000"/>
          <w:sz w:val="24"/>
          <w:szCs w:val="24"/>
        </w:rPr>
        <w:t>s</w:t>
      </w:r>
      <w:r w:rsidR="00D54AE9">
        <w:rPr>
          <w:rFonts w:ascii="Garamond" w:eastAsia="Garamond" w:hAnsi="Garamond" w:cs="Garamond"/>
          <w:color w:val="000000"/>
          <w:sz w:val="24"/>
          <w:szCs w:val="24"/>
        </w:rPr>
        <w:t>t</w:t>
      </w:r>
      <w:r w:rsidR="00A9340F" w:rsidRPr="00804685">
        <w:rPr>
          <w:rFonts w:ascii="Garamond" w:eastAsia="Garamond" w:hAnsi="Garamond" w:cs="Garamond"/>
          <w:color w:val="000000"/>
          <w:sz w:val="24"/>
          <w:szCs w:val="24"/>
        </w:rPr>
        <w:t xml:space="preserve">ão </w:t>
      </w:r>
      <w:r w:rsidR="002D3D1C">
        <w:rPr>
          <w:rFonts w:ascii="Garamond" w:eastAsia="Garamond" w:hAnsi="Garamond" w:cs="Garamond"/>
          <w:color w:val="000000"/>
          <w:sz w:val="24"/>
          <w:szCs w:val="24"/>
        </w:rPr>
        <w:t>na forma de Relato Integrado,</w:t>
      </w:r>
      <w:r w:rsidR="00A9340F" w:rsidRPr="00804685">
        <w:rPr>
          <w:rFonts w:ascii="Garamond" w:eastAsia="Garamond" w:hAnsi="Garamond" w:cs="Garamond"/>
          <w:color w:val="000000"/>
          <w:sz w:val="24"/>
          <w:szCs w:val="24"/>
        </w:rPr>
        <w:t xml:space="preserve"> </w:t>
      </w:r>
      <w:r w:rsidR="002B774C">
        <w:rPr>
          <w:rFonts w:ascii="Garamond" w:eastAsia="Garamond" w:hAnsi="Garamond" w:cs="Garamond"/>
          <w:color w:val="000000"/>
          <w:sz w:val="24"/>
          <w:szCs w:val="24"/>
        </w:rPr>
        <w:t>dos</w:t>
      </w:r>
      <w:r w:rsidR="00A9340F" w:rsidRPr="00804685">
        <w:rPr>
          <w:rFonts w:ascii="Garamond" w:eastAsia="Garamond" w:hAnsi="Garamond" w:cs="Garamond"/>
          <w:color w:val="000000"/>
          <w:sz w:val="24"/>
          <w:szCs w:val="24"/>
        </w:rPr>
        <w:t xml:space="preserve"> bancos </w:t>
      </w:r>
      <w:r w:rsidR="00A24D35" w:rsidRPr="00804685">
        <w:rPr>
          <w:rFonts w:ascii="Garamond" w:eastAsia="Garamond" w:hAnsi="Garamond" w:cs="Garamond"/>
          <w:color w:val="000000"/>
          <w:sz w:val="24"/>
          <w:szCs w:val="24"/>
        </w:rPr>
        <w:t>privados, com capital aberto</w:t>
      </w:r>
      <w:r w:rsidR="002B774C">
        <w:rPr>
          <w:rFonts w:ascii="Garamond" w:eastAsia="Garamond" w:hAnsi="Garamond" w:cs="Garamond"/>
          <w:color w:val="000000"/>
          <w:sz w:val="24"/>
          <w:szCs w:val="24"/>
        </w:rPr>
        <w:t xml:space="preserve"> e</w:t>
      </w:r>
      <w:r w:rsidR="00307B54" w:rsidRPr="00804685">
        <w:rPr>
          <w:rFonts w:ascii="Garamond" w:eastAsia="Garamond" w:hAnsi="Garamond" w:cs="Garamond"/>
          <w:color w:val="000000"/>
          <w:sz w:val="24"/>
          <w:szCs w:val="24"/>
        </w:rPr>
        <w:t xml:space="preserve"> sediados no Brasil</w:t>
      </w:r>
      <w:r w:rsidR="001417AB">
        <w:rPr>
          <w:rFonts w:ascii="Garamond" w:eastAsia="Garamond" w:hAnsi="Garamond" w:cs="Garamond"/>
          <w:color w:val="000000"/>
          <w:sz w:val="24"/>
          <w:szCs w:val="24"/>
        </w:rPr>
        <w:t>.</w:t>
      </w:r>
      <w:r w:rsidR="00CA6227" w:rsidRPr="001417AB">
        <w:rPr>
          <w:rFonts w:ascii="Garamond" w:eastAsia="Garamond" w:hAnsi="Garamond" w:cs="Garamond"/>
          <w:color w:val="000000"/>
          <w:sz w:val="24"/>
          <w:szCs w:val="24"/>
        </w:rPr>
        <w:t xml:space="preserve"> </w:t>
      </w:r>
      <w:r w:rsidR="0052181B">
        <w:rPr>
          <w:rFonts w:ascii="Garamond" w:eastAsia="Garamond" w:hAnsi="Garamond" w:cs="Garamond"/>
          <w:color w:val="000000"/>
          <w:sz w:val="24"/>
          <w:szCs w:val="24"/>
        </w:rPr>
        <w:t>O</w:t>
      </w:r>
      <w:r w:rsidR="00B532C2" w:rsidRPr="001417AB">
        <w:rPr>
          <w:rFonts w:ascii="Garamond" w:eastAsia="Garamond" w:hAnsi="Garamond" w:cs="Garamond"/>
          <w:color w:val="000000"/>
          <w:sz w:val="24"/>
          <w:szCs w:val="24"/>
        </w:rPr>
        <w:t>s</w:t>
      </w:r>
      <w:r w:rsidR="0090627E" w:rsidRPr="001417AB">
        <w:rPr>
          <w:rFonts w:ascii="Garamond" w:eastAsia="Garamond" w:hAnsi="Garamond" w:cs="Garamond"/>
          <w:color w:val="000000"/>
          <w:sz w:val="24"/>
          <w:szCs w:val="24"/>
        </w:rPr>
        <w:t xml:space="preserve"> melhores relatórios</w:t>
      </w:r>
      <w:r w:rsidR="00D101A6">
        <w:rPr>
          <w:rFonts w:ascii="Garamond" w:eastAsia="Garamond" w:hAnsi="Garamond" w:cs="Garamond"/>
          <w:color w:val="000000"/>
          <w:sz w:val="24"/>
          <w:szCs w:val="24"/>
        </w:rPr>
        <w:t xml:space="preserve"> foram</w:t>
      </w:r>
      <w:r w:rsidR="003B3DB5" w:rsidRPr="001417AB">
        <w:rPr>
          <w:rFonts w:ascii="Garamond" w:eastAsia="Garamond" w:hAnsi="Garamond" w:cs="Garamond"/>
          <w:color w:val="000000"/>
          <w:sz w:val="24"/>
          <w:szCs w:val="24"/>
        </w:rPr>
        <w:t xml:space="preserve"> do</w:t>
      </w:r>
      <w:r w:rsidR="003B3DB5" w:rsidRPr="00445CF3">
        <w:rPr>
          <w:rFonts w:ascii="Garamond" w:eastAsia="Garamond" w:hAnsi="Garamond" w:cs="Garamond"/>
          <w:color w:val="000000"/>
          <w:sz w:val="24"/>
          <w:szCs w:val="24"/>
        </w:rPr>
        <w:t xml:space="preserve"> </w:t>
      </w:r>
      <w:r w:rsidR="00B532C2" w:rsidRPr="00804685">
        <w:rPr>
          <w:rFonts w:ascii="Garamond" w:eastAsia="Garamond" w:hAnsi="Garamond" w:cs="Garamond"/>
          <w:color w:val="000000"/>
          <w:sz w:val="24"/>
          <w:szCs w:val="24"/>
        </w:rPr>
        <w:t>Bradesco</w:t>
      </w:r>
      <w:r w:rsidR="00B532C2" w:rsidRPr="00445CF3">
        <w:rPr>
          <w:rFonts w:ascii="Garamond" w:eastAsia="Garamond" w:hAnsi="Garamond" w:cs="Garamond"/>
          <w:color w:val="000000"/>
          <w:sz w:val="24"/>
          <w:szCs w:val="24"/>
        </w:rPr>
        <w:t xml:space="preserve">, </w:t>
      </w:r>
      <w:r w:rsidR="00B532C2" w:rsidRPr="00804685">
        <w:rPr>
          <w:rFonts w:ascii="Garamond" w:eastAsia="Garamond" w:hAnsi="Garamond" w:cs="Garamond"/>
          <w:color w:val="000000"/>
          <w:sz w:val="24"/>
          <w:szCs w:val="24"/>
        </w:rPr>
        <w:t>Itaú</w:t>
      </w:r>
      <w:r w:rsidR="00B532C2" w:rsidRPr="00445CF3">
        <w:rPr>
          <w:rFonts w:ascii="Garamond" w:eastAsia="Garamond" w:hAnsi="Garamond" w:cs="Garamond"/>
          <w:color w:val="000000"/>
          <w:sz w:val="24"/>
          <w:szCs w:val="24"/>
        </w:rPr>
        <w:t xml:space="preserve">, </w:t>
      </w:r>
      <w:r w:rsidR="00B532C2" w:rsidRPr="00804685">
        <w:rPr>
          <w:rFonts w:ascii="Garamond" w:eastAsia="Garamond" w:hAnsi="Garamond" w:cs="Garamond"/>
          <w:color w:val="000000"/>
          <w:sz w:val="24"/>
          <w:szCs w:val="24"/>
        </w:rPr>
        <w:t>BNDES e</w:t>
      </w:r>
      <w:r w:rsidR="00B532C2" w:rsidRPr="00445CF3">
        <w:rPr>
          <w:rFonts w:ascii="Garamond" w:eastAsia="Garamond" w:hAnsi="Garamond" w:cs="Garamond"/>
          <w:color w:val="000000"/>
          <w:sz w:val="24"/>
          <w:szCs w:val="24"/>
        </w:rPr>
        <w:t xml:space="preserve"> </w:t>
      </w:r>
      <w:r w:rsidR="00B532C2" w:rsidRPr="00804685">
        <w:rPr>
          <w:rFonts w:ascii="Garamond" w:eastAsia="Garamond" w:hAnsi="Garamond" w:cs="Garamond"/>
          <w:color w:val="000000"/>
          <w:sz w:val="24"/>
          <w:szCs w:val="24"/>
        </w:rPr>
        <w:t>BTG Pactual</w:t>
      </w:r>
      <w:r w:rsidR="0052181B">
        <w:rPr>
          <w:rFonts w:ascii="Garamond" w:eastAsia="Garamond" w:hAnsi="Garamond" w:cs="Garamond"/>
          <w:color w:val="000000"/>
          <w:sz w:val="24"/>
          <w:szCs w:val="24"/>
        </w:rPr>
        <w:t xml:space="preserve"> e</w:t>
      </w:r>
      <w:r w:rsidR="00D101A6">
        <w:rPr>
          <w:rFonts w:ascii="Garamond" w:eastAsia="Garamond" w:hAnsi="Garamond" w:cs="Garamond"/>
          <w:color w:val="000000"/>
          <w:sz w:val="24"/>
          <w:szCs w:val="24"/>
        </w:rPr>
        <w:t xml:space="preserve"> </w:t>
      </w:r>
      <w:r w:rsidR="00B532C2" w:rsidRPr="00445CF3">
        <w:rPr>
          <w:rFonts w:ascii="Garamond" w:eastAsia="Garamond" w:hAnsi="Garamond" w:cs="Garamond"/>
          <w:color w:val="000000"/>
          <w:sz w:val="24"/>
          <w:szCs w:val="24"/>
        </w:rPr>
        <w:t>os piores</w:t>
      </w:r>
      <w:r w:rsidR="00EA332A" w:rsidRPr="00445CF3">
        <w:rPr>
          <w:rFonts w:ascii="Garamond" w:eastAsia="Garamond" w:hAnsi="Garamond" w:cs="Garamond"/>
          <w:color w:val="000000"/>
          <w:sz w:val="24"/>
          <w:szCs w:val="24"/>
        </w:rPr>
        <w:t xml:space="preserve"> </w:t>
      </w:r>
      <w:r w:rsidR="00B532C2" w:rsidRPr="00445CF3">
        <w:rPr>
          <w:rFonts w:ascii="Garamond" w:eastAsia="Garamond" w:hAnsi="Garamond" w:cs="Garamond"/>
          <w:color w:val="000000"/>
          <w:sz w:val="24"/>
          <w:szCs w:val="24"/>
        </w:rPr>
        <w:t xml:space="preserve">do </w:t>
      </w:r>
      <w:r w:rsidR="00B532C2" w:rsidRPr="00804685">
        <w:rPr>
          <w:rFonts w:ascii="Garamond" w:eastAsia="Garamond" w:hAnsi="Garamond" w:cs="Garamond"/>
          <w:color w:val="000000"/>
          <w:sz w:val="24"/>
          <w:szCs w:val="24"/>
        </w:rPr>
        <w:t>J.P. Morgan</w:t>
      </w:r>
      <w:r w:rsidR="00B532C2" w:rsidRPr="00445CF3">
        <w:rPr>
          <w:rFonts w:ascii="Garamond" w:eastAsia="Garamond" w:hAnsi="Garamond" w:cs="Garamond"/>
          <w:color w:val="000000"/>
          <w:sz w:val="24"/>
          <w:szCs w:val="24"/>
        </w:rPr>
        <w:t xml:space="preserve"> e </w:t>
      </w:r>
      <w:r w:rsidR="00B532C2" w:rsidRPr="00804685">
        <w:rPr>
          <w:rFonts w:ascii="Garamond" w:eastAsia="Garamond" w:hAnsi="Garamond" w:cs="Garamond"/>
          <w:color w:val="000000"/>
          <w:sz w:val="24"/>
          <w:szCs w:val="24"/>
        </w:rPr>
        <w:t>Caixa</w:t>
      </w:r>
      <w:r w:rsidR="00B532C2" w:rsidRPr="00445CF3">
        <w:rPr>
          <w:rFonts w:ascii="Garamond" w:eastAsia="Garamond" w:hAnsi="Garamond" w:cs="Garamond"/>
          <w:color w:val="000000"/>
          <w:sz w:val="24"/>
          <w:szCs w:val="24"/>
        </w:rPr>
        <w:t>.</w:t>
      </w:r>
      <w:r w:rsidR="003F0E85">
        <w:rPr>
          <w:rFonts w:ascii="Garamond" w:eastAsia="Garamond" w:hAnsi="Garamond" w:cs="Garamond"/>
          <w:color w:val="000000"/>
          <w:sz w:val="24"/>
          <w:szCs w:val="24"/>
        </w:rPr>
        <w:t xml:space="preserve">   </w:t>
      </w:r>
    </w:p>
    <w:p w14:paraId="1F454738" w14:textId="7187A525" w:rsidR="00C93943" w:rsidRDefault="006A3B20">
      <w:pPr>
        <w:spacing w:after="0" w:line="360" w:lineRule="auto"/>
        <w:ind w:firstLine="708"/>
        <w:jc w:val="both"/>
        <w:rPr>
          <w:rFonts w:ascii="Garamond" w:eastAsia="Garamond" w:hAnsi="Garamond" w:cs="Garamond"/>
          <w:color w:val="000000"/>
          <w:sz w:val="24"/>
          <w:szCs w:val="24"/>
        </w:rPr>
      </w:pPr>
      <w:r w:rsidRPr="00E91CE4">
        <w:rPr>
          <w:rFonts w:ascii="Garamond" w:eastAsia="Garamond" w:hAnsi="Garamond" w:cs="Garamond"/>
          <w:color w:val="000000"/>
          <w:sz w:val="24"/>
          <w:szCs w:val="24"/>
        </w:rPr>
        <w:t xml:space="preserve">Entre as contribuições do estudo apresentado, </w:t>
      </w:r>
      <w:r w:rsidR="00C7732C">
        <w:rPr>
          <w:rFonts w:ascii="Garamond" w:eastAsia="Garamond" w:hAnsi="Garamond" w:cs="Garamond"/>
          <w:color w:val="000000"/>
          <w:sz w:val="24"/>
          <w:szCs w:val="24"/>
        </w:rPr>
        <w:t>espera-se que</w:t>
      </w:r>
      <w:r w:rsidR="003B7CD3">
        <w:rPr>
          <w:rFonts w:ascii="Garamond" w:eastAsia="Garamond" w:hAnsi="Garamond" w:cs="Garamond"/>
          <w:color w:val="000000"/>
          <w:sz w:val="24"/>
          <w:szCs w:val="24"/>
        </w:rPr>
        <w:t xml:space="preserve"> </w:t>
      </w:r>
      <w:r w:rsidR="0027438E">
        <w:rPr>
          <w:rFonts w:ascii="Garamond" w:eastAsia="Garamond" w:hAnsi="Garamond" w:cs="Garamond"/>
          <w:color w:val="000000"/>
          <w:sz w:val="24"/>
          <w:szCs w:val="24"/>
        </w:rPr>
        <w:t xml:space="preserve">auxilie </w:t>
      </w:r>
      <w:r w:rsidR="003B7CD3">
        <w:rPr>
          <w:rFonts w:ascii="Garamond" w:eastAsia="Garamond" w:hAnsi="Garamond" w:cs="Garamond"/>
          <w:color w:val="000000"/>
          <w:sz w:val="24"/>
          <w:szCs w:val="24"/>
        </w:rPr>
        <w:t>os</w:t>
      </w:r>
      <w:r w:rsidR="00C7732C">
        <w:rPr>
          <w:rFonts w:ascii="Garamond" w:eastAsia="Garamond" w:hAnsi="Garamond" w:cs="Garamond"/>
          <w:color w:val="000000"/>
          <w:sz w:val="24"/>
          <w:szCs w:val="24"/>
        </w:rPr>
        <w:t xml:space="preserve"> gestores responsáveis pela elaboração dos Relatórios nas Instituições financeiras, os órgãos reguladores da atividade bancária, empresas de auditoria, consultoria, certificação ou asseguração, bem como a comunidade acadêmica interessada em pesquisar os relatórios emitidos pelos bancos.</w:t>
      </w:r>
      <w:r w:rsidR="00E91CE4">
        <w:rPr>
          <w:rFonts w:ascii="Garamond" w:eastAsia="Garamond" w:hAnsi="Garamond" w:cs="Garamond"/>
          <w:color w:val="000000"/>
          <w:sz w:val="24"/>
          <w:szCs w:val="24"/>
        </w:rPr>
        <w:tab/>
      </w:r>
    </w:p>
    <w:p w14:paraId="682304AF" w14:textId="4A61A6B5" w:rsidR="006A3B20" w:rsidRDefault="006A3B20">
      <w:pPr>
        <w:spacing w:after="0" w:line="360" w:lineRule="auto"/>
        <w:ind w:firstLine="708"/>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Na </w:t>
      </w:r>
      <w:r w:rsidR="004B7A5B">
        <w:rPr>
          <w:rFonts w:ascii="Garamond" w:eastAsia="Garamond" w:hAnsi="Garamond" w:cs="Garamond"/>
          <w:color w:val="000000"/>
          <w:sz w:val="24"/>
          <w:szCs w:val="24"/>
        </w:rPr>
        <w:t xml:space="preserve">seção </w:t>
      </w:r>
      <w:r>
        <w:rPr>
          <w:rFonts w:ascii="Garamond" w:eastAsia="Garamond" w:hAnsi="Garamond" w:cs="Garamond"/>
          <w:color w:val="000000"/>
          <w:sz w:val="24"/>
          <w:szCs w:val="24"/>
        </w:rPr>
        <w:t>2, apresenta-se uma revisão da literatura relevante</w:t>
      </w:r>
      <w:r w:rsidR="004B7A5B">
        <w:rPr>
          <w:rFonts w:ascii="Garamond" w:eastAsia="Garamond" w:hAnsi="Garamond" w:cs="Garamond"/>
          <w:color w:val="000000"/>
          <w:sz w:val="24"/>
          <w:szCs w:val="24"/>
        </w:rPr>
        <w:t>.</w:t>
      </w:r>
      <w:r w:rsidR="00623A5D">
        <w:rPr>
          <w:rFonts w:ascii="Garamond" w:eastAsia="Garamond" w:hAnsi="Garamond" w:cs="Garamond"/>
          <w:color w:val="000000"/>
          <w:sz w:val="24"/>
          <w:szCs w:val="24"/>
        </w:rPr>
        <w:t xml:space="preserve"> Na seção 3, identifica-se a metodologia utilizada. Na seção 4, apresentam-se os resultados e a sua discussão. Finalmente, na última seção, apresentam-se as principais conclusões, identificam-se as principais limitações do estudo e sugerem-se pistas para investigação futura.  </w:t>
      </w:r>
    </w:p>
    <w:p w14:paraId="361F4963" w14:textId="2F0D3A7C" w:rsidR="00EC4499" w:rsidRDefault="00433EA7" w:rsidP="008347B5">
      <w:pPr>
        <w:pStyle w:val="Ttulo1"/>
      </w:pPr>
      <w:bookmarkStart w:id="5" w:name="_heading=h.wv8mxdfq2n5o" w:colFirst="0" w:colLast="0"/>
      <w:bookmarkStart w:id="6" w:name="_heading=h.z5qn5yrwleja" w:colFirst="0" w:colLast="0"/>
      <w:bookmarkEnd w:id="5"/>
      <w:bookmarkEnd w:id="6"/>
      <w:r>
        <w:lastRenderedPageBreak/>
        <w:t xml:space="preserve">Revisão da literatura </w:t>
      </w:r>
      <w:r w:rsidR="006A3B20">
        <w:t>relevante</w:t>
      </w:r>
    </w:p>
    <w:p w14:paraId="14032189" w14:textId="4F35C0C2" w:rsidR="006A3B20" w:rsidRPr="00C822DC" w:rsidRDefault="006A3B20" w:rsidP="006A3B20">
      <w:pPr>
        <w:pStyle w:val="Ttulo2"/>
        <w:spacing w:after="0" w:line="360" w:lineRule="auto"/>
        <w:rPr>
          <w:rFonts w:ascii="Garamond" w:eastAsia="Garamond" w:hAnsi="Garamond" w:cs="Garamond"/>
          <w:sz w:val="24"/>
          <w:szCs w:val="24"/>
        </w:rPr>
      </w:pPr>
      <w:r>
        <w:rPr>
          <w:rFonts w:ascii="Garamond" w:eastAsia="Garamond" w:hAnsi="Garamond" w:cs="Garamond"/>
          <w:sz w:val="26"/>
          <w:szCs w:val="26"/>
        </w:rPr>
        <w:t>2.1</w:t>
      </w:r>
      <w:r w:rsidR="00D707FE">
        <w:rPr>
          <w:rFonts w:ascii="Garamond" w:eastAsia="Garamond" w:hAnsi="Garamond" w:cs="Garamond"/>
          <w:sz w:val="26"/>
          <w:szCs w:val="26"/>
        </w:rPr>
        <w:tab/>
      </w:r>
      <w:r>
        <w:rPr>
          <w:rFonts w:ascii="Garamond" w:eastAsia="Garamond" w:hAnsi="Garamond" w:cs="Garamond"/>
          <w:sz w:val="26"/>
          <w:szCs w:val="26"/>
        </w:rPr>
        <w:t>Formas de relato</w:t>
      </w:r>
      <w:r w:rsidRPr="00C822DC">
        <w:rPr>
          <w:rFonts w:ascii="Garamond" w:eastAsia="Garamond" w:hAnsi="Garamond" w:cs="Garamond"/>
          <w:sz w:val="24"/>
          <w:szCs w:val="24"/>
        </w:rPr>
        <w:t xml:space="preserve"> </w:t>
      </w:r>
    </w:p>
    <w:p w14:paraId="572A41FC" w14:textId="77777777" w:rsidR="006A3B20" w:rsidRPr="00C822DC" w:rsidRDefault="006A3B20" w:rsidP="006A3B20">
      <w:pPr>
        <w:spacing w:after="0" w:line="360" w:lineRule="auto"/>
        <w:rPr>
          <w:rFonts w:ascii="Garamond" w:eastAsia="Garamond" w:hAnsi="Garamond" w:cs="Garamond"/>
          <w:b/>
          <w:color w:val="000000"/>
          <w:sz w:val="24"/>
          <w:szCs w:val="24"/>
        </w:rPr>
      </w:pPr>
    </w:p>
    <w:p w14:paraId="0B3249C0" w14:textId="77777777" w:rsidR="006A3B20" w:rsidRDefault="006A3B20" w:rsidP="006A3B20">
      <w:pPr>
        <w:spacing w:after="0" w:line="360" w:lineRule="auto"/>
        <w:ind w:firstLine="708"/>
        <w:jc w:val="both"/>
        <w:rPr>
          <w:rFonts w:ascii="Garamond" w:eastAsia="Garamond" w:hAnsi="Garamond" w:cs="Garamond"/>
          <w:sz w:val="24"/>
          <w:szCs w:val="24"/>
        </w:rPr>
      </w:pPr>
      <w:r>
        <w:rPr>
          <w:rFonts w:ascii="Garamond" w:eastAsia="Garamond" w:hAnsi="Garamond" w:cs="Garamond"/>
          <w:sz w:val="24"/>
          <w:szCs w:val="24"/>
        </w:rPr>
        <w:t>A divulgação de informação não financeira tornou-se um assunto relevante para preparadores, utilizadores e reguladores. Desenvolvimentos recentes, especialmente na consolidação de organismos de normalização, como a criação do Conselho Internacional de Normas de Sustentabilidade (ISSB), destacam a necessidade de tornar a informação sobre sustentabilidade comparável, confiável e relevante (Sick, 2022).</w:t>
      </w:r>
    </w:p>
    <w:p w14:paraId="2343FF21" w14:textId="77777777" w:rsidR="006A3B20" w:rsidRDefault="006A3B20" w:rsidP="006A3B20">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Os relatórios utilizados para divulgação das informações de sustentabilidade podem ser divididos em dois principais grupos: integrados e de sustentabilidade. Enquanto os relatórios de sustentabilidade atendem a uma ampla gama de partes interessadas e comunicam os impactos da organização na economia, meio ambiente e sociedade os integrados explicam aos investidores como ela cria valor a curto, médio e longo prazo. </w:t>
      </w:r>
    </w:p>
    <w:p w14:paraId="029F4732" w14:textId="77777777" w:rsidR="006A3B20" w:rsidRDefault="006A3B20" w:rsidP="006A3B20">
      <w:pPr>
        <w:spacing w:after="0" w:line="360" w:lineRule="auto"/>
        <w:ind w:firstLine="708"/>
        <w:jc w:val="both"/>
        <w:rPr>
          <w:rFonts w:ascii="Garamond" w:eastAsia="Garamond" w:hAnsi="Garamond" w:cs="Garamond"/>
          <w:color w:val="000000"/>
          <w:sz w:val="24"/>
          <w:szCs w:val="24"/>
        </w:rPr>
      </w:pPr>
      <w:r>
        <w:rPr>
          <w:rFonts w:ascii="Garamond" w:eastAsia="Garamond" w:hAnsi="Garamond" w:cs="Garamond"/>
          <w:color w:val="000000"/>
          <w:sz w:val="24"/>
          <w:szCs w:val="24"/>
        </w:rPr>
        <w:t>A figura abaixo, produzida pelo Conselho Internacional para Relato Integrado (IIRC), demonstra as diferenças relacionadas ao propósito, público-alvo e escopo entre os relatórios integrados e de sustentabilidade.</w:t>
      </w:r>
    </w:p>
    <w:p w14:paraId="337AF11A" w14:textId="77777777" w:rsidR="006A3B20" w:rsidRDefault="006A3B20" w:rsidP="006A3B20">
      <w:pPr>
        <w:spacing w:after="0" w:line="360" w:lineRule="auto"/>
        <w:rPr>
          <w:rFonts w:ascii="Garamond" w:eastAsia="Garamond" w:hAnsi="Garamond" w:cs="Garamond"/>
          <w:color w:val="000000"/>
          <w:sz w:val="24"/>
          <w:szCs w:val="24"/>
        </w:rPr>
      </w:pPr>
    </w:p>
    <w:p w14:paraId="0E80452C" w14:textId="77777777" w:rsidR="006A3B20" w:rsidRDefault="006A3B20" w:rsidP="006A3B20">
      <w:pPr>
        <w:spacing w:after="0" w:line="360" w:lineRule="auto"/>
        <w:jc w:val="center"/>
        <w:rPr>
          <w:rFonts w:ascii="Garamond" w:eastAsia="Garamond" w:hAnsi="Garamond" w:cs="Garamond"/>
          <w:color w:val="000000"/>
          <w:sz w:val="24"/>
          <w:szCs w:val="24"/>
        </w:rPr>
      </w:pPr>
      <w:r>
        <w:rPr>
          <w:rFonts w:ascii="Garamond" w:eastAsia="Garamond" w:hAnsi="Garamond" w:cs="Garamond"/>
          <w:color w:val="000000"/>
          <w:sz w:val="24"/>
          <w:szCs w:val="24"/>
        </w:rPr>
        <w:t>Figura 1 – Relatório Integrado x Relatório de Sustentabilidade</w:t>
      </w:r>
    </w:p>
    <w:p w14:paraId="69EA617A" w14:textId="77777777" w:rsidR="006A3B20" w:rsidRDefault="006A3B20" w:rsidP="006A3B20">
      <w:pPr>
        <w:spacing w:after="0" w:line="360" w:lineRule="auto"/>
        <w:rPr>
          <w:rFonts w:ascii="Garamond" w:eastAsia="Garamond" w:hAnsi="Garamond" w:cs="Garamond"/>
          <w:color w:val="000000"/>
          <w:sz w:val="24"/>
          <w:szCs w:val="24"/>
        </w:rPr>
      </w:pPr>
      <w:r>
        <w:rPr>
          <w:rFonts w:ascii="Garamond" w:eastAsia="Garamond" w:hAnsi="Garamond" w:cs="Garamond"/>
          <w:noProof/>
          <w:color w:val="000000"/>
          <w:sz w:val="24"/>
          <w:szCs w:val="24"/>
        </w:rPr>
        <w:drawing>
          <wp:inline distT="0" distB="0" distL="0" distR="0" wp14:anchorId="2FD2D87C" wp14:editId="46C7CE9C">
            <wp:extent cx="5399405" cy="2284730"/>
            <wp:effectExtent l="0" t="0" r="0" b="0"/>
            <wp:docPr id="1367529601" name="image7.png" descr="Tabela&#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0" name="image7.png" descr="Tabela&#10;&#10;Descrição gerada automaticamente com confiança média"/>
                    <pic:cNvPicPr preferRelativeResize="0"/>
                  </pic:nvPicPr>
                  <pic:blipFill>
                    <a:blip r:embed="rId11"/>
                    <a:srcRect/>
                    <a:stretch>
                      <a:fillRect/>
                    </a:stretch>
                  </pic:blipFill>
                  <pic:spPr>
                    <a:xfrm>
                      <a:off x="0" y="0"/>
                      <a:ext cx="5399405" cy="2284730"/>
                    </a:xfrm>
                    <a:prstGeom prst="rect">
                      <a:avLst/>
                    </a:prstGeom>
                    <a:ln/>
                  </pic:spPr>
                </pic:pic>
              </a:graphicData>
            </a:graphic>
          </wp:inline>
        </w:drawing>
      </w:r>
    </w:p>
    <w:p w14:paraId="5FAA83DF" w14:textId="408C1E0F" w:rsidR="006A3B20" w:rsidRDefault="006A3B20" w:rsidP="006A3B20">
      <w:pPr>
        <w:spacing w:after="0" w:line="360" w:lineRule="auto"/>
        <w:rPr>
          <w:rFonts w:ascii="Garamond" w:eastAsia="Garamond" w:hAnsi="Garamond" w:cs="Garamond"/>
          <w:color w:val="000000"/>
          <w:sz w:val="18"/>
          <w:szCs w:val="18"/>
        </w:rPr>
      </w:pPr>
      <w:r>
        <w:rPr>
          <w:rFonts w:ascii="Garamond" w:eastAsia="Garamond" w:hAnsi="Garamond" w:cs="Garamond"/>
          <w:color w:val="000000"/>
          <w:sz w:val="24"/>
          <w:szCs w:val="24"/>
        </w:rPr>
        <w:t xml:space="preserve">   </w:t>
      </w:r>
      <w:r w:rsidRPr="0015247D">
        <w:rPr>
          <w:rFonts w:ascii="Garamond" w:eastAsia="Garamond" w:hAnsi="Garamond" w:cs="Garamond"/>
          <w:color w:val="000000"/>
          <w:sz w:val="18"/>
          <w:szCs w:val="18"/>
        </w:rPr>
        <w:t>Fonte: IIRC (</w:t>
      </w:r>
      <w:r w:rsidR="006B16AA" w:rsidRPr="0015247D">
        <w:rPr>
          <w:rFonts w:ascii="Garamond" w:eastAsia="Garamond" w:hAnsi="Garamond" w:cs="Garamond"/>
          <w:color w:val="000000"/>
          <w:sz w:val="18"/>
          <w:szCs w:val="18"/>
        </w:rPr>
        <w:t>2015</w:t>
      </w:r>
      <w:r w:rsidRPr="0015247D">
        <w:rPr>
          <w:rFonts w:ascii="Garamond" w:eastAsia="Garamond" w:hAnsi="Garamond" w:cs="Garamond"/>
          <w:color w:val="000000"/>
          <w:sz w:val="18"/>
          <w:szCs w:val="18"/>
        </w:rPr>
        <w:t xml:space="preserve">, p. </w:t>
      </w:r>
      <w:r w:rsidR="0015247D" w:rsidRPr="0015247D">
        <w:rPr>
          <w:rFonts w:ascii="Garamond" w:eastAsia="Garamond" w:hAnsi="Garamond" w:cs="Garamond"/>
          <w:color w:val="000000"/>
          <w:sz w:val="18"/>
          <w:szCs w:val="18"/>
        </w:rPr>
        <w:t>11</w:t>
      </w:r>
      <w:r w:rsidRPr="0015247D">
        <w:rPr>
          <w:rFonts w:ascii="Garamond" w:eastAsia="Garamond" w:hAnsi="Garamond" w:cs="Garamond"/>
          <w:color w:val="000000"/>
          <w:sz w:val="18"/>
          <w:szCs w:val="18"/>
        </w:rPr>
        <w:t>)</w:t>
      </w:r>
      <w:r w:rsidR="006B705C">
        <w:rPr>
          <w:rFonts w:ascii="Garamond" w:eastAsia="Garamond" w:hAnsi="Garamond" w:cs="Garamond"/>
          <w:color w:val="000000"/>
          <w:sz w:val="18"/>
          <w:szCs w:val="18"/>
        </w:rPr>
        <w:t>.</w:t>
      </w:r>
    </w:p>
    <w:p w14:paraId="2B91FA33" w14:textId="77777777" w:rsidR="006A3B20" w:rsidRDefault="006A3B20" w:rsidP="006A3B20">
      <w:pPr>
        <w:spacing w:after="0" w:line="360" w:lineRule="auto"/>
        <w:ind w:firstLine="360"/>
        <w:rPr>
          <w:rFonts w:ascii="Garamond" w:eastAsia="Garamond" w:hAnsi="Garamond" w:cs="Garamond"/>
          <w:color w:val="000000"/>
          <w:sz w:val="24"/>
          <w:szCs w:val="24"/>
          <w:highlight w:val="yellow"/>
        </w:rPr>
      </w:pPr>
    </w:p>
    <w:p w14:paraId="1A38377E" w14:textId="7EFFE1D6" w:rsidR="006A3B20" w:rsidRDefault="006A3B20" w:rsidP="006A3B20">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lastRenderedPageBreak/>
        <w:t>Segundo estudo da KPMG sobre relatórios de sustentabilidade, 86% das empresas brasileiras pesquisadas utilizava</w:t>
      </w:r>
      <w:r w:rsidR="00DC0579">
        <w:rPr>
          <w:rFonts w:ascii="Garamond" w:eastAsia="Garamond" w:hAnsi="Garamond" w:cs="Garamond"/>
          <w:color w:val="000000"/>
          <w:sz w:val="24"/>
          <w:szCs w:val="24"/>
        </w:rPr>
        <w:t>m</w:t>
      </w:r>
      <w:r>
        <w:rPr>
          <w:rFonts w:ascii="Garamond" w:eastAsia="Garamond" w:hAnsi="Garamond" w:cs="Garamond"/>
          <w:color w:val="000000"/>
          <w:sz w:val="24"/>
          <w:szCs w:val="24"/>
        </w:rPr>
        <w:t xml:space="preserve"> a estrutura de relato integrado e 93% reportavam pela metodologia GRI (KPMG, 202</w:t>
      </w:r>
      <w:r>
        <w:rPr>
          <w:rFonts w:ascii="Garamond" w:eastAsia="Garamond" w:hAnsi="Garamond" w:cs="Garamond"/>
          <w:sz w:val="24"/>
          <w:szCs w:val="24"/>
        </w:rPr>
        <w:t>3</w:t>
      </w:r>
      <w:r>
        <w:rPr>
          <w:rFonts w:ascii="Garamond" w:eastAsia="Garamond" w:hAnsi="Garamond" w:cs="Garamond"/>
          <w:color w:val="000000"/>
          <w:sz w:val="24"/>
          <w:szCs w:val="24"/>
        </w:rPr>
        <w:t xml:space="preserve">). </w:t>
      </w:r>
    </w:p>
    <w:p w14:paraId="79B5A2C1" w14:textId="77777777" w:rsidR="006A3B20" w:rsidRDefault="006A3B20" w:rsidP="006A3B20">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As Normas da </w:t>
      </w:r>
      <w:r>
        <w:rPr>
          <w:rFonts w:ascii="Garamond" w:eastAsia="Garamond" w:hAnsi="Garamond" w:cs="Garamond"/>
          <w:i/>
          <w:color w:val="000000"/>
          <w:sz w:val="24"/>
          <w:szCs w:val="24"/>
        </w:rPr>
        <w:t>Global Reporting Initiative</w:t>
      </w:r>
      <w:r>
        <w:rPr>
          <w:rFonts w:ascii="Garamond" w:eastAsia="Garamond" w:hAnsi="Garamond" w:cs="Garamond"/>
          <w:color w:val="000000"/>
          <w:sz w:val="24"/>
          <w:szCs w:val="24"/>
        </w:rPr>
        <w:t xml:space="preserve"> (GRI) apresentam práticas para o relato de diferentes impactos econômicos, ambientais e sociais. Os relatórios elaborados com base na GRI são utilizados por fornecem informações sobre os impactos positivos ou negativos de uma organização para o desenvolvimento sustentável.</w:t>
      </w:r>
    </w:p>
    <w:p w14:paraId="4831B8FA" w14:textId="555436CB" w:rsidR="006A3B20" w:rsidRDefault="006A3B20" w:rsidP="006A3B20">
      <w:pPr>
        <w:spacing w:after="0" w:line="360" w:lineRule="auto"/>
        <w:ind w:firstLine="708"/>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As normas GRI possuem três séries que embasam o processo de relato: as Normas Universais, que se aplicam a todas as organizações, as Normas Setoriais da GRI, aplicáveis </w:t>
      </w:r>
      <w:r>
        <w:rPr>
          <w:rFonts w:ascii="Times New Roman" w:eastAsia="Times New Roman" w:hAnsi="Times New Roman" w:cs="Times New Roman"/>
          <w:color w:val="000000"/>
          <w:sz w:val="24"/>
          <w:szCs w:val="24"/>
        </w:rPr>
        <w:t>​​</w:t>
      </w:r>
      <w:r>
        <w:rPr>
          <w:rFonts w:ascii="Garamond" w:eastAsia="Garamond" w:hAnsi="Garamond" w:cs="Garamond"/>
          <w:color w:val="000000"/>
          <w:sz w:val="24"/>
          <w:szCs w:val="24"/>
        </w:rPr>
        <w:t xml:space="preserve">a setores específicos e as Normas Temáticas, apresentando conteúdos relevantes sobre os impactos econômicos (série 200), ambientais (série 300) e sociais (série 400). </w:t>
      </w:r>
    </w:p>
    <w:p w14:paraId="648176F0" w14:textId="77777777" w:rsidR="008039D8" w:rsidRDefault="008039D8" w:rsidP="006A3B20">
      <w:pPr>
        <w:spacing w:after="0" w:line="360" w:lineRule="auto"/>
        <w:ind w:firstLine="708"/>
        <w:jc w:val="both"/>
        <w:rPr>
          <w:rFonts w:ascii="Garamond" w:eastAsia="Garamond" w:hAnsi="Garamond" w:cs="Garamond"/>
          <w:color w:val="000000"/>
          <w:sz w:val="24"/>
          <w:szCs w:val="24"/>
        </w:rPr>
      </w:pPr>
    </w:p>
    <w:p w14:paraId="22CF4ECE" w14:textId="08FCA340" w:rsidR="006A3B20" w:rsidRDefault="006A3B20" w:rsidP="00627D02">
      <w:pPr>
        <w:spacing w:after="240" w:line="360" w:lineRule="auto"/>
        <w:jc w:val="center"/>
        <w:rPr>
          <w:rFonts w:ascii="Garamond" w:eastAsia="Garamond" w:hAnsi="Garamond" w:cs="Garamond"/>
          <w:color w:val="000000"/>
          <w:sz w:val="24"/>
          <w:szCs w:val="24"/>
        </w:rPr>
      </w:pPr>
      <w:r>
        <w:rPr>
          <w:rFonts w:ascii="Garamond" w:eastAsia="Garamond" w:hAnsi="Garamond" w:cs="Garamond"/>
          <w:color w:val="000000"/>
          <w:sz w:val="24"/>
          <w:szCs w:val="24"/>
        </w:rPr>
        <w:t>Figura 2 – Estrutura das Normas GRI</w:t>
      </w:r>
      <w:r>
        <w:rPr>
          <w:rFonts w:ascii="Garamond" w:eastAsia="Garamond" w:hAnsi="Garamond" w:cs="Garamond"/>
          <w:noProof/>
          <w:color w:val="000000"/>
          <w:sz w:val="24"/>
          <w:szCs w:val="24"/>
        </w:rPr>
        <w:drawing>
          <wp:inline distT="0" distB="0" distL="0" distR="0" wp14:anchorId="7A4E0E09" wp14:editId="1F7D6788">
            <wp:extent cx="5399405" cy="3644265"/>
            <wp:effectExtent l="0" t="0" r="0" b="0"/>
            <wp:docPr id="1920749024" name="image3.png" descr="Interface gráfica do usuário, Aplicativ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3.png" descr="Interface gráfica do usuário, Aplicativo&#10;&#10;Descrição gerada automaticamente"/>
                    <pic:cNvPicPr preferRelativeResize="0"/>
                  </pic:nvPicPr>
                  <pic:blipFill>
                    <a:blip r:embed="rId12"/>
                    <a:srcRect/>
                    <a:stretch>
                      <a:fillRect/>
                    </a:stretch>
                  </pic:blipFill>
                  <pic:spPr>
                    <a:xfrm>
                      <a:off x="0" y="0"/>
                      <a:ext cx="5399405" cy="3644265"/>
                    </a:xfrm>
                    <a:prstGeom prst="rect">
                      <a:avLst/>
                    </a:prstGeom>
                    <a:ln/>
                  </pic:spPr>
                </pic:pic>
              </a:graphicData>
            </a:graphic>
          </wp:inline>
        </w:drawing>
      </w:r>
    </w:p>
    <w:p w14:paraId="060F08FC" w14:textId="1C155CD1" w:rsidR="006A3B20" w:rsidRDefault="006A3B20" w:rsidP="006A3B20">
      <w:pPr>
        <w:spacing w:after="0" w:line="360" w:lineRule="auto"/>
        <w:rPr>
          <w:rFonts w:ascii="Garamond" w:eastAsia="Garamond" w:hAnsi="Garamond" w:cs="Garamond"/>
          <w:color w:val="000000"/>
          <w:sz w:val="18"/>
          <w:szCs w:val="18"/>
        </w:rPr>
      </w:pPr>
      <w:r>
        <w:rPr>
          <w:rFonts w:ascii="Garamond" w:eastAsia="Garamond" w:hAnsi="Garamond" w:cs="Garamond"/>
          <w:color w:val="000000"/>
          <w:sz w:val="18"/>
          <w:szCs w:val="18"/>
        </w:rPr>
        <w:t>Fonte: GRI</w:t>
      </w:r>
      <w:r w:rsidR="004A1D96">
        <w:rPr>
          <w:rFonts w:ascii="Garamond" w:eastAsia="Garamond" w:hAnsi="Garamond" w:cs="Garamond"/>
          <w:color w:val="000000"/>
          <w:sz w:val="18"/>
          <w:szCs w:val="18"/>
        </w:rPr>
        <w:t xml:space="preserve"> (2021, p. 6)</w:t>
      </w:r>
      <w:r w:rsidR="006B705C">
        <w:rPr>
          <w:rFonts w:ascii="Garamond" w:eastAsia="Garamond" w:hAnsi="Garamond" w:cs="Garamond"/>
          <w:color w:val="000000"/>
          <w:sz w:val="18"/>
          <w:szCs w:val="18"/>
        </w:rPr>
        <w:t>.</w:t>
      </w:r>
    </w:p>
    <w:p w14:paraId="09D85E5A" w14:textId="77777777" w:rsidR="006A3B20" w:rsidRDefault="006A3B20" w:rsidP="006A3B20">
      <w:pPr>
        <w:spacing w:after="0" w:line="360" w:lineRule="auto"/>
        <w:rPr>
          <w:rFonts w:ascii="Garamond" w:eastAsia="Garamond" w:hAnsi="Garamond" w:cs="Garamond"/>
          <w:color w:val="000000"/>
          <w:sz w:val="24"/>
          <w:szCs w:val="24"/>
        </w:rPr>
      </w:pPr>
    </w:p>
    <w:p w14:paraId="4CA85C04" w14:textId="77777777" w:rsidR="006A3B20" w:rsidRDefault="006A3B20" w:rsidP="006A3B20">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Considerando a gravidade e a probabilidade de seus impactos, o tamanho, a distribuição mundial e o número de organizações financeiras que utilizam as Normas GRI, o Conselho Global de Padrões de Sustentabilidade (GSSB) iniciou o desenvolvimento de </w:t>
      </w:r>
      <w:r>
        <w:rPr>
          <w:rFonts w:ascii="Garamond" w:eastAsia="Garamond" w:hAnsi="Garamond" w:cs="Garamond"/>
          <w:color w:val="000000"/>
          <w:sz w:val="24"/>
          <w:szCs w:val="24"/>
        </w:rPr>
        <w:lastRenderedPageBreak/>
        <w:t>Padrões específicos para o setor, os quais serão inseridos em Norma Setorial (</w:t>
      </w:r>
      <w:r>
        <w:rPr>
          <w:rFonts w:ascii="Garamond" w:eastAsia="Garamond" w:hAnsi="Garamond" w:cs="Garamond"/>
          <w:i/>
          <w:color w:val="000000"/>
          <w:sz w:val="24"/>
          <w:szCs w:val="24"/>
        </w:rPr>
        <w:t>Global Reporting Initiative</w:t>
      </w:r>
      <w:r>
        <w:rPr>
          <w:rFonts w:ascii="Garamond" w:eastAsia="Garamond" w:hAnsi="Garamond" w:cs="Garamond"/>
          <w:color w:val="000000"/>
          <w:sz w:val="24"/>
          <w:szCs w:val="24"/>
        </w:rPr>
        <w:t>, 2023). Atualmente as normas setoriais cobrem os setores de Petróleo e Gás, Carvão, Mineração e Agricultura, Aquicultura e Pesca.</w:t>
      </w:r>
    </w:p>
    <w:p w14:paraId="71DEDD91" w14:textId="77777777" w:rsidR="006A3B20" w:rsidRDefault="006A3B20" w:rsidP="006A3B20">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O documento “From chaos to order” apresenta os dez tipos de mudança que estão ocorrendo com os relatórios de sustentabilidade, dentre elas deixar de ser voluntário para ser obrigatório, passar a ser auditado, combinado com reportes financeiros e divulgado simultaneamente, guiado pelas necessidades dos stakeholders e não apenas dos investidores (FinComm, 2024).</w:t>
      </w:r>
    </w:p>
    <w:p w14:paraId="0DE6F4E5" w14:textId="77777777" w:rsidR="006A3B20" w:rsidRDefault="006A3B20" w:rsidP="006A3B20">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Quanto melhores forem os Relatórios divulgados, mais fácil será para os stakeholders avaliarem as ações e os impactos das atividades bancárias no ambiente e na sociedade e, assim, tomar decisões mais embasadas quanto ao relacionamento com as instituições financeiras.</w:t>
      </w:r>
    </w:p>
    <w:p w14:paraId="694F23CB" w14:textId="52528B33" w:rsidR="00EC4499" w:rsidRDefault="00433EA7">
      <w:pPr>
        <w:pStyle w:val="Ttulo2"/>
        <w:spacing w:after="0" w:line="360" w:lineRule="auto"/>
        <w:rPr>
          <w:rFonts w:ascii="Garamond" w:eastAsia="Garamond" w:hAnsi="Garamond" w:cs="Garamond"/>
          <w:sz w:val="26"/>
          <w:szCs w:val="26"/>
        </w:rPr>
      </w:pPr>
      <w:r>
        <w:rPr>
          <w:rFonts w:ascii="Garamond" w:eastAsia="Garamond" w:hAnsi="Garamond" w:cs="Garamond"/>
          <w:sz w:val="26"/>
          <w:szCs w:val="26"/>
        </w:rPr>
        <w:t>2.</w:t>
      </w:r>
      <w:r w:rsidR="00EE0239">
        <w:rPr>
          <w:rFonts w:ascii="Garamond" w:eastAsia="Garamond" w:hAnsi="Garamond" w:cs="Garamond"/>
          <w:sz w:val="26"/>
          <w:szCs w:val="26"/>
        </w:rPr>
        <w:t>2</w:t>
      </w:r>
      <w:r>
        <w:rPr>
          <w:rFonts w:ascii="Garamond" w:eastAsia="Garamond" w:hAnsi="Garamond" w:cs="Garamond"/>
          <w:sz w:val="26"/>
          <w:szCs w:val="26"/>
        </w:rPr>
        <w:tab/>
        <w:t>Avaliação de relatórios de organizações de setores diversos</w:t>
      </w:r>
    </w:p>
    <w:p w14:paraId="1C1D11DE" w14:textId="77777777" w:rsidR="00EC4499" w:rsidRDefault="00EC4499">
      <w:pPr>
        <w:spacing w:after="0" w:line="360" w:lineRule="auto"/>
        <w:rPr>
          <w:rFonts w:ascii="Garamond" w:eastAsia="Garamond" w:hAnsi="Garamond" w:cs="Garamond"/>
          <w:b/>
          <w:color w:val="000000"/>
          <w:sz w:val="24"/>
          <w:szCs w:val="24"/>
        </w:rPr>
      </w:pPr>
    </w:p>
    <w:p w14:paraId="22433370"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Daub (2007) analisou relatórios no padrão GRI de 103 grandes empresas suíças elaborando sistema de pesos e pontuação em quatro grupos de desempenho (econômico, social, ambiental e integrado) e constatou que </w:t>
      </w:r>
      <w:r>
        <w:rPr>
          <w:rFonts w:ascii="Garamond" w:eastAsia="Garamond" w:hAnsi="Garamond" w:cs="Garamond"/>
          <w:color w:val="1F1F1F"/>
          <w:sz w:val="24"/>
          <w:szCs w:val="24"/>
        </w:rPr>
        <w:t>a maioria das grandes empresas suíças ainda tem um longo caminho a percorrer para satisfazer a exigência de divulgação da sua contribuição para o desenvolvimento sustentável da economia, da sociedade e do ambiente nos seus relatórios. Em média e em todos os setores, as empresas atingiram um terço (33,33%) do total de pontos possíveis</w:t>
      </w:r>
      <w:r>
        <w:rPr>
          <w:rFonts w:ascii="Garamond" w:eastAsia="Garamond" w:hAnsi="Garamond" w:cs="Garamond"/>
          <w:color w:val="000000"/>
          <w:sz w:val="24"/>
          <w:szCs w:val="24"/>
        </w:rPr>
        <w:t>.</w:t>
      </w:r>
    </w:p>
    <w:p w14:paraId="07191599" w14:textId="66CC2CC8"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Analisando relatórios de 2011 de 60 empresas brasileiras de capital aberto</w:t>
      </w:r>
      <w:r w:rsidR="00F00F3B">
        <w:rPr>
          <w:rFonts w:ascii="Garamond" w:eastAsia="Garamond" w:hAnsi="Garamond" w:cs="Garamond"/>
          <w:color w:val="000000"/>
          <w:sz w:val="24"/>
          <w:szCs w:val="24"/>
        </w:rPr>
        <w:t>,</w:t>
      </w:r>
      <w:r>
        <w:rPr>
          <w:rFonts w:ascii="Garamond" w:eastAsia="Garamond" w:hAnsi="Garamond" w:cs="Garamond"/>
          <w:color w:val="000000"/>
          <w:sz w:val="24"/>
          <w:szCs w:val="24"/>
        </w:rPr>
        <w:t xml:space="preserve"> Ching </w:t>
      </w:r>
      <w:r>
        <w:rPr>
          <w:rFonts w:ascii="Garamond" w:eastAsia="Garamond" w:hAnsi="Garamond" w:cs="Garamond"/>
          <w:i/>
          <w:color w:val="000000"/>
          <w:sz w:val="24"/>
          <w:szCs w:val="24"/>
        </w:rPr>
        <w:t>et al</w:t>
      </w:r>
      <w:r>
        <w:rPr>
          <w:rFonts w:ascii="Garamond" w:eastAsia="Garamond" w:hAnsi="Garamond" w:cs="Garamond"/>
          <w:color w:val="000000"/>
          <w:sz w:val="24"/>
          <w:szCs w:val="24"/>
        </w:rPr>
        <w:t xml:space="preserve">. </w:t>
      </w:r>
      <w:r w:rsidR="00F00F3B">
        <w:rPr>
          <w:rFonts w:ascii="Garamond" w:eastAsia="Garamond" w:hAnsi="Garamond" w:cs="Garamond"/>
          <w:color w:val="000000"/>
          <w:sz w:val="24"/>
          <w:szCs w:val="24"/>
        </w:rPr>
        <w:t>(</w:t>
      </w:r>
      <w:r>
        <w:rPr>
          <w:rFonts w:ascii="Garamond" w:eastAsia="Garamond" w:hAnsi="Garamond" w:cs="Garamond"/>
          <w:color w:val="000000"/>
          <w:sz w:val="24"/>
          <w:szCs w:val="24"/>
        </w:rPr>
        <w:t xml:space="preserve">2013) </w:t>
      </w:r>
      <w:r w:rsidR="00CD67E2">
        <w:rPr>
          <w:rFonts w:ascii="Garamond" w:eastAsia="Garamond" w:hAnsi="Garamond" w:cs="Garamond"/>
          <w:color w:val="000000"/>
          <w:sz w:val="24"/>
          <w:szCs w:val="24"/>
        </w:rPr>
        <w:t>atribuíram</w:t>
      </w:r>
      <w:r>
        <w:rPr>
          <w:rFonts w:ascii="Garamond" w:eastAsia="Garamond" w:hAnsi="Garamond" w:cs="Garamond"/>
          <w:color w:val="000000"/>
          <w:sz w:val="24"/>
          <w:szCs w:val="24"/>
        </w:rPr>
        <w:t xml:space="preserve"> nota de 0 a 1 ao relato dos aspectos ambientais, sociais e econômicos, concluindo que aquelas que estão listadas no Indicador de Sustentabilidade Empresarial (ISE) da bolsa de valores produziram relatórios de melhor qualidade. </w:t>
      </w:r>
    </w:p>
    <w:p w14:paraId="685E541D"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Em um dos trabalhos (Haÿbek &amp; Wolniak, 2015) foram utilizados 17 critérios de avaliação agrupados nas categorias “relevância” e “credibilidade” da informação de 507 relatórios de 6 países da EU, com resultado de qualidade “baixo”. </w:t>
      </w:r>
    </w:p>
    <w:p w14:paraId="05CDCBF5"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Em outro (Yadava &amp; Sinha, 2016) foram analisados 104 relatórios das principais empresas indianas e atribuídas notas de 0 a 3 para cada um dos 84 indicadores de </w:t>
      </w:r>
      <w:r>
        <w:rPr>
          <w:rFonts w:ascii="Garamond" w:eastAsia="Garamond" w:hAnsi="Garamond" w:cs="Garamond"/>
          <w:color w:val="000000"/>
          <w:sz w:val="24"/>
          <w:szCs w:val="24"/>
        </w:rPr>
        <w:lastRenderedPageBreak/>
        <w:t>desempenho econômico, social e ambiental propostos pela GRI, resultando em apenas 20 considerados “abrangentes”.</w:t>
      </w:r>
    </w:p>
    <w:p w14:paraId="43162D4D" w14:textId="0B7FAA5D" w:rsidR="00EC4499" w:rsidRDefault="00433EA7">
      <w:pPr>
        <w:spacing w:after="0" w:line="360" w:lineRule="auto"/>
        <w:ind w:firstLine="708"/>
        <w:jc w:val="both"/>
        <w:rPr>
          <w:rFonts w:ascii="Garamond" w:eastAsia="Garamond" w:hAnsi="Garamond" w:cs="Garamond"/>
          <w:b/>
          <w:color w:val="000000"/>
          <w:sz w:val="24"/>
          <w:szCs w:val="24"/>
        </w:rPr>
      </w:pPr>
      <w:r>
        <w:rPr>
          <w:rFonts w:ascii="Garamond" w:eastAsia="Garamond" w:hAnsi="Garamond" w:cs="Garamond"/>
          <w:color w:val="000000"/>
          <w:sz w:val="24"/>
          <w:szCs w:val="24"/>
        </w:rPr>
        <w:t xml:space="preserve">Já em Stranieri </w:t>
      </w:r>
      <w:r>
        <w:rPr>
          <w:rFonts w:ascii="Garamond" w:eastAsia="Garamond" w:hAnsi="Garamond" w:cs="Garamond"/>
          <w:i/>
          <w:color w:val="000000"/>
          <w:sz w:val="24"/>
          <w:szCs w:val="24"/>
        </w:rPr>
        <w:t>et al</w:t>
      </w:r>
      <w:r>
        <w:rPr>
          <w:rFonts w:ascii="Garamond" w:eastAsia="Garamond" w:hAnsi="Garamond" w:cs="Garamond"/>
          <w:color w:val="000000"/>
          <w:sz w:val="24"/>
          <w:szCs w:val="24"/>
        </w:rPr>
        <w:t>. (</w:t>
      </w:r>
      <w:r w:rsidR="00DC5B4D">
        <w:rPr>
          <w:rFonts w:ascii="Garamond" w:eastAsia="Garamond" w:hAnsi="Garamond" w:cs="Garamond"/>
          <w:color w:val="000000"/>
          <w:sz w:val="24"/>
          <w:szCs w:val="24"/>
        </w:rPr>
        <w:t>2019</w:t>
      </w:r>
      <w:r>
        <w:rPr>
          <w:rFonts w:ascii="Garamond" w:eastAsia="Garamond" w:hAnsi="Garamond" w:cs="Garamond"/>
          <w:color w:val="000000"/>
          <w:sz w:val="24"/>
          <w:szCs w:val="24"/>
        </w:rPr>
        <w:t>) os pesquisadores avaliaram 69 relatórios GRI de indústrias alimentares europeias, porém com atribuição da gradação de 0 a 4 para elementos do relatório que não apenas os indicadores sociais, econômicos e ambientais</w:t>
      </w:r>
      <w:r w:rsidR="006B4F66">
        <w:rPr>
          <w:rFonts w:ascii="Garamond" w:eastAsia="Garamond" w:hAnsi="Garamond" w:cs="Garamond"/>
          <w:color w:val="000000"/>
          <w:sz w:val="24"/>
          <w:szCs w:val="24"/>
        </w:rPr>
        <w:t xml:space="preserve"> e concluíram que empresas listadas em bolsa de valores</w:t>
      </w:r>
      <w:r w:rsidR="006D6A04">
        <w:rPr>
          <w:rFonts w:ascii="Garamond" w:eastAsia="Garamond" w:hAnsi="Garamond" w:cs="Garamond"/>
          <w:color w:val="000000"/>
          <w:sz w:val="24"/>
          <w:szCs w:val="24"/>
        </w:rPr>
        <w:t xml:space="preserve"> se diferenciam de empresas de capital fechado</w:t>
      </w:r>
      <w:r w:rsidR="0006411B">
        <w:rPr>
          <w:rFonts w:ascii="Garamond" w:eastAsia="Garamond" w:hAnsi="Garamond" w:cs="Garamond"/>
          <w:color w:val="000000"/>
          <w:sz w:val="24"/>
          <w:szCs w:val="24"/>
        </w:rPr>
        <w:t>, pois</w:t>
      </w:r>
      <w:r w:rsidR="006B4F66">
        <w:rPr>
          <w:rFonts w:ascii="Garamond" w:eastAsia="Garamond" w:hAnsi="Garamond" w:cs="Garamond"/>
          <w:color w:val="000000"/>
          <w:sz w:val="24"/>
          <w:szCs w:val="24"/>
        </w:rPr>
        <w:t xml:space="preserve"> </w:t>
      </w:r>
      <w:r w:rsidR="006D6A04">
        <w:rPr>
          <w:rFonts w:ascii="Garamond" w:eastAsia="Garamond" w:hAnsi="Garamond" w:cs="Garamond"/>
          <w:color w:val="000000"/>
          <w:sz w:val="24"/>
          <w:szCs w:val="24"/>
        </w:rPr>
        <w:t>precisa</w:t>
      </w:r>
      <w:r w:rsidR="0006411B">
        <w:rPr>
          <w:rFonts w:ascii="Garamond" w:eastAsia="Garamond" w:hAnsi="Garamond" w:cs="Garamond"/>
          <w:color w:val="000000"/>
          <w:sz w:val="24"/>
          <w:szCs w:val="24"/>
        </w:rPr>
        <w:t>m</w:t>
      </w:r>
      <w:r w:rsidR="006D6A04">
        <w:rPr>
          <w:rFonts w:ascii="Garamond" w:eastAsia="Garamond" w:hAnsi="Garamond" w:cs="Garamond"/>
          <w:color w:val="000000"/>
          <w:sz w:val="24"/>
          <w:szCs w:val="24"/>
        </w:rPr>
        <w:t xml:space="preserve"> cumprir procedimentos específicos relacionados à divulgação de informações financeiras</w:t>
      </w:r>
      <w:r w:rsidR="0006411B">
        <w:rPr>
          <w:rFonts w:ascii="Garamond" w:eastAsia="Garamond" w:hAnsi="Garamond" w:cs="Garamond"/>
          <w:color w:val="000000"/>
          <w:sz w:val="24"/>
          <w:szCs w:val="24"/>
        </w:rPr>
        <w:t>, sociais e ambientais</w:t>
      </w:r>
      <w:r w:rsidR="00DB2803">
        <w:rPr>
          <w:rFonts w:ascii="Garamond" w:eastAsia="Garamond" w:hAnsi="Garamond" w:cs="Garamond"/>
          <w:color w:val="000000"/>
          <w:sz w:val="24"/>
          <w:szCs w:val="24"/>
        </w:rPr>
        <w:t xml:space="preserve"> para atrair investidores</w:t>
      </w:r>
      <w:r>
        <w:rPr>
          <w:rFonts w:ascii="Garamond" w:eastAsia="Garamond" w:hAnsi="Garamond" w:cs="Garamond"/>
          <w:color w:val="000000"/>
          <w:sz w:val="24"/>
          <w:szCs w:val="24"/>
        </w:rPr>
        <w:t xml:space="preserve">. </w:t>
      </w:r>
    </w:p>
    <w:p w14:paraId="44D4BEC3" w14:textId="55A6B3CA" w:rsidR="00EC4499" w:rsidRDefault="00433EA7">
      <w:pPr>
        <w:pStyle w:val="Ttulo2"/>
        <w:spacing w:after="0" w:line="360" w:lineRule="auto"/>
        <w:rPr>
          <w:rFonts w:ascii="Garamond" w:eastAsia="Garamond" w:hAnsi="Garamond" w:cs="Garamond"/>
          <w:sz w:val="26"/>
          <w:szCs w:val="26"/>
        </w:rPr>
      </w:pPr>
      <w:bookmarkStart w:id="7" w:name="_heading=h.k7vijt6istq7" w:colFirst="0" w:colLast="0"/>
      <w:bookmarkEnd w:id="7"/>
      <w:r>
        <w:rPr>
          <w:rFonts w:ascii="Garamond" w:eastAsia="Garamond" w:hAnsi="Garamond" w:cs="Garamond"/>
          <w:sz w:val="26"/>
          <w:szCs w:val="26"/>
        </w:rPr>
        <w:t>2.</w:t>
      </w:r>
      <w:r w:rsidR="00EE0239">
        <w:rPr>
          <w:rFonts w:ascii="Garamond" w:eastAsia="Garamond" w:hAnsi="Garamond" w:cs="Garamond"/>
          <w:sz w:val="26"/>
          <w:szCs w:val="26"/>
        </w:rPr>
        <w:t>3</w:t>
      </w:r>
      <w:r>
        <w:rPr>
          <w:rFonts w:ascii="Garamond" w:eastAsia="Garamond" w:hAnsi="Garamond" w:cs="Garamond"/>
          <w:sz w:val="26"/>
          <w:szCs w:val="26"/>
        </w:rPr>
        <w:tab/>
        <w:t>Avaliação de relatórios de instituições financeiras</w:t>
      </w:r>
    </w:p>
    <w:p w14:paraId="30A705E0" w14:textId="77777777" w:rsidR="00EC4499" w:rsidRDefault="00EC4499">
      <w:pPr>
        <w:spacing w:after="0" w:line="360" w:lineRule="auto"/>
        <w:rPr>
          <w:rFonts w:ascii="Garamond" w:eastAsia="Garamond" w:hAnsi="Garamond" w:cs="Garamond"/>
          <w:color w:val="000000"/>
          <w:sz w:val="24"/>
          <w:szCs w:val="24"/>
        </w:rPr>
      </w:pPr>
    </w:p>
    <w:p w14:paraId="12991D59"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Os autores em Sethi </w:t>
      </w:r>
      <w:r w:rsidRPr="00625320">
        <w:rPr>
          <w:rFonts w:ascii="Garamond" w:eastAsia="Garamond" w:hAnsi="Garamond" w:cs="Garamond"/>
          <w:i/>
          <w:iCs/>
          <w:color w:val="000000"/>
          <w:sz w:val="24"/>
          <w:szCs w:val="24"/>
        </w:rPr>
        <w:t>et al</w:t>
      </w:r>
      <w:r>
        <w:rPr>
          <w:rFonts w:ascii="Garamond" w:eastAsia="Garamond" w:hAnsi="Garamond" w:cs="Garamond"/>
          <w:color w:val="000000"/>
          <w:sz w:val="24"/>
          <w:szCs w:val="24"/>
        </w:rPr>
        <w:t xml:space="preserve">. (2017) analisaram 104 relatórios das maiores instituições financeiras do mundo em 2012, 92% delas da Europa Ocidental, América do Norte ou Leste Asiático, resultando na pontuação média de 42,26 em 100 possíveis.  </w:t>
      </w:r>
    </w:p>
    <w:p w14:paraId="170790F0"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Kumar e Prakash (2019) analisaram relatórios de 2015 e 2016 de 42 bancos indianos e concluíram que não há uma diferença significativa na divulgação de indicadores socioambientais entre bancos públicos e privados.  </w:t>
      </w:r>
    </w:p>
    <w:p w14:paraId="1850041B"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Tsalis </w:t>
      </w:r>
      <w:r>
        <w:rPr>
          <w:rFonts w:ascii="Garamond" w:eastAsia="Garamond" w:hAnsi="Garamond" w:cs="Garamond"/>
          <w:i/>
          <w:color w:val="000000"/>
          <w:sz w:val="24"/>
          <w:szCs w:val="24"/>
        </w:rPr>
        <w:t>et al</w:t>
      </w:r>
      <w:r>
        <w:rPr>
          <w:rFonts w:ascii="Garamond" w:eastAsia="Garamond" w:hAnsi="Garamond" w:cs="Garamond"/>
          <w:color w:val="000000"/>
          <w:sz w:val="24"/>
          <w:szCs w:val="24"/>
        </w:rPr>
        <w:t>. (2020), desenvolveram metodologia para avaliar o nível de atendimento das práticas de relatórios de sustentabilidade corporativa com o escopo dos 17 ODS. Foram analisados 48 relatórios de 20 empresas gregas publicados entre 2014 e 2016 e os autores verificaram que em geral a qualidade dos relatórios foi muito baixa e que as empresas forneceram mais informações sobre redução e uso de energias renováveis (ODS 7), investimentos em infraestrutura e inovação (ODS 9) e ações para combater as mudanças climáticas e reduzir emissões de GEE (ODS 13).</w:t>
      </w:r>
    </w:p>
    <w:p w14:paraId="50BA4D22"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Especificamente para o setor financeiro obtiveram nota de qualidade 103, considerada qualidade “baixa”, pior do que a nota atribuída para os setores de aviação, energia, metalurgia e telecomunicações.</w:t>
      </w:r>
    </w:p>
    <w:p w14:paraId="162DFC94" w14:textId="6087DB26"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Já Chagas </w:t>
      </w:r>
      <w:r>
        <w:rPr>
          <w:rFonts w:ascii="Garamond" w:eastAsia="Garamond" w:hAnsi="Garamond" w:cs="Garamond"/>
          <w:i/>
          <w:color w:val="000000"/>
          <w:sz w:val="24"/>
          <w:szCs w:val="24"/>
        </w:rPr>
        <w:t>et al</w:t>
      </w:r>
      <w:r>
        <w:rPr>
          <w:rFonts w:ascii="Garamond" w:eastAsia="Garamond" w:hAnsi="Garamond" w:cs="Garamond"/>
          <w:color w:val="000000"/>
          <w:sz w:val="24"/>
          <w:szCs w:val="24"/>
        </w:rPr>
        <w:t xml:space="preserve">. (2022) utilizaram a mesma metodologia, porém com foco na comparação entre os principais bancos brasileiros e apenas para os relatórios do ano de 2020. Os autores selecionaram </w:t>
      </w:r>
      <w:r w:rsidR="00D159BE">
        <w:rPr>
          <w:rFonts w:ascii="Garamond" w:eastAsia="Garamond" w:hAnsi="Garamond" w:cs="Garamond"/>
          <w:color w:val="000000"/>
          <w:sz w:val="24"/>
          <w:szCs w:val="24"/>
        </w:rPr>
        <w:t>r</w:t>
      </w:r>
      <w:r>
        <w:rPr>
          <w:rFonts w:ascii="Garamond" w:eastAsia="Garamond" w:hAnsi="Garamond" w:cs="Garamond"/>
          <w:color w:val="000000"/>
          <w:sz w:val="24"/>
          <w:szCs w:val="24"/>
        </w:rPr>
        <w:t xml:space="preserve">elatórios de 11 bancos, dentre os maiores em </w:t>
      </w:r>
      <w:r w:rsidR="00D159BE">
        <w:rPr>
          <w:rFonts w:ascii="Garamond" w:eastAsia="Garamond" w:hAnsi="Garamond" w:cs="Garamond"/>
          <w:color w:val="000000"/>
          <w:sz w:val="24"/>
          <w:szCs w:val="24"/>
        </w:rPr>
        <w:t>a</w:t>
      </w:r>
      <w:r>
        <w:rPr>
          <w:rFonts w:ascii="Garamond" w:eastAsia="Garamond" w:hAnsi="Garamond" w:cs="Garamond"/>
          <w:color w:val="000000"/>
          <w:sz w:val="24"/>
          <w:szCs w:val="24"/>
        </w:rPr>
        <w:t xml:space="preserve">tivos e que utilizassem o padrão GRI, constando da sua seleção bancos privados, públicos e de </w:t>
      </w:r>
      <w:r>
        <w:rPr>
          <w:rFonts w:ascii="Garamond" w:eastAsia="Garamond" w:hAnsi="Garamond" w:cs="Garamond"/>
          <w:color w:val="000000"/>
          <w:sz w:val="24"/>
          <w:szCs w:val="24"/>
        </w:rPr>
        <w:lastRenderedPageBreak/>
        <w:t xml:space="preserve">desenvolvimento, além de instituições nacionais e estrangeiras, e ranquearam os relatórios concluindo que têm um baixo nível de qualidade. </w:t>
      </w:r>
    </w:p>
    <w:p w14:paraId="7D3F6A77" w14:textId="306FC856"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Concluíram </w:t>
      </w:r>
      <w:r w:rsidR="00775F7A">
        <w:rPr>
          <w:rFonts w:ascii="Garamond" w:eastAsia="Garamond" w:hAnsi="Garamond" w:cs="Garamond"/>
          <w:color w:val="000000"/>
          <w:sz w:val="24"/>
          <w:szCs w:val="24"/>
        </w:rPr>
        <w:t xml:space="preserve">também </w:t>
      </w:r>
      <w:r>
        <w:rPr>
          <w:rFonts w:ascii="Garamond" w:eastAsia="Garamond" w:hAnsi="Garamond" w:cs="Garamond"/>
          <w:color w:val="000000"/>
          <w:sz w:val="24"/>
          <w:szCs w:val="24"/>
        </w:rPr>
        <w:t xml:space="preserve">que o setor bancário brasileiro produz relatórios de mais qualidade do que os do setor bancário grego, </w:t>
      </w:r>
      <w:r w:rsidR="003337EA">
        <w:rPr>
          <w:rFonts w:ascii="Garamond" w:eastAsia="Garamond" w:hAnsi="Garamond" w:cs="Garamond"/>
          <w:color w:val="000000"/>
          <w:sz w:val="24"/>
          <w:szCs w:val="24"/>
        </w:rPr>
        <w:t xml:space="preserve">pois </w:t>
      </w:r>
      <w:r>
        <w:rPr>
          <w:rFonts w:ascii="Garamond" w:eastAsia="Garamond" w:hAnsi="Garamond" w:cs="Garamond"/>
          <w:color w:val="000000"/>
          <w:sz w:val="24"/>
          <w:szCs w:val="24"/>
        </w:rPr>
        <w:t>embora ambos tenham obtido qualidade “baixa” na análise de seus relatórios</w:t>
      </w:r>
      <w:r w:rsidR="003337EA">
        <w:rPr>
          <w:rFonts w:ascii="Garamond" w:eastAsia="Garamond" w:hAnsi="Garamond" w:cs="Garamond"/>
          <w:color w:val="000000"/>
          <w:sz w:val="24"/>
          <w:szCs w:val="24"/>
        </w:rPr>
        <w:t xml:space="preserve"> a média </w:t>
      </w:r>
      <w:r w:rsidR="00A832B8">
        <w:rPr>
          <w:rFonts w:ascii="Garamond" w:eastAsia="Garamond" w:hAnsi="Garamond" w:cs="Garamond"/>
          <w:color w:val="000000"/>
          <w:sz w:val="24"/>
          <w:szCs w:val="24"/>
        </w:rPr>
        <w:t>brasileira foi mais alta</w:t>
      </w:r>
      <w:r>
        <w:rPr>
          <w:rFonts w:ascii="Garamond" w:eastAsia="Garamond" w:hAnsi="Garamond" w:cs="Garamond"/>
          <w:color w:val="000000"/>
          <w:sz w:val="24"/>
          <w:szCs w:val="24"/>
        </w:rPr>
        <w:t>. Também identificaram relação direta e positiva entre o número de conteúdos materiais reportados e a pontuação do DQPI o que levou à conclusão de que a quantidade de conteúdos divulgados pode levar ao aumento da qualidade dos reportes.</w:t>
      </w:r>
    </w:p>
    <w:p w14:paraId="04E459FC" w14:textId="786E8AD6"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Verificaram, ainda, que o ODS com maior pontuação foi o relativo a trabalho decente e crescimento econômico (ODS 8), que os três bancos que menos reportaram ODS são os últimos na pontuação e que os relatórios com mais qualidade são os dos bancos privados</w:t>
      </w:r>
      <w:r w:rsidR="005C2996">
        <w:rPr>
          <w:rFonts w:ascii="Garamond" w:eastAsia="Garamond" w:hAnsi="Garamond" w:cs="Garamond"/>
          <w:color w:val="000000"/>
          <w:sz w:val="24"/>
          <w:szCs w:val="24"/>
        </w:rPr>
        <w:t>.</w:t>
      </w:r>
    </w:p>
    <w:p w14:paraId="475CCAAC"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Ismail </w:t>
      </w:r>
      <w:r>
        <w:rPr>
          <w:rFonts w:ascii="Garamond" w:eastAsia="Garamond" w:hAnsi="Garamond" w:cs="Garamond"/>
          <w:i/>
          <w:color w:val="000000"/>
          <w:sz w:val="24"/>
          <w:szCs w:val="24"/>
        </w:rPr>
        <w:t>et al</w:t>
      </w:r>
      <w:r>
        <w:rPr>
          <w:rFonts w:ascii="Garamond" w:eastAsia="Garamond" w:hAnsi="Garamond" w:cs="Garamond"/>
          <w:color w:val="000000"/>
          <w:sz w:val="24"/>
          <w:szCs w:val="24"/>
        </w:rPr>
        <w:t xml:space="preserve">. (2021) analisaram relatórios relativos aos anos 2012 a 2017 de 90 empresas listadas na bolsa paquistanesa (incluindo 11 bancos) e atribuíram escores de qualidade a partir da avalição dos Princípios de Relato preconizados pela GRI. Concluíram que os princípios com melhores avaliações eram Tempestividade (73%) e Clareza (72%) enquanto as piores foram Equilíbrio (38%), Exatidão (24%) e Comparabilidade (21%). </w:t>
      </w:r>
    </w:p>
    <w:p w14:paraId="4DD8162E" w14:textId="77777777" w:rsidR="00EC4499" w:rsidRDefault="00433EA7">
      <w:pPr>
        <w:spacing w:after="0" w:line="360" w:lineRule="auto"/>
        <w:ind w:firstLine="708"/>
        <w:jc w:val="both"/>
        <w:rPr>
          <w:rFonts w:ascii="Garamond" w:eastAsia="Garamond" w:hAnsi="Garamond" w:cs="Garamond"/>
          <w:color w:val="000000"/>
          <w:sz w:val="24"/>
          <w:szCs w:val="24"/>
        </w:rPr>
      </w:pPr>
      <w:r>
        <w:rPr>
          <w:rFonts w:ascii="Garamond" w:eastAsia="Garamond" w:hAnsi="Garamond" w:cs="Garamond"/>
          <w:color w:val="000000"/>
          <w:sz w:val="24"/>
          <w:szCs w:val="24"/>
        </w:rPr>
        <w:t>Identificaram também que a maioria das empresas divulga eventos positivos ou favoráveis para melhorar sua reputação e legitimidade, ao mesmo tempo que escondem impactos e aspectos negativos.</w:t>
      </w:r>
    </w:p>
    <w:p w14:paraId="75D7B98D" w14:textId="77777777" w:rsidR="00EC4499" w:rsidRDefault="00EC4499">
      <w:pPr>
        <w:spacing w:after="0" w:line="360" w:lineRule="auto"/>
        <w:rPr>
          <w:rFonts w:ascii="Garamond" w:eastAsia="Garamond" w:hAnsi="Garamond" w:cs="Garamond"/>
          <w:color w:val="000000"/>
          <w:sz w:val="24"/>
          <w:szCs w:val="24"/>
        </w:rPr>
      </w:pPr>
    </w:p>
    <w:p w14:paraId="6FF64411" w14:textId="77777777" w:rsidR="00EC4499" w:rsidRDefault="00433EA7" w:rsidP="008347B5">
      <w:pPr>
        <w:pStyle w:val="Ttulo1"/>
      </w:pPr>
      <w:bookmarkStart w:id="8" w:name="_heading=h.x4mjgd45h6a0" w:colFirst="0" w:colLast="0"/>
      <w:bookmarkEnd w:id="8"/>
      <w:r>
        <w:lastRenderedPageBreak/>
        <w:t>Metodologia</w:t>
      </w:r>
    </w:p>
    <w:p w14:paraId="559E251A" w14:textId="77777777" w:rsidR="00EC4499" w:rsidRDefault="00433EA7">
      <w:pPr>
        <w:pStyle w:val="Ttulo2"/>
        <w:spacing w:after="0" w:line="360" w:lineRule="auto"/>
        <w:rPr>
          <w:rFonts w:ascii="Garamond" w:eastAsia="Garamond" w:hAnsi="Garamond" w:cs="Garamond"/>
          <w:sz w:val="26"/>
          <w:szCs w:val="26"/>
        </w:rPr>
      </w:pPr>
      <w:bookmarkStart w:id="9" w:name="_heading=h.po4zfss494dh" w:colFirst="0" w:colLast="0"/>
      <w:bookmarkEnd w:id="9"/>
      <w:r>
        <w:rPr>
          <w:rFonts w:ascii="Garamond" w:eastAsia="Garamond" w:hAnsi="Garamond" w:cs="Garamond"/>
          <w:sz w:val="26"/>
          <w:szCs w:val="26"/>
        </w:rPr>
        <w:t>3.1</w:t>
      </w:r>
      <w:r>
        <w:rPr>
          <w:rFonts w:ascii="Garamond" w:eastAsia="Garamond" w:hAnsi="Garamond" w:cs="Garamond"/>
          <w:sz w:val="26"/>
          <w:szCs w:val="26"/>
        </w:rPr>
        <w:tab/>
        <w:t>Estratégia metodológica</w:t>
      </w:r>
    </w:p>
    <w:p w14:paraId="2F024A10" w14:textId="77777777" w:rsidR="00EC4499" w:rsidRDefault="00433EA7">
      <w:pPr>
        <w:spacing w:after="0" w:line="360" w:lineRule="auto"/>
        <w:rPr>
          <w:rFonts w:ascii="Garamond" w:eastAsia="Garamond" w:hAnsi="Garamond" w:cs="Garamond"/>
          <w:b/>
          <w:color w:val="000000"/>
          <w:sz w:val="24"/>
          <w:szCs w:val="24"/>
        </w:rPr>
      </w:pPr>
      <w:r>
        <w:rPr>
          <w:rFonts w:ascii="Garamond" w:eastAsia="Garamond" w:hAnsi="Garamond" w:cs="Garamond"/>
          <w:b/>
          <w:color w:val="000000"/>
          <w:sz w:val="24"/>
          <w:szCs w:val="24"/>
        </w:rPr>
        <w:tab/>
      </w:r>
    </w:p>
    <w:p w14:paraId="05E005B5" w14:textId="7AC13E52"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Na primeira parte do estudo seguimos a sugestão de investigação presente em Chagas </w:t>
      </w:r>
      <w:r>
        <w:rPr>
          <w:rFonts w:ascii="Garamond" w:eastAsia="Garamond" w:hAnsi="Garamond" w:cs="Garamond"/>
          <w:i/>
          <w:color w:val="000000"/>
          <w:sz w:val="24"/>
          <w:szCs w:val="24"/>
        </w:rPr>
        <w:t>et al</w:t>
      </w:r>
      <w:r>
        <w:rPr>
          <w:rFonts w:ascii="Garamond" w:eastAsia="Garamond" w:hAnsi="Garamond" w:cs="Garamond"/>
          <w:color w:val="000000"/>
          <w:sz w:val="24"/>
          <w:szCs w:val="24"/>
        </w:rPr>
        <w:t xml:space="preserve">. (2022), que </w:t>
      </w:r>
      <w:r w:rsidR="00F00F3B">
        <w:rPr>
          <w:rFonts w:ascii="Garamond" w:eastAsia="Garamond" w:hAnsi="Garamond" w:cs="Garamond"/>
          <w:color w:val="000000"/>
          <w:sz w:val="24"/>
          <w:szCs w:val="24"/>
        </w:rPr>
        <w:t xml:space="preserve">analisaram </w:t>
      </w:r>
      <w:r>
        <w:rPr>
          <w:rFonts w:ascii="Garamond" w:eastAsia="Garamond" w:hAnsi="Garamond" w:cs="Garamond"/>
          <w:color w:val="000000"/>
          <w:sz w:val="24"/>
          <w:szCs w:val="24"/>
        </w:rPr>
        <w:t>os relatórios de 2020, de se realizar uma avaliação de séries temporais para refletir a evolução ao longo do tempo da qualidade dos relatórios não financeiros dos principais bancos atuantes no Brasil.</w:t>
      </w:r>
    </w:p>
    <w:p w14:paraId="7E47A593"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A comparação e avaliação da qualidade ocorreu com a utilização de técnica de pontuação de benchmarking e consistiu em duas etapas-processos, sejam elas: Matriz de Divulgação de Sustentabilidade (SDM) e o Sistema de Medição (MS) (Tsalis </w:t>
      </w:r>
      <w:r>
        <w:rPr>
          <w:rFonts w:ascii="Garamond" w:eastAsia="Garamond" w:hAnsi="Garamond" w:cs="Garamond"/>
          <w:i/>
          <w:color w:val="000000"/>
          <w:sz w:val="24"/>
          <w:szCs w:val="24"/>
        </w:rPr>
        <w:t>et al</w:t>
      </w:r>
      <w:r>
        <w:rPr>
          <w:rFonts w:ascii="Garamond" w:eastAsia="Garamond" w:hAnsi="Garamond" w:cs="Garamond"/>
          <w:color w:val="000000"/>
          <w:sz w:val="24"/>
          <w:szCs w:val="24"/>
        </w:rPr>
        <w:t>., 2020).</w:t>
      </w:r>
    </w:p>
    <w:p w14:paraId="35CE2D47" w14:textId="3D22CEB1" w:rsidR="00761709" w:rsidRDefault="00433EA7">
      <w:pPr>
        <w:spacing w:after="0" w:line="360" w:lineRule="auto"/>
        <w:ind w:firstLine="708"/>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Para elaboração da SDM, em resumo, foi aplicada a correlação elaborada por Tsalis </w:t>
      </w:r>
      <w:r w:rsidRPr="00FF374C">
        <w:rPr>
          <w:rFonts w:ascii="Garamond" w:eastAsia="Garamond" w:hAnsi="Garamond" w:cs="Garamond"/>
          <w:i/>
          <w:iCs/>
          <w:color w:val="000000"/>
          <w:sz w:val="24"/>
          <w:szCs w:val="24"/>
        </w:rPr>
        <w:t>et al</w:t>
      </w:r>
      <w:r>
        <w:rPr>
          <w:rFonts w:ascii="Garamond" w:eastAsia="Garamond" w:hAnsi="Garamond" w:cs="Garamond"/>
          <w:color w:val="000000"/>
          <w:sz w:val="24"/>
          <w:szCs w:val="24"/>
        </w:rPr>
        <w:t>. (2020) dos conteúdos das normas temáticas propostos pelo GRI, que abrangem os impactos econômicos (série 200), ambientais (série 300) e sociais (série 400) das operações corporativas, com os 17 Objetivos de Desenvolvimento Sustentável (ODS), conforme Tabela 2.</w:t>
      </w:r>
    </w:p>
    <w:p w14:paraId="5A2E45C6" w14:textId="77777777" w:rsidR="00DF02C5" w:rsidRDefault="00DF02C5">
      <w:pPr>
        <w:spacing w:after="0" w:line="360" w:lineRule="auto"/>
        <w:ind w:firstLine="708"/>
        <w:jc w:val="both"/>
        <w:rPr>
          <w:rFonts w:ascii="Garamond" w:eastAsia="Garamond" w:hAnsi="Garamond" w:cs="Garamond"/>
          <w:color w:val="000000"/>
          <w:sz w:val="24"/>
          <w:szCs w:val="24"/>
        </w:rPr>
      </w:pPr>
    </w:p>
    <w:p w14:paraId="28EF539E" w14:textId="77777777" w:rsidR="00DF02C5" w:rsidRDefault="00DF02C5">
      <w:pPr>
        <w:spacing w:after="0" w:line="360" w:lineRule="auto"/>
        <w:ind w:firstLine="708"/>
        <w:jc w:val="both"/>
        <w:rPr>
          <w:rFonts w:ascii="Garamond" w:eastAsia="Garamond" w:hAnsi="Garamond" w:cs="Garamond"/>
          <w:color w:val="000000"/>
          <w:sz w:val="24"/>
          <w:szCs w:val="24"/>
        </w:rPr>
      </w:pPr>
    </w:p>
    <w:p w14:paraId="5AA43399" w14:textId="77777777" w:rsidR="00DF02C5" w:rsidRDefault="00DF02C5">
      <w:pPr>
        <w:spacing w:after="0" w:line="360" w:lineRule="auto"/>
        <w:ind w:firstLine="708"/>
        <w:jc w:val="both"/>
        <w:rPr>
          <w:rFonts w:ascii="Garamond" w:eastAsia="Garamond" w:hAnsi="Garamond" w:cs="Garamond"/>
          <w:color w:val="000000"/>
          <w:sz w:val="24"/>
          <w:szCs w:val="24"/>
        </w:rPr>
      </w:pPr>
    </w:p>
    <w:p w14:paraId="7E3B0F6E" w14:textId="77777777" w:rsidR="00DF02C5" w:rsidRDefault="00DF02C5">
      <w:pPr>
        <w:spacing w:after="0" w:line="360" w:lineRule="auto"/>
        <w:ind w:firstLine="708"/>
        <w:jc w:val="both"/>
        <w:rPr>
          <w:rFonts w:ascii="Garamond" w:eastAsia="Garamond" w:hAnsi="Garamond" w:cs="Garamond"/>
          <w:color w:val="000000"/>
          <w:sz w:val="24"/>
          <w:szCs w:val="24"/>
        </w:rPr>
      </w:pPr>
    </w:p>
    <w:p w14:paraId="25F62520" w14:textId="77777777" w:rsidR="00DF02C5" w:rsidRDefault="00DF02C5">
      <w:pPr>
        <w:spacing w:after="0" w:line="360" w:lineRule="auto"/>
        <w:ind w:firstLine="708"/>
        <w:jc w:val="both"/>
        <w:rPr>
          <w:rFonts w:ascii="Garamond" w:eastAsia="Garamond" w:hAnsi="Garamond" w:cs="Garamond"/>
          <w:color w:val="000000"/>
          <w:sz w:val="24"/>
          <w:szCs w:val="24"/>
        </w:rPr>
      </w:pPr>
    </w:p>
    <w:p w14:paraId="4F5F8600" w14:textId="77777777" w:rsidR="00DF02C5" w:rsidRDefault="00DF02C5">
      <w:pPr>
        <w:spacing w:after="0" w:line="360" w:lineRule="auto"/>
        <w:ind w:firstLine="708"/>
        <w:jc w:val="both"/>
        <w:rPr>
          <w:rFonts w:ascii="Garamond" w:eastAsia="Garamond" w:hAnsi="Garamond" w:cs="Garamond"/>
          <w:color w:val="000000"/>
          <w:sz w:val="24"/>
          <w:szCs w:val="24"/>
        </w:rPr>
      </w:pPr>
    </w:p>
    <w:p w14:paraId="11FE6C88" w14:textId="77777777" w:rsidR="00DF02C5" w:rsidRDefault="00DF02C5">
      <w:pPr>
        <w:spacing w:after="0" w:line="360" w:lineRule="auto"/>
        <w:ind w:firstLine="708"/>
        <w:jc w:val="both"/>
        <w:rPr>
          <w:rFonts w:ascii="Garamond" w:eastAsia="Garamond" w:hAnsi="Garamond" w:cs="Garamond"/>
          <w:color w:val="000000"/>
          <w:sz w:val="24"/>
          <w:szCs w:val="24"/>
        </w:rPr>
      </w:pPr>
    </w:p>
    <w:p w14:paraId="6E80A6BB" w14:textId="77777777" w:rsidR="00DF02C5" w:rsidRDefault="00DF02C5">
      <w:pPr>
        <w:spacing w:after="0" w:line="360" w:lineRule="auto"/>
        <w:ind w:firstLine="708"/>
        <w:jc w:val="both"/>
        <w:rPr>
          <w:rFonts w:ascii="Garamond" w:eastAsia="Garamond" w:hAnsi="Garamond" w:cs="Garamond"/>
          <w:color w:val="000000"/>
          <w:sz w:val="24"/>
          <w:szCs w:val="24"/>
        </w:rPr>
      </w:pPr>
    </w:p>
    <w:p w14:paraId="1D5CE621" w14:textId="77777777" w:rsidR="00DF02C5" w:rsidRDefault="00DF02C5">
      <w:pPr>
        <w:spacing w:after="0" w:line="360" w:lineRule="auto"/>
        <w:ind w:firstLine="708"/>
        <w:jc w:val="both"/>
        <w:rPr>
          <w:rFonts w:ascii="Garamond" w:eastAsia="Garamond" w:hAnsi="Garamond" w:cs="Garamond"/>
          <w:color w:val="000000"/>
          <w:sz w:val="24"/>
          <w:szCs w:val="24"/>
        </w:rPr>
      </w:pPr>
    </w:p>
    <w:p w14:paraId="149BDC44" w14:textId="77777777" w:rsidR="00DF02C5" w:rsidRDefault="00DF02C5">
      <w:pPr>
        <w:spacing w:after="0" w:line="360" w:lineRule="auto"/>
        <w:ind w:firstLine="708"/>
        <w:jc w:val="both"/>
        <w:rPr>
          <w:rFonts w:ascii="Garamond" w:eastAsia="Garamond" w:hAnsi="Garamond" w:cs="Garamond"/>
          <w:color w:val="000000"/>
          <w:sz w:val="24"/>
          <w:szCs w:val="24"/>
        </w:rPr>
      </w:pPr>
    </w:p>
    <w:p w14:paraId="30BE20B3" w14:textId="77777777" w:rsidR="00DF02C5" w:rsidRDefault="00DF02C5">
      <w:pPr>
        <w:spacing w:after="0" w:line="360" w:lineRule="auto"/>
        <w:ind w:firstLine="708"/>
        <w:jc w:val="both"/>
        <w:rPr>
          <w:rFonts w:ascii="Garamond" w:eastAsia="Garamond" w:hAnsi="Garamond" w:cs="Garamond"/>
          <w:color w:val="000000"/>
          <w:sz w:val="24"/>
          <w:szCs w:val="24"/>
        </w:rPr>
      </w:pPr>
    </w:p>
    <w:p w14:paraId="66694CD4" w14:textId="77777777" w:rsidR="00DF02C5" w:rsidRDefault="00DF02C5">
      <w:pPr>
        <w:spacing w:after="0" w:line="360" w:lineRule="auto"/>
        <w:ind w:firstLine="708"/>
        <w:jc w:val="both"/>
        <w:rPr>
          <w:rFonts w:ascii="Garamond" w:eastAsia="Garamond" w:hAnsi="Garamond" w:cs="Garamond"/>
          <w:color w:val="000000"/>
          <w:sz w:val="24"/>
          <w:szCs w:val="24"/>
        </w:rPr>
      </w:pPr>
    </w:p>
    <w:p w14:paraId="25C99903" w14:textId="77777777" w:rsidR="00DF02C5" w:rsidRDefault="00DF02C5">
      <w:pPr>
        <w:spacing w:after="0" w:line="360" w:lineRule="auto"/>
        <w:ind w:firstLine="708"/>
        <w:jc w:val="both"/>
        <w:rPr>
          <w:rFonts w:ascii="Garamond" w:eastAsia="Garamond" w:hAnsi="Garamond" w:cs="Garamond"/>
          <w:color w:val="000000"/>
          <w:sz w:val="24"/>
          <w:szCs w:val="24"/>
        </w:rPr>
      </w:pPr>
    </w:p>
    <w:p w14:paraId="59847B77" w14:textId="77777777" w:rsidR="00DF02C5" w:rsidRDefault="00DF02C5">
      <w:pPr>
        <w:spacing w:after="0" w:line="360" w:lineRule="auto"/>
        <w:ind w:firstLine="708"/>
        <w:jc w:val="both"/>
        <w:rPr>
          <w:rFonts w:ascii="Garamond" w:eastAsia="Garamond" w:hAnsi="Garamond" w:cs="Garamond"/>
          <w:color w:val="000000"/>
          <w:sz w:val="24"/>
          <w:szCs w:val="24"/>
        </w:rPr>
      </w:pPr>
    </w:p>
    <w:p w14:paraId="7081C33B" w14:textId="77777777" w:rsidR="00DF02C5" w:rsidRDefault="00DF02C5">
      <w:pPr>
        <w:spacing w:after="0" w:line="360" w:lineRule="auto"/>
        <w:ind w:firstLine="708"/>
        <w:jc w:val="both"/>
        <w:rPr>
          <w:rFonts w:ascii="Garamond" w:eastAsia="Garamond" w:hAnsi="Garamond" w:cs="Garamond"/>
          <w:color w:val="000000"/>
          <w:sz w:val="24"/>
          <w:szCs w:val="24"/>
        </w:rPr>
      </w:pPr>
    </w:p>
    <w:p w14:paraId="2C7C8B78" w14:textId="77777777" w:rsidR="008039D8" w:rsidRDefault="008039D8">
      <w:pPr>
        <w:spacing w:after="0" w:line="360" w:lineRule="auto"/>
        <w:ind w:firstLine="708"/>
        <w:jc w:val="both"/>
        <w:rPr>
          <w:rFonts w:ascii="Garamond" w:eastAsia="Garamond" w:hAnsi="Garamond" w:cs="Garamond"/>
          <w:color w:val="000000"/>
          <w:sz w:val="24"/>
          <w:szCs w:val="24"/>
        </w:rPr>
      </w:pPr>
    </w:p>
    <w:p w14:paraId="16D8AF52" w14:textId="364BCA67" w:rsidR="008039D8" w:rsidRDefault="00433EA7">
      <w:pPr>
        <w:spacing w:after="0" w:line="360" w:lineRule="auto"/>
        <w:jc w:val="center"/>
        <w:rPr>
          <w:rFonts w:ascii="Garamond" w:eastAsia="Garamond" w:hAnsi="Garamond" w:cs="Garamond"/>
          <w:i/>
          <w:color w:val="000000"/>
          <w:sz w:val="24"/>
          <w:szCs w:val="24"/>
        </w:rPr>
      </w:pPr>
      <w:r>
        <w:rPr>
          <w:rFonts w:ascii="Garamond" w:eastAsia="Garamond" w:hAnsi="Garamond" w:cs="Garamond"/>
          <w:color w:val="000000"/>
          <w:sz w:val="24"/>
          <w:szCs w:val="24"/>
        </w:rPr>
        <w:lastRenderedPageBreak/>
        <w:t xml:space="preserve">Tabela 2 - Vinculação ODS x GRI </w:t>
      </w:r>
    </w:p>
    <w:tbl>
      <w:tblPr>
        <w:tblStyle w:val="a0"/>
        <w:tblW w:w="8500" w:type="dxa"/>
        <w:tblInd w:w="0" w:type="dxa"/>
        <w:tblLayout w:type="fixed"/>
        <w:tblLook w:val="0400" w:firstRow="0" w:lastRow="0" w:firstColumn="0" w:lastColumn="0" w:noHBand="0" w:noVBand="1"/>
      </w:tblPr>
      <w:tblGrid>
        <w:gridCol w:w="572"/>
        <w:gridCol w:w="7220"/>
        <w:gridCol w:w="708"/>
      </w:tblGrid>
      <w:tr w:rsidR="00EC4499" w14:paraId="291903DD" w14:textId="77777777">
        <w:trPr>
          <w:trHeight w:val="300"/>
        </w:trPr>
        <w:tc>
          <w:tcPr>
            <w:tcW w:w="572" w:type="dxa"/>
            <w:tcBorders>
              <w:top w:val="single" w:sz="4" w:space="0" w:color="000000"/>
              <w:bottom w:val="single" w:sz="4" w:space="0" w:color="000000"/>
            </w:tcBorders>
            <w:shd w:val="clear" w:color="auto" w:fill="auto"/>
            <w:vAlign w:val="bottom"/>
          </w:tcPr>
          <w:p w14:paraId="30144482" w14:textId="77777777" w:rsidR="00EC4499" w:rsidRDefault="00433EA7">
            <w:pPr>
              <w:spacing w:after="0" w:line="240" w:lineRule="auto"/>
              <w:jc w:val="center"/>
              <w:rPr>
                <w:rFonts w:ascii="Garamond" w:eastAsia="Garamond" w:hAnsi="Garamond" w:cs="Garamond"/>
                <w:b/>
                <w:color w:val="000000"/>
                <w:sz w:val="16"/>
                <w:szCs w:val="16"/>
              </w:rPr>
            </w:pPr>
            <w:r>
              <w:rPr>
                <w:rFonts w:ascii="Garamond" w:eastAsia="Garamond" w:hAnsi="Garamond" w:cs="Garamond"/>
                <w:b/>
                <w:color w:val="000000"/>
                <w:sz w:val="16"/>
                <w:szCs w:val="16"/>
              </w:rPr>
              <w:t>ODS</w:t>
            </w:r>
          </w:p>
        </w:tc>
        <w:tc>
          <w:tcPr>
            <w:tcW w:w="7220" w:type="dxa"/>
            <w:tcBorders>
              <w:top w:val="single" w:sz="4" w:space="0" w:color="000000"/>
              <w:bottom w:val="single" w:sz="4" w:space="0" w:color="000000"/>
            </w:tcBorders>
            <w:shd w:val="clear" w:color="auto" w:fill="auto"/>
            <w:vAlign w:val="bottom"/>
          </w:tcPr>
          <w:p w14:paraId="149507F2" w14:textId="77777777" w:rsidR="00EC4499" w:rsidRDefault="00433EA7">
            <w:pPr>
              <w:spacing w:after="0" w:line="240" w:lineRule="auto"/>
              <w:jc w:val="center"/>
              <w:rPr>
                <w:rFonts w:ascii="Garamond" w:eastAsia="Garamond" w:hAnsi="Garamond" w:cs="Garamond"/>
                <w:b/>
                <w:color w:val="000000"/>
                <w:sz w:val="16"/>
                <w:szCs w:val="16"/>
              </w:rPr>
            </w:pPr>
            <w:r>
              <w:rPr>
                <w:rFonts w:ascii="Garamond" w:eastAsia="Garamond" w:hAnsi="Garamond" w:cs="Garamond"/>
                <w:b/>
                <w:color w:val="000000"/>
                <w:sz w:val="16"/>
                <w:szCs w:val="16"/>
              </w:rPr>
              <w:t>Conteúdos GRI</w:t>
            </w:r>
          </w:p>
        </w:tc>
        <w:tc>
          <w:tcPr>
            <w:tcW w:w="708" w:type="dxa"/>
            <w:tcBorders>
              <w:top w:val="single" w:sz="4" w:space="0" w:color="000000"/>
              <w:bottom w:val="single" w:sz="4" w:space="0" w:color="000000"/>
            </w:tcBorders>
            <w:shd w:val="clear" w:color="auto" w:fill="auto"/>
            <w:vAlign w:val="bottom"/>
          </w:tcPr>
          <w:p w14:paraId="345E84CA" w14:textId="77777777" w:rsidR="00EC4499" w:rsidRDefault="00433EA7">
            <w:pPr>
              <w:spacing w:after="0" w:line="240" w:lineRule="auto"/>
              <w:jc w:val="center"/>
              <w:rPr>
                <w:rFonts w:ascii="Garamond" w:eastAsia="Garamond" w:hAnsi="Garamond" w:cs="Garamond"/>
                <w:b/>
                <w:color w:val="000000"/>
                <w:sz w:val="16"/>
                <w:szCs w:val="16"/>
              </w:rPr>
            </w:pPr>
            <w:r>
              <w:rPr>
                <w:rFonts w:ascii="Garamond" w:eastAsia="Garamond" w:hAnsi="Garamond" w:cs="Garamond"/>
                <w:b/>
                <w:color w:val="000000"/>
                <w:sz w:val="16"/>
                <w:szCs w:val="16"/>
              </w:rPr>
              <w:t xml:space="preserve">      Total </w:t>
            </w:r>
          </w:p>
        </w:tc>
      </w:tr>
      <w:tr w:rsidR="00EC4499" w14:paraId="515C7897" w14:textId="77777777">
        <w:trPr>
          <w:trHeight w:val="300"/>
        </w:trPr>
        <w:tc>
          <w:tcPr>
            <w:tcW w:w="572" w:type="dxa"/>
            <w:tcBorders>
              <w:top w:val="single" w:sz="4" w:space="0" w:color="000000"/>
            </w:tcBorders>
            <w:shd w:val="clear" w:color="auto" w:fill="auto"/>
            <w:vAlign w:val="bottom"/>
          </w:tcPr>
          <w:p w14:paraId="3FB5FDE4" w14:textId="77777777" w:rsidR="00EC4499" w:rsidRDefault="00433EA7">
            <w:pPr>
              <w:spacing w:after="0" w:line="36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w:t>
            </w:r>
          </w:p>
        </w:tc>
        <w:tc>
          <w:tcPr>
            <w:tcW w:w="7220" w:type="dxa"/>
            <w:tcBorders>
              <w:top w:val="single" w:sz="4" w:space="0" w:color="000000"/>
            </w:tcBorders>
            <w:shd w:val="clear" w:color="auto" w:fill="auto"/>
            <w:vAlign w:val="bottom"/>
          </w:tcPr>
          <w:p w14:paraId="43D9EE0B" w14:textId="77777777" w:rsidR="00EC4499" w:rsidRDefault="00433EA7">
            <w:pPr>
              <w:spacing w:after="0" w:line="360" w:lineRule="auto"/>
              <w:rPr>
                <w:rFonts w:ascii="Garamond" w:eastAsia="Garamond" w:hAnsi="Garamond" w:cs="Garamond"/>
                <w:color w:val="000000"/>
                <w:sz w:val="16"/>
                <w:szCs w:val="16"/>
              </w:rPr>
            </w:pPr>
            <w:r>
              <w:rPr>
                <w:rFonts w:ascii="Garamond" w:eastAsia="Garamond" w:hAnsi="Garamond" w:cs="Garamond"/>
                <w:color w:val="000000"/>
                <w:sz w:val="16"/>
                <w:szCs w:val="16"/>
              </w:rPr>
              <w:t>201-1, 201-3, 202-1, 202-2, 203-2, 413-2</w:t>
            </w:r>
          </w:p>
        </w:tc>
        <w:tc>
          <w:tcPr>
            <w:tcW w:w="708" w:type="dxa"/>
            <w:tcBorders>
              <w:top w:val="single" w:sz="4" w:space="0" w:color="000000"/>
            </w:tcBorders>
            <w:shd w:val="clear" w:color="auto" w:fill="auto"/>
            <w:vAlign w:val="bottom"/>
          </w:tcPr>
          <w:p w14:paraId="1A8DEA26" w14:textId="77777777" w:rsidR="00EC4499" w:rsidRDefault="00433EA7">
            <w:pPr>
              <w:spacing w:after="0" w:line="36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6</w:t>
            </w:r>
          </w:p>
        </w:tc>
      </w:tr>
      <w:tr w:rsidR="00EC4499" w14:paraId="0274EEB9" w14:textId="77777777">
        <w:trPr>
          <w:trHeight w:val="300"/>
        </w:trPr>
        <w:tc>
          <w:tcPr>
            <w:tcW w:w="572" w:type="dxa"/>
            <w:shd w:val="clear" w:color="auto" w:fill="auto"/>
            <w:vAlign w:val="bottom"/>
          </w:tcPr>
          <w:p w14:paraId="638B08F4" w14:textId="77777777" w:rsidR="00EC4499" w:rsidRDefault="00433EA7">
            <w:pPr>
              <w:spacing w:after="0" w:line="36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w:t>
            </w:r>
          </w:p>
        </w:tc>
        <w:tc>
          <w:tcPr>
            <w:tcW w:w="7220" w:type="dxa"/>
            <w:shd w:val="clear" w:color="auto" w:fill="auto"/>
            <w:vAlign w:val="bottom"/>
          </w:tcPr>
          <w:p w14:paraId="67E35925" w14:textId="77777777" w:rsidR="00EC4499" w:rsidRDefault="00433EA7">
            <w:pPr>
              <w:spacing w:after="0" w:line="360" w:lineRule="auto"/>
              <w:rPr>
                <w:rFonts w:ascii="Garamond" w:eastAsia="Garamond" w:hAnsi="Garamond" w:cs="Garamond"/>
                <w:color w:val="000000"/>
                <w:sz w:val="16"/>
                <w:szCs w:val="16"/>
              </w:rPr>
            </w:pPr>
            <w:r>
              <w:rPr>
                <w:rFonts w:ascii="Garamond" w:eastAsia="Garamond" w:hAnsi="Garamond" w:cs="Garamond"/>
                <w:color w:val="000000"/>
                <w:sz w:val="16"/>
                <w:szCs w:val="16"/>
              </w:rPr>
              <w:t>201-1, 203-1, 203-2, 206-1, 411-1, 413-2, 416-1, 416-2</w:t>
            </w:r>
          </w:p>
        </w:tc>
        <w:tc>
          <w:tcPr>
            <w:tcW w:w="708" w:type="dxa"/>
            <w:shd w:val="clear" w:color="auto" w:fill="auto"/>
            <w:vAlign w:val="bottom"/>
          </w:tcPr>
          <w:p w14:paraId="17DFDED9" w14:textId="77777777" w:rsidR="00EC4499" w:rsidRDefault="00433EA7">
            <w:pPr>
              <w:spacing w:after="0" w:line="36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8</w:t>
            </w:r>
          </w:p>
        </w:tc>
      </w:tr>
      <w:tr w:rsidR="00EC4499" w14:paraId="2F9A4C4D" w14:textId="77777777">
        <w:trPr>
          <w:trHeight w:val="300"/>
        </w:trPr>
        <w:tc>
          <w:tcPr>
            <w:tcW w:w="572" w:type="dxa"/>
            <w:shd w:val="clear" w:color="auto" w:fill="auto"/>
            <w:vAlign w:val="bottom"/>
          </w:tcPr>
          <w:p w14:paraId="5AF6D20C" w14:textId="77777777" w:rsidR="00EC4499" w:rsidRDefault="00433EA7">
            <w:pPr>
              <w:spacing w:after="0" w:line="36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3</w:t>
            </w:r>
          </w:p>
        </w:tc>
        <w:tc>
          <w:tcPr>
            <w:tcW w:w="7220" w:type="dxa"/>
            <w:shd w:val="clear" w:color="auto" w:fill="auto"/>
            <w:vAlign w:val="bottom"/>
          </w:tcPr>
          <w:p w14:paraId="49E501F5" w14:textId="77777777" w:rsidR="00EC4499" w:rsidRDefault="00433EA7">
            <w:pPr>
              <w:spacing w:after="0" w:line="360" w:lineRule="auto"/>
              <w:rPr>
                <w:rFonts w:ascii="Garamond" w:eastAsia="Garamond" w:hAnsi="Garamond" w:cs="Garamond"/>
                <w:color w:val="000000"/>
                <w:sz w:val="16"/>
                <w:szCs w:val="16"/>
              </w:rPr>
            </w:pPr>
            <w:r>
              <w:rPr>
                <w:rFonts w:ascii="Garamond" w:eastAsia="Garamond" w:hAnsi="Garamond" w:cs="Garamond"/>
                <w:color w:val="000000"/>
                <w:sz w:val="16"/>
                <w:szCs w:val="16"/>
              </w:rPr>
              <w:t>203-2, 305-1, 305-2, 305-3, 305-6, 305-7, 306-1, 306-2, 306-3, 306-4, 401-2, 403-2, 403-3</w:t>
            </w:r>
          </w:p>
        </w:tc>
        <w:tc>
          <w:tcPr>
            <w:tcW w:w="708" w:type="dxa"/>
            <w:shd w:val="clear" w:color="auto" w:fill="auto"/>
            <w:vAlign w:val="bottom"/>
          </w:tcPr>
          <w:p w14:paraId="7188FE8D" w14:textId="77777777" w:rsidR="00EC4499" w:rsidRDefault="00433EA7">
            <w:pPr>
              <w:spacing w:after="0" w:line="36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13</w:t>
            </w:r>
          </w:p>
        </w:tc>
      </w:tr>
      <w:tr w:rsidR="00EC4499" w14:paraId="1CFB5E51" w14:textId="77777777">
        <w:trPr>
          <w:trHeight w:val="300"/>
        </w:trPr>
        <w:tc>
          <w:tcPr>
            <w:tcW w:w="572" w:type="dxa"/>
            <w:shd w:val="clear" w:color="auto" w:fill="auto"/>
            <w:vAlign w:val="bottom"/>
          </w:tcPr>
          <w:p w14:paraId="4D6E0129" w14:textId="77777777" w:rsidR="00EC4499" w:rsidRDefault="00433EA7">
            <w:pPr>
              <w:spacing w:after="0" w:line="36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4</w:t>
            </w:r>
          </w:p>
        </w:tc>
        <w:tc>
          <w:tcPr>
            <w:tcW w:w="7220" w:type="dxa"/>
            <w:shd w:val="clear" w:color="auto" w:fill="auto"/>
            <w:vAlign w:val="bottom"/>
          </w:tcPr>
          <w:p w14:paraId="102F5DE9" w14:textId="77777777" w:rsidR="00EC4499" w:rsidRDefault="00433EA7">
            <w:pPr>
              <w:spacing w:after="0" w:line="360" w:lineRule="auto"/>
              <w:rPr>
                <w:rFonts w:ascii="Garamond" w:eastAsia="Garamond" w:hAnsi="Garamond" w:cs="Garamond"/>
                <w:color w:val="000000"/>
                <w:sz w:val="16"/>
                <w:szCs w:val="16"/>
              </w:rPr>
            </w:pPr>
            <w:r>
              <w:rPr>
                <w:rFonts w:ascii="Garamond" w:eastAsia="Garamond" w:hAnsi="Garamond" w:cs="Garamond"/>
                <w:color w:val="000000"/>
                <w:sz w:val="16"/>
                <w:szCs w:val="16"/>
              </w:rPr>
              <w:t>205-2, 404-1, 404-2, 404-3, 410-1, 412-2</w:t>
            </w:r>
          </w:p>
        </w:tc>
        <w:tc>
          <w:tcPr>
            <w:tcW w:w="708" w:type="dxa"/>
            <w:shd w:val="clear" w:color="auto" w:fill="auto"/>
            <w:vAlign w:val="bottom"/>
          </w:tcPr>
          <w:p w14:paraId="04326939" w14:textId="77777777" w:rsidR="00EC4499" w:rsidRDefault="00433EA7">
            <w:pPr>
              <w:spacing w:after="0" w:line="36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6</w:t>
            </w:r>
          </w:p>
        </w:tc>
      </w:tr>
      <w:tr w:rsidR="00EC4499" w14:paraId="25018216" w14:textId="77777777">
        <w:trPr>
          <w:trHeight w:val="300"/>
        </w:trPr>
        <w:tc>
          <w:tcPr>
            <w:tcW w:w="572" w:type="dxa"/>
            <w:shd w:val="clear" w:color="auto" w:fill="auto"/>
            <w:vAlign w:val="bottom"/>
          </w:tcPr>
          <w:p w14:paraId="725DFC26" w14:textId="77777777" w:rsidR="00EC4499" w:rsidRDefault="00433EA7">
            <w:pPr>
              <w:spacing w:after="0" w:line="36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5</w:t>
            </w:r>
          </w:p>
        </w:tc>
        <w:tc>
          <w:tcPr>
            <w:tcW w:w="7220" w:type="dxa"/>
            <w:shd w:val="clear" w:color="auto" w:fill="auto"/>
            <w:vAlign w:val="bottom"/>
          </w:tcPr>
          <w:p w14:paraId="1A9F3CE3" w14:textId="77777777" w:rsidR="00EC4499" w:rsidRDefault="00433EA7">
            <w:pPr>
              <w:spacing w:after="0" w:line="360" w:lineRule="auto"/>
              <w:rPr>
                <w:rFonts w:ascii="Garamond" w:eastAsia="Garamond" w:hAnsi="Garamond" w:cs="Garamond"/>
                <w:color w:val="000000"/>
                <w:sz w:val="16"/>
                <w:szCs w:val="16"/>
              </w:rPr>
            </w:pPr>
            <w:r>
              <w:rPr>
                <w:rFonts w:ascii="Garamond" w:eastAsia="Garamond" w:hAnsi="Garamond" w:cs="Garamond"/>
                <w:color w:val="000000"/>
                <w:sz w:val="16"/>
                <w:szCs w:val="16"/>
              </w:rPr>
              <w:t>201-1, 202-1, 203-1, 401-1, 401-2, 401-3, 404-1, 404-3, 405-1, 405-2, 406-1, 414-1, 414-2</w:t>
            </w:r>
          </w:p>
        </w:tc>
        <w:tc>
          <w:tcPr>
            <w:tcW w:w="708" w:type="dxa"/>
            <w:shd w:val="clear" w:color="auto" w:fill="auto"/>
            <w:vAlign w:val="bottom"/>
          </w:tcPr>
          <w:p w14:paraId="69EF8656" w14:textId="77777777" w:rsidR="00EC4499" w:rsidRDefault="00433EA7">
            <w:pPr>
              <w:spacing w:after="0" w:line="36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13</w:t>
            </w:r>
          </w:p>
        </w:tc>
      </w:tr>
      <w:tr w:rsidR="00EC4499" w14:paraId="40947433" w14:textId="77777777">
        <w:trPr>
          <w:trHeight w:val="300"/>
        </w:trPr>
        <w:tc>
          <w:tcPr>
            <w:tcW w:w="572" w:type="dxa"/>
            <w:shd w:val="clear" w:color="auto" w:fill="auto"/>
            <w:vAlign w:val="bottom"/>
          </w:tcPr>
          <w:p w14:paraId="45E84E99" w14:textId="77777777" w:rsidR="00EC4499" w:rsidRDefault="00433EA7">
            <w:pPr>
              <w:spacing w:after="0" w:line="36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6</w:t>
            </w:r>
          </w:p>
        </w:tc>
        <w:tc>
          <w:tcPr>
            <w:tcW w:w="7220" w:type="dxa"/>
            <w:shd w:val="clear" w:color="auto" w:fill="auto"/>
            <w:vAlign w:val="bottom"/>
          </w:tcPr>
          <w:p w14:paraId="7C1C1DCB" w14:textId="77777777" w:rsidR="00EC4499" w:rsidRDefault="00433EA7">
            <w:pPr>
              <w:spacing w:after="0" w:line="360" w:lineRule="auto"/>
              <w:rPr>
                <w:rFonts w:ascii="Garamond" w:eastAsia="Garamond" w:hAnsi="Garamond" w:cs="Garamond"/>
                <w:color w:val="000000"/>
                <w:sz w:val="16"/>
                <w:szCs w:val="16"/>
              </w:rPr>
            </w:pPr>
            <w:r>
              <w:rPr>
                <w:rFonts w:ascii="Garamond" w:eastAsia="Garamond" w:hAnsi="Garamond" w:cs="Garamond"/>
                <w:color w:val="000000"/>
                <w:sz w:val="16"/>
                <w:szCs w:val="16"/>
              </w:rPr>
              <w:t>303-1, 303-2, 303-3, 304-1, 304-2, 304-3, 304-4, 306-1, 306-2, 306-3, 306-5</w:t>
            </w:r>
          </w:p>
        </w:tc>
        <w:tc>
          <w:tcPr>
            <w:tcW w:w="708" w:type="dxa"/>
            <w:shd w:val="clear" w:color="auto" w:fill="auto"/>
            <w:vAlign w:val="bottom"/>
          </w:tcPr>
          <w:p w14:paraId="5DAFE942" w14:textId="77777777" w:rsidR="00EC4499" w:rsidRDefault="00433EA7">
            <w:pPr>
              <w:spacing w:after="0" w:line="36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11</w:t>
            </w:r>
          </w:p>
        </w:tc>
      </w:tr>
      <w:tr w:rsidR="00EC4499" w14:paraId="699E3FEE" w14:textId="77777777">
        <w:trPr>
          <w:trHeight w:val="300"/>
        </w:trPr>
        <w:tc>
          <w:tcPr>
            <w:tcW w:w="572" w:type="dxa"/>
            <w:shd w:val="clear" w:color="auto" w:fill="auto"/>
            <w:vAlign w:val="bottom"/>
          </w:tcPr>
          <w:p w14:paraId="1A3A9F99" w14:textId="77777777" w:rsidR="00EC4499" w:rsidRDefault="00433EA7">
            <w:pPr>
              <w:spacing w:after="0" w:line="36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7</w:t>
            </w:r>
          </w:p>
        </w:tc>
        <w:tc>
          <w:tcPr>
            <w:tcW w:w="7220" w:type="dxa"/>
            <w:shd w:val="clear" w:color="auto" w:fill="auto"/>
            <w:vAlign w:val="bottom"/>
          </w:tcPr>
          <w:p w14:paraId="5609669B" w14:textId="77777777" w:rsidR="00EC4499" w:rsidRDefault="00433EA7">
            <w:pPr>
              <w:spacing w:after="0" w:line="360" w:lineRule="auto"/>
              <w:rPr>
                <w:rFonts w:ascii="Garamond" w:eastAsia="Garamond" w:hAnsi="Garamond" w:cs="Garamond"/>
                <w:color w:val="000000"/>
                <w:sz w:val="16"/>
                <w:szCs w:val="16"/>
              </w:rPr>
            </w:pPr>
            <w:r>
              <w:rPr>
                <w:rFonts w:ascii="Garamond" w:eastAsia="Garamond" w:hAnsi="Garamond" w:cs="Garamond"/>
                <w:color w:val="000000"/>
                <w:sz w:val="16"/>
                <w:szCs w:val="16"/>
              </w:rPr>
              <w:t>201-1, 203-1, 302-1, 302-2, 302-3, 302-4, 302-5</w:t>
            </w:r>
          </w:p>
        </w:tc>
        <w:tc>
          <w:tcPr>
            <w:tcW w:w="708" w:type="dxa"/>
            <w:shd w:val="clear" w:color="auto" w:fill="auto"/>
            <w:vAlign w:val="bottom"/>
          </w:tcPr>
          <w:p w14:paraId="41B220B9" w14:textId="77777777" w:rsidR="00EC4499" w:rsidRDefault="00433EA7">
            <w:pPr>
              <w:spacing w:after="0" w:line="36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7</w:t>
            </w:r>
          </w:p>
        </w:tc>
      </w:tr>
      <w:tr w:rsidR="00EC4499" w14:paraId="7C9962E7" w14:textId="77777777">
        <w:trPr>
          <w:trHeight w:val="675"/>
        </w:trPr>
        <w:tc>
          <w:tcPr>
            <w:tcW w:w="572" w:type="dxa"/>
            <w:shd w:val="clear" w:color="auto" w:fill="auto"/>
            <w:vAlign w:val="bottom"/>
          </w:tcPr>
          <w:p w14:paraId="77078EC9" w14:textId="77777777" w:rsidR="00EC4499" w:rsidRDefault="00433EA7">
            <w:pPr>
              <w:spacing w:after="0" w:line="36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7220" w:type="dxa"/>
            <w:shd w:val="clear" w:color="auto" w:fill="auto"/>
            <w:vAlign w:val="bottom"/>
          </w:tcPr>
          <w:p w14:paraId="77FDA27D" w14:textId="77777777" w:rsidR="00EC4499" w:rsidRDefault="00433EA7">
            <w:pPr>
              <w:spacing w:after="0" w:line="360" w:lineRule="auto"/>
              <w:rPr>
                <w:rFonts w:ascii="Garamond" w:eastAsia="Garamond" w:hAnsi="Garamond" w:cs="Garamond"/>
                <w:color w:val="000000"/>
                <w:sz w:val="16"/>
                <w:szCs w:val="16"/>
              </w:rPr>
            </w:pPr>
            <w:r>
              <w:rPr>
                <w:rFonts w:ascii="Garamond" w:eastAsia="Garamond" w:hAnsi="Garamond" w:cs="Garamond"/>
                <w:color w:val="000000"/>
                <w:sz w:val="16"/>
                <w:szCs w:val="16"/>
              </w:rPr>
              <w:t>201-1, 201-3, 202-1, 202-2, 203-2, 204-1, 301-1, 301-2, 301-3, 302-1, 302-2, 302-3, 302-4, 302-5, 303-3, 401-1,  401-2, 401-3, 402-1, 403-1, 403-2, 403-3, 403-4, 404-1, 404-2, 404-3, 405-1, 405-2, 406-1, 407-1, 408-1, 409-1,  414-1, 414-2</w:t>
            </w:r>
          </w:p>
        </w:tc>
        <w:tc>
          <w:tcPr>
            <w:tcW w:w="708" w:type="dxa"/>
            <w:shd w:val="clear" w:color="auto" w:fill="auto"/>
            <w:vAlign w:val="bottom"/>
          </w:tcPr>
          <w:p w14:paraId="584F7DC9" w14:textId="77777777" w:rsidR="00EC4499" w:rsidRDefault="00433EA7">
            <w:pPr>
              <w:spacing w:after="0" w:line="36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34</w:t>
            </w:r>
          </w:p>
        </w:tc>
      </w:tr>
      <w:tr w:rsidR="00EC4499" w14:paraId="36387E79" w14:textId="77777777">
        <w:trPr>
          <w:trHeight w:val="300"/>
        </w:trPr>
        <w:tc>
          <w:tcPr>
            <w:tcW w:w="572" w:type="dxa"/>
            <w:shd w:val="clear" w:color="auto" w:fill="auto"/>
            <w:vAlign w:val="bottom"/>
          </w:tcPr>
          <w:p w14:paraId="237444C9" w14:textId="77777777" w:rsidR="00EC4499" w:rsidRDefault="00433EA7">
            <w:pPr>
              <w:spacing w:after="0" w:line="36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9</w:t>
            </w:r>
          </w:p>
        </w:tc>
        <w:tc>
          <w:tcPr>
            <w:tcW w:w="7220" w:type="dxa"/>
            <w:shd w:val="clear" w:color="auto" w:fill="auto"/>
            <w:vAlign w:val="bottom"/>
          </w:tcPr>
          <w:p w14:paraId="3E7F9914" w14:textId="77777777" w:rsidR="00EC4499" w:rsidRDefault="00433EA7">
            <w:pPr>
              <w:spacing w:after="0" w:line="360" w:lineRule="auto"/>
              <w:rPr>
                <w:rFonts w:ascii="Garamond" w:eastAsia="Garamond" w:hAnsi="Garamond" w:cs="Garamond"/>
                <w:color w:val="000000"/>
                <w:sz w:val="16"/>
                <w:szCs w:val="16"/>
              </w:rPr>
            </w:pPr>
            <w:r>
              <w:rPr>
                <w:rFonts w:ascii="Garamond" w:eastAsia="Garamond" w:hAnsi="Garamond" w:cs="Garamond"/>
                <w:color w:val="000000"/>
                <w:sz w:val="16"/>
                <w:szCs w:val="16"/>
              </w:rPr>
              <w:t>201-1, 203-1</w:t>
            </w:r>
          </w:p>
        </w:tc>
        <w:tc>
          <w:tcPr>
            <w:tcW w:w="708" w:type="dxa"/>
            <w:shd w:val="clear" w:color="auto" w:fill="auto"/>
            <w:vAlign w:val="bottom"/>
          </w:tcPr>
          <w:p w14:paraId="402067BC" w14:textId="77777777" w:rsidR="00EC4499" w:rsidRDefault="00433EA7">
            <w:pPr>
              <w:spacing w:after="0" w:line="36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2</w:t>
            </w:r>
          </w:p>
        </w:tc>
      </w:tr>
      <w:tr w:rsidR="00EC4499" w14:paraId="33A380F4" w14:textId="77777777">
        <w:trPr>
          <w:trHeight w:val="300"/>
        </w:trPr>
        <w:tc>
          <w:tcPr>
            <w:tcW w:w="572" w:type="dxa"/>
            <w:shd w:val="clear" w:color="auto" w:fill="auto"/>
            <w:vAlign w:val="bottom"/>
          </w:tcPr>
          <w:p w14:paraId="3058C65E" w14:textId="77777777" w:rsidR="00EC4499" w:rsidRDefault="00433EA7">
            <w:pPr>
              <w:spacing w:after="0" w:line="36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10</w:t>
            </w:r>
          </w:p>
        </w:tc>
        <w:tc>
          <w:tcPr>
            <w:tcW w:w="7220" w:type="dxa"/>
            <w:shd w:val="clear" w:color="auto" w:fill="auto"/>
            <w:vAlign w:val="bottom"/>
          </w:tcPr>
          <w:p w14:paraId="58BED8E4" w14:textId="77777777" w:rsidR="00EC4499" w:rsidRDefault="00433EA7">
            <w:pPr>
              <w:spacing w:after="0" w:line="360" w:lineRule="auto"/>
              <w:rPr>
                <w:rFonts w:ascii="Garamond" w:eastAsia="Garamond" w:hAnsi="Garamond" w:cs="Garamond"/>
                <w:color w:val="000000"/>
                <w:sz w:val="16"/>
                <w:szCs w:val="16"/>
              </w:rPr>
            </w:pPr>
            <w:r>
              <w:rPr>
                <w:rFonts w:ascii="Garamond" w:eastAsia="Garamond" w:hAnsi="Garamond" w:cs="Garamond"/>
                <w:color w:val="000000"/>
                <w:sz w:val="16"/>
                <w:szCs w:val="16"/>
              </w:rPr>
              <w:t>201-1, 202-1, 203-1, 203-2, 204-1, 205-1, 205-3, 401-1, 404-1, 404-3, 405-2, 406-1, 412-3</w:t>
            </w:r>
          </w:p>
        </w:tc>
        <w:tc>
          <w:tcPr>
            <w:tcW w:w="708" w:type="dxa"/>
            <w:shd w:val="clear" w:color="auto" w:fill="auto"/>
            <w:vAlign w:val="bottom"/>
          </w:tcPr>
          <w:p w14:paraId="2C938D61" w14:textId="77777777" w:rsidR="00EC4499" w:rsidRDefault="00433EA7">
            <w:pPr>
              <w:spacing w:after="0" w:line="36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13</w:t>
            </w:r>
          </w:p>
        </w:tc>
      </w:tr>
      <w:tr w:rsidR="00EC4499" w14:paraId="29C23B74" w14:textId="77777777">
        <w:trPr>
          <w:trHeight w:val="300"/>
        </w:trPr>
        <w:tc>
          <w:tcPr>
            <w:tcW w:w="572" w:type="dxa"/>
            <w:shd w:val="clear" w:color="auto" w:fill="auto"/>
            <w:vAlign w:val="bottom"/>
          </w:tcPr>
          <w:p w14:paraId="2296EBC1" w14:textId="77777777" w:rsidR="00EC4499" w:rsidRDefault="00433EA7">
            <w:pPr>
              <w:spacing w:after="0" w:line="36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11</w:t>
            </w:r>
          </w:p>
        </w:tc>
        <w:tc>
          <w:tcPr>
            <w:tcW w:w="7220" w:type="dxa"/>
            <w:shd w:val="clear" w:color="auto" w:fill="auto"/>
            <w:vAlign w:val="bottom"/>
          </w:tcPr>
          <w:p w14:paraId="12DF2029" w14:textId="77777777" w:rsidR="00EC4499" w:rsidRDefault="00433EA7">
            <w:pPr>
              <w:spacing w:after="0" w:line="360" w:lineRule="auto"/>
              <w:rPr>
                <w:rFonts w:ascii="Garamond" w:eastAsia="Garamond" w:hAnsi="Garamond" w:cs="Garamond"/>
                <w:color w:val="000000"/>
                <w:sz w:val="16"/>
                <w:szCs w:val="16"/>
              </w:rPr>
            </w:pPr>
            <w:r>
              <w:rPr>
                <w:rFonts w:ascii="Garamond" w:eastAsia="Garamond" w:hAnsi="Garamond" w:cs="Garamond"/>
                <w:color w:val="000000"/>
                <w:sz w:val="16"/>
                <w:szCs w:val="16"/>
              </w:rPr>
              <w:t>203-1, 413-1, 413-2</w:t>
            </w:r>
          </w:p>
        </w:tc>
        <w:tc>
          <w:tcPr>
            <w:tcW w:w="708" w:type="dxa"/>
            <w:shd w:val="clear" w:color="auto" w:fill="auto"/>
            <w:vAlign w:val="bottom"/>
          </w:tcPr>
          <w:p w14:paraId="14E17E98" w14:textId="77777777" w:rsidR="00EC4499" w:rsidRDefault="00433EA7">
            <w:pPr>
              <w:spacing w:after="0" w:line="36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3</w:t>
            </w:r>
          </w:p>
        </w:tc>
      </w:tr>
      <w:tr w:rsidR="00EC4499" w14:paraId="2F37DA31" w14:textId="77777777">
        <w:trPr>
          <w:trHeight w:val="300"/>
        </w:trPr>
        <w:tc>
          <w:tcPr>
            <w:tcW w:w="572" w:type="dxa"/>
            <w:shd w:val="clear" w:color="auto" w:fill="auto"/>
            <w:vAlign w:val="bottom"/>
          </w:tcPr>
          <w:p w14:paraId="1B6F8764" w14:textId="77777777" w:rsidR="00EC4499" w:rsidRDefault="00433EA7">
            <w:pPr>
              <w:spacing w:after="0" w:line="36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12</w:t>
            </w:r>
          </w:p>
        </w:tc>
        <w:tc>
          <w:tcPr>
            <w:tcW w:w="7220" w:type="dxa"/>
            <w:shd w:val="clear" w:color="auto" w:fill="auto"/>
            <w:vAlign w:val="bottom"/>
          </w:tcPr>
          <w:p w14:paraId="20A9CE4A" w14:textId="77777777" w:rsidR="00EC4499" w:rsidRDefault="00433EA7">
            <w:pPr>
              <w:spacing w:after="0" w:line="360" w:lineRule="auto"/>
              <w:rPr>
                <w:rFonts w:ascii="Garamond" w:eastAsia="Garamond" w:hAnsi="Garamond" w:cs="Garamond"/>
                <w:color w:val="000000"/>
                <w:sz w:val="16"/>
                <w:szCs w:val="16"/>
              </w:rPr>
            </w:pPr>
            <w:r>
              <w:rPr>
                <w:rFonts w:ascii="Garamond" w:eastAsia="Garamond" w:hAnsi="Garamond" w:cs="Garamond"/>
                <w:color w:val="000000"/>
                <w:sz w:val="16"/>
                <w:szCs w:val="16"/>
              </w:rPr>
              <w:t>204-1, 301-1, 301-2, 301-3, 302-1, 302-2, 302-3, 302-4, 302-5, 303-3, 305-1, 305-2, 305-3, 305-4, 305-6, 305-7,  306-1, 306-2, 306-3, 306-4, 308-1, 308-2, 417-1</w:t>
            </w:r>
          </w:p>
        </w:tc>
        <w:tc>
          <w:tcPr>
            <w:tcW w:w="708" w:type="dxa"/>
            <w:shd w:val="clear" w:color="auto" w:fill="auto"/>
            <w:vAlign w:val="bottom"/>
          </w:tcPr>
          <w:p w14:paraId="2D5BA0E2" w14:textId="77777777" w:rsidR="00EC4499" w:rsidRDefault="00433EA7">
            <w:pPr>
              <w:spacing w:after="0" w:line="36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23</w:t>
            </w:r>
          </w:p>
        </w:tc>
      </w:tr>
      <w:tr w:rsidR="00EC4499" w14:paraId="7A46CE85" w14:textId="77777777">
        <w:trPr>
          <w:trHeight w:val="300"/>
        </w:trPr>
        <w:tc>
          <w:tcPr>
            <w:tcW w:w="572" w:type="dxa"/>
            <w:shd w:val="clear" w:color="auto" w:fill="auto"/>
            <w:vAlign w:val="bottom"/>
          </w:tcPr>
          <w:p w14:paraId="0CBA4659" w14:textId="77777777" w:rsidR="00EC4499" w:rsidRDefault="00433EA7">
            <w:pPr>
              <w:spacing w:after="0" w:line="36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13</w:t>
            </w:r>
          </w:p>
        </w:tc>
        <w:tc>
          <w:tcPr>
            <w:tcW w:w="7220" w:type="dxa"/>
            <w:shd w:val="clear" w:color="auto" w:fill="auto"/>
            <w:vAlign w:val="bottom"/>
          </w:tcPr>
          <w:p w14:paraId="61296ED1" w14:textId="77777777" w:rsidR="00EC4499" w:rsidRDefault="00433EA7">
            <w:pPr>
              <w:spacing w:after="0" w:line="360" w:lineRule="auto"/>
              <w:rPr>
                <w:rFonts w:ascii="Garamond" w:eastAsia="Garamond" w:hAnsi="Garamond" w:cs="Garamond"/>
                <w:color w:val="000000"/>
                <w:sz w:val="16"/>
                <w:szCs w:val="16"/>
              </w:rPr>
            </w:pPr>
            <w:r>
              <w:rPr>
                <w:rFonts w:ascii="Garamond" w:eastAsia="Garamond" w:hAnsi="Garamond" w:cs="Garamond"/>
                <w:color w:val="000000"/>
                <w:sz w:val="16"/>
                <w:szCs w:val="16"/>
              </w:rPr>
              <w:t>201-2, 302-1, 302-2, 302-3, 302-4, 302-5, 305-1, 305-2, 305-3, 305-4, 305-5, 305-6, 305-7</w:t>
            </w:r>
          </w:p>
        </w:tc>
        <w:tc>
          <w:tcPr>
            <w:tcW w:w="708" w:type="dxa"/>
            <w:shd w:val="clear" w:color="auto" w:fill="auto"/>
            <w:vAlign w:val="bottom"/>
          </w:tcPr>
          <w:p w14:paraId="0D8D2165" w14:textId="77777777" w:rsidR="00EC4499" w:rsidRDefault="00433EA7">
            <w:pPr>
              <w:spacing w:after="0" w:line="36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13</w:t>
            </w:r>
          </w:p>
        </w:tc>
      </w:tr>
      <w:tr w:rsidR="00EC4499" w14:paraId="5B08D8ED" w14:textId="77777777">
        <w:trPr>
          <w:trHeight w:val="300"/>
        </w:trPr>
        <w:tc>
          <w:tcPr>
            <w:tcW w:w="572" w:type="dxa"/>
            <w:shd w:val="clear" w:color="auto" w:fill="auto"/>
            <w:vAlign w:val="bottom"/>
          </w:tcPr>
          <w:p w14:paraId="096DB251" w14:textId="77777777" w:rsidR="00EC4499" w:rsidRDefault="00433EA7">
            <w:pPr>
              <w:spacing w:after="0" w:line="36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14</w:t>
            </w:r>
          </w:p>
        </w:tc>
        <w:tc>
          <w:tcPr>
            <w:tcW w:w="7220" w:type="dxa"/>
            <w:shd w:val="clear" w:color="auto" w:fill="auto"/>
            <w:vAlign w:val="bottom"/>
          </w:tcPr>
          <w:p w14:paraId="505E736A" w14:textId="77777777" w:rsidR="00EC4499" w:rsidRDefault="00433EA7">
            <w:pPr>
              <w:spacing w:after="0" w:line="360" w:lineRule="auto"/>
              <w:rPr>
                <w:rFonts w:ascii="Garamond" w:eastAsia="Garamond" w:hAnsi="Garamond" w:cs="Garamond"/>
                <w:color w:val="000000"/>
                <w:sz w:val="16"/>
                <w:szCs w:val="16"/>
              </w:rPr>
            </w:pPr>
            <w:r>
              <w:rPr>
                <w:rFonts w:ascii="Garamond" w:eastAsia="Garamond" w:hAnsi="Garamond" w:cs="Garamond"/>
                <w:color w:val="000000"/>
                <w:sz w:val="16"/>
                <w:szCs w:val="16"/>
              </w:rPr>
              <w:t>304-1, 304-2, 304-3, 304-4, 305-1, 305-2, 305-3, 305-4, 305-5, 305-7, 306-1, 306-3, 306-5</w:t>
            </w:r>
          </w:p>
        </w:tc>
        <w:tc>
          <w:tcPr>
            <w:tcW w:w="708" w:type="dxa"/>
            <w:shd w:val="clear" w:color="auto" w:fill="auto"/>
            <w:vAlign w:val="bottom"/>
          </w:tcPr>
          <w:p w14:paraId="527E86DE" w14:textId="77777777" w:rsidR="00EC4499" w:rsidRDefault="00433EA7">
            <w:pPr>
              <w:spacing w:after="0" w:line="36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13</w:t>
            </w:r>
          </w:p>
        </w:tc>
      </w:tr>
      <w:tr w:rsidR="00EC4499" w14:paraId="4F3812DF" w14:textId="77777777">
        <w:trPr>
          <w:trHeight w:val="300"/>
        </w:trPr>
        <w:tc>
          <w:tcPr>
            <w:tcW w:w="572" w:type="dxa"/>
            <w:shd w:val="clear" w:color="auto" w:fill="auto"/>
            <w:vAlign w:val="bottom"/>
          </w:tcPr>
          <w:p w14:paraId="7D76D39C" w14:textId="77777777" w:rsidR="00EC4499" w:rsidRDefault="00433EA7">
            <w:pPr>
              <w:spacing w:after="0" w:line="36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15</w:t>
            </w:r>
          </w:p>
        </w:tc>
        <w:tc>
          <w:tcPr>
            <w:tcW w:w="7220" w:type="dxa"/>
            <w:shd w:val="clear" w:color="auto" w:fill="auto"/>
            <w:vAlign w:val="bottom"/>
          </w:tcPr>
          <w:p w14:paraId="52A10DDE" w14:textId="77777777" w:rsidR="00EC4499" w:rsidRDefault="00433EA7">
            <w:pPr>
              <w:spacing w:after="0" w:line="360" w:lineRule="auto"/>
              <w:rPr>
                <w:rFonts w:ascii="Garamond" w:eastAsia="Garamond" w:hAnsi="Garamond" w:cs="Garamond"/>
                <w:color w:val="000000"/>
                <w:sz w:val="16"/>
                <w:szCs w:val="16"/>
              </w:rPr>
            </w:pPr>
            <w:r>
              <w:rPr>
                <w:rFonts w:ascii="Garamond" w:eastAsia="Garamond" w:hAnsi="Garamond" w:cs="Garamond"/>
                <w:color w:val="000000"/>
                <w:sz w:val="16"/>
                <w:szCs w:val="16"/>
              </w:rPr>
              <w:t>303-1, 303-2, 304-1, 304-2, 304-3, 304-4, 305-1, 305-2, 305-3, 305-4, 305-5, 305-7, 306-1, 306-2, 306-3, 306-5</w:t>
            </w:r>
          </w:p>
        </w:tc>
        <w:tc>
          <w:tcPr>
            <w:tcW w:w="708" w:type="dxa"/>
            <w:shd w:val="clear" w:color="auto" w:fill="auto"/>
            <w:vAlign w:val="bottom"/>
          </w:tcPr>
          <w:p w14:paraId="079DE3C8" w14:textId="77777777" w:rsidR="00EC4499" w:rsidRDefault="00433EA7">
            <w:pPr>
              <w:spacing w:after="0" w:line="36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16</w:t>
            </w:r>
          </w:p>
        </w:tc>
      </w:tr>
      <w:tr w:rsidR="00EC4499" w14:paraId="6A351C62" w14:textId="77777777">
        <w:trPr>
          <w:trHeight w:val="300"/>
        </w:trPr>
        <w:tc>
          <w:tcPr>
            <w:tcW w:w="572" w:type="dxa"/>
            <w:shd w:val="clear" w:color="auto" w:fill="auto"/>
            <w:vAlign w:val="bottom"/>
          </w:tcPr>
          <w:p w14:paraId="3538DD17" w14:textId="77777777" w:rsidR="00EC4499" w:rsidRDefault="00433EA7">
            <w:pPr>
              <w:spacing w:after="0" w:line="36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16</w:t>
            </w:r>
          </w:p>
        </w:tc>
        <w:tc>
          <w:tcPr>
            <w:tcW w:w="7220" w:type="dxa"/>
            <w:shd w:val="clear" w:color="auto" w:fill="auto"/>
            <w:vAlign w:val="bottom"/>
          </w:tcPr>
          <w:p w14:paraId="61867A4B" w14:textId="77777777" w:rsidR="00EC4499" w:rsidRDefault="00433EA7">
            <w:pPr>
              <w:spacing w:after="0" w:line="360" w:lineRule="auto"/>
              <w:rPr>
                <w:rFonts w:ascii="Garamond" w:eastAsia="Garamond" w:hAnsi="Garamond" w:cs="Garamond"/>
                <w:color w:val="000000"/>
                <w:sz w:val="16"/>
                <w:szCs w:val="16"/>
              </w:rPr>
            </w:pPr>
            <w:r>
              <w:rPr>
                <w:rFonts w:ascii="Garamond" w:eastAsia="Garamond" w:hAnsi="Garamond" w:cs="Garamond"/>
                <w:color w:val="000000"/>
                <w:sz w:val="16"/>
                <w:szCs w:val="16"/>
              </w:rPr>
              <w:t>205-1, 205-2, 205-3, 206-1, 307-1, 406-1, 408-1, 410-1, 411-1, 412-1, 412-2, 412-3, 414-1, 414-2, 415-1, 416-2,  417-1, 417-2, 417-3, 418-1, 419-1</w:t>
            </w:r>
          </w:p>
        </w:tc>
        <w:tc>
          <w:tcPr>
            <w:tcW w:w="708" w:type="dxa"/>
            <w:shd w:val="clear" w:color="auto" w:fill="auto"/>
            <w:vAlign w:val="bottom"/>
          </w:tcPr>
          <w:p w14:paraId="7F0E7F43" w14:textId="77777777" w:rsidR="00EC4499" w:rsidRDefault="00433EA7">
            <w:pPr>
              <w:spacing w:after="0" w:line="36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21</w:t>
            </w:r>
          </w:p>
        </w:tc>
      </w:tr>
      <w:tr w:rsidR="00EC4499" w14:paraId="52A96315" w14:textId="77777777">
        <w:trPr>
          <w:trHeight w:val="300"/>
        </w:trPr>
        <w:tc>
          <w:tcPr>
            <w:tcW w:w="572" w:type="dxa"/>
            <w:shd w:val="clear" w:color="auto" w:fill="auto"/>
            <w:vAlign w:val="bottom"/>
          </w:tcPr>
          <w:p w14:paraId="128EBCF0" w14:textId="77777777" w:rsidR="00EC4499" w:rsidRDefault="00433EA7">
            <w:pPr>
              <w:spacing w:after="0" w:line="36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17</w:t>
            </w:r>
          </w:p>
        </w:tc>
        <w:tc>
          <w:tcPr>
            <w:tcW w:w="7220" w:type="dxa"/>
            <w:shd w:val="clear" w:color="auto" w:fill="auto"/>
            <w:vAlign w:val="bottom"/>
          </w:tcPr>
          <w:p w14:paraId="08F2F4CB" w14:textId="77777777" w:rsidR="00EC4499" w:rsidRDefault="00433EA7">
            <w:pPr>
              <w:spacing w:after="0" w:line="360" w:lineRule="auto"/>
              <w:rPr>
                <w:rFonts w:ascii="Garamond" w:eastAsia="Garamond" w:hAnsi="Garamond" w:cs="Garamond"/>
                <w:color w:val="000000"/>
                <w:sz w:val="16"/>
                <w:szCs w:val="16"/>
              </w:rPr>
            </w:pPr>
            <w:r>
              <w:rPr>
                <w:rFonts w:ascii="Garamond" w:eastAsia="Garamond" w:hAnsi="Garamond" w:cs="Garamond"/>
                <w:color w:val="000000"/>
                <w:sz w:val="16"/>
                <w:szCs w:val="16"/>
              </w:rPr>
              <w:t>201-1, 203-1, 203-2, 413-1, 413-2</w:t>
            </w:r>
          </w:p>
        </w:tc>
        <w:tc>
          <w:tcPr>
            <w:tcW w:w="708" w:type="dxa"/>
            <w:shd w:val="clear" w:color="auto" w:fill="auto"/>
            <w:vAlign w:val="bottom"/>
          </w:tcPr>
          <w:p w14:paraId="6BA5CCA9" w14:textId="77777777" w:rsidR="00EC4499" w:rsidRDefault="00433EA7">
            <w:pPr>
              <w:spacing w:after="0" w:line="36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5</w:t>
            </w:r>
          </w:p>
        </w:tc>
      </w:tr>
      <w:tr w:rsidR="00EC4499" w14:paraId="0D427AFD" w14:textId="77777777">
        <w:trPr>
          <w:trHeight w:val="300"/>
        </w:trPr>
        <w:tc>
          <w:tcPr>
            <w:tcW w:w="572" w:type="dxa"/>
            <w:tcBorders>
              <w:bottom w:val="single" w:sz="4" w:space="0" w:color="000000"/>
            </w:tcBorders>
            <w:shd w:val="clear" w:color="auto" w:fill="auto"/>
            <w:vAlign w:val="bottom"/>
          </w:tcPr>
          <w:p w14:paraId="474B07DA" w14:textId="77777777" w:rsidR="00EC4499" w:rsidRDefault="00433EA7">
            <w:pPr>
              <w:spacing w:after="0" w:line="360" w:lineRule="auto"/>
              <w:jc w:val="center"/>
              <w:rPr>
                <w:rFonts w:ascii="Garamond" w:eastAsia="Garamond" w:hAnsi="Garamond" w:cs="Garamond"/>
                <w:b/>
                <w:color w:val="000000"/>
                <w:sz w:val="16"/>
                <w:szCs w:val="16"/>
              </w:rPr>
            </w:pPr>
            <w:r>
              <w:rPr>
                <w:rFonts w:ascii="Garamond" w:eastAsia="Garamond" w:hAnsi="Garamond" w:cs="Garamond"/>
                <w:b/>
                <w:color w:val="000000"/>
                <w:sz w:val="16"/>
                <w:szCs w:val="16"/>
              </w:rPr>
              <w:t>Total</w:t>
            </w:r>
          </w:p>
        </w:tc>
        <w:tc>
          <w:tcPr>
            <w:tcW w:w="7220" w:type="dxa"/>
            <w:tcBorders>
              <w:bottom w:val="single" w:sz="4" w:space="0" w:color="000000"/>
            </w:tcBorders>
            <w:shd w:val="clear" w:color="auto" w:fill="auto"/>
            <w:vAlign w:val="bottom"/>
          </w:tcPr>
          <w:p w14:paraId="24790D44" w14:textId="77777777" w:rsidR="00EC4499" w:rsidRDefault="00433EA7">
            <w:pPr>
              <w:spacing w:after="0" w:line="360" w:lineRule="auto"/>
              <w:rPr>
                <w:rFonts w:ascii="Garamond" w:eastAsia="Garamond" w:hAnsi="Garamond" w:cs="Garamond"/>
                <w:color w:val="000000"/>
                <w:sz w:val="16"/>
                <w:szCs w:val="16"/>
              </w:rPr>
            </w:pPr>
            <w:r>
              <w:rPr>
                <w:rFonts w:ascii="Garamond" w:eastAsia="Garamond" w:hAnsi="Garamond" w:cs="Garamond"/>
                <w:color w:val="000000"/>
                <w:sz w:val="16"/>
                <w:szCs w:val="16"/>
              </w:rPr>
              <w:t> </w:t>
            </w:r>
          </w:p>
        </w:tc>
        <w:tc>
          <w:tcPr>
            <w:tcW w:w="708" w:type="dxa"/>
            <w:tcBorders>
              <w:bottom w:val="single" w:sz="4" w:space="0" w:color="000000"/>
            </w:tcBorders>
            <w:shd w:val="clear" w:color="auto" w:fill="auto"/>
            <w:vAlign w:val="bottom"/>
          </w:tcPr>
          <w:p w14:paraId="52FE9FBA" w14:textId="77777777" w:rsidR="00EC4499" w:rsidRDefault="00433EA7">
            <w:pPr>
              <w:spacing w:after="0" w:line="360" w:lineRule="auto"/>
              <w:jc w:val="right"/>
              <w:rPr>
                <w:rFonts w:ascii="Garamond" w:eastAsia="Garamond" w:hAnsi="Garamond" w:cs="Garamond"/>
                <w:b/>
                <w:color w:val="000000"/>
                <w:sz w:val="16"/>
                <w:szCs w:val="16"/>
              </w:rPr>
            </w:pPr>
            <w:r>
              <w:rPr>
                <w:rFonts w:ascii="Garamond" w:eastAsia="Garamond" w:hAnsi="Garamond" w:cs="Garamond"/>
                <w:b/>
                <w:color w:val="000000"/>
                <w:sz w:val="16"/>
                <w:szCs w:val="16"/>
              </w:rPr>
              <w:t>207</w:t>
            </w:r>
          </w:p>
        </w:tc>
      </w:tr>
    </w:tbl>
    <w:p w14:paraId="681033E1" w14:textId="77777777" w:rsidR="00166532" w:rsidRDefault="00166532" w:rsidP="00166532">
      <w:pPr>
        <w:spacing w:after="0" w:line="360" w:lineRule="auto"/>
        <w:rPr>
          <w:rFonts w:ascii="Garamond" w:eastAsia="Garamond" w:hAnsi="Garamond" w:cs="Garamond"/>
          <w:color w:val="000000"/>
          <w:sz w:val="18"/>
          <w:szCs w:val="18"/>
        </w:rPr>
      </w:pPr>
    </w:p>
    <w:p w14:paraId="1B915BA1" w14:textId="7256B62A" w:rsidR="00166532" w:rsidRDefault="00166532" w:rsidP="00166532">
      <w:pPr>
        <w:spacing w:after="0" w:line="36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Fonte: </w:t>
      </w:r>
      <w:r w:rsidR="00F448AD" w:rsidRPr="00F448AD">
        <w:rPr>
          <w:rFonts w:ascii="Garamond" w:eastAsia="Garamond" w:hAnsi="Garamond" w:cs="Garamond"/>
          <w:color w:val="000000"/>
          <w:sz w:val="18"/>
          <w:szCs w:val="18"/>
        </w:rPr>
        <w:t xml:space="preserve">Tsalis </w:t>
      </w:r>
      <w:r w:rsidR="00F448AD" w:rsidRPr="00FF374C">
        <w:rPr>
          <w:rFonts w:ascii="Garamond" w:eastAsia="Garamond" w:hAnsi="Garamond" w:cs="Garamond"/>
          <w:i/>
          <w:iCs/>
          <w:color w:val="000000"/>
          <w:sz w:val="18"/>
          <w:szCs w:val="18"/>
        </w:rPr>
        <w:t>et al</w:t>
      </w:r>
      <w:r w:rsidR="00F448AD" w:rsidRPr="00F448AD">
        <w:rPr>
          <w:rFonts w:ascii="Garamond" w:eastAsia="Garamond" w:hAnsi="Garamond" w:cs="Garamond"/>
          <w:color w:val="000000"/>
          <w:sz w:val="18"/>
          <w:szCs w:val="18"/>
        </w:rPr>
        <w:t>. (2020)</w:t>
      </w:r>
      <w:r w:rsidR="007E007A">
        <w:rPr>
          <w:rFonts w:ascii="Garamond" w:eastAsia="Garamond" w:hAnsi="Garamond" w:cs="Garamond"/>
          <w:color w:val="000000"/>
          <w:sz w:val="18"/>
          <w:szCs w:val="18"/>
        </w:rPr>
        <w:t>.</w:t>
      </w:r>
    </w:p>
    <w:p w14:paraId="4A74FC46" w14:textId="77777777" w:rsidR="00EC4499" w:rsidRDefault="00EC4499">
      <w:pPr>
        <w:spacing w:after="0" w:line="360" w:lineRule="auto"/>
        <w:ind w:firstLine="360"/>
        <w:rPr>
          <w:rFonts w:ascii="Garamond" w:eastAsia="Garamond" w:hAnsi="Garamond" w:cs="Garamond"/>
          <w:color w:val="000000"/>
          <w:sz w:val="24"/>
          <w:szCs w:val="24"/>
        </w:rPr>
      </w:pPr>
    </w:p>
    <w:p w14:paraId="04FEE466"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O passo seguinte foi utilizar o Sistema de Medição, que fornece os meios para uma quantificação objetiva das análises dos relatórios de sustentabilidade com relação à qualidade das informações relatadas para cada conteúdo do SDM, por meio de 3 indicadores:</w:t>
      </w:r>
    </w:p>
    <w:p w14:paraId="418CBDCC"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Indicador de Responsabilidade (AI), com atribuição de pontuação da seguinte forma:</w:t>
      </w:r>
    </w:p>
    <w:p w14:paraId="4F5A2369"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0 ponto = não existe informação para o conteúdo temático</w:t>
      </w:r>
    </w:p>
    <w:p w14:paraId="500D46FD"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1 ponto = existe informação qualitativa</w:t>
      </w:r>
    </w:p>
    <w:p w14:paraId="28693B91"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2 pontos = existe informação quantitativa</w:t>
      </w:r>
    </w:p>
    <w:p w14:paraId="681EF37A"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sz w:val="24"/>
          <w:szCs w:val="24"/>
        </w:rPr>
        <w:t>-</w:t>
      </w:r>
      <w:r>
        <w:rPr>
          <w:rFonts w:ascii="Garamond" w:eastAsia="Garamond" w:hAnsi="Garamond" w:cs="Garamond"/>
          <w:color w:val="000000"/>
          <w:sz w:val="24"/>
          <w:szCs w:val="24"/>
        </w:rPr>
        <w:t xml:space="preserve"> Indicador de Responsabilidade Total (TAI), que é a soma das pontuações do AI para cada ODS.</w:t>
      </w:r>
    </w:p>
    <w:p w14:paraId="066F8C4E"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Indicador de Desempenho da Qualidade da Divulgação (DQPI), calculado pela soma da pontuação TAI de cada ODS.</w:t>
      </w:r>
    </w:p>
    <w:p w14:paraId="00663EEB"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lastRenderedPageBreak/>
        <w:t xml:space="preserve">A pontuação do DQPI varia de 0 a 414, sendo um relatório com pontuação de 307 a 414 considerado de </w:t>
      </w:r>
      <w:r>
        <w:rPr>
          <w:rFonts w:ascii="Garamond" w:eastAsia="Garamond" w:hAnsi="Garamond" w:cs="Garamond"/>
          <w:b/>
          <w:color w:val="000000"/>
          <w:sz w:val="24"/>
          <w:szCs w:val="24"/>
        </w:rPr>
        <w:t xml:space="preserve">alta </w:t>
      </w:r>
      <w:r>
        <w:rPr>
          <w:rFonts w:ascii="Garamond" w:eastAsia="Garamond" w:hAnsi="Garamond" w:cs="Garamond"/>
          <w:color w:val="000000"/>
          <w:sz w:val="24"/>
          <w:szCs w:val="24"/>
        </w:rPr>
        <w:t xml:space="preserve">qualidade, de 207 a 306 </w:t>
      </w:r>
      <w:r>
        <w:rPr>
          <w:rFonts w:ascii="Garamond" w:eastAsia="Garamond" w:hAnsi="Garamond" w:cs="Garamond"/>
          <w:b/>
          <w:color w:val="000000"/>
          <w:sz w:val="24"/>
          <w:szCs w:val="24"/>
        </w:rPr>
        <w:t>média</w:t>
      </w:r>
      <w:r>
        <w:rPr>
          <w:rFonts w:ascii="Garamond" w:eastAsia="Garamond" w:hAnsi="Garamond" w:cs="Garamond"/>
          <w:color w:val="000000"/>
          <w:sz w:val="24"/>
          <w:szCs w:val="24"/>
        </w:rPr>
        <w:t xml:space="preserve">, 107 a 206 </w:t>
      </w:r>
      <w:r>
        <w:rPr>
          <w:rFonts w:ascii="Garamond" w:eastAsia="Garamond" w:hAnsi="Garamond" w:cs="Garamond"/>
          <w:b/>
          <w:color w:val="000000"/>
          <w:sz w:val="24"/>
          <w:szCs w:val="24"/>
        </w:rPr>
        <w:t>baixa</w:t>
      </w:r>
      <w:r>
        <w:rPr>
          <w:rFonts w:ascii="Garamond" w:eastAsia="Garamond" w:hAnsi="Garamond" w:cs="Garamond"/>
          <w:color w:val="000000"/>
          <w:sz w:val="24"/>
          <w:szCs w:val="24"/>
        </w:rPr>
        <w:t xml:space="preserve"> e 0 a 106 de </w:t>
      </w:r>
      <w:r>
        <w:rPr>
          <w:rFonts w:ascii="Garamond" w:eastAsia="Garamond" w:hAnsi="Garamond" w:cs="Garamond"/>
          <w:b/>
          <w:color w:val="000000"/>
          <w:sz w:val="24"/>
          <w:szCs w:val="24"/>
        </w:rPr>
        <w:t>muito baixa</w:t>
      </w:r>
      <w:r>
        <w:rPr>
          <w:rFonts w:ascii="Garamond" w:eastAsia="Garamond" w:hAnsi="Garamond" w:cs="Garamond"/>
          <w:color w:val="000000"/>
          <w:sz w:val="24"/>
          <w:szCs w:val="24"/>
        </w:rPr>
        <w:t xml:space="preserve"> qualidade.</w:t>
      </w:r>
    </w:p>
    <w:p w14:paraId="6D8861C9" w14:textId="77777777" w:rsidR="00EC4499" w:rsidRDefault="00433EA7">
      <w:pPr>
        <w:spacing w:after="0" w:line="360" w:lineRule="auto"/>
        <w:ind w:firstLine="708"/>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A fim de dar mais atualidade ao estudo serão apresentados, também, os resultados com a vinculação aos ODS atualizada em 2022 pela GRI (Global Compact, 2022), conforme Tabela 3, na qual se verifica um total de 186 conteúdos relacionados aos 17 ODS, diferentemente de Tsalis </w:t>
      </w:r>
      <w:r>
        <w:rPr>
          <w:rFonts w:ascii="Garamond" w:eastAsia="Garamond" w:hAnsi="Garamond" w:cs="Garamond"/>
          <w:i/>
          <w:color w:val="000000"/>
          <w:sz w:val="24"/>
          <w:szCs w:val="24"/>
        </w:rPr>
        <w:t>et al</w:t>
      </w:r>
      <w:r>
        <w:rPr>
          <w:rFonts w:ascii="Garamond" w:eastAsia="Garamond" w:hAnsi="Garamond" w:cs="Garamond"/>
          <w:color w:val="000000"/>
          <w:sz w:val="24"/>
          <w:szCs w:val="24"/>
        </w:rPr>
        <w:t xml:space="preserve">. (2020) que apresentou 207. </w:t>
      </w:r>
    </w:p>
    <w:p w14:paraId="241C4080" w14:textId="77777777" w:rsidR="00EC4499" w:rsidRDefault="00EC4499">
      <w:pPr>
        <w:spacing w:after="0" w:line="360" w:lineRule="auto"/>
        <w:ind w:firstLine="360"/>
        <w:jc w:val="center"/>
        <w:rPr>
          <w:rFonts w:ascii="Garamond" w:eastAsia="Garamond" w:hAnsi="Garamond" w:cs="Garamond"/>
          <w:color w:val="000000"/>
          <w:sz w:val="24"/>
          <w:szCs w:val="24"/>
        </w:rPr>
      </w:pPr>
    </w:p>
    <w:p w14:paraId="6AE346B0" w14:textId="77777777" w:rsidR="00EC4499" w:rsidRDefault="00433EA7">
      <w:pPr>
        <w:spacing w:after="0" w:line="360" w:lineRule="auto"/>
        <w:jc w:val="center"/>
        <w:rPr>
          <w:rFonts w:ascii="Garamond" w:eastAsia="Garamond" w:hAnsi="Garamond" w:cs="Garamond"/>
          <w:i/>
          <w:color w:val="000000"/>
          <w:sz w:val="24"/>
          <w:szCs w:val="24"/>
        </w:rPr>
      </w:pPr>
      <w:r>
        <w:rPr>
          <w:rFonts w:ascii="Garamond" w:eastAsia="Garamond" w:hAnsi="Garamond" w:cs="Garamond"/>
          <w:color w:val="000000"/>
          <w:sz w:val="24"/>
          <w:szCs w:val="24"/>
        </w:rPr>
        <w:t>Tabela 3 - Vinculação ODS x GRI</w:t>
      </w:r>
    </w:p>
    <w:tbl>
      <w:tblPr>
        <w:tblStyle w:val="a1"/>
        <w:tblW w:w="8500" w:type="dxa"/>
        <w:tblInd w:w="0" w:type="dxa"/>
        <w:tblLayout w:type="fixed"/>
        <w:tblLook w:val="0400" w:firstRow="0" w:lastRow="0" w:firstColumn="0" w:lastColumn="0" w:noHBand="0" w:noVBand="1"/>
      </w:tblPr>
      <w:tblGrid>
        <w:gridCol w:w="572"/>
        <w:gridCol w:w="7220"/>
        <w:gridCol w:w="708"/>
      </w:tblGrid>
      <w:tr w:rsidR="00EC4499" w14:paraId="228ADC9C" w14:textId="77777777">
        <w:trPr>
          <w:trHeight w:val="300"/>
        </w:trPr>
        <w:tc>
          <w:tcPr>
            <w:tcW w:w="572" w:type="dxa"/>
            <w:tcBorders>
              <w:top w:val="single" w:sz="4" w:space="0" w:color="000000"/>
              <w:bottom w:val="single" w:sz="4" w:space="0" w:color="000000"/>
            </w:tcBorders>
            <w:shd w:val="clear" w:color="auto" w:fill="auto"/>
            <w:vAlign w:val="bottom"/>
          </w:tcPr>
          <w:p w14:paraId="2C1BC620" w14:textId="77777777" w:rsidR="00EC4499" w:rsidRDefault="00433EA7">
            <w:pPr>
              <w:spacing w:after="0" w:line="240" w:lineRule="auto"/>
              <w:jc w:val="center"/>
              <w:rPr>
                <w:rFonts w:ascii="Garamond" w:eastAsia="Garamond" w:hAnsi="Garamond" w:cs="Garamond"/>
                <w:b/>
                <w:color w:val="000000"/>
                <w:sz w:val="16"/>
                <w:szCs w:val="16"/>
              </w:rPr>
            </w:pPr>
            <w:r>
              <w:rPr>
                <w:rFonts w:ascii="Garamond" w:eastAsia="Garamond" w:hAnsi="Garamond" w:cs="Garamond"/>
                <w:b/>
                <w:color w:val="000000"/>
                <w:sz w:val="16"/>
                <w:szCs w:val="16"/>
              </w:rPr>
              <w:t>ODS</w:t>
            </w:r>
          </w:p>
        </w:tc>
        <w:tc>
          <w:tcPr>
            <w:tcW w:w="7220" w:type="dxa"/>
            <w:tcBorders>
              <w:top w:val="single" w:sz="4" w:space="0" w:color="000000"/>
              <w:bottom w:val="single" w:sz="4" w:space="0" w:color="000000"/>
            </w:tcBorders>
            <w:shd w:val="clear" w:color="auto" w:fill="auto"/>
            <w:vAlign w:val="bottom"/>
          </w:tcPr>
          <w:p w14:paraId="408C7A97" w14:textId="77777777" w:rsidR="00EC4499" w:rsidRDefault="00433EA7">
            <w:pPr>
              <w:spacing w:after="0" w:line="240" w:lineRule="auto"/>
              <w:jc w:val="center"/>
              <w:rPr>
                <w:rFonts w:ascii="Garamond" w:eastAsia="Garamond" w:hAnsi="Garamond" w:cs="Garamond"/>
                <w:b/>
                <w:color w:val="000000"/>
                <w:sz w:val="16"/>
                <w:szCs w:val="16"/>
              </w:rPr>
            </w:pPr>
            <w:r>
              <w:rPr>
                <w:rFonts w:ascii="Garamond" w:eastAsia="Garamond" w:hAnsi="Garamond" w:cs="Garamond"/>
                <w:b/>
                <w:color w:val="000000"/>
                <w:sz w:val="16"/>
                <w:szCs w:val="16"/>
              </w:rPr>
              <w:t>Conteúdos GRI</w:t>
            </w:r>
          </w:p>
        </w:tc>
        <w:tc>
          <w:tcPr>
            <w:tcW w:w="708" w:type="dxa"/>
            <w:tcBorders>
              <w:top w:val="single" w:sz="4" w:space="0" w:color="000000"/>
              <w:bottom w:val="single" w:sz="4" w:space="0" w:color="000000"/>
            </w:tcBorders>
            <w:shd w:val="clear" w:color="auto" w:fill="auto"/>
            <w:vAlign w:val="bottom"/>
          </w:tcPr>
          <w:p w14:paraId="6847B8D6" w14:textId="77777777" w:rsidR="00EC4499" w:rsidRDefault="00433EA7">
            <w:pPr>
              <w:spacing w:after="0" w:line="240" w:lineRule="auto"/>
              <w:jc w:val="center"/>
              <w:rPr>
                <w:rFonts w:ascii="Garamond" w:eastAsia="Garamond" w:hAnsi="Garamond" w:cs="Garamond"/>
                <w:b/>
                <w:color w:val="000000"/>
                <w:sz w:val="16"/>
                <w:szCs w:val="16"/>
              </w:rPr>
            </w:pPr>
            <w:r>
              <w:rPr>
                <w:rFonts w:ascii="Garamond" w:eastAsia="Garamond" w:hAnsi="Garamond" w:cs="Garamond"/>
                <w:b/>
                <w:color w:val="000000"/>
                <w:sz w:val="16"/>
                <w:szCs w:val="16"/>
              </w:rPr>
              <w:t xml:space="preserve">Total </w:t>
            </w:r>
          </w:p>
        </w:tc>
      </w:tr>
      <w:tr w:rsidR="00EC4499" w14:paraId="0347EB97" w14:textId="77777777">
        <w:trPr>
          <w:trHeight w:val="300"/>
        </w:trPr>
        <w:tc>
          <w:tcPr>
            <w:tcW w:w="572" w:type="dxa"/>
            <w:tcBorders>
              <w:top w:val="single" w:sz="4" w:space="0" w:color="000000"/>
            </w:tcBorders>
            <w:shd w:val="clear" w:color="auto" w:fill="auto"/>
            <w:vAlign w:val="bottom"/>
          </w:tcPr>
          <w:p w14:paraId="443E119B"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w:t>
            </w:r>
          </w:p>
        </w:tc>
        <w:tc>
          <w:tcPr>
            <w:tcW w:w="7220" w:type="dxa"/>
            <w:tcBorders>
              <w:top w:val="single" w:sz="4" w:space="0" w:color="000000"/>
            </w:tcBorders>
            <w:shd w:val="clear" w:color="auto" w:fill="auto"/>
            <w:vAlign w:val="bottom"/>
          </w:tcPr>
          <w:p w14:paraId="1C364559"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202-1, 203-2, 207-1, 207-2, 207-3, 207-4, 413-2</w:t>
            </w:r>
          </w:p>
        </w:tc>
        <w:tc>
          <w:tcPr>
            <w:tcW w:w="708" w:type="dxa"/>
            <w:tcBorders>
              <w:top w:val="single" w:sz="4" w:space="0" w:color="000000"/>
            </w:tcBorders>
            <w:shd w:val="clear" w:color="auto" w:fill="auto"/>
            <w:vAlign w:val="bottom"/>
          </w:tcPr>
          <w:p w14:paraId="690F193B" w14:textId="77777777" w:rsidR="00EC4499" w:rsidRDefault="00433EA7">
            <w:pPr>
              <w:spacing w:after="0" w:line="24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7</w:t>
            </w:r>
          </w:p>
        </w:tc>
      </w:tr>
      <w:tr w:rsidR="00EC4499" w14:paraId="12C8C5E8" w14:textId="77777777">
        <w:trPr>
          <w:trHeight w:val="300"/>
        </w:trPr>
        <w:tc>
          <w:tcPr>
            <w:tcW w:w="572" w:type="dxa"/>
            <w:shd w:val="clear" w:color="auto" w:fill="auto"/>
            <w:vAlign w:val="bottom"/>
          </w:tcPr>
          <w:p w14:paraId="7925BCB2"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w:t>
            </w:r>
          </w:p>
        </w:tc>
        <w:tc>
          <w:tcPr>
            <w:tcW w:w="7220" w:type="dxa"/>
            <w:shd w:val="clear" w:color="auto" w:fill="auto"/>
            <w:vAlign w:val="bottom"/>
          </w:tcPr>
          <w:p w14:paraId="37C4E563"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411-1, 413-2</w:t>
            </w:r>
          </w:p>
        </w:tc>
        <w:tc>
          <w:tcPr>
            <w:tcW w:w="708" w:type="dxa"/>
            <w:shd w:val="clear" w:color="auto" w:fill="auto"/>
            <w:vAlign w:val="bottom"/>
          </w:tcPr>
          <w:p w14:paraId="17A0E6F3" w14:textId="77777777" w:rsidR="00EC4499" w:rsidRDefault="00433EA7">
            <w:pPr>
              <w:spacing w:after="0" w:line="24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2</w:t>
            </w:r>
          </w:p>
        </w:tc>
      </w:tr>
      <w:tr w:rsidR="00EC4499" w14:paraId="2D28CA1F" w14:textId="77777777">
        <w:trPr>
          <w:trHeight w:val="300"/>
        </w:trPr>
        <w:tc>
          <w:tcPr>
            <w:tcW w:w="572" w:type="dxa"/>
            <w:shd w:val="clear" w:color="auto" w:fill="auto"/>
            <w:vAlign w:val="bottom"/>
          </w:tcPr>
          <w:p w14:paraId="3B5D0FA7"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3</w:t>
            </w:r>
          </w:p>
        </w:tc>
        <w:tc>
          <w:tcPr>
            <w:tcW w:w="7220" w:type="dxa"/>
            <w:shd w:val="clear" w:color="auto" w:fill="auto"/>
            <w:vAlign w:val="bottom"/>
          </w:tcPr>
          <w:p w14:paraId="7C2E403F"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203-2, 305-1, 305-2, 305-3, 305-6, 305-7, 306-1, 306-2, 306-3, 306-4, 306-5, 401-2, 403-6, 403-9, 403-10</w:t>
            </w:r>
          </w:p>
        </w:tc>
        <w:tc>
          <w:tcPr>
            <w:tcW w:w="708" w:type="dxa"/>
            <w:shd w:val="clear" w:color="auto" w:fill="auto"/>
            <w:vAlign w:val="bottom"/>
          </w:tcPr>
          <w:p w14:paraId="1563B523" w14:textId="77777777" w:rsidR="00EC4499" w:rsidRDefault="00433EA7">
            <w:pPr>
              <w:spacing w:after="0" w:line="24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15</w:t>
            </w:r>
          </w:p>
        </w:tc>
      </w:tr>
      <w:tr w:rsidR="00EC4499" w14:paraId="6188BF9D" w14:textId="77777777">
        <w:trPr>
          <w:trHeight w:val="300"/>
        </w:trPr>
        <w:tc>
          <w:tcPr>
            <w:tcW w:w="572" w:type="dxa"/>
            <w:shd w:val="clear" w:color="auto" w:fill="auto"/>
            <w:vAlign w:val="bottom"/>
          </w:tcPr>
          <w:p w14:paraId="10DEC8E7"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4</w:t>
            </w:r>
          </w:p>
        </w:tc>
        <w:tc>
          <w:tcPr>
            <w:tcW w:w="7220" w:type="dxa"/>
            <w:shd w:val="clear" w:color="auto" w:fill="auto"/>
            <w:vAlign w:val="bottom"/>
          </w:tcPr>
          <w:p w14:paraId="4DCDFDE4"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404-1</w:t>
            </w:r>
          </w:p>
        </w:tc>
        <w:tc>
          <w:tcPr>
            <w:tcW w:w="708" w:type="dxa"/>
            <w:shd w:val="clear" w:color="auto" w:fill="auto"/>
            <w:vAlign w:val="bottom"/>
          </w:tcPr>
          <w:p w14:paraId="7291E19A" w14:textId="77777777" w:rsidR="00EC4499" w:rsidRDefault="00433EA7">
            <w:pPr>
              <w:spacing w:after="0" w:line="24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1</w:t>
            </w:r>
          </w:p>
        </w:tc>
      </w:tr>
      <w:tr w:rsidR="00EC4499" w14:paraId="0934CC95" w14:textId="77777777">
        <w:trPr>
          <w:trHeight w:val="300"/>
        </w:trPr>
        <w:tc>
          <w:tcPr>
            <w:tcW w:w="572" w:type="dxa"/>
            <w:shd w:val="clear" w:color="auto" w:fill="auto"/>
            <w:vAlign w:val="bottom"/>
          </w:tcPr>
          <w:p w14:paraId="562BCED0"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5</w:t>
            </w:r>
          </w:p>
        </w:tc>
        <w:tc>
          <w:tcPr>
            <w:tcW w:w="7220" w:type="dxa"/>
            <w:shd w:val="clear" w:color="auto" w:fill="auto"/>
            <w:vAlign w:val="bottom"/>
          </w:tcPr>
          <w:p w14:paraId="69A9E72A"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202-1, 203-1, 401-1, 401-2, 401-3, 404-1, 404-3, 405-1, 405-2, 406-1, 408-1, 409-1, 414-1, 414-2</w:t>
            </w:r>
          </w:p>
        </w:tc>
        <w:tc>
          <w:tcPr>
            <w:tcW w:w="708" w:type="dxa"/>
            <w:shd w:val="clear" w:color="auto" w:fill="auto"/>
            <w:vAlign w:val="bottom"/>
          </w:tcPr>
          <w:p w14:paraId="36161BC9" w14:textId="77777777" w:rsidR="00EC4499" w:rsidRDefault="00433EA7">
            <w:pPr>
              <w:spacing w:after="0" w:line="24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14</w:t>
            </w:r>
          </w:p>
        </w:tc>
      </w:tr>
      <w:tr w:rsidR="00EC4499" w14:paraId="0BE9FD8F" w14:textId="77777777">
        <w:trPr>
          <w:trHeight w:val="300"/>
        </w:trPr>
        <w:tc>
          <w:tcPr>
            <w:tcW w:w="572" w:type="dxa"/>
            <w:shd w:val="clear" w:color="auto" w:fill="auto"/>
            <w:vAlign w:val="bottom"/>
          </w:tcPr>
          <w:p w14:paraId="49992C72"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6</w:t>
            </w:r>
          </w:p>
        </w:tc>
        <w:tc>
          <w:tcPr>
            <w:tcW w:w="7220" w:type="dxa"/>
            <w:shd w:val="clear" w:color="auto" w:fill="auto"/>
            <w:vAlign w:val="bottom"/>
          </w:tcPr>
          <w:p w14:paraId="144AF3B9"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303-1, 303-2, 303-3, 303-4, 303-5, 304-1, 304-2, 304-3, 304-4, 306-1, 306-2, 306-3, 306-5</w:t>
            </w:r>
          </w:p>
        </w:tc>
        <w:tc>
          <w:tcPr>
            <w:tcW w:w="708" w:type="dxa"/>
            <w:shd w:val="clear" w:color="auto" w:fill="auto"/>
            <w:vAlign w:val="bottom"/>
          </w:tcPr>
          <w:p w14:paraId="1A74BFAD" w14:textId="77777777" w:rsidR="00EC4499" w:rsidRDefault="00433EA7">
            <w:pPr>
              <w:spacing w:after="0" w:line="24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13</w:t>
            </w:r>
          </w:p>
        </w:tc>
      </w:tr>
      <w:tr w:rsidR="00EC4499" w14:paraId="5F36A30C" w14:textId="77777777">
        <w:trPr>
          <w:trHeight w:val="300"/>
        </w:trPr>
        <w:tc>
          <w:tcPr>
            <w:tcW w:w="572" w:type="dxa"/>
            <w:shd w:val="clear" w:color="auto" w:fill="auto"/>
            <w:vAlign w:val="bottom"/>
          </w:tcPr>
          <w:p w14:paraId="2AB102C9"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7</w:t>
            </w:r>
          </w:p>
        </w:tc>
        <w:tc>
          <w:tcPr>
            <w:tcW w:w="7220" w:type="dxa"/>
            <w:shd w:val="clear" w:color="auto" w:fill="auto"/>
            <w:vAlign w:val="bottom"/>
          </w:tcPr>
          <w:p w14:paraId="63C49675"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302-1, 302-2, 302-3, 302-4, 302-5</w:t>
            </w:r>
          </w:p>
        </w:tc>
        <w:tc>
          <w:tcPr>
            <w:tcW w:w="708" w:type="dxa"/>
            <w:shd w:val="clear" w:color="auto" w:fill="auto"/>
            <w:vAlign w:val="bottom"/>
          </w:tcPr>
          <w:p w14:paraId="07CD049D" w14:textId="77777777" w:rsidR="00EC4499" w:rsidRDefault="00433EA7">
            <w:pPr>
              <w:spacing w:after="0" w:line="24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5</w:t>
            </w:r>
          </w:p>
        </w:tc>
      </w:tr>
      <w:tr w:rsidR="00EC4499" w14:paraId="3FEEC531" w14:textId="77777777">
        <w:trPr>
          <w:trHeight w:val="675"/>
        </w:trPr>
        <w:tc>
          <w:tcPr>
            <w:tcW w:w="572" w:type="dxa"/>
            <w:shd w:val="clear" w:color="auto" w:fill="auto"/>
            <w:vAlign w:val="bottom"/>
          </w:tcPr>
          <w:p w14:paraId="4E19DD0C"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7220" w:type="dxa"/>
            <w:shd w:val="clear" w:color="auto" w:fill="auto"/>
            <w:vAlign w:val="bottom"/>
          </w:tcPr>
          <w:p w14:paraId="5141FF75"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201-1, 202-1, 202-2, 203-2, 204-1, 301-1, 301-2, 301-3, 302-1, 302-2, 302-3, 302-4, 302-5, 306-2, 401-1, 401-2,  401-3, 402-1, 403-1, 403-2, 403-3, 403-4, 403-5, 403-7, 403-8, 403-9, 403-10, 404-1, 404-2, 404-3, 405-1, 405-2, 406-1, 407-1, 408-1, 409-1, 414-1, 414-2</w:t>
            </w:r>
          </w:p>
        </w:tc>
        <w:tc>
          <w:tcPr>
            <w:tcW w:w="708" w:type="dxa"/>
            <w:shd w:val="clear" w:color="auto" w:fill="auto"/>
            <w:vAlign w:val="bottom"/>
          </w:tcPr>
          <w:p w14:paraId="6BF20D22" w14:textId="77777777" w:rsidR="00EC4499" w:rsidRDefault="00433EA7">
            <w:pPr>
              <w:spacing w:after="0" w:line="24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38</w:t>
            </w:r>
          </w:p>
        </w:tc>
      </w:tr>
      <w:tr w:rsidR="00EC4499" w14:paraId="724B5625" w14:textId="77777777">
        <w:trPr>
          <w:trHeight w:val="300"/>
        </w:trPr>
        <w:tc>
          <w:tcPr>
            <w:tcW w:w="572" w:type="dxa"/>
            <w:shd w:val="clear" w:color="auto" w:fill="auto"/>
            <w:vAlign w:val="bottom"/>
          </w:tcPr>
          <w:p w14:paraId="460FBBBF"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9</w:t>
            </w:r>
          </w:p>
        </w:tc>
        <w:tc>
          <w:tcPr>
            <w:tcW w:w="7220" w:type="dxa"/>
            <w:shd w:val="clear" w:color="auto" w:fill="auto"/>
            <w:vAlign w:val="bottom"/>
          </w:tcPr>
          <w:p w14:paraId="64A26B25"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201-1, 203-1</w:t>
            </w:r>
          </w:p>
        </w:tc>
        <w:tc>
          <w:tcPr>
            <w:tcW w:w="708" w:type="dxa"/>
            <w:shd w:val="clear" w:color="auto" w:fill="auto"/>
            <w:vAlign w:val="bottom"/>
          </w:tcPr>
          <w:p w14:paraId="45F565B3" w14:textId="77777777" w:rsidR="00EC4499" w:rsidRDefault="00433EA7">
            <w:pPr>
              <w:spacing w:after="0" w:line="24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2</w:t>
            </w:r>
          </w:p>
        </w:tc>
      </w:tr>
      <w:tr w:rsidR="00EC4499" w14:paraId="00F005D4" w14:textId="77777777">
        <w:trPr>
          <w:trHeight w:val="300"/>
        </w:trPr>
        <w:tc>
          <w:tcPr>
            <w:tcW w:w="572" w:type="dxa"/>
            <w:shd w:val="clear" w:color="auto" w:fill="auto"/>
            <w:vAlign w:val="bottom"/>
          </w:tcPr>
          <w:p w14:paraId="4F34CCA4"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10</w:t>
            </w:r>
          </w:p>
        </w:tc>
        <w:tc>
          <w:tcPr>
            <w:tcW w:w="7220" w:type="dxa"/>
            <w:shd w:val="clear" w:color="auto" w:fill="auto"/>
            <w:vAlign w:val="bottom"/>
          </w:tcPr>
          <w:p w14:paraId="379B8B84"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207-1, 207-2, 207-3, 207-4, 401-1, 404-1, 404-3, 405-2</w:t>
            </w:r>
          </w:p>
        </w:tc>
        <w:tc>
          <w:tcPr>
            <w:tcW w:w="708" w:type="dxa"/>
            <w:shd w:val="clear" w:color="auto" w:fill="auto"/>
            <w:vAlign w:val="bottom"/>
          </w:tcPr>
          <w:p w14:paraId="65441BEB" w14:textId="77777777" w:rsidR="00EC4499" w:rsidRDefault="00433EA7">
            <w:pPr>
              <w:spacing w:after="0" w:line="24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8</w:t>
            </w:r>
          </w:p>
        </w:tc>
      </w:tr>
      <w:tr w:rsidR="00EC4499" w14:paraId="1A3FA422" w14:textId="77777777">
        <w:trPr>
          <w:trHeight w:val="300"/>
        </w:trPr>
        <w:tc>
          <w:tcPr>
            <w:tcW w:w="572" w:type="dxa"/>
            <w:shd w:val="clear" w:color="auto" w:fill="auto"/>
            <w:vAlign w:val="bottom"/>
          </w:tcPr>
          <w:p w14:paraId="131C485F"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11</w:t>
            </w:r>
          </w:p>
        </w:tc>
        <w:tc>
          <w:tcPr>
            <w:tcW w:w="7220" w:type="dxa"/>
            <w:shd w:val="clear" w:color="auto" w:fill="auto"/>
            <w:vAlign w:val="bottom"/>
          </w:tcPr>
          <w:p w14:paraId="3F111A63"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203-1, 306-1, 306-2, 306-3, 306-4, 306-5</w:t>
            </w:r>
          </w:p>
        </w:tc>
        <w:tc>
          <w:tcPr>
            <w:tcW w:w="708" w:type="dxa"/>
            <w:shd w:val="clear" w:color="auto" w:fill="auto"/>
            <w:vAlign w:val="bottom"/>
          </w:tcPr>
          <w:p w14:paraId="0E2E1DF3" w14:textId="77777777" w:rsidR="00EC4499" w:rsidRDefault="00433EA7">
            <w:pPr>
              <w:spacing w:after="0" w:line="24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6</w:t>
            </w:r>
          </w:p>
        </w:tc>
      </w:tr>
      <w:tr w:rsidR="00EC4499" w14:paraId="1305A75A" w14:textId="77777777">
        <w:trPr>
          <w:trHeight w:val="300"/>
        </w:trPr>
        <w:tc>
          <w:tcPr>
            <w:tcW w:w="572" w:type="dxa"/>
            <w:shd w:val="clear" w:color="auto" w:fill="auto"/>
            <w:vAlign w:val="bottom"/>
          </w:tcPr>
          <w:p w14:paraId="16887050"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12</w:t>
            </w:r>
          </w:p>
        </w:tc>
        <w:tc>
          <w:tcPr>
            <w:tcW w:w="7220" w:type="dxa"/>
            <w:shd w:val="clear" w:color="auto" w:fill="auto"/>
            <w:vAlign w:val="bottom"/>
          </w:tcPr>
          <w:p w14:paraId="0B497D3D"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301-1, 301-2, 301-3, 302-1, 302-2, 302-3, 302-4, 302-5, 303-1, 305-1, 305-2, 305-3, 305-6, 305-7, 306-1, 306-2,  306-3, 306-4, 306-5, 417-1</w:t>
            </w:r>
          </w:p>
        </w:tc>
        <w:tc>
          <w:tcPr>
            <w:tcW w:w="708" w:type="dxa"/>
            <w:shd w:val="clear" w:color="auto" w:fill="auto"/>
            <w:vAlign w:val="bottom"/>
          </w:tcPr>
          <w:p w14:paraId="1D564E46" w14:textId="77777777" w:rsidR="00EC4499" w:rsidRDefault="00433EA7">
            <w:pPr>
              <w:spacing w:after="0" w:line="24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20</w:t>
            </w:r>
          </w:p>
        </w:tc>
      </w:tr>
      <w:tr w:rsidR="00EC4499" w14:paraId="282B10E2" w14:textId="77777777">
        <w:trPr>
          <w:trHeight w:val="300"/>
        </w:trPr>
        <w:tc>
          <w:tcPr>
            <w:tcW w:w="572" w:type="dxa"/>
            <w:shd w:val="clear" w:color="auto" w:fill="auto"/>
            <w:vAlign w:val="bottom"/>
          </w:tcPr>
          <w:p w14:paraId="5AF1EBF4"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13</w:t>
            </w:r>
          </w:p>
        </w:tc>
        <w:tc>
          <w:tcPr>
            <w:tcW w:w="7220" w:type="dxa"/>
            <w:shd w:val="clear" w:color="auto" w:fill="auto"/>
            <w:vAlign w:val="bottom"/>
          </w:tcPr>
          <w:p w14:paraId="0DF5DBB1"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201-2, 302-1, 302-2, 302-3, 302-4, 302-5, 305-1, 305-2, 305-3, 305-4, 305-5</w:t>
            </w:r>
          </w:p>
        </w:tc>
        <w:tc>
          <w:tcPr>
            <w:tcW w:w="708" w:type="dxa"/>
            <w:shd w:val="clear" w:color="auto" w:fill="auto"/>
            <w:vAlign w:val="bottom"/>
          </w:tcPr>
          <w:p w14:paraId="2BF9C5EE" w14:textId="77777777" w:rsidR="00EC4499" w:rsidRDefault="00433EA7">
            <w:pPr>
              <w:spacing w:after="0" w:line="24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11</w:t>
            </w:r>
          </w:p>
        </w:tc>
      </w:tr>
      <w:tr w:rsidR="00EC4499" w14:paraId="42210ACA" w14:textId="77777777">
        <w:trPr>
          <w:trHeight w:val="300"/>
        </w:trPr>
        <w:tc>
          <w:tcPr>
            <w:tcW w:w="572" w:type="dxa"/>
            <w:shd w:val="clear" w:color="auto" w:fill="auto"/>
            <w:vAlign w:val="bottom"/>
          </w:tcPr>
          <w:p w14:paraId="17336447"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14</w:t>
            </w:r>
          </w:p>
        </w:tc>
        <w:tc>
          <w:tcPr>
            <w:tcW w:w="7220" w:type="dxa"/>
            <w:shd w:val="clear" w:color="auto" w:fill="auto"/>
            <w:vAlign w:val="bottom"/>
          </w:tcPr>
          <w:p w14:paraId="299AB7C9"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304-1, 304-2, 304-3, 304-4, 305-1, 305-2, 305-3, 305-4, 305-5, 305-7</w:t>
            </w:r>
          </w:p>
        </w:tc>
        <w:tc>
          <w:tcPr>
            <w:tcW w:w="708" w:type="dxa"/>
            <w:shd w:val="clear" w:color="auto" w:fill="auto"/>
            <w:vAlign w:val="bottom"/>
          </w:tcPr>
          <w:p w14:paraId="2F895224" w14:textId="77777777" w:rsidR="00EC4499" w:rsidRDefault="00433EA7">
            <w:pPr>
              <w:spacing w:after="0" w:line="24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10</w:t>
            </w:r>
          </w:p>
        </w:tc>
      </w:tr>
      <w:tr w:rsidR="00EC4499" w14:paraId="28782BC8" w14:textId="77777777">
        <w:trPr>
          <w:trHeight w:val="300"/>
        </w:trPr>
        <w:tc>
          <w:tcPr>
            <w:tcW w:w="572" w:type="dxa"/>
            <w:shd w:val="clear" w:color="auto" w:fill="auto"/>
            <w:vAlign w:val="bottom"/>
          </w:tcPr>
          <w:p w14:paraId="08A7CDD0"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15</w:t>
            </w:r>
          </w:p>
        </w:tc>
        <w:tc>
          <w:tcPr>
            <w:tcW w:w="7220" w:type="dxa"/>
            <w:shd w:val="clear" w:color="auto" w:fill="auto"/>
            <w:vAlign w:val="bottom"/>
          </w:tcPr>
          <w:p w14:paraId="288F63A7"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304-1, 304-2, 304-3, 304-4, 305-1, 305-2, 305-3, 305-4, 305-5, 305-7, 306-3, 306-5</w:t>
            </w:r>
          </w:p>
        </w:tc>
        <w:tc>
          <w:tcPr>
            <w:tcW w:w="708" w:type="dxa"/>
            <w:shd w:val="clear" w:color="auto" w:fill="auto"/>
            <w:vAlign w:val="bottom"/>
          </w:tcPr>
          <w:p w14:paraId="1FEED543" w14:textId="77777777" w:rsidR="00EC4499" w:rsidRDefault="00433EA7">
            <w:pPr>
              <w:spacing w:after="0" w:line="24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12</w:t>
            </w:r>
          </w:p>
        </w:tc>
      </w:tr>
      <w:tr w:rsidR="00EC4499" w14:paraId="541D1929" w14:textId="77777777">
        <w:trPr>
          <w:trHeight w:val="300"/>
        </w:trPr>
        <w:tc>
          <w:tcPr>
            <w:tcW w:w="572" w:type="dxa"/>
            <w:shd w:val="clear" w:color="auto" w:fill="auto"/>
            <w:vAlign w:val="bottom"/>
          </w:tcPr>
          <w:p w14:paraId="2534533A"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16</w:t>
            </w:r>
          </w:p>
        </w:tc>
        <w:tc>
          <w:tcPr>
            <w:tcW w:w="7220" w:type="dxa"/>
            <w:shd w:val="clear" w:color="auto" w:fill="auto"/>
            <w:vAlign w:val="bottom"/>
          </w:tcPr>
          <w:p w14:paraId="63699B0E"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205-1, 205-2, 205-3, 206-1, 307-1, 403-4, 403-9, 403-10, 408-1, 410-1, 414-1, 414-2, 415-1, 416-2, 417-2, 417-3, 418-1, 419-1</w:t>
            </w:r>
          </w:p>
        </w:tc>
        <w:tc>
          <w:tcPr>
            <w:tcW w:w="708" w:type="dxa"/>
            <w:shd w:val="clear" w:color="auto" w:fill="auto"/>
            <w:vAlign w:val="bottom"/>
          </w:tcPr>
          <w:p w14:paraId="656E50C2" w14:textId="77777777" w:rsidR="00EC4499" w:rsidRDefault="00433EA7">
            <w:pPr>
              <w:spacing w:after="0" w:line="24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18</w:t>
            </w:r>
          </w:p>
        </w:tc>
      </w:tr>
      <w:tr w:rsidR="00EC4499" w14:paraId="380C88B5" w14:textId="77777777">
        <w:trPr>
          <w:trHeight w:val="300"/>
        </w:trPr>
        <w:tc>
          <w:tcPr>
            <w:tcW w:w="572" w:type="dxa"/>
            <w:shd w:val="clear" w:color="auto" w:fill="auto"/>
            <w:vAlign w:val="bottom"/>
          </w:tcPr>
          <w:p w14:paraId="7B5B2F4E"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17</w:t>
            </w:r>
          </w:p>
        </w:tc>
        <w:tc>
          <w:tcPr>
            <w:tcW w:w="7220" w:type="dxa"/>
            <w:shd w:val="clear" w:color="auto" w:fill="auto"/>
            <w:vAlign w:val="bottom"/>
          </w:tcPr>
          <w:p w14:paraId="7432B560"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207-1, 207-2, 207-3, 207-4</w:t>
            </w:r>
          </w:p>
        </w:tc>
        <w:tc>
          <w:tcPr>
            <w:tcW w:w="708" w:type="dxa"/>
            <w:shd w:val="clear" w:color="auto" w:fill="auto"/>
            <w:vAlign w:val="bottom"/>
          </w:tcPr>
          <w:p w14:paraId="58650F65" w14:textId="77777777" w:rsidR="00EC4499" w:rsidRDefault="00433EA7">
            <w:pPr>
              <w:spacing w:after="0" w:line="240" w:lineRule="auto"/>
              <w:jc w:val="right"/>
              <w:rPr>
                <w:rFonts w:ascii="Garamond" w:eastAsia="Garamond" w:hAnsi="Garamond" w:cs="Garamond"/>
                <w:color w:val="000000"/>
                <w:sz w:val="16"/>
                <w:szCs w:val="16"/>
              </w:rPr>
            </w:pPr>
            <w:r>
              <w:rPr>
                <w:rFonts w:ascii="Garamond" w:eastAsia="Garamond" w:hAnsi="Garamond" w:cs="Garamond"/>
                <w:color w:val="000000"/>
                <w:sz w:val="16"/>
                <w:szCs w:val="16"/>
              </w:rPr>
              <w:t>4</w:t>
            </w:r>
          </w:p>
        </w:tc>
      </w:tr>
      <w:tr w:rsidR="00EC4499" w14:paraId="0B75C0B7" w14:textId="77777777">
        <w:trPr>
          <w:trHeight w:val="300"/>
        </w:trPr>
        <w:tc>
          <w:tcPr>
            <w:tcW w:w="572" w:type="dxa"/>
            <w:tcBorders>
              <w:bottom w:val="single" w:sz="4" w:space="0" w:color="000000"/>
            </w:tcBorders>
            <w:shd w:val="clear" w:color="auto" w:fill="auto"/>
            <w:vAlign w:val="bottom"/>
          </w:tcPr>
          <w:p w14:paraId="53E55AA0" w14:textId="77777777" w:rsidR="00EC4499" w:rsidRDefault="00433EA7">
            <w:pPr>
              <w:spacing w:after="0" w:line="240" w:lineRule="auto"/>
              <w:jc w:val="center"/>
              <w:rPr>
                <w:rFonts w:ascii="Garamond" w:eastAsia="Garamond" w:hAnsi="Garamond" w:cs="Garamond"/>
                <w:b/>
                <w:color w:val="000000"/>
                <w:sz w:val="16"/>
                <w:szCs w:val="16"/>
              </w:rPr>
            </w:pPr>
            <w:r>
              <w:rPr>
                <w:rFonts w:ascii="Garamond" w:eastAsia="Garamond" w:hAnsi="Garamond" w:cs="Garamond"/>
                <w:b/>
                <w:color w:val="000000"/>
                <w:sz w:val="16"/>
                <w:szCs w:val="16"/>
              </w:rPr>
              <w:t>Total</w:t>
            </w:r>
          </w:p>
        </w:tc>
        <w:tc>
          <w:tcPr>
            <w:tcW w:w="7220" w:type="dxa"/>
            <w:tcBorders>
              <w:bottom w:val="single" w:sz="4" w:space="0" w:color="000000"/>
            </w:tcBorders>
            <w:shd w:val="clear" w:color="auto" w:fill="auto"/>
            <w:vAlign w:val="bottom"/>
          </w:tcPr>
          <w:p w14:paraId="20D281EC"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 </w:t>
            </w:r>
          </w:p>
        </w:tc>
        <w:tc>
          <w:tcPr>
            <w:tcW w:w="708" w:type="dxa"/>
            <w:tcBorders>
              <w:bottom w:val="single" w:sz="4" w:space="0" w:color="000000"/>
            </w:tcBorders>
            <w:shd w:val="clear" w:color="auto" w:fill="auto"/>
            <w:vAlign w:val="bottom"/>
          </w:tcPr>
          <w:p w14:paraId="46CEED63" w14:textId="77777777" w:rsidR="00EC4499" w:rsidRDefault="00433EA7">
            <w:pPr>
              <w:spacing w:after="0" w:line="240" w:lineRule="auto"/>
              <w:jc w:val="right"/>
              <w:rPr>
                <w:rFonts w:ascii="Garamond" w:eastAsia="Garamond" w:hAnsi="Garamond" w:cs="Garamond"/>
                <w:b/>
                <w:color w:val="000000"/>
                <w:sz w:val="16"/>
                <w:szCs w:val="16"/>
              </w:rPr>
            </w:pPr>
            <w:r>
              <w:rPr>
                <w:rFonts w:ascii="Garamond" w:eastAsia="Garamond" w:hAnsi="Garamond" w:cs="Garamond"/>
                <w:b/>
                <w:color w:val="000000"/>
                <w:sz w:val="16"/>
                <w:szCs w:val="16"/>
              </w:rPr>
              <w:t>186</w:t>
            </w:r>
          </w:p>
        </w:tc>
      </w:tr>
    </w:tbl>
    <w:p w14:paraId="3F6EE67A" w14:textId="77777777" w:rsidR="00EC4499" w:rsidRDefault="00EC4499">
      <w:pPr>
        <w:spacing w:after="0" w:line="360" w:lineRule="auto"/>
        <w:ind w:firstLine="360"/>
        <w:rPr>
          <w:rFonts w:ascii="Garamond" w:eastAsia="Garamond" w:hAnsi="Garamond" w:cs="Garamond"/>
          <w:color w:val="000000"/>
          <w:sz w:val="24"/>
          <w:szCs w:val="24"/>
        </w:rPr>
      </w:pPr>
    </w:p>
    <w:p w14:paraId="2FA97DBE" w14:textId="41567D37" w:rsidR="00BB18FF" w:rsidRDefault="00BB18FF" w:rsidP="00BB18FF">
      <w:pPr>
        <w:spacing w:after="0" w:line="360" w:lineRule="auto"/>
        <w:rPr>
          <w:rFonts w:ascii="Garamond" w:eastAsia="Garamond" w:hAnsi="Garamond" w:cs="Garamond"/>
          <w:color w:val="000000"/>
          <w:sz w:val="18"/>
          <w:szCs w:val="18"/>
        </w:rPr>
      </w:pPr>
      <w:r>
        <w:rPr>
          <w:rFonts w:ascii="Garamond" w:eastAsia="Garamond" w:hAnsi="Garamond" w:cs="Garamond"/>
          <w:color w:val="000000"/>
          <w:sz w:val="18"/>
          <w:szCs w:val="18"/>
        </w:rPr>
        <w:t>Fonte:</w:t>
      </w:r>
      <w:r w:rsidR="00A41132">
        <w:rPr>
          <w:rFonts w:ascii="Garamond" w:eastAsia="Garamond" w:hAnsi="Garamond" w:cs="Garamond"/>
          <w:color w:val="000000"/>
          <w:sz w:val="18"/>
          <w:szCs w:val="18"/>
        </w:rPr>
        <w:t xml:space="preserve"> elaboração própria com base em</w:t>
      </w:r>
      <w:r>
        <w:rPr>
          <w:rFonts w:ascii="Garamond" w:eastAsia="Garamond" w:hAnsi="Garamond" w:cs="Garamond"/>
          <w:color w:val="000000"/>
          <w:sz w:val="18"/>
          <w:szCs w:val="18"/>
        </w:rPr>
        <w:t xml:space="preserve"> </w:t>
      </w:r>
      <w:r w:rsidR="00547F60">
        <w:rPr>
          <w:rFonts w:ascii="Garamond" w:eastAsia="Garamond" w:hAnsi="Garamond" w:cs="Garamond"/>
          <w:color w:val="000000"/>
          <w:sz w:val="18"/>
          <w:szCs w:val="18"/>
        </w:rPr>
        <w:t>Pacto Global</w:t>
      </w:r>
      <w:r w:rsidR="00A41132">
        <w:rPr>
          <w:rFonts w:ascii="Garamond" w:eastAsia="Garamond" w:hAnsi="Garamond" w:cs="Garamond"/>
          <w:color w:val="000000"/>
          <w:sz w:val="18"/>
          <w:szCs w:val="18"/>
        </w:rPr>
        <w:t xml:space="preserve"> (2022)</w:t>
      </w:r>
      <w:r w:rsidR="006B705C">
        <w:rPr>
          <w:rFonts w:ascii="Garamond" w:eastAsia="Garamond" w:hAnsi="Garamond" w:cs="Garamond"/>
          <w:color w:val="000000"/>
          <w:sz w:val="18"/>
          <w:szCs w:val="18"/>
        </w:rPr>
        <w:t>.</w:t>
      </w:r>
    </w:p>
    <w:p w14:paraId="67FBFEC6" w14:textId="77777777" w:rsidR="00BB18FF" w:rsidRDefault="00BB18FF">
      <w:pPr>
        <w:spacing w:after="0" w:line="360" w:lineRule="auto"/>
        <w:ind w:firstLine="360"/>
        <w:rPr>
          <w:rFonts w:ascii="Garamond" w:eastAsia="Garamond" w:hAnsi="Garamond" w:cs="Garamond"/>
          <w:color w:val="000000"/>
          <w:sz w:val="24"/>
          <w:szCs w:val="24"/>
        </w:rPr>
      </w:pPr>
    </w:p>
    <w:p w14:paraId="1C8CA06D"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Complementarmente, será realizada regressão linear a fim de verificar se um resultado melhor no DQPI tem relação com um maior número de conteúdos divulgados nos relatórios dos bancos.</w:t>
      </w:r>
    </w:p>
    <w:p w14:paraId="59F341B9"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lastRenderedPageBreak/>
        <w:t xml:space="preserve">Será, ainda, apresentado o resultado sem vincular aos ODS, avaliando a divulgação dos conteúdos previstos nas normas temáticas de acordo com a metodologia desenvolvida por Tsalis </w:t>
      </w:r>
      <w:r>
        <w:rPr>
          <w:rFonts w:ascii="Garamond" w:eastAsia="Garamond" w:hAnsi="Garamond" w:cs="Garamond"/>
          <w:i/>
          <w:color w:val="000000"/>
          <w:sz w:val="24"/>
          <w:szCs w:val="24"/>
        </w:rPr>
        <w:t>et al</w:t>
      </w:r>
      <w:r>
        <w:rPr>
          <w:rFonts w:ascii="Garamond" w:eastAsia="Garamond" w:hAnsi="Garamond" w:cs="Garamond"/>
          <w:color w:val="000000"/>
          <w:sz w:val="24"/>
          <w:szCs w:val="24"/>
        </w:rPr>
        <w:t>. (2020).</w:t>
      </w:r>
    </w:p>
    <w:p w14:paraId="642D4506"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Na segunda parte do trabalho a qualidade dos relatórios será avaliada sob a ótica dos Princípios de Relato da GRI que devem ser observados para garantia da qualidade e apresentação adequada das informações relatadas, permitindo que os usuários de informações façam avaliações e tomem decisões embasadas sobre os impactos da organização e sua contribuição para o desenvolvimento sustentável (GRI, 2021).</w:t>
      </w:r>
    </w:p>
    <w:p w14:paraId="37BDE9D2"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sz w:val="24"/>
          <w:szCs w:val="24"/>
        </w:rPr>
        <w:t xml:space="preserve">A avaliação será feita a partir da análise de conteúdo dos relatórios e atribuição das pontuações para nove perguntas de qualidade, conforme Apêndice 1, elaborado pelo autor e baseado em estudo realizado por Ismail </w:t>
      </w:r>
      <w:r w:rsidRPr="00FF374C">
        <w:rPr>
          <w:rFonts w:ascii="Garamond" w:eastAsia="Garamond" w:hAnsi="Garamond" w:cs="Garamond"/>
          <w:i/>
          <w:iCs/>
          <w:sz w:val="24"/>
          <w:szCs w:val="24"/>
        </w:rPr>
        <w:t>et al</w:t>
      </w:r>
      <w:r>
        <w:rPr>
          <w:rFonts w:ascii="Garamond" w:eastAsia="Garamond" w:hAnsi="Garamond" w:cs="Garamond"/>
          <w:sz w:val="24"/>
          <w:szCs w:val="24"/>
        </w:rPr>
        <w:t>. (2022), no documento GRI 1: Fundamentos 2021 (GRI, 2021) e na metodologia apresentada na divulgação dos resultados do “Reporting Matters Brasil”, elaborado pelo Conselho Empresarial Brasileiro para o Desenvolvimento Sustentável (CEBDS, 2023).</w:t>
      </w:r>
    </w:p>
    <w:p w14:paraId="0BBFF3AF"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Além da leitura de todos os relatórios da amostra, destacando as informações necessárias para responder às questões atinentes a cada princípio, realizamos os procedimentos abaixo descritos.</w:t>
      </w:r>
    </w:p>
    <w:p w14:paraId="5DF4449C"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Princípio do Equilíbrio: “a organização não deve omitir informações relevantes a respeito de seus impactos negativos.”</w:t>
      </w:r>
    </w:p>
    <w:p w14:paraId="7EF8EBCF"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Para responder à primeira pergunta (P1), realizamos pesquisa no Gemini, plataforma de Inteligência Artificial (IA) do Google, no qual submetemos o questionamento, por exemplo “Qual o percentual de menções positivas x negativas no relatório de sustentabilidade de 2021 do banco Itaú?”.</w:t>
      </w:r>
    </w:p>
    <w:p w14:paraId="2E7B6DEB" w14:textId="77777777" w:rsidR="00EC4499" w:rsidRDefault="00433EA7">
      <w:pPr>
        <w:spacing w:after="0" w:line="360" w:lineRule="auto"/>
        <w:ind w:firstLine="708"/>
        <w:jc w:val="both"/>
        <w:rPr>
          <w:rFonts w:ascii="Garamond" w:eastAsia="Garamond" w:hAnsi="Garamond" w:cs="Garamond"/>
          <w:color w:val="333333"/>
          <w:sz w:val="24"/>
          <w:szCs w:val="24"/>
        </w:rPr>
      </w:pPr>
      <w:r>
        <w:rPr>
          <w:rFonts w:ascii="Garamond" w:eastAsia="Garamond" w:hAnsi="Garamond" w:cs="Garamond"/>
          <w:color w:val="000000"/>
          <w:sz w:val="24"/>
          <w:szCs w:val="24"/>
        </w:rPr>
        <w:t xml:space="preserve">Foi utilizada também a </w:t>
      </w:r>
      <w:r>
        <w:rPr>
          <w:rFonts w:ascii="Garamond" w:eastAsia="Garamond" w:hAnsi="Garamond" w:cs="Garamond"/>
          <w:color w:val="000000"/>
          <w:sz w:val="24"/>
          <w:szCs w:val="24"/>
          <w:highlight w:val="white"/>
        </w:rPr>
        <w:t xml:space="preserve">ferramenta de IA </w:t>
      </w:r>
      <w:r>
        <w:rPr>
          <w:rFonts w:ascii="Garamond" w:eastAsia="Garamond" w:hAnsi="Garamond" w:cs="Garamond"/>
          <w:i/>
          <w:color w:val="000000"/>
          <w:sz w:val="24"/>
          <w:szCs w:val="24"/>
        </w:rPr>
        <w:t>Machine Learning ESG Analyst</w:t>
      </w:r>
      <w:r>
        <w:rPr>
          <w:rFonts w:ascii="Garamond" w:eastAsia="Garamond" w:hAnsi="Garamond" w:cs="Garamond"/>
          <w:color w:val="000000"/>
          <w:sz w:val="24"/>
          <w:szCs w:val="24"/>
          <w:highlight w:val="white"/>
        </w:rPr>
        <w:t xml:space="preserve"> (Malena) desenvolvida por especialistas ESG da </w:t>
      </w:r>
      <w:r>
        <w:rPr>
          <w:rFonts w:ascii="Garamond" w:eastAsia="Garamond" w:hAnsi="Garamond" w:cs="Garamond"/>
          <w:i/>
          <w:color w:val="000000"/>
          <w:sz w:val="24"/>
          <w:szCs w:val="24"/>
          <w:highlight w:val="white"/>
        </w:rPr>
        <w:t>International Finance Corporation</w:t>
      </w:r>
      <w:r>
        <w:rPr>
          <w:rFonts w:ascii="Garamond" w:eastAsia="Garamond" w:hAnsi="Garamond" w:cs="Garamond"/>
          <w:color w:val="000000"/>
          <w:sz w:val="24"/>
          <w:szCs w:val="24"/>
          <w:highlight w:val="white"/>
        </w:rPr>
        <w:t xml:space="preserve"> (IFC), ligada ao Banco Mundial, </w:t>
      </w:r>
      <w:r>
        <w:rPr>
          <w:rFonts w:ascii="Garamond" w:eastAsia="Garamond" w:hAnsi="Garamond" w:cs="Garamond"/>
          <w:color w:val="000000"/>
          <w:sz w:val="24"/>
          <w:szCs w:val="24"/>
        </w:rPr>
        <w:t xml:space="preserve">disponível em </w:t>
      </w:r>
      <w:hyperlink r:id="rId13" w:anchor="/">
        <w:r>
          <w:rPr>
            <w:rFonts w:ascii="Garamond" w:eastAsia="Garamond" w:hAnsi="Garamond" w:cs="Garamond"/>
            <w:color w:val="000000"/>
            <w:sz w:val="24"/>
            <w:szCs w:val="24"/>
          </w:rPr>
          <w:t>https://malena.ifc.org/#/</w:t>
        </w:r>
      </w:hyperlink>
      <w:r>
        <w:rPr>
          <w:rFonts w:ascii="Garamond" w:eastAsia="Garamond" w:hAnsi="Garamond" w:cs="Garamond"/>
          <w:color w:val="000000"/>
          <w:sz w:val="24"/>
          <w:szCs w:val="24"/>
        </w:rPr>
        <w:t xml:space="preserve">. A Malena </w:t>
      </w:r>
      <w:r>
        <w:rPr>
          <w:rFonts w:ascii="Garamond" w:eastAsia="Garamond" w:hAnsi="Garamond" w:cs="Garamond"/>
          <w:color w:val="333333"/>
          <w:sz w:val="24"/>
          <w:szCs w:val="24"/>
        </w:rPr>
        <w:t>analisa documentos carregados pelos usuários, podendo ler textos relevantes sobre ESG, como relatórios de sustentabilidade, avaliações de impacto ambiental e social e artigos de notícias.</w:t>
      </w:r>
    </w:p>
    <w:p w14:paraId="5034A4D1" w14:textId="23F5D96A"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sz w:val="24"/>
          <w:szCs w:val="24"/>
        </w:rPr>
        <w:t xml:space="preserve">Analisamos, ainda, a repercussão nos relatórios de dois fatos de destaque na imprensa brasileira no período avaliado, com </w:t>
      </w:r>
      <w:r w:rsidR="00581087">
        <w:rPr>
          <w:rFonts w:ascii="Garamond" w:eastAsia="Garamond" w:hAnsi="Garamond" w:cs="Garamond"/>
          <w:sz w:val="24"/>
          <w:szCs w:val="24"/>
        </w:rPr>
        <w:t>consequências</w:t>
      </w:r>
      <w:r>
        <w:rPr>
          <w:rFonts w:ascii="Garamond" w:eastAsia="Garamond" w:hAnsi="Garamond" w:cs="Garamond"/>
          <w:sz w:val="24"/>
          <w:szCs w:val="24"/>
        </w:rPr>
        <w:t xml:space="preserve"> no mercado bancário:</w:t>
      </w:r>
    </w:p>
    <w:p w14:paraId="0EA3B49B" w14:textId="2299E523"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sz w:val="24"/>
          <w:szCs w:val="24"/>
        </w:rPr>
        <w:lastRenderedPageBreak/>
        <w:t>i. fraude contábil numa das maiores varejistas brasileiras (Lojas Americanas) com impacto na carteira de crédito dos bancos (</w:t>
      </w:r>
      <w:r w:rsidR="00616F69">
        <w:rPr>
          <w:rFonts w:ascii="Garamond" w:eastAsia="Garamond" w:hAnsi="Garamond" w:cs="Garamond"/>
          <w:sz w:val="24"/>
          <w:szCs w:val="24"/>
        </w:rPr>
        <w:t>Azevedo</w:t>
      </w:r>
      <w:r w:rsidR="00627049">
        <w:rPr>
          <w:rFonts w:ascii="Garamond" w:eastAsia="Garamond" w:hAnsi="Garamond" w:cs="Garamond"/>
          <w:sz w:val="24"/>
          <w:szCs w:val="24"/>
        </w:rPr>
        <w:t>, 2023)</w:t>
      </w:r>
      <w:r>
        <w:rPr>
          <w:rFonts w:ascii="Garamond" w:eastAsia="Garamond" w:hAnsi="Garamond" w:cs="Garamond"/>
          <w:sz w:val="24"/>
          <w:szCs w:val="24"/>
        </w:rPr>
        <w:t xml:space="preserve">, inclusive com </w:t>
      </w:r>
      <w:r w:rsidR="00E93A63">
        <w:rPr>
          <w:rFonts w:ascii="Garamond" w:eastAsia="Garamond" w:hAnsi="Garamond" w:cs="Garamond"/>
          <w:sz w:val="24"/>
          <w:szCs w:val="24"/>
        </w:rPr>
        <w:t>instauração</w:t>
      </w:r>
      <w:r>
        <w:rPr>
          <w:rFonts w:ascii="Garamond" w:eastAsia="Garamond" w:hAnsi="Garamond" w:cs="Garamond"/>
          <w:sz w:val="24"/>
          <w:szCs w:val="24"/>
        </w:rPr>
        <w:t xml:space="preserve"> de Comissão Parlamentar de Inquérito (Câmara dos Deputados do Brasil, 2023).</w:t>
      </w:r>
    </w:p>
    <w:p w14:paraId="39544725" w14:textId="698498A1"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ii. divulgação do ranking dos maiores réus do judiciário brasileiro pelo Conselho Nacional de Justiça (CNJ, 2023)</w:t>
      </w:r>
      <w:r w:rsidR="00E32C7B">
        <w:rPr>
          <w:rFonts w:ascii="Garamond" w:eastAsia="Garamond" w:hAnsi="Garamond" w:cs="Garamond"/>
          <w:color w:val="000000"/>
          <w:sz w:val="24"/>
          <w:szCs w:val="24"/>
        </w:rPr>
        <w:t xml:space="preserve">, </w:t>
      </w:r>
      <w:r w:rsidR="00A53ED4">
        <w:rPr>
          <w:rFonts w:ascii="Garamond" w:eastAsia="Garamond" w:hAnsi="Garamond" w:cs="Garamond"/>
          <w:color w:val="000000"/>
          <w:sz w:val="24"/>
          <w:szCs w:val="24"/>
        </w:rPr>
        <w:t>com o</w:t>
      </w:r>
      <w:r w:rsidR="00E32C7B">
        <w:rPr>
          <w:rFonts w:ascii="Garamond" w:eastAsia="Garamond" w:hAnsi="Garamond" w:cs="Garamond"/>
          <w:color w:val="000000"/>
          <w:sz w:val="24"/>
          <w:szCs w:val="24"/>
        </w:rPr>
        <w:t>s bancos</w:t>
      </w:r>
      <w:r w:rsidR="00A53ED4">
        <w:rPr>
          <w:rFonts w:ascii="Garamond" w:eastAsia="Garamond" w:hAnsi="Garamond" w:cs="Garamond"/>
          <w:color w:val="000000"/>
          <w:sz w:val="24"/>
          <w:szCs w:val="24"/>
        </w:rPr>
        <w:t xml:space="preserve"> em posição de destaque</w:t>
      </w:r>
      <w:r>
        <w:rPr>
          <w:rFonts w:ascii="Garamond" w:eastAsia="Garamond" w:hAnsi="Garamond" w:cs="Garamond"/>
          <w:color w:val="000000"/>
          <w:sz w:val="24"/>
          <w:szCs w:val="24"/>
        </w:rPr>
        <w:t>.</w:t>
      </w:r>
    </w:p>
    <w:p w14:paraId="713A300E"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Para responder à segunda pergunta (P2) analisamos o que os bancos divulgam a respeito dos financiamentos/investimentos concedidos a empresas que emitem grandes quantidades de carbono (</w:t>
      </w:r>
      <w:r>
        <w:rPr>
          <w:rFonts w:ascii="Garamond" w:eastAsia="Garamond" w:hAnsi="Garamond" w:cs="Garamond"/>
          <w:i/>
          <w:color w:val="000000"/>
          <w:sz w:val="24"/>
          <w:szCs w:val="24"/>
        </w:rPr>
        <w:t>carbon majors</w:t>
      </w:r>
      <w:r>
        <w:rPr>
          <w:rFonts w:ascii="Garamond" w:eastAsia="Garamond" w:hAnsi="Garamond" w:cs="Garamond"/>
          <w:color w:val="000000"/>
          <w:sz w:val="24"/>
          <w:szCs w:val="24"/>
        </w:rPr>
        <w:t>), uma vez que o papel de intermediação financeira evidencia a importância dos bancos quanto às emissões que financiam.</w:t>
      </w:r>
    </w:p>
    <w:p w14:paraId="60526C37"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Princípio da Comparabilidade: “a</w:t>
      </w:r>
      <w:r>
        <w:rPr>
          <w:rFonts w:ascii="Garamond" w:eastAsia="Garamond" w:hAnsi="Garamond" w:cs="Garamond"/>
          <w:sz w:val="24"/>
          <w:szCs w:val="24"/>
        </w:rPr>
        <w:t xml:space="preserve"> organização deverá selecionar, compilar e relatar informações consistentemente para permitir uma análise de mudanças nos impactos da organização ao longo do tempo e uma análise desses impactos relacionados aos de outras organizações.”</w:t>
      </w:r>
    </w:p>
    <w:p w14:paraId="550E5FCF"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sz w:val="24"/>
          <w:szCs w:val="24"/>
        </w:rPr>
        <w:t>Segundo a GRI (GRI, 2021), informações relatadas de forma comparável permitem a avaliação dos impactos atuais da organização em relação aos seus impactos passados e aos seus objetivos e metas. Permitem também que partes externas avaliem e comparem os impactos da organização com impactos de outras organizações.</w:t>
      </w:r>
    </w:p>
    <w:p w14:paraId="237E5C45"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sz w:val="24"/>
          <w:szCs w:val="24"/>
        </w:rPr>
        <w:t>Para resposta à (P1) avaliamos quantos frameworks/diretrizes/standards foram adotados pelas organizações na confecção dos relatórios. A quantidade diversificada de relatórios torna a comparação entre empresas extremamente desafiadora e, por esta razão, é importante que se utilizem os padrões disponíveis para que os leitores consigam comparar suas informações com as do concorrente, por exemplo.</w:t>
      </w:r>
    </w:p>
    <w:p w14:paraId="41A69543"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sz w:val="24"/>
          <w:szCs w:val="24"/>
        </w:rPr>
        <w:t>Para a pergunta (P2) analisamos com quantos anos anteriores foram comparadas as informações prestadas pelos bancos, atribuindo pontuação máxima para aqueles que apresentem informações de pelo menos dois períodos anteriores, conforme indicado pela GRI (GRI, 2021).</w:t>
      </w:r>
    </w:p>
    <w:p w14:paraId="2EB90F25"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sz w:val="24"/>
          <w:szCs w:val="24"/>
        </w:rPr>
        <w:t>- Princípio da Exatidão: “a organização deverá relatar informações que sejam corretas e suficientemente detalhadas para permitir uma avaliação dos seus impactos.”</w:t>
      </w:r>
    </w:p>
    <w:p w14:paraId="0C86D630"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sz w:val="24"/>
          <w:szCs w:val="24"/>
        </w:rPr>
        <w:t xml:space="preserve">Para responder à (P1) analisamos principalmente os dados de indicadores em gráficos e tabelas, para avaliar se </w:t>
      </w:r>
      <w:r>
        <w:rPr>
          <w:rFonts w:ascii="Garamond" w:eastAsia="Garamond" w:hAnsi="Garamond" w:cs="Garamond"/>
          <w:color w:val="000000"/>
          <w:sz w:val="24"/>
          <w:szCs w:val="24"/>
        </w:rPr>
        <w:t>contêm as explicações a respeito das formas pelas quais foram obtidos e bases de cálculo.</w:t>
      </w:r>
    </w:p>
    <w:p w14:paraId="2BD39773"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lastRenderedPageBreak/>
        <w:t>- Princípio da Tempestividade: “a organização deve encontrar um equilíbrio entre a necessidade de disponibilizar as informações oportunamente e garantir que as informações sejam de alta qualidade e cumpra os requisitos dos outros princípios de relato.”</w:t>
      </w:r>
    </w:p>
    <w:p w14:paraId="6F65F077" w14:textId="2D476523"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Para resposta à (P1), uma </w:t>
      </w:r>
      <w:r w:rsidR="0083679C">
        <w:rPr>
          <w:rFonts w:ascii="Garamond" w:eastAsia="Garamond" w:hAnsi="Garamond" w:cs="Garamond"/>
          <w:color w:val="000000"/>
          <w:sz w:val="24"/>
          <w:szCs w:val="24"/>
        </w:rPr>
        <w:t xml:space="preserve">vez </w:t>
      </w:r>
      <w:r>
        <w:rPr>
          <w:rFonts w:ascii="Garamond" w:eastAsia="Garamond" w:hAnsi="Garamond" w:cs="Garamond"/>
          <w:color w:val="000000"/>
          <w:sz w:val="24"/>
          <w:szCs w:val="24"/>
        </w:rPr>
        <w:t>que a GRI não define prazo máximo para divulgação, porém sinaliza que deve ocorrer a tempo de os leitores tomarem decisões com relação ao seu relacionamento com a organização</w:t>
      </w:r>
      <w:r w:rsidR="0083679C">
        <w:rPr>
          <w:rFonts w:ascii="Garamond" w:eastAsia="Garamond" w:hAnsi="Garamond" w:cs="Garamond"/>
          <w:color w:val="000000"/>
          <w:sz w:val="24"/>
          <w:szCs w:val="24"/>
        </w:rPr>
        <w:t>, u</w:t>
      </w:r>
      <w:r>
        <w:rPr>
          <w:rFonts w:ascii="Garamond" w:eastAsia="Garamond" w:hAnsi="Garamond" w:cs="Garamond"/>
          <w:color w:val="000000"/>
          <w:sz w:val="24"/>
          <w:szCs w:val="24"/>
        </w:rPr>
        <w:t>tilizamos dados extraídos do relatório “Reporting Matters Brasil” (</w:t>
      </w:r>
      <w:r>
        <w:rPr>
          <w:rFonts w:ascii="Garamond" w:eastAsia="Garamond" w:hAnsi="Garamond" w:cs="Garamond"/>
          <w:sz w:val="24"/>
          <w:szCs w:val="24"/>
        </w:rPr>
        <w:t>CEBDS, 2023) que demonstram que a maioria das organizações publica seus relatórios no primeiro semestre do ano seguinte.</w:t>
      </w:r>
    </w:p>
    <w:p w14:paraId="34C6EF54"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Para obter pontuação máxima no quesito era necessário que os bancos publicassem seus relatórios no primeiro semestre do ano posterior e mantivessem a regularidade de publicação, ou seja, o relatório deve ter sido publicado no mesmo mês ou até um mês antes ou depois do relatório do ano anterior.</w:t>
      </w:r>
    </w:p>
    <w:p w14:paraId="4ED84B26" w14:textId="260DBAE4"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Quando não foi possível identificar a data de publicação do relatório no próprio documento ou no </w:t>
      </w:r>
      <w:r>
        <w:rPr>
          <w:rFonts w:ascii="Garamond" w:eastAsia="Garamond" w:hAnsi="Garamond" w:cs="Garamond"/>
          <w:i/>
          <w:color w:val="000000"/>
          <w:sz w:val="24"/>
          <w:szCs w:val="24"/>
        </w:rPr>
        <w:t>site</w:t>
      </w:r>
      <w:r>
        <w:rPr>
          <w:rFonts w:ascii="Garamond" w:eastAsia="Garamond" w:hAnsi="Garamond" w:cs="Garamond"/>
          <w:color w:val="000000"/>
          <w:sz w:val="24"/>
          <w:szCs w:val="24"/>
        </w:rPr>
        <w:t xml:space="preserve"> das instituições, consideramos a menor entre a data de criação do relatório na versão em </w:t>
      </w:r>
      <w:r>
        <w:rPr>
          <w:rFonts w:ascii="Garamond" w:eastAsia="Garamond" w:hAnsi="Garamond" w:cs="Garamond"/>
          <w:i/>
          <w:color w:val="000000"/>
          <w:sz w:val="24"/>
          <w:szCs w:val="24"/>
        </w:rPr>
        <w:t>PDF</w:t>
      </w:r>
      <w:r>
        <w:rPr>
          <w:rFonts w:ascii="Garamond" w:eastAsia="Garamond" w:hAnsi="Garamond" w:cs="Garamond"/>
          <w:color w:val="000000"/>
          <w:sz w:val="24"/>
          <w:szCs w:val="24"/>
        </w:rPr>
        <w:t xml:space="preserve"> e a </w:t>
      </w:r>
      <w:r w:rsidR="00A62F7B">
        <w:rPr>
          <w:rFonts w:ascii="Garamond" w:eastAsia="Garamond" w:hAnsi="Garamond" w:cs="Garamond"/>
          <w:color w:val="000000"/>
          <w:sz w:val="24"/>
          <w:szCs w:val="24"/>
        </w:rPr>
        <w:t>da</w:t>
      </w:r>
      <w:r>
        <w:rPr>
          <w:rFonts w:ascii="Garamond" w:eastAsia="Garamond" w:hAnsi="Garamond" w:cs="Garamond"/>
          <w:color w:val="000000"/>
          <w:sz w:val="24"/>
          <w:szCs w:val="24"/>
        </w:rPr>
        <w:t xml:space="preserve"> carta de asseguração.</w:t>
      </w:r>
    </w:p>
    <w:p w14:paraId="5AC7BE47"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Princípio da Clareza: “a organização deve considerar as necessidades específicas de acessibilidade dos usuários de informações associadas com habilidades, idioma e tecnologia.”</w:t>
      </w:r>
    </w:p>
    <w:p w14:paraId="3BDBA2F4" w14:textId="6107AA8F"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Para responder à questão (P1), seguimos as orientações da GRI (GRI, 2021) e verificamos se os relatórios utilizavam recursos visuais como gráficos, tabelas, imagens</w:t>
      </w:r>
      <w:r w:rsidR="003E6944" w:rsidDel="003E6944">
        <w:rPr>
          <w:rFonts w:ascii="Garamond" w:eastAsia="Garamond" w:hAnsi="Garamond" w:cs="Garamond"/>
          <w:color w:val="000000"/>
          <w:sz w:val="24"/>
          <w:szCs w:val="24"/>
        </w:rPr>
        <w:t xml:space="preserve"> </w:t>
      </w:r>
      <w:r>
        <w:rPr>
          <w:rFonts w:ascii="Garamond" w:eastAsia="Garamond" w:hAnsi="Garamond" w:cs="Garamond"/>
          <w:color w:val="000000"/>
          <w:sz w:val="24"/>
          <w:szCs w:val="24"/>
        </w:rPr>
        <w:t xml:space="preserve">para tornar as informações acessíveis e compreensíveis. Além disso, também foi avaliada a existência de listas de siglas e acrônimos, glossário, sumário e índice para permitir uma navegação com menos esforço e mais facilidade de entendimento.  </w:t>
      </w:r>
    </w:p>
    <w:p w14:paraId="74073976"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Considerando que 84% dos respondentes de pesquisa realizada pelo Banco Central do Brasil têm conta em banco (Bacen, 2022), porém apenas 5% da população brasileira é fluente em inglês (British Council, 2014), consideramos que o relatório de um banco com forte atuação no país deveria ter uma versão em português. Desta forma, mesmo apresentando os demais itens em seus relatórios, para relatórios sem versão em português foi atribuída pontuação máxima 1.</w:t>
      </w:r>
    </w:p>
    <w:p w14:paraId="5434675E" w14:textId="2FDE7775"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Com relação ao tamanho dos arquivos, consideramos como adequado um tamanho de até 15,5 Megabytes (Mb), que foi o tamanho médio dos relatórios da amostra. Consideramos esse item relevante na avaliação já que </w:t>
      </w:r>
      <w:r>
        <w:rPr>
          <w:rFonts w:ascii="Garamond" w:eastAsia="Garamond" w:hAnsi="Garamond" w:cs="Garamond"/>
          <w:sz w:val="24"/>
          <w:szCs w:val="24"/>
        </w:rPr>
        <w:t xml:space="preserve">a maioria da população usuária de Internet (58%) declarou utilizar apenas o telefone celular para acessá-la e o acesso móvel é </w:t>
      </w:r>
      <w:r>
        <w:rPr>
          <w:rFonts w:ascii="Garamond" w:eastAsia="Garamond" w:hAnsi="Garamond" w:cs="Garamond"/>
          <w:sz w:val="24"/>
          <w:szCs w:val="24"/>
        </w:rPr>
        <w:lastRenderedPageBreak/>
        <w:t>caracterizado por limitações importantes, uma vez que 60% das pessoas que possuem telefone celular utilizam um plano pré-pago, que pode significar um pacote de dados limitado, insuficiente para as atividades realizadas em um mês (</w:t>
      </w:r>
      <w:r w:rsidR="004236AC">
        <w:rPr>
          <w:rFonts w:ascii="Garamond" w:eastAsia="Garamond" w:hAnsi="Garamond" w:cs="Garamond"/>
          <w:sz w:val="24"/>
          <w:szCs w:val="24"/>
        </w:rPr>
        <w:t>Núcleo de Informação e Coordenação do Ponto BR</w:t>
      </w:r>
      <w:r>
        <w:rPr>
          <w:rFonts w:ascii="Garamond" w:eastAsia="Garamond" w:hAnsi="Garamond" w:cs="Garamond"/>
          <w:sz w:val="24"/>
          <w:szCs w:val="24"/>
        </w:rPr>
        <w:t>, 2024).</w:t>
      </w:r>
    </w:p>
    <w:p w14:paraId="796E5298"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Princípio da Verificabilidade: “a organização deve criar controles internos e organizar a documentação de forma que indivíduos que não os que estejam preparando as informações relatadas (ex.: auditores internos, prestadores de serviços de verificação externa) possam analisá-las.”</w:t>
      </w:r>
    </w:p>
    <w:p w14:paraId="18637C12"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Para responder à primeira questão (P1) foi considerada a importância que a GRI dá à asseguração externa, elencando como fator de aumento de credibilidade dos relatórios e considerando sua realização para ranqueamento de empresas (GRI, 2021; Acionista, 2021). Assim, verificamos nas cartas de asseguração presentes nos relatórios, geralmente assinadas pelas </w:t>
      </w:r>
      <w:r>
        <w:rPr>
          <w:rFonts w:ascii="Garamond" w:eastAsia="Garamond" w:hAnsi="Garamond" w:cs="Garamond"/>
          <w:i/>
          <w:color w:val="000000"/>
          <w:sz w:val="24"/>
          <w:szCs w:val="24"/>
        </w:rPr>
        <w:t>big four</w:t>
      </w:r>
      <w:r>
        <w:rPr>
          <w:rFonts w:ascii="Garamond" w:eastAsia="Garamond" w:hAnsi="Garamond" w:cs="Garamond"/>
          <w:color w:val="000000"/>
          <w:sz w:val="24"/>
          <w:szCs w:val="24"/>
        </w:rPr>
        <w:t xml:space="preserve">, qual o escopo e a abrangência das verificações realizadas. </w:t>
      </w:r>
    </w:p>
    <w:p w14:paraId="3B9B72EA"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Para a segunda (P2) foi utilizado o critério adotado em Ismail </w:t>
      </w:r>
      <w:r>
        <w:rPr>
          <w:rFonts w:ascii="Garamond" w:eastAsia="Garamond" w:hAnsi="Garamond" w:cs="Garamond"/>
          <w:i/>
          <w:color w:val="000000"/>
          <w:sz w:val="24"/>
          <w:szCs w:val="24"/>
        </w:rPr>
        <w:t>et al</w:t>
      </w:r>
      <w:r>
        <w:rPr>
          <w:rFonts w:ascii="Garamond" w:eastAsia="Garamond" w:hAnsi="Garamond" w:cs="Garamond"/>
          <w:color w:val="000000"/>
          <w:sz w:val="24"/>
          <w:szCs w:val="24"/>
        </w:rPr>
        <w:t>. (2021) de que é importante haver a informação de contato da organização no relatório para que possibilite aos leitores esclarecimento de dúvidas quanto aos dados ali dispostos. Avaliamos a existência de informação de contato e sua responsividade, ou seja, se após realizadas as perguntas abaixo, encaminhadas para o e-mail informado nos relatórios, houve resposta da organização sanando as dúvidas apresentadas.</w:t>
      </w:r>
    </w:p>
    <w:p w14:paraId="55945392" w14:textId="77777777" w:rsidR="00EC4499" w:rsidRDefault="00433EA7">
      <w:pPr>
        <w:spacing w:after="0" w:line="360" w:lineRule="auto"/>
        <w:ind w:firstLine="708"/>
        <w:jc w:val="both"/>
        <w:rPr>
          <w:rFonts w:ascii="Garamond" w:eastAsia="Garamond" w:hAnsi="Garamond" w:cs="Garamond"/>
          <w:i/>
          <w:color w:val="222222"/>
          <w:sz w:val="24"/>
          <w:szCs w:val="24"/>
        </w:rPr>
      </w:pPr>
      <w:r>
        <w:rPr>
          <w:rFonts w:ascii="Garamond" w:eastAsia="Garamond" w:hAnsi="Garamond" w:cs="Garamond"/>
          <w:i/>
          <w:color w:val="222222"/>
          <w:sz w:val="24"/>
          <w:szCs w:val="24"/>
        </w:rPr>
        <w:t>É realizado feedback com os stakeholders para saber sua opinião a respeito dos Relatórios após as publicações? Caso positivo, quais stakeholders são ouvidos e qual a metodologia aplicada? Qual foi o resultado relativo aos RS/RI de 2021, 2022 e 2023? O resultado foi publicado e/ou pode ser disponibilizado?</w:t>
      </w:r>
    </w:p>
    <w:p w14:paraId="4229581D" w14:textId="77777777" w:rsidR="00EC4499" w:rsidRDefault="00433EA7">
      <w:pPr>
        <w:pStyle w:val="Ttulo2"/>
        <w:spacing w:after="0" w:line="360" w:lineRule="auto"/>
        <w:rPr>
          <w:rFonts w:ascii="Garamond" w:eastAsia="Garamond" w:hAnsi="Garamond" w:cs="Garamond"/>
          <w:sz w:val="26"/>
          <w:szCs w:val="26"/>
        </w:rPr>
      </w:pPr>
      <w:bookmarkStart w:id="10" w:name="_heading=h.omo9xlnwwljq" w:colFirst="0" w:colLast="0"/>
      <w:bookmarkEnd w:id="10"/>
      <w:r>
        <w:rPr>
          <w:rFonts w:ascii="Garamond" w:eastAsia="Garamond" w:hAnsi="Garamond" w:cs="Garamond"/>
          <w:sz w:val="26"/>
          <w:szCs w:val="26"/>
        </w:rPr>
        <w:t xml:space="preserve">3.2 </w:t>
      </w:r>
      <w:r>
        <w:rPr>
          <w:rFonts w:ascii="Garamond" w:eastAsia="Garamond" w:hAnsi="Garamond" w:cs="Garamond"/>
          <w:sz w:val="26"/>
          <w:szCs w:val="26"/>
        </w:rPr>
        <w:tab/>
        <w:t>Amostra</w:t>
      </w:r>
    </w:p>
    <w:p w14:paraId="47261864" w14:textId="77777777" w:rsidR="00EC4499" w:rsidRDefault="00EC4499">
      <w:pPr>
        <w:spacing w:after="0" w:line="360" w:lineRule="auto"/>
        <w:ind w:left="360"/>
        <w:rPr>
          <w:rFonts w:ascii="Garamond" w:eastAsia="Garamond" w:hAnsi="Garamond" w:cs="Garamond"/>
          <w:color w:val="000000"/>
          <w:sz w:val="24"/>
          <w:szCs w:val="24"/>
        </w:rPr>
      </w:pPr>
    </w:p>
    <w:p w14:paraId="1B829596"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sz w:val="24"/>
          <w:szCs w:val="24"/>
        </w:rPr>
        <w:t xml:space="preserve">Os órgãos reguladores do Sistema Financeiro Nacional (SFN) brasileiro – o Conselho Monetário Nacional (CMN), o Banco Central do Brasil (Bacen) e a Comissão de Valores Mobiliários (CVM) – são os responsáveis por emitir as normas para garantir a liquidez e solvência do sistema. São 1.708 instituições autorizadas a funcionar, sendo 161 bancos. </w:t>
      </w:r>
      <w:r>
        <w:rPr>
          <w:rFonts w:ascii="Garamond" w:eastAsia="Garamond" w:hAnsi="Garamond" w:cs="Garamond"/>
          <w:color w:val="000000"/>
          <w:sz w:val="24"/>
          <w:szCs w:val="24"/>
        </w:rPr>
        <w:t xml:space="preserve">Segundo Chagas </w:t>
      </w:r>
      <w:r w:rsidRPr="00FF374C">
        <w:rPr>
          <w:rFonts w:ascii="Garamond" w:eastAsia="Garamond" w:hAnsi="Garamond" w:cs="Garamond"/>
          <w:i/>
          <w:iCs/>
          <w:color w:val="000000"/>
          <w:sz w:val="24"/>
          <w:szCs w:val="24"/>
        </w:rPr>
        <w:t>et al</w:t>
      </w:r>
      <w:r>
        <w:rPr>
          <w:rFonts w:ascii="Garamond" w:eastAsia="Garamond" w:hAnsi="Garamond" w:cs="Garamond"/>
          <w:color w:val="000000"/>
          <w:sz w:val="24"/>
          <w:szCs w:val="24"/>
        </w:rPr>
        <w:t>. (2022), em 2020 os ativos dos bancos com atuação no Brasil somavam o equivalente a US$ 2 trilhões e os 20 maiores bancos detinham 88,49% deste total.</w:t>
      </w:r>
      <w:r>
        <w:rPr>
          <w:rFonts w:ascii="Garamond" w:eastAsia="Garamond" w:hAnsi="Garamond" w:cs="Garamond"/>
          <w:sz w:val="24"/>
          <w:szCs w:val="24"/>
        </w:rPr>
        <w:t xml:space="preserve"> </w:t>
      </w:r>
    </w:p>
    <w:p w14:paraId="7BB16C7D" w14:textId="77777777" w:rsidR="00EC4499" w:rsidRDefault="00433EA7">
      <w:pPr>
        <w:spacing w:after="0" w:line="360" w:lineRule="auto"/>
        <w:ind w:firstLine="708"/>
        <w:jc w:val="both"/>
        <w:rPr>
          <w:rFonts w:ascii="Garamond" w:eastAsia="Garamond" w:hAnsi="Garamond" w:cs="Garamond"/>
          <w:color w:val="000000"/>
          <w:sz w:val="24"/>
          <w:szCs w:val="24"/>
        </w:rPr>
      </w:pPr>
      <w:r>
        <w:rPr>
          <w:rFonts w:ascii="Garamond" w:eastAsia="Garamond" w:hAnsi="Garamond" w:cs="Garamond"/>
          <w:color w:val="000000"/>
          <w:sz w:val="24"/>
          <w:szCs w:val="24"/>
        </w:rPr>
        <w:lastRenderedPageBreak/>
        <w:t>Foi realizada análise do conteúdo dos Relatórios de Sustentabilidade de 11 bancos que utilizam o padrão GRI e estão entre os 20 maiores bancos com atuação no Brasil, por total de ativos, relativos aos anos de 2021 e 2022, incorporado um novo (Banco Inter), em razão de ser um banco nativo digital, totalizando 12 bancos e 25 documentos, já que para o banco Inter será realizada análise também do Relatório relativo ao ano de 2020. Na Tabela 4 seguem informações sobre os bancos selecionados para a amostra.</w:t>
      </w:r>
    </w:p>
    <w:p w14:paraId="609BDECF" w14:textId="77777777" w:rsidR="00EC4499" w:rsidRDefault="00EC4499">
      <w:pPr>
        <w:spacing w:after="0" w:line="360" w:lineRule="auto"/>
        <w:rPr>
          <w:rFonts w:ascii="Garamond" w:eastAsia="Garamond" w:hAnsi="Garamond" w:cs="Garamond"/>
          <w:color w:val="000000"/>
          <w:sz w:val="24"/>
          <w:szCs w:val="24"/>
        </w:rPr>
      </w:pPr>
    </w:p>
    <w:p w14:paraId="56BF9E83" w14:textId="77777777" w:rsidR="00EC4499" w:rsidRDefault="00433EA7">
      <w:pPr>
        <w:spacing w:after="0" w:line="360" w:lineRule="auto"/>
        <w:jc w:val="center"/>
        <w:rPr>
          <w:rFonts w:ascii="Garamond" w:eastAsia="Garamond" w:hAnsi="Garamond" w:cs="Garamond"/>
          <w:i/>
          <w:color w:val="000000"/>
          <w:sz w:val="24"/>
          <w:szCs w:val="24"/>
        </w:rPr>
      </w:pPr>
      <w:r>
        <w:rPr>
          <w:rFonts w:ascii="Garamond" w:eastAsia="Garamond" w:hAnsi="Garamond" w:cs="Garamond"/>
          <w:color w:val="000000"/>
          <w:sz w:val="24"/>
          <w:szCs w:val="24"/>
        </w:rPr>
        <w:t>Tabela 4 - Informações sobre os bancos</w:t>
      </w:r>
    </w:p>
    <w:tbl>
      <w:tblPr>
        <w:tblStyle w:val="a2"/>
        <w:tblW w:w="8224" w:type="dxa"/>
        <w:tblInd w:w="0" w:type="dxa"/>
        <w:tblLayout w:type="fixed"/>
        <w:tblLook w:val="0400" w:firstRow="0" w:lastRow="0" w:firstColumn="0" w:lastColumn="0" w:noHBand="0" w:noVBand="1"/>
      </w:tblPr>
      <w:tblGrid>
        <w:gridCol w:w="2127"/>
        <w:gridCol w:w="1134"/>
        <w:gridCol w:w="992"/>
        <w:gridCol w:w="850"/>
        <w:gridCol w:w="3121"/>
      </w:tblGrid>
      <w:tr w:rsidR="00EC4499" w14:paraId="4E605ABD" w14:textId="77777777">
        <w:trPr>
          <w:trHeight w:val="288"/>
        </w:trPr>
        <w:tc>
          <w:tcPr>
            <w:tcW w:w="2127" w:type="dxa"/>
            <w:tcBorders>
              <w:top w:val="single" w:sz="4" w:space="0" w:color="000000"/>
              <w:left w:val="nil"/>
              <w:bottom w:val="single" w:sz="4" w:space="0" w:color="000000"/>
              <w:right w:val="nil"/>
            </w:tcBorders>
            <w:shd w:val="clear" w:color="auto" w:fill="auto"/>
            <w:vAlign w:val="bottom"/>
          </w:tcPr>
          <w:p w14:paraId="1030F656" w14:textId="77777777" w:rsidR="00EC4499" w:rsidRDefault="00433EA7">
            <w:pPr>
              <w:spacing w:after="0" w:line="240" w:lineRule="auto"/>
              <w:rPr>
                <w:rFonts w:ascii="Garamond" w:eastAsia="Garamond" w:hAnsi="Garamond" w:cs="Garamond"/>
                <w:b/>
                <w:color w:val="000000"/>
                <w:sz w:val="18"/>
                <w:szCs w:val="18"/>
              </w:rPr>
            </w:pPr>
            <w:r>
              <w:rPr>
                <w:rFonts w:ascii="Garamond" w:eastAsia="Garamond" w:hAnsi="Garamond" w:cs="Garamond"/>
                <w:b/>
                <w:color w:val="000000"/>
                <w:sz w:val="18"/>
                <w:szCs w:val="18"/>
              </w:rPr>
              <w:t>Empresa</w:t>
            </w:r>
          </w:p>
        </w:tc>
        <w:tc>
          <w:tcPr>
            <w:tcW w:w="1134" w:type="dxa"/>
            <w:tcBorders>
              <w:top w:val="single" w:sz="4" w:space="0" w:color="000000"/>
              <w:left w:val="nil"/>
              <w:bottom w:val="single" w:sz="4" w:space="0" w:color="000000"/>
              <w:right w:val="nil"/>
            </w:tcBorders>
            <w:shd w:val="clear" w:color="auto" w:fill="auto"/>
            <w:vAlign w:val="bottom"/>
          </w:tcPr>
          <w:p w14:paraId="4167068D" w14:textId="77777777" w:rsidR="00EC4499" w:rsidRDefault="00433EA7">
            <w:pPr>
              <w:spacing w:after="0" w:line="240" w:lineRule="auto"/>
              <w:rPr>
                <w:rFonts w:ascii="Garamond" w:eastAsia="Garamond" w:hAnsi="Garamond" w:cs="Garamond"/>
                <w:b/>
                <w:color w:val="000000"/>
                <w:sz w:val="18"/>
                <w:szCs w:val="18"/>
              </w:rPr>
            </w:pPr>
            <w:r>
              <w:rPr>
                <w:rFonts w:ascii="Garamond" w:eastAsia="Garamond" w:hAnsi="Garamond" w:cs="Garamond"/>
                <w:b/>
                <w:color w:val="000000"/>
                <w:sz w:val="18"/>
                <w:szCs w:val="18"/>
              </w:rPr>
              <w:t>Controle</w:t>
            </w:r>
          </w:p>
        </w:tc>
        <w:tc>
          <w:tcPr>
            <w:tcW w:w="992" w:type="dxa"/>
            <w:tcBorders>
              <w:top w:val="single" w:sz="4" w:space="0" w:color="000000"/>
              <w:left w:val="nil"/>
              <w:bottom w:val="single" w:sz="4" w:space="0" w:color="000000"/>
              <w:right w:val="nil"/>
            </w:tcBorders>
            <w:shd w:val="clear" w:color="auto" w:fill="auto"/>
            <w:vAlign w:val="bottom"/>
          </w:tcPr>
          <w:p w14:paraId="287329BD" w14:textId="77777777" w:rsidR="00EC4499" w:rsidRDefault="00433EA7">
            <w:pPr>
              <w:spacing w:after="0" w:line="240" w:lineRule="auto"/>
              <w:rPr>
                <w:rFonts w:ascii="Garamond" w:eastAsia="Garamond" w:hAnsi="Garamond" w:cs="Garamond"/>
                <w:b/>
                <w:color w:val="000000"/>
                <w:sz w:val="18"/>
                <w:szCs w:val="18"/>
              </w:rPr>
            </w:pPr>
            <w:r>
              <w:rPr>
                <w:rFonts w:ascii="Garamond" w:eastAsia="Garamond" w:hAnsi="Garamond" w:cs="Garamond"/>
                <w:b/>
                <w:color w:val="000000"/>
                <w:sz w:val="18"/>
                <w:szCs w:val="18"/>
              </w:rPr>
              <w:t>Capital</w:t>
            </w:r>
          </w:p>
        </w:tc>
        <w:tc>
          <w:tcPr>
            <w:tcW w:w="850" w:type="dxa"/>
            <w:tcBorders>
              <w:top w:val="single" w:sz="4" w:space="0" w:color="000000"/>
              <w:left w:val="nil"/>
              <w:bottom w:val="single" w:sz="4" w:space="0" w:color="000000"/>
              <w:right w:val="nil"/>
            </w:tcBorders>
            <w:shd w:val="clear" w:color="auto" w:fill="auto"/>
            <w:vAlign w:val="bottom"/>
          </w:tcPr>
          <w:p w14:paraId="6514FB52" w14:textId="77777777" w:rsidR="00EC4499" w:rsidRDefault="00433EA7">
            <w:pPr>
              <w:spacing w:after="0" w:line="240" w:lineRule="auto"/>
              <w:rPr>
                <w:rFonts w:ascii="Garamond" w:eastAsia="Garamond" w:hAnsi="Garamond" w:cs="Garamond"/>
                <w:b/>
                <w:color w:val="000000"/>
                <w:sz w:val="18"/>
                <w:szCs w:val="18"/>
              </w:rPr>
            </w:pPr>
            <w:r>
              <w:rPr>
                <w:rFonts w:ascii="Garamond" w:eastAsia="Garamond" w:hAnsi="Garamond" w:cs="Garamond"/>
                <w:b/>
                <w:color w:val="000000"/>
                <w:sz w:val="18"/>
                <w:szCs w:val="18"/>
              </w:rPr>
              <w:t>Sede</w:t>
            </w:r>
          </w:p>
        </w:tc>
        <w:tc>
          <w:tcPr>
            <w:tcW w:w="3121" w:type="dxa"/>
            <w:tcBorders>
              <w:top w:val="single" w:sz="4" w:space="0" w:color="000000"/>
              <w:left w:val="nil"/>
              <w:bottom w:val="single" w:sz="4" w:space="0" w:color="000000"/>
              <w:right w:val="nil"/>
            </w:tcBorders>
            <w:shd w:val="clear" w:color="auto" w:fill="auto"/>
            <w:vAlign w:val="bottom"/>
          </w:tcPr>
          <w:p w14:paraId="70FA5373" w14:textId="77777777" w:rsidR="00EC4499" w:rsidRDefault="00433EA7">
            <w:pPr>
              <w:spacing w:after="0" w:line="240" w:lineRule="auto"/>
              <w:jc w:val="right"/>
              <w:rPr>
                <w:rFonts w:ascii="Garamond" w:eastAsia="Garamond" w:hAnsi="Garamond" w:cs="Garamond"/>
                <w:b/>
                <w:color w:val="000000"/>
                <w:sz w:val="18"/>
                <w:szCs w:val="18"/>
              </w:rPr>
            </w:pPr>
            <w:r>
              <w:rPr>
                <w:rFonts w:ascii="Garamond" w:eastAsia="Garamond" w:hAnsi="Garamond" w:cs="Garamond"/>
                <w:b/>
                <w:color w:val="000000"/>
                <w:sz w:val="18"/>
                <w:szCs w:val="18"/>
              </w:rPr>
              <w:t>Atuação</w:t>
            </w:r>
          </w:p>
        </w:tc>
      </w:tr>
      <w:tr w:rsidR="00EC4499" w14:paraId="798B54BF" w14:textId="77777777">
        <w:trPr>
          <w:trHeight w:val="288"/>
        </w:trPr>
        <w:tc>
          <w:tcPr>
            <w:tcW w:w="2127" w:type="dxa"/>
            <w:tcBorders>
              <w:top w:val="single" w:sz="4" w:space="0" w:color="000000"/>
              <w:left w:val="nil"/>
              <w:bottom w:val="nil"/>
              <w:right w:val="nil"/>
            </w:tcBorders>
            <w:shd w:val="clear" w:color="auto" w:fill="auto"/>
            <w:vAlign w:val="bottom"/>
          </w:tcPr>
          <w:p w14:paraId="6185D728"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Banco do Brasil </w:t>
            </w:r>
          </w:p>
        </w:tc>
        <w:tc>
          <w:tcPr>
            <w:tcW w:w="1134" w:type="dxa"/>
            <w:tcBorders>
              <w:top w:val="single" w:sz="4" w:space="0" w:color="000000"/>
              <w:left w:val="nil"/>
              <w:bottom w:val="nil"/>
              <w:right w:val="nil"/>
            </w:tcBorders>
            <w:shd w:val="clear" w:color="auto" w:fill="auto"/>
            <w:vAlign w:val="bottom"/>
          </w:tcPr>
          <w:p w14:paraId="669BF2D8"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Público</w:t>
            </w:r>
          </w:p>
        </w:tc>
        <w:tc>
          <w:tcPr>
            <w:tcW w:w="992" w:type="dxa"/>
            <w:tcBorders>
              <w:top w:val="single" w:sz="4" w:space="0" w:color="000000"/>
              <w:left w:val="nil"/>
              <w:bottom w:val="nil"/>
              <w:right w:val="nil"/>
            </w:tcBorders>
            <w:shd w:val="clear" w:color="auto" w:fill="auto"/>
            <w:vAlign w:val="bottom"/>
          </w:tcPr>
          <w:p w14:paraId="07C03618"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Aberto</w:t>
            </w:r>
          </w:p>
        </w:tc>
        <w:tc>
          <w:tcPr>
            <w:tcW w:w="850" w:type="dxa"/>
            <w:tcBorders>
              <w:top w:val="single" w:sz="4" w:space="0" w:color="000000"/>
              <w:left w:val="nil"/>
              <w:bottom w:val="nil"/>
              <w:right w:val="nil"/>
            </w:tcBorders>
            <w:shd w:val="clear" w:color="auto" w:fill="auto"/>
            <w:vAlign w:val="bottom"/>
          </w:tcPr>
          <w:p w14:paraId="73E7E03A"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Brasil</w:t>
            </w:r>
          </w:p>
        </w:tc>
        <w:tc>
          <w:tcPr>
            <w:tcW w:w="3121" w:type="dxa"/>
            <w:tcBorders>
              <w:top w:val="single" w:sz="4" w:space="0" w:color="000000"/>
              <w:left w:val="nil"/>
              <w:bottom w:val="nil"/>
              <w:right w:val="nil"/>
            </w:tcBorders>
            <w:shd w:val="clear" w:color="auto" w:fill="auto"/>
            <w:vAlign w:val="bottom"/>
          </w:tcPr>
          <w:p w14:paraId="2192030A"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Múltiplo</w:t>
            </w:r>
          </w:p>
        </w:tc>
      </w:tr>
      <w:tr w:rsidR="00EC4499" w14:paraId="4FFEEB1D" w14:textId="77777777">
        <w:trPr>
          <w:trHeight w:val="288"/>
        </w:trPr>
        <w:tc>
          <w:tcPr>
            <w:tcW w:w="2127" w:type="dxa"/>
            <w:tcBorders>
              <w:top w:val="nil"/>
              <w:left w:val="nil"/>
              <w:bottom w:val="nil"/>
              <w:right w:val="nil"/>
            </w:tcBorders>
            <w:shd w:val="clear" w:color="auto" w:fill="auto"/>
            <w:vAlign w:val="bottom"/>
          </w:tcPr>
          <w:p w14:paraId="713F137A"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Banco do Nordeste</w:t>
            </w:r>
          </w:p>
        </w:tc>
        <w:tc>
          <w:tcPr>
            <w:tcW w:w="1134" w:type="dxa"/>
            <w:tcBorders>
              <w:top w:val="nil"/>
              <w:left w:val="nil"/>
              <w:bottom w:val="nil"/>
              <w:right w:val="nil"/>
            </w:tcBorders>
            <w:shd w:val="clear" w:color="auto" w:fill="auto"/>
            <w:vAlign w:val="bottom"/>
          </w:tcPr>
          <w:p w14:paraId="1BDB2556"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Público</w:t>
            </w:r>
          </w:p>
        </w:tc>
        <w:tc>
          <w:tcPr>
            <w:tcW w:w="992" w:type="dxa"/>
            <w:tcBorders>
              <w:top w:val="nil"/>
              <w:left w:val="nil"/>
              <w:bottom w:val="nil"/>
              <w:right w:val="nil"/>
            </w:tcBorders>
            <w:shd w:val="clear" w:color="auto" w:fill="auto"/>
            <w:vAlign w:val="bottom"/>
          </w:tcPr>
          <w:p w14:paraId="41340B04"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Aberto</w:t>
            </w:r>
          </w:p>
        </w:tc>
        <w:tc>
          <w:tcPr>
            <w:tcW w:w="850" w:type="dxa"/>
            <w:tcBorders>
              <w:top w:val="nil"/>
              <w:left w:val="nil"/>
              <w:bottom w:val="nil"/>
              <w:right w:val="nil"/>
            </w:tcBorders>
            <w:shd w:val="clear" w:color="auto" w:fill="auto"/>
            <w:vAlign w:val="bottom"/>
          </w:tcPr>
          <w:p w14:paraId="049769D4"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Brasil</w:t>
            </w:r>
          </w:p>
        </w:tc>
        <w:tc>
          <w:tcPr>
            <w:tcW w:w="3121" w:type="dxa"/>
            <w:tcBorders>
              <w:top w:val="nil"/>
              <w:left w:val="nil"/>
              <w:bottom w:val="nil"/>
              <w:right w:val="nil"/>
            </w:tcBorders>
            <w:shd w:val="clear" w:color="auto" w:fill="auto"/>
            <w:vAlign w:val="bottom"/>
          </w:tcPr>
          <w:p w14:paraId="3FC3A788"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Desenvolvimento</w:t>
            </w:r>
          </w:p>
        </w:tc>
      </w:tr>
      <w:tr w:rsidR="00EC4499" w14:paraId="11DFC7B6" w14:textId="77777777">
        <w:trPr>
          <w:trHeight w:val="288"/>
        </w:trPr>
        <w:tc>
          <w:tcPr>
            <w:tcW w:w="2127" w:type="dxa"/>
            <w:tcBorders>
              <w:top w:val="nil"/>
              <w:left w:val="nil"/>
              <w:bottom w:val="nil"/>
              <w:right w:val="nil"/>
            </w:tcBorders>
            <w:shd w:val="clear" w:color="auto" w:fill="auto"/>
            <w:vAlign w:val="bottom"/>
          </w:tcPr>
          <w:p w14:paraId="018EA828"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BNDES</w:t>
            </w:r>
          </w:p>
        </w:tc>
        <w:tc>
          <w:tcPr>
            <w:tcW w:w="1134" w:type="dxa"/>
            <w:tcBorders>
              <w:top w:val="nil"/>
              <w:left w:val="nil"/>
              <w:bottom w:val="nil"/>
              <w:right w:val="nil"/>
            </w:tcBorders>
            <w:shd w:val="clear" w:color="auto" w:fill="auto"/>
            <w:vAlign w:val="bottom"/>
          </w:tcPr>
          <w:p w14:paraId="58D5BA3B"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Público</w:t>
            </w:r>
          </w:p>
        </w:tc>
        <w:tc>
          <w:tcPr>
            <w:tcW w:w="992" w:type="dxa"/>
            <w:tcBorders>
              <w:top w:val="nil"/>
              <w:left w:val="nil"/>
              <w:bottom w:val="nil"/>
              <w:right w:val="nil"/>
            </w:tcBorders>
            <w:shd w:val="clear" w:color="auto" w:fill="auto"/>
            <w:vAlign w:val="bottom"/>
          </w:tcPr>
          <w:p w14:paraId="1A565004"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Fechado</w:t>
            </w:r>
          </w:p>
        </w:tc>
        <w:tc>
          <w:tcPr>
            <w:tcW w:w="850" w:type="dxa"/>
            <w:tcBorders>
              <w:top w:val="nil"/>
              <w:left w:val="nil"/>
              <w:bottom w:val="nil"/>
              <w:right w:val="nil"/>
            </w:tcBorders>
            <w:shd w:val="clear" w:color="auto" w:fill="auto"/>
            <w:vAlign w:val="bottom"/>
          </w:tcPr>
          <w:p w14:paraId="7C485B94"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Brasil</w:t>
            </w:r>
          </w:p>
        </w:tc>
        <w:tc>
          <w:tcPr>
            <w:tcW w:w="3121" w:type="dxa"/>
            <w:tcBorders>
              <w:top w:val="nil"/>
              <w:left w:val="nil"/>
              <w:bottom w:val="nil"/>
              <w:right w:val="nil"/>
            </w:tcBorders>
            <w:shd w:val="clear" w:color="auto" w:fill="auto"/>
            <w:vAlign w:val="bottom"/>
          </w:tcPr>
          <w:p w14:paraId="7EEE2A75"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Desenvolvimento</w:t>
            </w:r>
          </w:p>
        </w:tc>
      </w:tr>
      <w:tr w:rsidR="00EC4499" w14:paraId="589220A6" w14:textId="77777777">
        <w:trPr>
          <w:trHeight w:val="288"/>
        </w:trPr>
        <w:tc>
          <w:tcPr>
            <w:tcW w:w="2127" w:type="dxa"/>
            <w:tcBorders>
              <w:top w:val="nil"/>
              <w:left w:val="nil"/>
              <w:bottom w:val="nil"/>
              <w:right w:val="nil"/>
            </w:tcBorders>
            <w:shd w:val="clear" w:color="auto" w:fill="auto"/>
            <w:vAlign w:val="bottom"/>
          </w:tcPr>
          <w:p w14:paraId="50FD58AC"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Bradesco</w:t>
            </w:r>
          </w:p>
        </w:tc>
        <w:tc>
          <w:tcPr>
            <w:tcW w:w="1134" w:type="dxa"/>
            <w:tcBorders>
              <w:top w:val="nil"/>
              <w:left w:val="nil"/>
              <w:bottom w:val="nil"/>
              <w:right w:val="nil"/>
            </w:tcBorders>
            <w:shd w:val="clear" w:color="auto" w:fill="auto"/>
            <w:vAlign w:val="bottom"/>
          </w:tcPr>
          <w:p w14:paraId="223FAA3C"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Privado</w:t>
            </w:r>
          </w:p>
        </w:tc>
        <w:tc>
          <w:tcPr>
            <w:tcW w:w="992" w:type="dxa"/>
            <w:tcBorders>
              <w:top w:val="nil"/>
              <w:left w:val="nil"/>
              <w:bottom w:val="nil"/>
              <w:right w:val="nil"/>
            </w:tcBorders>
            <w:shd w:val="clear" w:color="auto" w:fill="auto"/>
            <w:vAlign w:val="bottom"/>
          </w:tcPr>
          <w:p w14:paraId="7F727AE9"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Aberto</w:t>
            </w:r>
          </w:p>
        </w:tc>
        <w:tc>
          <w:tcPr>
            <w:tcW w:w="850" w:type="dxa"/>
            <w:tcBorders>
              <w:top w:val="nil"/>
              <w:left w:val="nil"/>
              <w:bottom w:val="nil"/>
              <w:right w:val="nil"/>
            </w:tcBorders>
            <w:shd w:val="clear" w:color="auto" w:fill="auto"/>
            <w:vAlign w:val="bottom"/>
          </w:tcPr>
          <w:p w14:paraId="65E248E9"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Brasil</w:t>
            </w:r>
          </w:p>
        </w:tc>
        <w:tc>
          <w:tcPr>
            <w:tcW w:w="3121" w:type="dxa"/>
            <w:tcBorders>
              <w:top w:val="nil"/>
              <w:left w:val="nil"/>
              <w:bottom w:val="nil"/>
              <w:right w:val="nil"/>
            </w:tcBorders>
            <w:shd w:val="clear" w:color="auto" w:fill="auto"/>
            <w:vAlign w:val="bottom"/>
          </w:tcPr>
          <w:p w14:paraId="3513EDAF"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Múltiplo</w:t>
            </w:r>
          </w:p>
        </w:tc>
      </w:tr>
      <w:tr w:rsidR="00EC4499" w14:paraId="2587A659" w14:textId="77777777">
        <w:trPr>
          <w:trHeight w:val="288"/>
        </w:trPr>
        <w:tc>
          <w:tcPr>
            <w:tcW w:w="2127" w:type="dxa"/>
            <w:tcBorders>
              <w:top w:val="nil"/>
              <w:left w:val="nil"/>
              <w:bottom w:val="nil"/>
              <w:right w:val="nil"/>
            </w:tcBorders>
            <w:shd w:val="clear" w:color="auto" w:fill="auto"/>
            <w:vAlign w:val="bottom"/>
          </w:tcPr>
          <w:p w14:paraId="78FB647B"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BTG Pactual</w:t>
            </w:r>
          </w:p>
        </w:tc>
        <w:tc>
          <w:tcPr>
            <w:tcW w:w="1134" w:type="dxa"/>
            <w:tcBorders>
              <w:top w:val="nil"/>
              <w:left w:val="nil"/>
              <w:bottom w:val="nil"/>
              <w:right w:val="nil"/>
            </w:tcBorders>
            <w:shd w:val="clear" w:color="auto" w:fill="auto"/>
            <w:vAlign w:val="bottom"/>
          </w:tcPr>
          <w:p w14:paraId="5F4ABD44"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Privado</w:t>
            </w:r>
          </w:p>
        </w:tc>
        <w:tc>
          <w:tcPr>
            <w:tcW w:w="992" w:type="dxa"/>
            <w:tcBorders>
              <w:top w:val="nil"/>
              <w:left w:val="nil"/>
              <w:bottom w:val="nil"/>
              <w:right w:val="nil"/>
            </w:tcBorders>
            <w:shd w:val="clear" w:color="auto" w:fill="auto"/>
            <w:vAlign w:val="bottom"/>
          </w:tcPr>
          <w:p w14:paraId="514BB9D6"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Aberto</w:t>
            </w:r>
          </w:p>
        </w:tc>
        <w:tc>
          <w:tcPr>
            <w:tcW w:w="850" w:type="dxa"/>
            <w:tcBorders>
              <w:top w:val="nil"/>
              <w:left w:val="nil"/>
              <w:bottom w:val="nil"/>
              <w:right w:val="nil"/>
            </w:tcBorders>
            <w:shd w:val="clear" w:color="auto" w:fill="auto"/>
            <w:vAlign w:val="bottom"/>
          </w:tcPr>
          <w:p w14:paraId="6125224E"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Brasil</w:t>
            </w:r>
          </w:p>
        </w:tc>
        <w:tc>
          <w:tcPr>
            <w:tcW w:w="3121" w:type="dxa"/>
            <w:tcBorders>
              <w:top w:val="nil"/>
              <w:left w:val="nil"/>
              <w:bottom w:val="nil"/>
              <w:right w:val="nil"/>
            </w:tcBorders>
            <w:shd w:val="clear" w:color="auto" w:fill="auto"/>
            <w:vAlign w:val="bottom"/>
          </w:tcPr>
          <w:p w14:paraId="68A1E2D3"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Múltiplo</w:t>
            </w:r>
          </w:p>
        </w:tc>
      </w:tr>
      <w:tr w:rsidR="00EC4499" w14:paraId="69079F7B" w14:textId="77777777">
        <w:trPr>
          <w:trHeight w:val="288"/>
        </w:trPr>
        <w:tc>
          <w:tcPr>
            <w:tcW w:w="2127" w:type="dxa"/>
            <w:tcBorders>
              <w:top w:val="nil"/>
              <w:left w:val="nil"/>
              <w:bottom w:val="nil"/>
              <w:right w:val="nil"/>
            </w:tcBorders>
            <w:shd w:val="clear" w:color="auto" w:fill="auto"/>
            <w:vAlign w:val="bottom"/>
          </w:tcPr>
          <w:p w14:paraId="60057B2C"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Caixa Econômica Federal</w:t>
            </w:r>
          </w:p>
        </w:tc>
        <w:tc>
          <w:tcPr>
            <w:tcW w:w="1134" w:type="dxa"/>
            <w:tcBorders>
              <w:top w:val="nil"/>
              <w:left w:val="nil"/>
              <w:bottom w:val="nil"/>
              <w:right w:val="nil"/>
            </w:tcBorders>
            <w:shd w:val="clear" w:color="auto" w:fill="auto"/>
            <w:vAlign w:val="bottom"/>
          </w:tcPr>
          <w:p w14:paraId="4D5334D4"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Público</w:t>
            </w:r>
          </w:p>
        </w:tc>
        <w:tc>
          <w:tcPr>
            <w:tcW w:w="992" w:type="dxa"/>
            <w:tcBorders>
              <w:top w:val="nil"/>
              <w:left w:val="nil"/>
              <w:bottom w:val="nil"/>
              <w:right w:val="nil"/>
            </w:tcBorders>
            <w:shd w:val="clear" w:color="auto" w:fill="auto"/>
            <w:vAlign w:val="bottom"/>
          </w:tcPr>
          <w:p w14:paraId="0C1E8DCC"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Fechado</w:t>
            </w:r>
          </w:p>
        </w:tc>
        <w:tc>
          <w:tcPr>
            <w:tcW w:w="850" w:type="dxa"/>
            <w:tcBorders>
              <w:top w:val="nil"/>
              <w:left w:val="nil"/>
              <w:bottom w:val="nil"/>
              <w:right w:val="nil"/>
            </w:tcBorders>
            <w:shd w:val="clear" w:color="auto" w:fill="auto"/>
            <w:vAlign w:val="bottom"/>
          </w:tcPr>
          <w:p w14:paraId="0B328A5A"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Brasil</w:t>
            </w:r>
          </w:p>
        </w:tc>
        <w:tc>
          <w:tcPr>
            <w:tcW w:w="3121" w:type="dxa"/>
            <w:tcBorders>
              <w:top w:val="nil"/>
              <w:left w:val="nil"/>
              <w:bottom w:val="nil"/>
              <w:right w:val="nil"/>
            </w:tcBorders>
            <w:shd w:val="clear" w:color="auto" w:fill="auto"/>
            <w:vAlign w:val="bottom"/>
          </w:tcPr>
          <w:p w14:paraId="2CF25DDD"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Múltiplo</w:t>
            </w:r>
          </w:p>
        </w:tc>
      </w:tr>
      <w:tr w:rsidR="00EC4499" w14:paraId="30B9DF05" w14:textId="77777777">
        <w:trPr>
          <w:trHeight w:val="288"/>
        </w:trPr>
        <w:tc>
          <w:tcPr>
            <w:tcW w:w="2127" w:type="dxa"/>
            <w:tcBorders>
              <w:top w:val="nil"/>
              <w:left w:val="nil"/>
              <w:bottom w:val="nil"/>
              <w:right w:val="nil"/>
            </w:tcBorders>
            <w:shd w:val="clear" w:color="auto" w:fill="auto"/>
            <w:vAlign w:val="bottom"/>
          </w:tcPr>
          <w:p w14:paraId="647E145D"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Citibank</w:t>
            </w:r>
          </w:p>
        </w:tc>
        <w:tc>
          <w:tcPr>
            <w:tcW w:w="1134" w:type="dxa"/>
            <w:tcBorders>
              <w:top w:val="nil"/>
              <w:left w:val="nil"/>
              <w:bottom w:val="nil"/>
              <w:right w:val="nil"/>
            </w:tcBorders>
            <w:shd w:val="clear" w:color="auto" w:fill="auto"/>
            <w:vAlign w:val="bottom"/>
          </w:tcPr>
          <w:p w14:paraId="53E01617"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Privado</w:t>
            </w:r>
          </w:p>
        </w:tc>
        <w:tc>
          <w:tcPr>
            <w:tcW w:w="992" w:type="dxa"/>
            <w:tcBorders>
              <w:top w:val="nil"/>
              <w:left w:val="nil"/>
              <w:bottom w:val="nil"/>
              <w:right w:val="nil"/>
            </w:tcBorders>
            <w:shd w:val="clear" w:color="auto" w:fill="auto"/>
            <w:vAlign w:val="bottom"/>
          </w:tcPr>
          <w:p w14:paraId="56BC562F"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Aberto</w:t>
            </w:r>
          </w:p>
        </w:tc>
        <w:tc>
          <w:tcPr>
            <w:tcW w:w="850" w:type="dxa"/>
            <w:tcBorders>
              <w:top w:val="nil"/>
              <w:left w:val="nil"/>
              <w:bottom w:val="nil"/>
              <w:right w:val="nil"/>
            </w:tcBorders>
            <w:shd w:val="clear" w:color="auto" w:fill="auto"/>
            <w:vAlign w:val="bottom"/>
          </w:tcPr>
          <w:p w14:paraId="12431D26"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EUA</w:t>
            </w:r>
          </w:p>
        </w:tc>
        <w:tc>
          <w:tcPr>
            <w:tcW w:w="3121" w:type="dxa"/>
            <w:tcBorders>
              <w:top w:val="nil"/>
              <w:left w:val="nil"/>
              <w:bottom w:val="nil"/>
              <w:right w:val="nil"/>
            </w:tcBorders>
            <w:shd w:val="clear" w:color="auto" w:fill="auto"/>
            <w:vAlign w:val="bottom"/>
          </w:tcPr>
          <w:p w14:paraId="33C1E6A4"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Múltiplo</w:t>
            </w:r>
          </w:p>
        </w:tc>
      </w:tr>
      <w:tr w:rsidR="00EC4499" w14:paraId="35220B28" w14:textId="77777777">
        <w:trPr>
          <w:trHeight w:val="288"/>
        </w:trPr>
        <w:tc>
          <w:tcPr>
            <w:tcW w:w="2127" w:type="dxa"/>
            <w:tcBorders>
              <w:top w:val="nil"/>
              <w:left w:val="nil"/>
              <w:bottom w:val="nil"/>
              <w:right w:val="nil"/>
            </w:tcBorders>
            <w:shd w:val="clear" w:color="auto" w:fill="auto"/>
            <w:vAlign w:val="bottom"/>
          </w:tcPr>
          <w:p w14:paraId="65AD9A8E"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Inter</w:t>
            </w:r>
          </w:p>
        </w:tc>
        <w:tc>
          <w:tcPr>
            <w:tcW w:w="1134" w:type="dxa"/>
            <w:tcBorders>
              <w:top w:val="nil"/>
              <w:left w:val="nil"/>
              <w:bottom w:val="nil"/>
              <w:right w:val="nil"/>
            </w:tcBorders>
            <w:shd w:val="clear" w:color="auto" w:fill="auto"/>
            <w:vAlign w:val="bottom"/>
          </w:tcPr>
          <w:p w14:paraId="500F2E53"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Privado</w:t>
            </w:r>
          </w:p>
        </w:tc>
        <w:tc>
          <w:tcPr>
            <w:tcW w:w="992" w:type="dxa"/>
            <w:tcBorders>
              <w:top w:val="nil"/>
              <w:left w:val="nil"/>
              <w:bottom w:val="nil"/>
              <w:right w:val="nil"/>
            </w:tcBorders>
            <w:shd w:val="clear" w:color="auto" w:fill="auto"/>
            <w:vAlign w:val="bottom"/>
          </w:tcPr>
          <w:p w14:paraId="7170FFD7"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Aberto</w:t>
            </w:r>
          </w:p>
        </w:tc>
        <w:tc>
          <w:tcPr>
            <w:tcW w:w="850" w:type="dxa"/>
            <w:tcBorders>
              <w:top w:val="nil"/>
              <w:left w:val="nil"/>
              <w:bottom w:val="nil"/>
              <w:right w:val="nil"/>
            </w:tcBorders>
            <w:shd w:val="clear" w:color="auto" w:fill="auto"/>
            <w:vAlign w:val="bottom"/>
          </w:tcPr>
          <w:p w14:paraId="1713C535"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Brasil</w:t>
            </w:r>
          </w:p>
        </w:tc>
        <w:tc>
          <w:tcPr>
            <w:tcW w:w="3121" w:type="dxa"/>
            <w:tcBorders>
              <w:top w:val="nil"/>
              <w:left w:val="nil"/>
              <w:bottom w:val="nil"/>
              <w:right w:val="nil"/>
            </w:tcBorders>
            <w:shd w:val="clear" w:color="auto" w:fill="auto"/>
            <w:vAlign w:val="bottom"/>
          </w:tcPr>
          <w:p w14:paraId="6C813D85"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Múltiplo</w:t>
            </w:r>
          </w:p>
        </w:tc>
      </w:tr>
      <w:tr w:rsidR="00EC4499" w14:paraId="0661B0F8" w14:textId="77777777">
        <w:trPr>
          <w:trHeight w:val="288"/>
        </w:trPr>
        <w:tc>
          <w:tcPr>
            <w:tcW w:w="2127" w:type="dxa"/>
            <w:tcBorders>
              <w:top w:val="nil"/>
              <w:left w:val="nil"/>
              <w:bottom w:val="nil"/>
              <w:right w:val="nil"/>
            </w:tcBorders>
            <w:shd w:val="clear" w:color="auto" w:fill="auto"/>
            <w:vAlign w:val="bottom"/>
          </w:tcPr>
          <w:p w14:paraId="7612D079"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Itaú</w:t>
            </w:r>
          </w:p>
        </w:tc>
        <w:tc>
          <w:tcPr>
            <w:tcW w:w="1134" w:type="dxa"/>
            <w:tcBorders>
              <w:top w:val="nil"/>
              <w:left w:val="nil"/>
              <w:bottom w:val="nil"/>
              <w:right w:val="nil"/>
            </w:tcBorders>
            <w:shd w:val="clear" w:color="auto" w:fill="auto"/>
            <w:vAlign w:val="bottom"/>
          </w:tcPr>
          <w:p w14:paraId="4AD4B515"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Privado</w:t>
            </w:r>
          </w:p>
        </w:tc>
        <w:tc>
          <w:tcPr>
            <w:tcW w:w="992" w:type="dxa"/>
            <w:tcBorders>
              <w:top w:val="nil"/>
              <w:left w:val="nil"/>
              <w:bottom w:val="nil"/>
              <w:right w:val="nil"/>
            </w:tcBorders>
            <w:shd w:val="clear" w:color="auto" w:fill="auto"/>
            <w:vAlign w:val="bottom"/>
          </w:tcPr>
          <w:p w14:paraId="5D33BBAC"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Aberto</w:t>
            </w:r>
          </w:p>
        </w:tc>
        <w:tc>
          <w:tcPr>
            <w:tcW w:w="850" w:type="dxa"/>
            <w:tcBorders>
              <w:top w:val="nil"/>
              <w:left w:val="nil"/>
              <w:bottom w:val="nil"/>
              <w:right w:val="nil"/>
            </w:tcBorders>
            <w:shd w:val="clear" w:color="auto" w:fill="auto"/>
            <w:vAlign w:val="bottom"/>
          </w:tcPr>
          <w:p w14:paraId="24B3958B"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Brasil</w:t>
            </w:r>
          </w:p>
        </w:tc>
        <w:tc>
          <w:tcPr>
            <w:tcW w:w="3121" w:type="dxa"/>
            <w:tcBorders>
              <w:top w:val="nil"/>
              <w:left w:val="nil"/>
              <w:bottom w:val="nil"/>
              <w:right w:val="nil"/>
            </w:tcBorders>
            <w:shd w:val="clear" w:color="auto" w:fill="auto"/>
            <w:vAlign w:val="bottom"/>
          </w:tcPr>
          <w:p w14:paraId="187CCA18"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Múltiplo</w:t>
            </w:r>
          </w:p>
        </w:tc>
      </w:tr>
      <w:tr w:rsidR="00EC4499" w14:paraId="51781140" w14:textId="77777777">
        <w:trPr>
          <w:trHeight w:val="288"/>
        </w:trPr>
        <w:tc>
          <w:tcPr>
            <w:tcW w:w="2127" w:type="dxa"/>
            <w:tcBorders>
              <w:top w:val="nil"/>
              <w:left w:val="nil"/>
              <w:bottom w:val="nil"/>
              <w:right w:val="nil"/>
            </w:tcBorders>
            <w:shd w:val="clear" w:color="auto" w:fill="auto"/>
            <w:vAlign w:val="bottom"/>
          </w:tcPr>
          <w:p w14:paraId="6CCEE10C"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J.P. Morgan </w:t>
            </w:r>
          </w:p>
        </w:tc>
        <w:tc>
          <w:tcPr>
            <w:tcW w:w="1134" w:type="dxa"/>
            <w:tcBorders>
              <w:top w:val="nil"/>
              <w:left w:val="nil"/>
              <w:bottom w:val="nil"/>
              <w:right w:val="nil"/>
            </w:tcBorders>
            <w:shd w:val="clear" w:color="auto" w:fill="auto"/>
            <w:vAlign w:val="bottom"/>
          </w:tcPr>
          <w:p w14:paraId="579C8A16"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Privado</w:t>
            </w:r>
          </w:p>
        </w:tc>
        <w:tc>
          <w:tcPr>
            <w:tcW w:w="992" w:type="dxa"/>
            <w:tcBorders>
              <w:top w:val="nil"/>
              <w:left w:val="nil"/>
              <w:bottom w:val="nil"/>
              <w:right w:val="nil"/>
            </w:tcBorders>
            <w:shd w:val="clear" w:color="auto" w:fill="auto"/>
            <w:vAlign w:val="bottom"/>
          </w:tcPr>
          <w:p w14:paraId="2B6A4A3B"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Aberto</w:t>
            </w:r>
          </w:p>
        </w:tc>
        <w:tc>
          <w:tcPr>
            <w:tcW w:w="850" w:type="dxa"/>
            <w:tcBorders>
              <w:top w:val="nil"/>
              <w:left w:val="nil"/>
              <w:bottom w:val="nil"/>
              <w:right w:val="nil"/>
            </w:tcBorders>
            <w:shd w:val="clear" w:color="auto" w:fill="auto"/>
            <w:vAlign w:val="bottom"/>
          </w:tcPr>
          <w:p w14:paraId="27AE83EA"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EUA</w:t>
            </w:r>
          </w:p>
        </w:tc>
        <w:tc>
          <w:tcPr>
            <w:tcW w:w="3121" w:type="dxa"/>
            <w:tcBorders>
              <w:top w:val="nil"/>
              <w:left w:val="nil"/>
              <w:bottom w:val="nil"/>
              <w:right w:val="nil"/>
            </w:tcBorders>
            <w:shd w:val="clear" w:color="auto" w:fill="auto"/>
            <w:vAlign w:val="bottom"/>
          </w:tcPr>
          <w:p w14:paraId="6D07709C"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Múltiplo</w:t>
            </w:r>
          </w:p>
        </w:tc>
      </w:tr>
      <w:tr w:rsidR="00EC4499" w14:paraId="5A0A6EE4" w14:textId="77777777">
        <w:trPr>
          <w:trHeight w:val="288"/>
        </w:trPr>
        <w:tc>
          <w:tcPr>
            <w:tcW w:w="2127" w:type="dxa"/>
            <w:tcBorders>
              <w:top w:val="nil"/>
              <w:left w:val="nil"/>
              <w:right w:val="nil"/>
            </w:tcBorders>
            <w:shd w:val="clear" w:color="auto" w:fill="auto"/>
            <w:vAlign w:val="bottom"/>
          </w:tcPr>
          <w:p w14:paraId="063A9267"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Santander</w:t>
            </w:r>
          </w:p>
        </w:tc>
        <w:tc>
          <w:tcPr>
            <w:tcW w:w="1134" w:type="dxa"/>
            <w:tcBorders>
              <w:top w:val="nil"/>
              <w:left w:val="nil"/>
              <w:right w:val="nil"/>
            </w:tcBorders>
            <w:shd w:val="clear" w:color="auto" w:fill="auto"/>
            <w:vAlign w:val="bottom"/>
          </w:tcPr>
          <w:p w14:paraId="100F3E35"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Privado</w:t>
            </w:r>
          </w:p>
        </w:tc>
        <w:tc>
          <w:tcPr>
            <w:tcW w:w="992" w:type="dxa"/>
            <w:tcBorders>
              <w:top w:val="nil"/>
              <w:left w:val="nil"/>
              <w:right w:val="nil"/>
            </w:tcBorders>
            <w:shd w:val="clear" w:color="auto" w:fill="auto"/>
            <w:vAlign w:val="bottom"/>
          </w:tcPr>
          <w:p w14:paraId="33D220FD"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Aberto</w:t>
            </w:r>
          </w:p>
        </w:tc>
        <w:tc>
          <w:tcPr>
            <w:tcW w:w="850" w:type="dxa"/>
            <w:tcBorders>
              <w:top w:val="nil"/>
              <w:left w:val="nil"/>
              <w:right w:val="nil"/>
            </w:tcBorders>
            <w:shd w:val="clear" w:color="auto" w:fill="auto"/>
            <w:vAlign w:val="bottom"/>
          </w:tcPr>
          <w:p w14:paraId="1F486A6C"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Espanha</w:t>
            </w:r>
          </w:p>
        </w:tc>
        <w:tc>
          <w:tcPr>
            <w:tcW w:w="3121" w:type="dxa"/>
            <w:tcBorders>
              <w:top w:val="nil"/>
              <w:left w:val="nil"/>
              <w:right w:val="nil"/>
            </w:tcBorders>
            <w:shd w:val="clear" w:color="auto" w:fill="auto"/>
            <w:vAlign w:val="bottom"/>
          </w:tcPr>
          <w:p w14:paraId="382762EA"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Múltiplo</w:t>
            </w:r>
          </w:p>
        </w:tc>
      </w:tr>
      <w:tr w:rsidR="00EC4499" w14:paraId="030DCE13" w14:textId="77777777">
        <w:trPr>
          <w:trHeight w:val="288"/>
        </w:trPr>
        <w:tc>
          <w:tcPr>
            <w:tcW w:w="2127" w:type="dxa"/>
            <w:tcBorders>
              <w:top w:val="nil"/>
              <w:left w:val="nil"/>
              <w:bottom w:val="single" w:sz="4" w:space="0" w:color="000000"/>
              <w:right w:val="nil"/>
            </w:tcBorders>
            <w:shd w:val="clear" w:color="auto" w:fill="auto"/>
            <w:vAlign w:val="bottom"/>
          </w:tcPr>
          <w:p w14:paraId="5D4D1065"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Sicredi</w:t>
            </w:r>
          </w:p>
        </w:tc>
        <w:tc>
          <w:tcPr>
            <w:tcW w:w="1134" w:type="dxa"/>
            <w:tcBorders>
              <w:top w:val="nil"/>
              <w:left w:val="nil"/>
              <w:bottom w:val="single" w:sz="4" w:space="0" w:color="000000"/>
              <w:right w:val="nil"/>
            </w:tcBorders>
            <w:shd w:val="clear" w:color="auto" w:fill="auto"/>
            <w:vAlign w:val="bottom"/>
          </w:tcPr>
          <w:p w14:paraId="707ADE49"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Privado</w:t>
            </w:r>
          </w:p>
        </w:tc>
        <w:tc>
          <w:tcPr>
            <w:tcW w:w="992" w:type="dxa"/>
            <w:tcBorders>
              <w:top w:val="nil"/>
              <w:left w:val="nil"/>
              <w:bottom w:val="single" w:sz="4" w:space="0" w:color="000000"/>
              <w:right w:val="nil"/>
            </w:tcBorders>
            <w:shd w:val="clear" w:color="auto" w:fill="auto"/>
            <w:vAlign w:val="bottom"/>
          </w:tcPr>
          <w:p w14:paraId="34AE906E"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Fechado</w:t>
            </w:r>
          </w:p>
        </w:tc>
        <w:tc>
          <w:tcPr>
            <w:tcW w:w="850" w:type="dxa"/>
            <w:tcBorders>
              <w:top w:val="nil"/>
              <w:left w:val="nil"/>
              <w:bottom w:val="single" w:sz="4" w:space="0" w:color="000000"/>
              <w:right w:val="nil"/>
            </w:tcBorders>
            <w:shd w:val="clear" w:color="auto" w:fill="auto"/>
            <w:vAlign w:val="bottom"/>
          </w:tcPr>
          <w:p w14:paraId="27E793D2"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Brasil</w:t>
            </w:r>
          </w:p>
        </w:tc>
        <w:tc>
          <w:tcPr>
            <w:tcW w:w="3121" w:type="dxa"/>
            <w:tcBorders>
              <w:top w:val="nil"/>
              <w:left w:val="nil"/>
              <w:bottom w:val="single" w:sz="4" w:space="0" w:color="000000"/>
              <w:right w:val="nil"/>
            </w:tcBorders>
            <w:shd w:val="clear" w:color="auto" w:fill="auto"/>
            <w:vAlign w:val="bottom"/>
          </w:tcPr>
          <w:p w14:paraId="7A1E9A2E"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Múltiplo</w:t>
            </w:r>
          </w:p>
        </w:tc>
      </w:tr>
    </w:tbl>
    <w:p w14:paraId="43A77004" w14:textId="77777777" w:rsidR="00EC4499" w:rsidRDefault="00433EA7">
      <w:pPr>
        <w:spacing w:after="0" w:line="360" w:lineRule="auto"/>
        <w:ind w:left="360"/>
        <w:rPr>
          <w:rFonts w:ascii="Garamond" w:eastAsia="Garamond" w:hAnsi="Garamond" w:cs="Garamond"/>
          <w:color w:val="000000"/>
          <w:sz w:val="18"/>
          <w:szCs w:val="18"/>
        </w:rPr>
      </w:pPr>
      <w:r>
        <w:rPr>
          <w:rFonts w:ascii="Garamond" w:eastAsia="Garamond" w:hAnsi="Garamond" w:cs="Garamond"/>
          <w:color w:val="000000"/>
          <w:sz w:val="18"/>
          <w:szCs w:val="18"/>
        </w:rPr>
        <w:t xml:space="preserve"> </w:t>
      </w:r>
    </w:p>
    <w:p w14:paraId="09811D61" w14:textId="77777777" w:rsidR="00EC4499" w:rsidRDefault="00EC4499">
      <w:pPr>
        <w:spacing w:after="0" w:line="360" w:lineRule="auto"/>
        <w:rPr>
          <w:rFonts w:ascii="Garamond" w:eastAsia="Garamond" w:hAnsi="Garamond" w:cs="Garamond"/>
          <w:color w:val="000000"/>
          <w:sz w:val="24"/>
          <w:szCs w:val="24"/>
        </w:rPr>
      </w:pPr>
    </w:p>
    <w:p w14:paraId="3950C723" w14:textId="444DACA3"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A análise se deteve a um único documento</w:t>
      </w:r>
      <w:r w:rsidR="004251BF">
        <w:rPr>
          <w:rFonts w:ascii="Garamond" w:eastAsia="Garamond" w:hAnsi="Garamond" w:cs="Garamond"/>
          <w:color w:val="000000"/>
          <w:sz w:val="24"/>
          <w:szCs w:val="24"/>
        </w:rPr>
        <w:t xml:space="preserve"> por ano de cada</w:t>
      </w:r>
      <w:r>
        <w:rPr>
          <w:rFonts w:ascii="Garamond" w:eastAsia="Garamond" w:hAnsi="Garamond" w:cs="Garamond"/>
          <w:color w:val="000000"/>
          <w:sz w:val="24"/>
          <w:szCs w:val="24"/>
        </w:rPr>
        <w:t xml:space="preserve"> banco, cujas características estão listadas na Tabela 5. Não foram acessados formulários, </w:t>
      </w:r>
      <w:r>
        <w:rPr>
          <w:rFonts w:ascii="Garamond" w:eastAsia="Garamond" w:hAnsi="Garamond" w:cs="Garamond"/>
          <w:i/>
          <w:color w:val="000000"/>
          <w:sz w:val="24"/>
          <w:szCs w:val="24"/>
        </w:rPr>
        <w:t>links</w:t>
      </w:r>
      <w:r>
        <w:rPr>
          <w:rFonts w:ascii="Garamond" w:eastAsia="Garamond" w:hAnsi="Garamond" w:cs="Garamond"/>
          <w:color w:val="000000"/>
          <w:sz w:val="24"/>
          <w:szCs w:val="24"/>
        </w:rPr>
        <w:t>, páginas web etc. referenciados nos documentos listados abaixo, sendo esses a única fonte de informação para os resultados deste trabalho</w:t>
      </w:r>
      <w:r>
        <w:rPr>
          <w:rFonts w:ascii="Garamond" w:eastAsia="Garamond" w:hAnsi="Garamond" w:cs="Garamond"/>
          <w:sz w:val="24"/>
          <w:szCs w:val="24"/>
        </w:rPr>
        <w:t>.</w:t>
      </w:r>
    </w:p>
    <w:p w14:paraId="759A5865" w14:textId="77777777" w:rsidR="00761709" w:rsidRDefault="00761709">
      <w:pPr>
        <w:spacing w:after="0" w:line="360" w:lineRule="auto"/>
        <w:ind w:firstLine="708"/>
        <w:jc w:val="both"/>
        <w:rPr>
          <w:rFonts w:ascii="Garamond" w:eastAsia="Garamond" w:hAnsi="Garamond" w:cs="Garamond"/>
          <w:sz w:val="24"/>
          <w:szCs w:val="24"/>
        </w:rPr>
      </w:pPr>
    </w:p>
    <w:p w14:paraId="5B55B71C" w14:textId="77777777" w:rsidR="00761709" w:rsidRDefault="00761709">
      <w:pPr>
        <w:spacing w:after="0" w:line="360" w:lineRule="auto"/>
        <w:ind w:firstLine="708"/>
        <w:jc w:val="both"/>
        <w:rPr>
          <w:rFonts w:ascii="Garamond" w:eastAsia="Garamond" w:hAnsi="Garamond" w:cs="Garamond"/>
          <w:sz w:val="24"/>
          <w:szCs w:val="24"/>
        </w:rPr>
      </w:pPr>
    </w:p>
    <w:p w14:paraId="73A2DEC8" w14:textId="4713A268" w:rsidR="004251BF" w:rsidRDefault="00CC73BD" w:rsidP="00CC73BD">
      <w:pPr>
        <w:tabs>
          <w:tab w:val="left" w:pos="1680"/>
        </w:tabs>
        <w:spacing w:after="0" w:line="360" w:lineRule="auto"/>
        <w:ind w:firstLine="708"/>
        <w:jc w:val="both"/>
        <w:rPr>
          <w:rFonts w:ascii="Garamond" w:eastAsia="Garamond" w:hAnsi="Garamond" w:cs="Garamond"/>
          <w:sz w:val="24"/>
          <w:szCs w:val="24"/>
        </w:rPr>
      </w:pPr>
      <w:r>
        <w:rPr>
          <w:rFonts w:ascii="Garamond" w:eastAsia="Garamond" w:hAnsi="Garamond" w:cs="Garamond"/>
          <w:sz w:val="24"/>
          <w:szCs w:val="24"/>
        </w:rPr>
        <w:tab/>
      </w:r>
    </w:p>
    <w:p w14:paraId="59E1869E" w14:textId="77777777" w:rsidR="004251BF" w:rsidRDefault="004251BF">
      <w:pPr>
        <w:spacing w:after="0" w:line="360" w:lineRule="auto"/>
        <w:ind w:firstLine="708"/>
        <w:jc w:val="both"/>
        <w:rPr>
          <w:rFonts w:ascii="Garamond" w:eastAsia="Garamond" w:hAnsi="Garamond" w:cs="Garamond"/>
          <w:sz w:val="24"/>
          <w:szCs w:val="24"/>
        </w:rPr>
      </w:pPr>
    </w:p>
    <w:p w14:paraId="0B84D370" w14:textId="77777777" w:rsidR="004251BF" w:rsidRDefault="004251BF">
      <w:pPr>
        <w:spacing w:after="0" w:line="360" w:lineRule="auto"/>
        <w:ind w:firstLine="708"/>
        <w:jc w:val="both"/>
        <w:rPr>
          <w:rFonts w:ascii="Garamond" w:eastAsia="Garamond" w:hAnsi="Garamond" w:cs="Garamond"/>
          <w:sz w:val="24"/>
          <w:szCs w:val="24"/>
        </w:rPr>
      </w:pPr>
    </w:p>
    <w:p w14:paraId="525F7DF6" w14:textId="77777777" w:rsidR="004251BF" w:rsidRDefault="004251BF">
      <w:pPr>
        <w:spacing w:after="0" w:line="360" w:lineRule="auto"/>
        <w:ind w:firstLine="708"/>
        <w:jc w:val="both"/>
        <w:rPr>
          <w:rFonts w:ascii="Garamond" w:eastAsia="Garamond" w:hAnsi="Garamond" w:cs="Garamond"/>
          <w:sz w:val="24"/>
          <w:szCs w:val="24"/>
        </w:rPr>
      </w:pPr>
    </w:p>
    <w:p w14:paraId="69F7D49F" w14:textId="77777777" w:rsidR="004251BF" w:rsidRDefault="004251BF">
      <w:pPr>
        <w:spacing w:after="0" w:line="360" w:lineRule="auto"/>
        <w:ind w:firstLine="708"/>
        <w:jc w:val="both"/>
        <w:rPr>
          <w:rFonts w:ascii="Garamond" w:eastAsia="Garamond" w:hAnsi="Garamond" w:cs="Garamond"/>
          <w:sz w:val="24"/>
          <w:szCs w:val="24"/>
        </w:rPr>
      </w:pPr>
    </w:p>
    <w:p w14:paraId="213F63C5" w14:textId="77777777" w:rsidR="00761709" w:rsidRDefault="00761709">
      <w:pPr>
        <w:spacing w:after="0" w:line="360" w:lineRule="auto"/>
        <w:ind w:firstLine="708"/>
        <w:jc w:val="both"/>
        <w:rPr>
          <w:rFonts w:ascii="Garamond" w:eastAsia="Garamond" w:hAnsi="Garamond" w:cs="Garamond"/>
          <w:sz w:val="24"/>
          <w:szCs w:val="24"/>
        </w:rPr>
      </w:pPr>
    </w:p>
    <w:p w14:paraId="6AF46CB1" w14:textId="77777777" w:rsidR="00EC4499" w:rsidRDefault="00EC4499">
      <w:pPr>
        <w:spacing w:after="0" w:line="360" w:lineRule="auto"/>
        <w:ind w:firstLine="708"/>
        <w:jc w:val="both"/>
        <w:rPr>
          <w:rFonts w:ascii="Garamond" w:eastAsia="Garamond" w:hAnsi="Garamond" w:cs="Garamond"/>
          <w:sz w:val="24"/>
          <w:szCs w:val="24"/>
        </w:rPr>
      </w:pPr>
    </w:p>
    <w:p w14:paraId="3DFAC07B" w14:textId="77777777" w:rsidR="00EC4499" w:rsidRDefault="00433EA7">
      <w:pPr>
        <w:spacing w:after="0" w:line="360" w:lineRule="auto"/>
        <w:jc w:val="center"/>
        <w:rPr>
          <w:rFonts w:ascii="Garamond" w:eastAsia="Garamond" w:hAnsi="Garamond" w:cs="Garamond"/>
          <w:i/>
          <w:color w:val="000000"/>
          <w:sz w:val="24"/>
          <w:szCs w:val="24"/>
        </w:rPr>
      </w:pPr>
      <w:r>
        <w:rPr>
          <w:rFonts w:ascii="Garamond" w:eastAsia="Garamond" w:hAnsi="Garamond" w:cs="Garamond"/>
          <w:color w:val="000000"/>
          <w:sz w:val="24"/>
          <w:szCs w:val="24"/>
        </w:rPr>
        <w:lastRenderedPageBreak/>
        <w:t>Tabela 5 - Características dos Relatórios</w:t>
      </w:r>
    </w:p>
    <w:tbl>
      <w:tblPr>
        <w:tblStyle w:val="a3"/>
        <w:tblW w:w="8271" w:type="dxa"/>
        <w:tblInd w:w="0" w:type="dxa"/>
        <w:tblLayout w:type="fixed"/>
        <w:tblLook w:val="0400" w:firstRow="0" w:lastRow="0" w:firstColumn="0" w:lastColumn="0" w:noHBand="0" w:noVBand="1"/>
      </w:tblPr>
      <w:tblGrid>
        <w:gridCol w:w="2360"/>
        <w:gridCol w:w="540"/>
        <w:gridCol w:w="2345"/>
        <w:gridCol w:w="746"/>
        <w:gridCol w:w="2280"/>
      </w:tblGrid>
      <w:tr w:rsidR="00EC4499" w14:paraId="552D92AC" w14:textId="77777777">
        <w:trPr>
          <w:trHeight w:val="288"/>
        </w:trPr>
        <w:tc>
          <w:tcPr>
            <w:tcW w:w="2360" w:type="dxa"/>
            <w:tcBorders>
              <w:top w:val="single" w:sz="4" w:space="0" w:color="000000"/>
              <w:left w:val="nil"/>
              <w:bottom w:val="single" w:sz="4" w:space="0" w:color="000000"/>
              <w:right w:val="nil"/>
            </w:tcBorders>
            <w:shd w:val="clear" w:color="auto" w:fill="auto"/>
            <w:vAlign w:val="bottom"/>
          </w:tcPr>
          <w:p w14:paraId="57B70407" w14:textId="77777777" w:rsidR="00EC4499" w:rsidRDefault="00433EA7">
            <w:pPr>
              <w:spacing w:after="0" w:line="240" w:lineRule="auto"/>
              <w:rPr>
                <w:rFonts w:ascii="Garamond" w:eastAsia="Garamond" w:hAnsi="Garamond" w:cs="Garamond"/>
                <w:b/>
                <w:color w:val="000000"/>
                <w:sz w:val="18"/>
                <w:szCs w:val="18"/>
              </w:rPr>
            </w:pPr>
            <w:r>
              <w:rPr>
                <w:rFonts w:ascii="Garamond" w:eastAsia="Garamond" w:hAnsi="Garamond" w:cs="Garamond"/>
                <w:b/>
                <w:color w:val="000000"/>
                <w:sz w:val="18"/>
                <w:szCs w:val="18"/>
              </w:rPr>
              <w:t>Empresa</w:t>
            </w:r>
          </w:p>
        </w:tc>
        <w:tc>
          <w:tcPr>
            <w:tcW w:w="540" w:type="dxa"/>
            <w:tcBorders>
              <w:top w:val="single" w:sz="4" w:space="0" w:color="000000"/>
              <w:left w:val="nil"/>
              <w:bottom w:val="single" w:sz="4" w:space="0" w:color="000000"/>
              <w:right w:val="nil"/>
            </w:tcBorders>
            <w:shd w:val="clear" w:color="auto" w:fill="auto"/>
            <w:vAlign w:val="bottom"/>
          </w:tcPr>
          <w:p w14:paraId="2322561D"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Ano</w:t>
            </w:r>
          </w:p>
        </w:tc>
        <w:tc>
          <w:tcPr>
            <w:tcW w:w="2345" w:type="dxa"/>
            <w:tcBorders>
              <w:top w:val="single" w:sz="4" w:space="0" w:color="000000"/>
              <w:left w:val="nil"/>
              <w:bottom w:val="single" w:sz="4" w:space="0" w:color="000000"/>
              <w:right w:val="nil"/>
            </w:tcBorders>
            <w:shd w:val="clear" w:color="auto" w:fill="auto"/>
            <w:vAlign w:val="bottom"/>
          </w:tcPr>
          <w:p w14:paraId="774E5AA4" w14:textId="77777777" w:rsidR="00EC4499" w:rsidRDefault="00433EA7">
            <w:pPr>
              <w:spacing w:after="0" w:line="240" w:lineRule="auto"/>
              <w:rPr>
                <w:rFonts w:ascii="Garamond" w:eastAsia="Garamond" w:hAnsi="Garamond" w:cs="Garamond"/>
                <w:b/>
                <w:color w:val="000000"/>
                <w:sz w:val="18"/>
                <w:szCs w:val="18"/>
              </w:rPr>
            </w:pPr>
            <w:r>
              <w:rPr>
                <w:rFonts w:ascii="Garamond" w:eastAsia="Garamond" w:hAnsi="Garamond" w:cs="Garamond"/>
                <w:b/>
                <w:color w:val="000000"/>
                <w:sz w:val="18"/>
                <w:szCs w:val="18"/>
              </w:rPr>
              <w:t xml:space="preserve">         Tipo</w:t>
            </w:r>
          </w:p>
        </w:tc>
        <w:tc>
          <w:tcPr>
            <w:tcW w:w="746" w:type="dxa"/>
            <w:tcBorders>
              <w:top w:val="single" w:sz="4" w:space="0" w:color="000000"/>
              <w:left w:val="nil"/>
              <w:bottom w:val="single" w:sz="4" w:space="0" w:color="000000"/>
              <w:right w:val="nil"/>
            </w:tcBorders>
            <w:shd w:val="clear" w:color="auto" w:fill="auto"/>
            <w:vAlign w:val="bottom"/>
          </w:tcPr>
          <w:p w14:paraId="13F84A0E"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 xml:space="preserve">             Páginas</w:t>
            </w:r>
          </w:p>
        </w:tc>
        <w:tc>
          <w:tcPr>
            <w:tcW w:w="2280" w:type="dxa"/>
            <w:tcBorders>
              <w:top w:val="single" w:sz="4" w:space="0" w:color="000000"/>
              <w:left w:val="nil"/>
              <w:bottom w:val="single" w:sz="4" w:space="0" w:color="000000"/>
              <w:right w:val="nil"/>
            </w:tcBorders>
            <w:shd w:val="clear" w:color="auto" w:fill="auto"/>
            <w:vAlign w:val="bottom"/>
          </w:tcPr>
          <w:p w14:paraId="373DB3F5"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 xml:space="preserve">            Qt. Temas Materiais</w:t>
            </w:r>
          </w:p>
        </w:tc>
      </w:tr>
      <w:tr w:rsidR="00EC4499" w14:paraId="5F46A8AF" w14:textId="77777777">
        <w:trPr>
          <w:trHeight w:val="288"/>
        </w:trPr>
        <w:tc>
          <w:tcPr>
            <w:tcW w:w="2360" w:type="dxa"/>
            <w:vMerge w:val="restart"/>
            <w:tcBorders>
              <w:top w:val="single" w:sz="4" w:space="0" w:color="000000"/>
              <w:left w:val="nil"/>
              <w:bottom w:val="nil"/>
              <w:right w:val="nil"/>
            </w:tcBorders>
            <w:shd w:val="clear" w:color="auto" w:fill="auto"/>
            <w:vAlign w:val="bottom"/>
          </w:tcPr>
          <w:p w14:paraId="5060B410"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Banco do Brasil </w:t>
            </w:r>
          </w:p>
        </w:tc>
        <w:tc>
          <w:tcPr>
            <w:tcW w:w="540" w:type="dxa"/>
            <w:tcBorders>
              <w:top w:val="single" w:sz="4" w:space="0" w:color="000000"/>
              <w:left w:val="nil"/>
              <w:bottom w:val="nil"/>
              <w:right w:val="nil"/>
            </w:tcBorders>
            <w:shd w:val="clear" w:color="auto" w:fill="auto"/>
            <w:vAlign w:val="bottom"/>
          </w:tcPr>
          <w:p w14:paraId="28E8B303"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2345" w:type="dxa"/>
            <w:tcBorders>
              <w:top w:val="single" w:sz="4" w:space="0" w:color="000000"/>
              <w:left w:val="nil"/>
              <w:bottom w:val="nil"/>
              <w:right w:val="nil"/>
            </w:tcBorders>
            <w:shd w:val="clear" w:color="auto" w:fill="auto"/>
            <w:vAlign w:val="bottom"/>
          </w:tcPr>
          <w:p w14:paraId="022854D5"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       Integrado</w:t>
            </w:r>
          </w:p>
        </w:tc>
        <w:tc>
          <w:tcPr>
            <w:tcW w:w="746" w:type="dxa"/>
            <w:tcBorders>
              <w:top w:val="single" w:sz="4" w:space="0" w:color="000000"/>
              <w:left w:val="nil"/>
              <w:bottom w:val="nil"/>
              <w:right w:val="nil"/>
            </w:tcBorders>
            <w:shd w:val="clear" w:color="auto" w:fill="auto"/>
            <w:vAlign w:val="bottom"/>
          </w:tcPr>
          <w:p w14:paraId="604B2194"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225</w:t>
            </w:r>
          </w:p>
        </w:tc>
        <w:tc>
          <w:tcPr>
            <w:tcW w:w="2280" w:type="dxa"/>
            <w:tcBorders>
              <w:top w:val="single" w:sz="4" w:space="0" w:color="000000"/>
              <w:left w:val="nil"/>
              <w:bottom w:val="nil"/>
              <w:right w:val="nil"/>
            </w:tcBorders>
            <w:shd w:val="clear" w:color="auto" w:fill="auto"/>
            <w:vAlign w:val="bottom"/>
          </w:tcPr>
          <w:p w14:paraId="3D541F6F"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11</w:t>
            </w:r>
          </w:p>
        </w:tc>
      </w:tr>
      <w:tr w:rsidR="00EC4499" w14:paraId="018EA504" w14:textId="77777777">
        <w:trPr>
          <w:trHeight w:val="288"/>
        </w:trPr>
        <w:tc>
          <w:tcPr>
            <w:tcW w:w="2360" w:type="dxa"/>
            <w:vMerge/>
            <w:tcBorders>
              <w:top w:val="single" w:sz="4" w:space="0" w:color="000000"/>
              <w:left w:val="nil"/>
              <w:bottom w:val="nil"/>
              <w:right w:val="nil"/>
            </w:tcBorders>
            <w:shd w:val="clear" w:color="auto" w:fill="auto"/>
            <w:vAlign w:val="bottom"/>
          </w:tcPr>
          <w:p w14:paraId="34C226BA"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540" w:type="dxa"/>
            <w:tcBorders>
              <w:top w:val="nil"/>
              <w:left w:val="nil"/>
              <w:bottom w:val="single" w:sz="4" w:space="0" w:color="000000"/>
              <w:right w:val="nil"/>
            </w:tcBorders>
            <w:shd w:val="clear" w:color="auto" w:fill="auto"/>
            <w:vAlign w:val="bottom"/>
          </w:tcPr>
          <w:p w14:paraId="17548FA7"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2345" w:type="dxa"/>
            <w:tcBorders>
              <w:top w:val="nil"/>
              <w:left w:val="nil"/>
              <w:bottom w:val="single" w:sz="4" w:space="0" w:color="000000"/>
              <w:right w:val="nil"/>
            </w:tcBorders>
            <w:shd w:val="clear" w:color="auto" w:fill="auto"/>
            <w:vAlign w:val="bottom"/>
          </w:tcPr>
          <w:p w14:paraId="2217CA98"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       Integrado</w:t>
            </w:r>
          </w:p>
        </w:tc>
        <w:tc>
          <w:tcPr>
            <w:tcW w:w="746" w:type="dxa"/>
            <w:tcBorders>
              <w:top w:val="nil"/>
              <w:left w:val="nil"/>
              <w:bottom w:val="single" w:sz="4" w:space="0" w:color="000000"/>
              <w:right w:val="nil"/>
            </w:tcBorders>
            <w:shd w:val="clear" w:color="auto" w:fill="auto"/>
            <w:vAlign w:val="bottom"/>
          </w:tcPr>
          <w:p w14:paraId="05C3E34B"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216</w:t>
            </w:r>
          </w:p>
        </w:tc>
        <w:tc>
          <w:tcPr>
            <w:tcW w:w="2280" w:type="dxa"/>
            <w:tcBorders>
              <w:top w:val="nil"/>
              <w:left w:val="nil"/>
              <w:bottom w:val="single" w:sz="4" w:space="0" w:color="000000"/>
              <w:right w:val="nil"/>
            </w:tcBorders>
            <w:shd w:val="clear" w:color="auto" w:fill="auto"/>
            <w:vAlign w:val="bottom"/>
          </w:tcPr>
          <w:p w14:paraId="46F35EF5"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11</w:t>
            </w:r>
          </w:p>
        </w:tc>
      </w:tr>
      <w:tr w:rsidR="00EC4499" w14:paraId="70DBAD99" w14:textId="77777777">
        <w:trPr>
          <w:trHeight w:val="288"/>
        </w:trPr>
        <w:tc>
          <w:tcPr>
            <w:tcW w:w="2360" w:type="dxa"/>
            <w:vMerge w:val="restart"/>
            <w:tcBorders>
              <w:top w:val="nil"/>
              <w:left w:val="nil"/>
              <w:bottom w:val="nil"/>
              <w:right w:val="nil"/>
            </w:tcBorders>
            <w:shd w:val="clear" w:color="auto" w:fill="auto"/>
            <w:vAlign w:val="bottom"/>
          </w:tcPr>
          <w:p w14:paraId="585D2CEB"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Banco do Nordeste </w:t>
            </w:r>
          </w:p>
        </w:tc>
        <w:tc>
          <w:tcPr>
            <w:tcW w:w="540" w:type="dxa"/>
            <w:tcBorders>
              <w:top w:val="single" w:sz="4" w:space="0" w:color="000000"/>
              <w:left w:val="nil"/>
              <w:bottom w:val="nil"/>
              <w:right w:val="nil"/>
            </w:tcBorders>
            <w:shd w:val="clear" w:color="auto" w:fill="auto"/>
            <w:vAlign w:val="bottom"/>
          </w:tcPr>
          <w:p w14:paraId="0991227F"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2345" w:type="dxa"/>
            <w:tcBorders>
              <w:top w:val="single" w:sz="4" w:space="0" w:color="000000"/>
              <w:left w:val="nil"/>
              <w:bottom w:val="nil"/>
              <w:right w:val="nil"/>
            </w:tcBorders>
            <w:shd w:val="clear" w:color="auto" w:fill="auto"/>
            <w:vAlign w:val="bottom"/>
          </w:tcPr>
          <w:p w14:paraId="1FE50907"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       Sustentabilidade</w:t>
            </w:r>
          </w:p>
        </w:tc>
        <w:tc>
          <w:tcPr>
            <w:tcW w:w="746" w:type="dxa"/>
            <w:tcBorders>
              <w:top w:val="single" w:sz="4" w:space="0" w:color="000000"/>
              <w:left w:val="nil"/>
              <w:bottom w:val="nil"/>
              <w:right w:val="nil"/>
            </w:tcBorders>
            <w:shd w:val="clear" w:color="auto" w:fill="auto"/>
            <w:vAlign w:val="bottom"/>
          </w:tcPr>
          <w:p w14:paraId="30980F6F"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101</w:t>
            </w:r>
          </w:p>
        </w:tc>
        <w:tc>
          <w:tcPr>
            <w:tcW w:w="2280" w:type="dxa"/>
            <w:tcBorders>
              <w:top w:val="single" w:sz="4" w:space="0" w:color="000000"/>
              <w:left w:val="nil"/>
              <w:bottom w:val="nil"/>
              <w:right w:val="nil"/>
            </w:tcBorders>
            <w:shd w:val="clear" w:color="auto" w:fill="auto"/>
            <w:vAlign w:val="bottom"/>
          </w:tcPr>
          <w:p w14:paraId="5494F083"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9</w:t>
            </w:r>
          </w:p>
        </w:tc>
      </w:tr>
      <w:tr w:rsidR="00EC4499" w14:paraId="5CB3A1B5" w14:textId="77777777">
        <w:trPr>
          <w:trHeight w:val="288"/>
        </w:trPr>
        <w:tc>
          <w:tcPr>
            <w:tcW w:w="2360" w:type="dxa"/>
            <w:vMerge/>
            <w:tcBorders>
              <w:top w:val="nil"/>
              <w:left w:val="nil"/>
              <w:bottom w:val="nil"/>
              <w:right w:val="nil"/>
            </w:tcBorders>
            <w:shd w:val="clear" w:color="auto" w:fill="auto"/>
            <w:vAlign w:val="bottom"/>
          </w:tcPr>
          <w:p w14:paraId="369FC8E2"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540" w:type="dxa"/>
            <w:tcBorders>
              <w:top w:val="nil"/>
              <w:left w:val="nil"/>
              <w:bottom w:val="single" w:sz="4" w:space="0" w:color="000000"/>
              <w:right w:val="nil"/>
            </w:tcBorders>
            <w:shd w:val="clear" w:color="auto" w:fill="auto"/>
            <w:vAlign w:val="bottom"/>
          </w:tcPr>
          <w:p w14:paraId="2AEA5B26"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2345" w:type="dxa"/>
            <w:tcBorders>
              <w:top w:val="nil"/>
              <w:left w:val="nil"/>
              <w:bottom w:val="single" w:sz="4" w:space="0" w:color="000000"/>
              <w:right w:val="nil"/>
            </w:tcBorders>
            <w:shd w:val="clear" w:color="auto" w:fill="auto"/>
            <w:vAlign w:val="bottom"/>
          </w:tcPr>
          <w:p w14:paraId="7BB77A7F"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       Sustentabilidade</w:t>
            </w:r>
          </w:p>
        </w:tc>
        <w:tc>
          <w:tcPr>
            <w:tcW w:w="746" w:type="dxa"/>
            <w:tcBorders>
              <w:top w:val="nil"/>
              <w:left w:val="nil"/>
              <w:bottom w:val="single" w:sz="4" w:space="0" w:color="000000"/>
              <w:right w:val="nil"/>
            </w:tcBorders>
            <w:shd w:val="clear" w:color="auto" w:fill="auto"/>
            <w:vAlign w:val="bottom"/>
          </w:tcPr>
          <w:p w14:paraId="48E3551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94</w:t>
            </w:r>
          </w:p>
        </w:tc>
        <w:tc>
          <w:tcPr>
            <w:tcW w:w="2280" w:type="dxa"/>
            <w:tcBorders>
              <w:top w:val="nil"/>
              <w:left w:val="nil"/>
              <w:bottom w:val="single" w:sz="4" w:space="0" w:color="000000"/>
              <w:right w:val="nil"/>
            </w:tcBorders>
            <w:shd w:val="clear" w:color="auto" w:fill="auto"/>
            <w:vAlign w:val="bottom"/>
          </w:tcPr>
          <w:p w14:paraId="54445667"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9</w:t>
            </w:r>
          </w:p>
        </w:tc>
      </w:tr>
      <w:tr w:rsidR="00EC4499" w14:paraId="2106DE83" w14:textId="77777777">
        <w:trPr>
          <w:trHeight w:val="288"/>
        </w:trPr>
        <w:tc>
          <w:tcPr>
            <w:tcW w:w="2360" w:type="dxa"/>
            <w:vMerge w:val="restart"/>
            <w:tcBorders>
              <w:top w:val="nil"/>
              <w:left w:val="nil"/>
              <w:bottom w:val="nil"/>
              <w:right w:val="nil"/>
            </w:tcBorders>
            <w:shd w:val="clear" w:color="auto" w:fill="auto"/>
            <w:vAlign w:val="bottom"/>
          </w:tcPr>
          <w:p w14:paraId="724F72FE"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BNDES</w:t>
            </w:r>
          </w:p>
        </w:tc>
        <w:tc>
          <w:tcPr>
            <w:tcW w:w="540" w:type="dxa"/>
            <w:tcBorders>
              <w:top w:val="single" w:sz="4" w:space="0" w:color="000000"/>
              <w:left w:val="nil"/>
              <w:bottom w:val="nil"/>
              <w:right w:val="nil"/>
            </w:tcBorders>
            <w:shd w:val="clear" w:color="auto" w:fill="auto"/>
            <w:vAlign w:val="bottom"/>
          </w:tcPr>
          <w:p w14:paraId="6CFB7D19"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2345" w:type="dxa"/>
            <w:tcBorders>
              <w:top w:val="single" w:sz="4" w:space="0" w:color="000000"/>
              <w:left w:val="nil"/>
              <w:bottom w:val="nil"/>
              <w:right w:val="nil"/>
            </w:tcBorders>
            <w:shd w:val="clear" w:color="auto" w:fill="auto"/>
            <w:vAlign w:val="bottom"/>
          </w:tcPr>
          <w:p w14:paraId="06FB079F"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       Integrado</w:t>
            </w:r>
          </w:p>
        </w:tc>
        <w:tc>
          <w:tcPr>
            <w:tcW w:w="746" w:type="dxa"/>
            <w:tcBorders>
              <w:top w:val="single" w:sz="4" w:space="0" w:color="000000"/>
              <w:left w:val="nil"/>
              <w:bottom w:val="nil"/>
              <w:right w:val="nil"/>
            </w:tcBorders>
            <w:shd w:val="clear" w:color="auto" w:fill="auto"/>
            <w:vAlign w:val="bottom"/>
          </w:tcPr>
          <w:p w14:paraId="676002A6"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103</w:t>
            </w:r>
          </w:p>
        </w:tc>
        <w:tc>
          <w:tcPr>
            <w:tcW w:w="2280" w:type="dxa"/>
            <w:tcBorders>
              <w:top w:val="single" w:sz="4" w:space="0" w:color="000000"/>
              <w:left w:val="nil"/>
              <w:bottom w:val="nil"/>
              <w:right w:val="nil"/>
            </w:tcBorders>
            <w:shd w:val="clear" w:color="auto" w:fill="auto"/>
            <w:vAlign w:val="bottom"/>
          </w:tcPr>
          <w:p w14:paraId="69529ABB"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5</w:t>
            </w:r>
          </w:p>
        </w:tc>
      </w:tr>
      <w:tr w:rsidR="00EC4499" w14:paraId="6F93FED6" w14:textId="77777777">
        <w:trPr>
          <w:trHeight w:val="288"/>
        </w:trPr>
        <w:tc>
          <w:tcPr>
            <w:tcW w:w="2360" w:type="dxa"/>
            <w:vMerge/>
            <w:tcBorders>
              <w:top w:val="nil"/>
              <w:left w:val="nil"/>
              <w:bottom w:val="nil"/>
              <w:right w:val="nil"/>
            </w:tcBorders>
            <w:shd w:val="clear" w:color="auto" w:fill="auto"/>
            <w:vAlign w:val="bottom"/>
          </w:tcPr>
          <w:p w14:paraId="1F93149E"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540" w:type="dxa"/>
            <w:tcBorders>
              <w:top w:val="nil"/>
              <w:left w:val="nil"/>
              <w:bottom w:val="single" w:sz="4" w:space="0" w:color="000000"/>
              <w:right w:val="nil"/>
            </w:tcBorders>
            <w:shd w:val="clear" w:color="auto" w:fill="auto"/>
            <w:vAlign w:val="bottom"/>
          </w:tcPr>
          <w:p w14:paraId="688AC0BF"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2345" w:type="dxa"/>
            <w:tcBorders>
              <w:top w:val="nil"/>
              <w:left w:val="nil"/>
              <w:bottom w:val="single" w:sz="4" w:space="0" w:color="000000"/>
              <w:right w:val="nil"/>
            </w:tcBorders>
            <w:shd w:val="clear" w:color="auto" w:fill="auto"/>
            <w:vAlign w:val="bottom"/>
          </w:tcPr>
          <w:p w14:paraId="2E1146F0"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       Integrado</w:t>
            </w:r>
          </w:p>
        </w:tc>
        <w:tc>
          <w:tcPr>
            <w:tcW w:w="746" w:type="dxa"/>
            <w:tcBorders>
              <w:top w:val="nil"/>
              <w:left w:val="nil"/>
              <w:bottom w:val="single" w:sz="4" w:space="0" w:color="000000"/>
              <w:right w:val="nil"/>
            </w:tcBorders>
            <w:shd w:val="clear" w:color="auto" w:fill="auto"/>
            <w:vAlign w:val="bottom"/>
          </w:tcPr>
          <w:p w14:paraId="67DB401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157</w:t>
            </w:r>
          </w:p>
        </w:tc>
        <w:tc>
          <w:tcPr>
            <w:tcW w:w="2280" w:type="dxa"/>
            <w:tcBorders>
              <w:top w:val="nil"/>
              <w:left w:val="nil"/>
              <w:bottom w:val="single" w:sz="4" w:space="0" w:color="000000"/>
              <w:right w:val="nil"/>
            </w:tcBorders>
            <w:shd w:val="clear" w:color="auto" w:fill="auto"/>
            <w:vAlign w:val="bottom"/>
          </w:tcPr>
          <w:p w14:paraId="6135FF67"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5</w:t>
            </w:r>
          </w:p>
        </w:tc>
      </w:tr>
      <w:tr w:rsidR="00EC4499" w14:paraId="60E08FBC" w14:textId="77777777">
        <w:trPr>
          <w:trHeight w:val="288"/>
        </w:trPr>
        <w:tc>
          <w:tcPr>
            <w:tcW w:w="2360" w:type="dxa"/>
            <w:vMerge w:val="restart"/>
            <w:tcBorders>
              <w:top w:val="nil"/>
              <w:left w:val="nil"/>
              <w:bottom w:val="nil"/>
              <w:right w:val="nil"/>
            </w:tcBorders>
            <w:shd w:val="clear" w:color="auto" w:fill="auto"/>
            <w:vAlign w:val="bottom"/>
          </w:tcPr>
          <w:p w14:paraId="1BA45194"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Bradesco</w:t>
            </w:r>
          </w:p>
        </w:tc>
        <w:tc>
          <w:tcPr>
            <w:tcW w:w="540" w:type="dxa"/>
            <w:tcBorders>
              <w:top w:val="single" w:sz="4" w:space="0" w:color="000000"/>
              <w:left w:val="nil"/>
              <w:bottom w:val="nil"/>
              <w:right w:val="nil"/>
            </w:tcBorders>
            <w:shd w:val="clear" w:color="auto" w:fill="auto"/>
            <w:vAlign w:val="bottom"/>
          </w:tcPr>
          <w:p w14:paraId="09DA5BBB"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2345" w:type="dxa"/>
            <w:tcBorders>
              <w:top w:val="single" w:sz="4" w:space="0" w:color="000000"/>
              <w:left w:val="nil"/>
              <w:bottom w:val="nil"/>
              <w:right w:val="nil"/>
            </w:tcBorders>
            <w:shd w:val="clear" w:color="auto" w:fill="auto"/>
            <w:vAlign w:val="bottom"/>
          </w:tcPr>
          <w:p w14:paraId="18FDDAEB"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       Integrado</w:t>
            </w:r>
          </w:p>
        </w:tc>
        <w:tc>
          <w:tcPr>
            <w:tcW w:w="746" w:type="dxa"/>
            <w:tcBorders>
              <w:top w:val="single" w:sz="4" w:space="0" w:color="000000"/>
              <w:left w:val="nil"/>
              <w:bottom w:val="nil"/>
              <w:right w:val="nil"/>
            </w:tcBorders>
            <w:shd w:val="clear" w:color="auto" w:fill="auto"/>
            <w:vAlign w:val="bottom"/>
          </w:tcPr>
          <w:p w14:paraId="5DC435DF"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299</w:t>
            </w:r>
          </w:p>
        </w:tc>
        <w:tc>
          <w:tcPr>
            <w:tcW w:w="2280" w:type="dxa"/>
            <w:tcBorders>
              <w:top w:val="single" w:sz="4" w:space="0" w:color="000000"/>
              <w:left w:val="nil"/>
              <w:bottom w:val="nil"/>
              <w:right w:val="nil"/>
            </w:tcBorders>
            <w:shd w:val="clear" w:color="auto" w:fill="auto"/>
            <w:vAlign w:val="bottom"/>
          </w:tcPr>
          <w:p w14:paraId="4B53974F"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12</w:t>
            </w:r>
          </w:p>
        </w:tc>
      </w:tr>
      <w:tr w:rsidR="00EC4499" w14:paraId="765CD15E" w14:textId="77777777">
        <w:trPr>
          <w:trHeight w:val="288"/>
        </w:trPr>
        <w:tc>
          <w:tcPr>
            <w:tcW w:w="2360" w:type="dxa"/>
            <w:vMerge/>
            <w:tcBorders>
              <w:top w:val="nil"/>
              <w:left w:val="nil"/>
              <w:bottom w:val="nil"/>
              <w:right w:val="nil"/>
            </w:tcBorders>
            <w:shd w:val="clear" w:color="auto" w:fill="auto"/>
            <w:vAlign w:val="bottom"/>
          </w:tcPr>
          <w:p w14:paraId="21F6F791"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540" w:type="dxa"/>
            <w:tcBorders>
              <w:top w:val="nil"/>
              <w:left w:val="nil"/>
              <w:bottom w:val="single" w:sz="4" w:space="0" w:color="000000"/>
              <w:right w:val="nil"/>
            </w:tcBorders>
            <w:shd w:val="clear" w:color="auto" w:fill="auto"/>
            <w:vAlign w:val="bottom"/>
          </w:tcPr>
          <w:p w14:paraId="1A84281B"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2345" w:type="dxa"/>
            <w:tcBorders>
              <w:top w:val="nil"/>
              <w:left w:val="nil"/>
              <w:bottom w:val="single" w:sz="4" w:space="0" w:color="000000"/>
              <w:right w:val="nil"/>
            </w:tcBorders>
            <w:shd w:val="clear" w:color="auto" w:fill="auto"/>
            <w:vAlign w:val="bottom"/>
          </w:tcPr>
          <w:p w14:paraId="5B0350A6"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       Integrado</w:t>
            </w:r>
          </w:p>
        </w:tc>
        <w:tc>
          <w:tcPr>
            <w:tcW w:w="746" w:type="dxa"/>
            <w:tcBorders>
              <w:top w:val="nil"/>
              <w:left w:val="nil"/>
              <w:bottom w:val="single" w:sz="4" w:space="0" w:color="000000"/>
              <w:right w:val="nil"/>
            </w:tcBorders>
            <w:shd w:val="clear" w:color="auto" w:fill="auto"/>
            <w:vAlign w:val="bottom"/>
          </w:tcPr>
          <w:p w14:paraId="2939DD07"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275</w:t>
            </w:r>
          </w:p>
        </w:tc>
        <w:tc>
          <w:tcPr>
            <w:tcW w:w="2280" w:type="dxa"/>
            <w:tcBorders>
              <w:top w:val="nil"/>
              <w:left w:val="nil"/>
              <w:bottom w:val="single" w:sz="4" w:space="0" w:color="000000"/>
              <w:right w:val="nil"/>
            </w:tcBorders>
            <w:shd w:val="clear" w:color="auto" w:fill="auto"/>
            <w:vAlign w:val="bottom"/>
          </w:tcPr>
          <w:p w14:paraId="2BE11E86"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7</w:t>
            </w:r>
          </w:p>
        </w:tc>
      </w:tr>
      <w:tr w:rsidR="00EC4499" w14:paraId="5B4152BF" w14:textId="77777777">
        <w:trPr>
          <w:trHeight w:val="288"/>
        </w:trPr>
        <w:tc>
          <w:tcPr>
            <w:tcW w:w="2360" w:type="dxa"/>
            <w:vMerge w:val="restart"/>
            <w:tcBorders>
              <w:top w:val="nil"/>
              <w:left w:val="nil"/>
              <w:bottom w:val="nil"/>
              <w:right w:val="nil"/>
            </w:tcBorders>
            <w:shd w:val="clear" w:color="auto" w:fill="auto"/>
            <w:vAlign w:val="bottom"/>
          </w:tcPr>
          <w:p w14:paraId="61D9096B"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BTG Pactual</w:t>
            </w:r>
          </w:p>
        </w:tc>
        <w:tc>
          <w:tcPr>
            <w:tcW w:w="540" w:type="dxa"/>
            <w:tcBorders>
              <w:top w:val="single" w:sz="4" w:space="0" w:color="000000"/>
              <w:left w:val="nil"/>
              <w:bottom w:val="nil"/>
              <w:right w:val="nil"/>
            </w:tcBorders>
            <w:shd w:val="clear" w:color="auto" w:fill="auto"/>
            <w:vAlign w:val="bottom"/>
          </w:tcPr>
          <w:p w14:paraId="5E4B3AE4"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2345" w:type="dxa"/>
            <w:tcBorders>
              <w:top w:val="single" w:sz="4" w:space="0" w:color="000000"/>
              <w:left w:val="nil"/>
              <w:bottom w:val="nil"/>
              <w:right w:val="nil"/>
            </w:tcBorders>
            <w:shd w:val="clear" w:color="auto" w:fill="auto"/>
            <w:vAlign w:val="bottom"/>
          </w:tcPr>
          <w:p w14:paraId="071F21AF"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       Integrado</w:t>
            </w:r>
          </w:p>
        </w:tc>
        <w:tc>
          <w:tcPr>
            <w:tcW w:w="746" w:type="dxa"/>
            <w:tcBorders>
              <w:top w:val="single" w:sz="4" w:space="0" w:color="000000"/>
              <w:left w:val="nil"/>
              <w:bottom w:val="nil"/>
              <w:right w:val="nil"/>
            </w:tcBorders>
            <w:shd w:val="clear" w:color="auto" w:fill="auto"/>
            <w:vAlign w:val="bottom"/>
          </w:tcPr>
          <w:p w14:paraId="505BFCC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147</w:t>
            </w:r>
          </w:p>
        </w:tc>
        <w:tc>
          <w:tcPr>
            <w:tcW w:w="2280" w:type="dxa"/>
            <w:tcBorders>
              <w:top w:val="single" w:sz="4" w:space="0" w:color="000000"/>
              <w:left w:val="nil"/>
              <w:bottom w:val="nil"/>
              <w:right w:val="nil"/>
            </w:tcBorders>
            <w:shd w:val="clear" w:color="auto" w:fill="auto"/>
            <w:vAlign w:val="bottom"/>
          </w:tcPr>
          <w:p w14:paraId="73FD660F"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6</w:t>
            </w:r>
          </w:p>
        </w:tc>
      </w:tr>
      <w:tr w:rsidR="00EC4499" w14:paraId="10903B5F" w14:textId="77777777">
        <w:trPr>
          <w:trHeight w:val="288"/>
        </w:trPr>
        <w:tc>
          <w:tcPr>
            <w:tcW w:w="2360" w:type="dxa"/>
            <w:vMerge/>
            <w:tcBorders>
              <w:top w:val="nil"/>
              <w:left w:val="nil"/>
              <w:bottom w:val="nil"/>
              <w:right w:val="nil"/>
            </w:tcBorders>
            <w:shd w:val="clear" w:color="auto" w:fill="auto"/>
            <w:vAlign w:val="bottom"/>
          </w:tcPr>
          <w:p w14:paraId="7410489E"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540" w:type="dxa"/>
            <w:tcBorders>
              <w:top w:val="nil"/>
              <w:left w:val="nil"/>
              <w:bottom w:val="single" w:sz="4" w:space="0" w:color="000000"/>
              <w:right w:val="nil"/>
            </w:tcBorders>
            <w:shd w:val="clear" w:color="auto" w:fill="auto"/>
            <w:vAlign w:val="bottom"/>
          </w:tcPr>
          <w:p w14:paraId="2FBED06F"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2345" w:type="dxa"/>
            <w:tcBorders>
              <w:top w:val="nil"/>
              <w:left w:val="nil"/>
              <w:bottom w:val="single" w:sz="4" w:space="0" w:color="000000"/>
              <w:right w:val="nil"/>
            </w:tcBorders>
            <w:shd w:val="clear" w:color="auto" w:fill="auto"/>
            <w:vAlign w:val="bottom"/>
          </w:tcPr>
          <w:p w14:paraId="464EEFB1"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       Integrado</w:t>
            </w:r>
          </w:p>
        </w:tc>
        <w:tc>
          <w:tcPr>
            <w:tcW w:w="746" w:type="dxa"/>
            <w:tcBorders>
              <w:top w:val="nil"/>
              <w:left w:val="nil"/>
              <w:bottom w:val="single" w:sz="4" w:space="0" w:color="000000"/>
              <w:right w:val="nil"/>
            </w:tcBorders>
            <w:shd w:val="clear" w:color="auto" w:fill="auto"/>
            <w:vAlign w:val="bottom"/>
          </w:tcPr>
          <w:p w14:paraId="5D4E2A12"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161</w:t>
            </w:r>
          </w:p>
        </w:tc>
        <w:tc>
          <w:tcPr>
            <w:tcW w:w="2280" w:type="dxa"/>
            <w:tcBorders>
              <w:top w:val="nil"/>
              <w:left w:val="nil"/>
              <w:bottom w:val="single" w:sz="4" w:space="0" w:color="000000"/>
              <w:right w:val="nil"/>
            </w:tcBorders>
            <w:shd w:val="clear" w:color="auto" w:fill="auto"/>
            <w:vAlign w:val="bottom"/>
          </w:tcPr>
          <w:p w14:paraId="1AB0ED67"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6</w:t>
            </w:r>
          </w:p>
        </w:tc>
      </w:tr>
      <w:tr w:rsidR="00EC4499" w14:paraId="25411A6C" w14:textId="77777777">
        <w:trPr>
          <w:trHeight w:val="288"/>
        </w:trPr>
        <w:tc>
          <w:tcPr>
            <w:tcW w:w="2360" w:type="dxa"/>
            <w:vMerge w:val="restart"/>
            <w:tcBorders>
              <w:top w:val="nil"/>
              <w:left w:val="nil"/>
              <w:bottom w:val="nil"/>
              <w:right w:val="nil"/>
            </w:tcBorders>
            <w:shd w:val="clear" w:color="auto" w:fill="auto"/>
            <w:vAlign w:val="bottom"/>
          </w:tcPr>
          <w:p w14:paraId="084272C6"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Caixa Econômica Federal </w:t>
            </w:r>
          </w:p>
        </w:tc>
        <w:tc>
          <w:tcPr>
            <w:tcW w:w="540" w:type="dxa"/>
            <w:tcBorders>
              <w:top w:val="single" w:sz="4" w:space="0" w:color="000000"/>
              <w:left w:val="nil"/>
              <w:bottom w:val="nil"/>
              <w:right w:val="nil"/>
            </w:tcBorders>
            <w:shd w:val="clear" w:color="auto" w:fill="auto"/>
            <w:vAlign w:val="bottom"/>
          </w:tcPr>
          <w:p w14:paraId="7839BF70"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2345" w:type="dxa"/>
            <w:tcBorders>
              <w:top w:val="single" w:sz="4" w:space="0" w:color="000000"/>
              <w:left w:val="nil"/>
              <w:bottom w:val="nil"/>
              <w:right w:val="nil"/>
            </w:tcBorders>
            <w:shd w:val="clear" w:color="auto" w:fill="auto"/>
            <w:vAlign w:val="bottom"/>
          </w:tcPr>
          <w:p w14:paraId="5A721DA7"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       Integrado</w:t>
            </w:r>
          </w:p>
        </w:tc>
        <w:tc>
          <w:tcPr>
            <w:tcW w:w="746" w:type="dxa"/>
            <w:tcBorders>
              <w:top w:val="single" w:sz="4" w:space="0" w:color="000000"/>
              <w:left w:val="nil"/>
              <w:bottom w:val="nil"/>
              <w:right w:val="nil"/>
            </w:tcBorders>
            <w:shd w:val="clear" w:color="auto" w:fill="auto"/>
            <w:vAlign w:val="bottom"/>
          </w:tcPr>
          <w:p w14:paraId="66E87425"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305</w:t>
            </w:r>
          </w:p>
        </w:tc>
        <w:tc>
          <w:tcPr>
            <w:tcW w:w="2280" w:type="dxa"/>
            <w:tcBorders>
              <w:top w:val="single" w:sz="4" w:space="0" w:color="000000"/>
              <w:left w:val="nil"/>
              <w:bottom w:val="nil"/>
              <w:right w:val="nil"/>
            </w:tcBorders>
            <w:shd w:val="clear" w:color="auto" w:fill="auto"/>
            <w:vAlign w:val="bottom"/>
          </w:tcPr>
          <w:p w14:paraId="7EBC9F88"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13</w:t>
            </w:r>
          </w:p>
        </w:tc>
      </w:tr>
      <w:tr w:rsidR="00EC4499" w14:paraId="65A0F345" w14:textId="77777777">
        <w:trPr>
          <w:trHeight w:val="288"/>
        </w:trPr>
        <w:tc>
          <w:tcPr>
            <w:tcW w:w="2360" w:type="dxa"/>
            <w:vMerge/>
            <w:tcBorders>
              <w:top w:val="nil"/>
              <w:left w:val="nil"/>
              <w:bottom w:val="nil"/>
              <w:right w:val="nil"/>
            </w:tcBorders>
            <w:shd w:val="clear" w:color="auto" w:fill="auto"/>
            <w:vAlign w:val="bottom"/>
          </w:tcPr>
          <w:p w14:paraId="4D9F5802"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540" w:type="dxa"/>
            <w:tcBorders>
              <w:top w:val="nil"/>
              <w:left w:val="nil"/>
              <w:bottom w:val="single" w:sz="4" w:space="0" w:color="000000"/>
              <w:right w:val="nil"/>
            </w:tcBorders>
            <w:shd w:val="clear" w:color="auto" w:fill="auto"/>
            <w:vAlign w:val="bottom"/>
          </w:tcPr>
          <w:p w14:paraId="75001619"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2345" w:type="dxa"/>
            <w:tcBorders>
              <w:top w:val="nil"/>
              <w:left w:val="nil"/>
              <w:bottom w:val="single" w:sz="4" w:space="0" w:color="000000"/>
              <w:right w:val="nil"/>
            </w:tcBorders>
            <w:shd w:val="clear" w:color="auto" w:fill="auto"/>
            <w:vAlign w:val="bottom"/>
          </w:tcPr>
          <w:p w14:paraId="1F5CA0F7"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       Sustentabilidade</w:t>
            </w:r>
          </w:p>
        </w:tc>
        <w:tc>
          <w:tcPr>
            <w:tcW w:w="746" w:type="dxa"/>
            <w:tcBorders>
              <w:top w:val="nil"/>
              <w:left w:val="nil"/>
              <w:bottom w:val="single" w:sz="4" w:space="0" w:color="000000"/>
              <w:right w:val="nil"/>
            </w:tcBorders>
            <w:shd w:val="clear" w:color="auto" w:fill="auto"/>
            <w:vAlign w:val="bottom"/>
          </w:tcPr>
          <w:p w14:paraId="3F97DC27"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150</w:t>
            </w:r>
          </w:p>
        </w:tc>
        <w:tc>
          <w:tcPr>
            <w:tcW w:w="2280" w:type="dxa"/>
            <w:tcBorders>
              <w:top w:val="nil"/>
              <w:left w:val="nil"/>
              <w:bottom w:val="single" w:sz="4" w:space="0" w:color="000000"/>
              <w:right w:val="nil"/>
            </w:tcBorders>
            <w:shd w:val="clear" w:color="auto" w:fill="auto"/>
            <w:vAlign w:val="bottom"/>
          </w:tcPr>
          <w:p w14:paraId="3FE59564"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13</w:t>
            </w:r>
          </w:p>
        </w:tc>
      </w:tr>
      <w:tr w:rsidR="00EC4499" w14:paraId="0E7E136B" w14:textId="77777777">
        <w:trPr>
          <w:trHeight w:val="288"/>
        </w:trPr>
        <w:tc>
          <w:tcPr>
            <w:tcW w:w="2360" w:type="dxa"/>
            <w:vMerge w:val="restart"/>
            <w:tcBorders>
              <w:top w:val="nil"/>
              <w:left w:val="nil"/>
              <w:bottom w:val="nil"/>
              <w:right w:val="nil"/>
            </w:tcBorders>
            <w:shd w:val="clear" w:color="auto" w:fill="auto"/>
            <w:vAlign w:val="bottom"/>
          </w:tcPr>
          <w:p w14:paraId="6AA18504"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Citibank</w:t>
            </w:r>
          </w:p>
        </w:tc>
        <w:tc>
          <w:tcPr>
            <w:tcW w:w="540" w:type="dxa"/>
            <w:tcBorders>
              <w:top w:val="single" w:sz="4" w:space="0" w:color="000000"/>
              <w:left w:val="nil"/>
              <w:bottom w:val="nil"/>
              <w:right w:val="nil"/>
            </w:tcBorders>
            <w:shd w:val="clear" w:color="auto" w:fill="auto"/>
            <w:vAlign w:val="bottom"/>
          </w:tcPr>
          <w:p w14:paraId="5178DA52"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2345" w:type="dxa"/>
            <w:tcBorders>
              <w:top w:val="single" w:sz="4" w:space="0" w:color="000000"/>
              <w:left w:val="nil"/>
              <w:bottom w:val="nil"/>
              <w:right w:val="nil"/>
            </w:tcBorders>
            <w:shd w:val="clear" w:color="auto" w:fill="auto"/>
            <w:vAlign w:val="bottom"/>
          </w:tcPr>
          <w:p w14:paraId="245C5CE6"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       ESG</w:t>
            </w:r>
          </w:p>
        </w:tc>
        <w:tc>
          <w:tcPr>
            <w:tcW w:w="746" w:type="dxa"/>
            <w:tcBorders>
              <w:top w:val="single" w:sz="4" w:space="0" w:color="000000"/>
              <w:left w:val="nil"/>
              <w:bottom w:val="nil"/>
              <w:right w:val="nil"/>
            </w:tcBorders>
            <w:shd w:val="clear" w:color="auto" w:fill="auto"/>
            <w:vAlign w:val="bottom"/>
          </w:tcPr>
          <w:p w14:paraId="0664A69F"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183</w:t>
            </w:r>
          </w:p>
        </w:tc>
        <w:tc>
          <w:tcPr>
            <w:tcW w:w="2280" w:type="dxa"/>
            <w:tcBorders>
              <w:top w:val="single" w:sz="4" w:space="0" w:color="000000"/>
              <w:left w:val="nil"/>
              <w:bottom w:val="nil"/>
              <w:right w:val="nil"/>
            </w:tcBorders>
            <w:shd w:val="clear" w:color="auto" w:fill="auto"/>
            <w:vAlign w:val="bottom"/>
          </w:tcPr>
          <w:p w14:paraId="5E58C4AD"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22</w:t>
            </w:r>
          </w:p>
        </w:tc>
      </w:tr>
      <w:tr w:rsidR="00EC4499" w14:paraId="17FF3668" w14:textId="77777777">
        <w:trPr>
          <w:trHeight w:val="288"/>
        </w:trPr>
        <w:tc>
          <w:tcPr>
            <w:tcW w:w="2360" w:type="dxa"/>
            <w:vMerge/>
            <w:tcBorders>
              <w:top w:val="nil"/>
              <w:left w:val="nil"/>
              <w:bottom w:val="nil"/>
              <w:right w:val="nil"/>
            </w:tcBorders>
            <w:shd w:val="clear" w:color="auto" w:fill="auto"/>
            <w:vAlign w:val="bottom"/>
          </w:tcPr>
          <w:p w14:paraId="15BB98EF"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540" w:type="dxa"/>
            <w:tcBorders>
              <w:top w:val="nil"/>
              <w:left w:val="nil"/>
              <w:bottom w:val="single" w:sz="4" w:space="0" w:color="000000"/>
              <w:right w:val="nil"/>
            </w:tcBorders>
            <w:shd w:val="clear" w:color="auto" w:fill="auto"/>
            <w:vAlign w:val="bottom"/>
          </w:tcPr>
          <w:p w14:paraId="58E6D0FB"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2345" w:type="dxa"/>
            <w:tcBorders>
              <w:top w:val="nil"/>
              <w:left w:val="nil"/>
              <w:bottom w:val="single" w:sz="4" w:space="0" w:color="000000"/>
              <w:right w:val="nil"/>
            </w:tcBorders>
            <w:shd w:val="clear" w:color="auto" w:fill="auto"/>
            <w:vAlign w:val="bottom"/>
          </w:tcPr>
          <w:p w14:paraId="29EC03F4"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       ESG</w:t>
            </w:r>
          </w:p>
        </w:tc>
        <w:tc>
          <w:tcPr>
            <w:tcW w:w="746" w:type="dxa"/>
            <w:tcBorders>
              <w:top w:val="nil"/>
              <w:left w:val="nil"/>
              <w:bottom w:val="single" w:sz="4" w:space="0" w:color="000000"/>
              <w:right w:val="nil"/>
            </w:tcBorders>
            <w:shd w:val="clear" w:color="auto" w:fill="auto"/>
            <w:vAlign w:val="bottom"/>
          </w:tcPr>
          <w:p w14:paraId="5E606827"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108</w:t>
            </w:r>
          </w:p>
        </w:tc>
        <w:tc>
          <w:tcPr>
            <w:tcW w:w="2280" w:type="dxa"/>
            <w:tcBorders>
              <w:top w:val="nil"/>
              <w:left w:val="nil"/>
              <w:bottom w:val="single" w:sz="4" w:space="0" w:color="000000"/>
              <w:right w:val="nil"/>
            </w:tcBorders>
            <w:shd w:val="clear" w:color="auto" w:fill="auto"/>
            <w:vAlign w:val="bottom"/>
          </w:tcPr>
          <w:p w14:paraId="33888912"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22</w:t>
            </w:r>
          </w:p>
        </w:tc>
      </w:tr>
      <w:tr w:rsidR="00EC4499" w14:paraId="7417931C" w14:textId="77777777">
        <w:trPr>
          <w:trHeight w:val="288"/>
        </w:trPr>
        <w:tc>
          <w:tcPr>
            <w:tcW w:w="2360" w:type="dxa"/>
            <w:vMerge w:val="restart"/>
            <w:tcBorders>
              <w:top w:val="nil"/>
              <w:left w:val="nil"/>
              <w:bottom w:val="nil"/>
              <w:right w:val="nil"/>
            </w:tcBorders>
            <w:shd w:val="clear" w:color="auto" w:fill="auto"/>
            <w:vAlign w:val="bottom"/>
          </w:tcPr>
          <w:p w14:paraId="34D6F678" w14:textId="77777777" w:rsidR="00EC4499" w:rsidRDefault="00433EA7">
            <w:pPr>
              <w:spacing w:after="0" w:line="720" w:lineRule="auto"/>
              <w:rPr>
                <w:rFonts w:ascii="Garamond" w:eastAsia="Garamond" w:hAnsi="Garamond" w:cs="Garamond"/>
                <w:color w:val="000000"/>
                <w:sz w:val="18"/>
                <w:szCs w:val="18"/>
              </w:rPr>
            </w:pPr>
            <w:r>
              <w:rPr>
                <w:rFonts w:ascii="Garamond" w:eastAsia="Garamond" w:hAnsi="Garamond" w:cs="Garamond"/>
                <w:color w:val="000000"/>
                <w:sz w:val="18"/>
                <w:szCs w:val="18"/>
              </w:rPr>
              <w:t>Inter</w:t>
            </w:r>
          </w:p>
        </w:tc>
        <w:tc>
          <w:tcPr>
            <w:tcW w:w="540" w:type="dxa"/>
            <w:tcBorders>
              <w:top w:val="single" w:sz="4" w:space="0" w:color="000000"/>
              <w:left w:val="nil"/>
              <w:bottom w:val="nil"/>
              <w:right w:val="nil"/>
            </w:tcBorders>
            <w:shd w:val="clear" w:color="auto" w:fill="auto"/>
            <w:vAlign w:val="bottom"/>
          </w:tcPr>
          <w:p w14:paraId="35BA2665"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2020</w:t>
            </w:r>
          </w:p>
        </w:tc>
        <w:tc>
          <w:tcPr>
            <w:tcW w:w="2345" w:type="dxa"/>
            <w:tcBorders>
              <w:top w:val="single" w:sz="4" w:space="0" w:color="000000"/>
              <w:left w:val="nil"/>
              <w:bottom w:val="nil"/>
              <w:right w:val="nil"/>
            </w:tcBorders>
            <w:shd w:val="clear" w:color="auto" w:fill="auto"/>
            <w:vAlign w:val="bottom"/>
          </w:tcPr>
          <w:p w14:paraId="415FD180"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       Integrado</w:t>
            </w:r>
          </w:p>
        </w:tc>
        <w:tc>
          <w:tcPr>
            <w:tcW w:w="746" w:type="dxa"/>
            <w:tcBorders>
              <w:top w:val="single" w:sz="4" w:space="0" w:color="000000"/>
              <w:left w:val="nil"/>
              <w:bottom w:val="nil"/>
              <w:right w:val="nil"/>
            </w:tcBorders>
            <w:shd w:val="clear" w:color="auto" w:fill="auto"/>
            <w:vAlign w:val="bottom"/>
          </w:tcPr>
          <w:p w14:paraId="13F4E90E"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106</w:t>
            </w:r>
          </w:p>
        </w:tc>
        <w:tc>
          <w:tcPr>
            <w:tcW w:w="2280" w:type="dxa"/>
            <w:tcBorders>
              <w:top w:val="single" w:sz="4" w:space="0" w:color="000000"/>
              <w:left w:val="nil"/>
              <w:bottom w:val="nil"/>
              <w:right w:val="nil"/>
            </w:tcBorders>
            <w:shd w:val="clear" w:color="auto" w:fill="auto"/>
            <w:vAlign w:val="bottom"/>
          </w:tcPr>
          <w:p w14:paraId="359D717D"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10</w:t>
            </w:r>
          </w:p>
        </w:tc>
      </w:tr>
      <w:tr w:rsidR="00EC4499" w14:paraId="62D6414B" w14:textId="77777777">
        <w:trPr>
          <w:trHeight w:val="288"/>
        </w:trPr>
        <w:tc>
          <w:tcPr>
            <w:tcW w:w="2360" w:type="dxa"/>
            <w:vMerge/>
            <w:tcBorders>
              <w:top w:val="nil"/>
              <w:left w:val="nil"/>
              <w:bottom w:val="nil"/>
              <w:right w:val="nil"/>
            </w:tcBorders>
            <w:shd w:val="clear" w:color="auto" w:fill="auto"/>
            <w:vAlign w:val="bottom"/>
          </w:tcPr>
          <w:p w14:paraId="47739D0C"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540" w:type="dxa"/>
            <w:tcBorders>
              <w:top w:val="nil"/>
              <w:left w:val="nil"/>
              <w:bottom w:val="nil"/>
              <w:right w:val="nil"/>
            </w:tcBorders>
            <w:shd w:val="clear" w:color="auto" w:fill="auto"/>
            <w:vAlign w:val="bottom"/>
          </w:tcPr>
          <w:p w14:paraId="395CA336"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2345" w:type="dxa"/>
            <w:tcBorders>
              <w:top w:val="nil"/>
              <w:left w:val="nil"/>
              <w:bottom w:val="nil"/>
              <w:right w:val="nil"/>
            </w:tcBorders>
            <w:shd w:val="clear" w:color="auto" w:fill="auto"/>
            <w:vAlign w:val="bottom"/>
          </w:tcPr>
          <w:p w14:paraId="31EE1DE4"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       Integrado</w:t>
            </w:r>
          </w:p>
        </w:tc>
        <w:tc>
          <w:tcPr>
            <w:tcW w:w="746" w:type="dxa"/>
            <w:tcBorders>
              <w:top w:val="nil"/>
              <w:left w:val="nil"/>
              <w:bottom w:val="nil"/>
              <w:right w:val="nil"/>
            </w:tcBorders>
            <w:shd w:val="clear" w:color="auto" w:fill="auto"/>
            <w:vAlign w:val="bottom"/>
          </w:tcPr>
          <w:p w14:paraId="16FD946A"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191</w:t>
            </w:r>
          </w:p>
        </w:tc>
        <w:tc>
          <w:tcPr>
            <w:tcW w:w="2280" w:type="dxa"/>
            <w:tcBorders>
              <w:top w:val="nil"/>
              <w:left w:val="nil"/>
              <w:bottom w:val="nil"/>
              <w:right w:val="nil"/>
            </w:tcBorders>
            <w:shd w:val="clear" w:color="auto" w:fill="auto"/>
            <w:vAlign w:val="bottom"/>
          </w:tcPr>
          <w:p w14:paraId="19335F28"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8</w:t>
            </w:r>
          </w:p>
        </w:tc>
      </w:tr>
      <w:tr w:rsidR="00EC4499" w14:paraId="592505C6" w14:textId="77777777">
        <w:trPr>
          <w:trHeight w:val="288"/>
        </w:trPr>
        <w:tc>
          <w:tcPr>
            <w:tcW w:w="2360" w:type="dxa"/>
            <w:vMerge/>
            <w:tcBorders>
              <w:top w:val="nil"/>
              <w:left w:val="nil"/>
              <w:bottom w:val="nil"/>
              <w:right w:val="nil"/>
            </w:tcBorders>
            <w:shd w:val="clear" w:color="auto" w:fill="auto"/>
            <w:vAlign w:val="bottom"/>
          </w:tcPr>
          <w:p w14:paraId="5093CA30"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540" w:type="dxa"/>
            <w:tcBorders>
              <w:top w:val="nil"/>
              <w:left w:val="nil"/>
              <w:bottom w:val="single" w:sz="4" w:space="0" w:color="000000"/>
              <w:right w:val="nil"/>
            </w:tcBorders>
            <w:shd w:val="clear" w:color="auto" w:fill="auto"/>
            <w:vAlign w:val="bottom"/>
          </w:tcPr>
          <w:p w14:paraId="50C07B83"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2345" w:type="dxa"/>
            <w:tcBorders>
              <w:top w:val="nil"/>
              <w:left w:val="nil"/>
              <w:bottom w:val="single" w:sz="4" w:space="0" w:color="000000"/>
              <w:right w:val="nil"/>
            </w:tcBorders>
            <w:shd w:val="clear" w:color="auto" w:fill="auto"/>
            <w:vAlign w:val="bottom"/>
          </w:tcPr>
          <w:p w14:paraId="034F35E6"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       Integrado</w:t>
            </w:r>
          </w:p>
        </w:tc>
        <w:tc>
          <w:tcPr>
            <w:tcW w:w="746" w:type="dxa"/>
            <w:tcBorders>
              <w:top w:val="nil"/>
              <w:left w:val="nil"/>
              <w:bottom w:val="single" w:sz="4" w:space="0" w:color="000000"/>
              <w:right w:val="nil"/>
            </w:tcBorders>
            <w:shd w:val="clear" w:color="auto" w:fill="auto"/>
            <w:vAlign w:val="bottom"/>
          </w:tcPr>
          <w:p w14:paraId="10D35BD9"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113</w:t>
            </w:r>
          </w:p>
        </w:tc>
        <w:tc>
          <w:tcPr>
            <w:tcW w:w="2280" w:type="dxa"/>
            <w:tcBorders>
              <w:top w:val="nil"/>
              <w:left w:val="nil"/>
              <w:bottom w:val="single" w:sz="4" w:space="0" w:color="000000"/>
              <w:right w:val="nil"/>
            </w:tcBorders>
            <w:shd w:val="clear" w:color="auto" w:fill="auto"/>
            <w:vAlign w:val="bottom"/>
          </w:tcPr>
          <w:p w14:paraId="17775C85"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8</w:t>
            </w:r>
          </w:p>
        </w:tc>
      </w:tr>
      <w:tr w:rsidR="00EC4499" w14:paraId="7F09A0F2" w14:textId="77777777">
        <w:trPr>
          <w:trHeight w:val="288"/>
        </w:trPr>
        <w:tc>
          <w:tcPr>
            <w:tcW w:w="2360" w:type="dxa"/>
            <w:vMerge w:val="restart"/>
            <w:tcBorders>
              <w:top w:val="nil"/>
              <w:left w:val="nil"/>
              <w:bottom w:val="nil"/>
              <w:right w:val="nil"/>
            </w:tcBorders>
            <w:shd w:val="clear" w:color="auto" w:fill="auto"/>
            <w:vAlign w:val="bottom"/>
          </w:tcPr>
          <w:p w14:paraId="7C5B6441"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Itaú</w:t>
            </w:r>
          </w:p>
        </w:tc>
        <w:tc>
          <w:tcPr>
            <w:tcW w:w="540" w:type="dxa"/>
            <w:tcBorders>
              <w:top w:val="single" w:sz="4" w:space="0" w:color="000000"/>
              <w:left w:val="nil"/>
              <w:bottom w:val="nil"/>
              <w:right w:val="nil"/>
            </w:tcBorders>
            <w:shd w:val="clear" w:color="auto" w:fill="auto"/>
            <w:vAlign w:val="bottom"/>
          </w:tcPr>
          <w:p w14:paraId="5921FDF5"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2345" w:type="dxa"/>
            <w:tcBorders>
              <w:top w:val="single" w:sz="4" w:space="0" w:color="000000"/>
              <w:left w:val="nil"/>
              <w:bottom w:val="nil"/>
              <w:right w:val="nil"/>
            </w:tcBorders>
            <w:shd w:val="clear" w:color="auto" w:fill="auto"/>
            <w:vAlign w:val="bottom"/>
          </w:tcPr>
          <w:p w14:paraId="08189306"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       ESG</w:t>
            </w:r>
          </w:p>
        </w:tc>
        <w:tc>
          <w:tcPr>
            <w:tcW w:w="746" w:type="dxa"/>
            <w:tcBorders>
              <w:top w:val="single" w:sz="4" w:space="0" w:color="000000"/>
              <w:left w:val="nil"/>
              <w:bottom w:val="nil"/>
              <w:right w:val="nil"/>
            </w:tcBorders>
            <w:shd w:val="clear" w:color="auto" w:fill="auto"/>
            <w:vAlign w:val="bottom"/>
          </w:tcPr>
          <w:p w14:paraId="31CCF9B0"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178</w:t>
            </w:r>
          </w:p>
        </w:tc>
        <w:tc>
          <w:tcPr>
            <w:tcW w:w="2280" w:type="dxa"/>
            <w:tcBorders>
              <w:top w:val="single" w:sz="4" w:space="0" w:color="000000"/>
              <w:left w:val="nil"/>
              <w:bottom w:val="nil"/>
              <w:right w:val="nil"/>
            </w:tcBorders>
            <w:shd w:val="clear" w:color="auto" w:fill="auto"/>
            <w:vAlign w:val="bottom"/>
          </w:tcPr>
          <w:p w14:paraId="1F93AABC"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10</w:t>
            </w:r>
          </w:p>
        </w:tc>
      </w:tr>
      <w:tr w:rsidR="00EC4499" w14:paraId="77CF4A40" w14:textId="77777777">
        <w:trPr>
          <w:trHeight w:val="288"/>
        </w:trPr>
        <w:tc>
          <w:tcPr>
            <w:tcW w:w="2360" w:type="dxa"/>
            <w:vMerge/>
            <w:tcBorders>
              <w:top w:val="nil"/>
              <w:left w:val="nil"/>
              <w:bottom w:val="nil"/>
              <w:right w:val="nil"/>
            </w:tcBorders>
            <w:shd w:val="clear" w:color="auto" w:fill="auto"/>
            <w:vAlign w:val="bottom"/>
          </w:tcPr>
          <w:p w14:paraId="2F705C07"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540" w:type="dxa"/>
            <w:tcBorders>
              <w:top w:val="nil"/>
              <w:left w:val="nil"/>
              <w:bottom w:val="single" w:sz="4" w:space="0" w:color="000000"/>
              <w:right w:val="nil"/>
            </w:tcBorders>
            <w:shd w:val="clear" w:color="auto" w:fill="auto"/>
            <w:vAlign w:val="bottom"/>
          </w:tcPr>
          <w:p w14:paraId="0487329E"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2345" w:type="dxa"/>
            <w:tcBorders>
              <w:top w:val="nil"/>
              <w:left w:val="nil"/>
              <w:bottom w:val="single" w:sz="4" w:space="0" w:color="000000"/>
              <w:right w:val="nil"/>
            </w:tcBorders>
            <w:shd w:val="clear" w:color="auto" w:fill="auto"/>
            <w:vAlign w:val="bottom"/>
          </w:tcPr>
          <w:p w14:paraId="51AD821B"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       ESG</w:t>
            </w:r>
          </w:p>
        </w:tc>
        <w:tc>
          <w:tcPr>
            <w:tcW w:w="746" w:type="dxa"/>
            <w:tcBorders>
              <w:top w:val="nil"/>
              <w:left w:val="nil"/>
              <w:bottom w:val="single" w:sz="4" w:space="0" w:color="000000"/>
              <w:right w:val="nil"/>
            </w:tcBorders>
            <w:shd w:val="clear" w:color="auto" w:fill="auto"/>
            <w:vAlign w:val="bottom"/>
          </w:tcPr>
          <w:p w14:paraId="0865342F"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168</w:t>
            </w:r>
          </w:p>
        </w:tc>
        <w:tc>
          <w:tcPr>
            <w:tcW w:w="2280" w:type="dxa"/>
            <w:tcBorders>
              <w:top w:val="nil"/>
              <w:left w:val="nil"/>
              <w:bottom w:val="single" w:sz="4" w:space="0" w:color="000000"/>
              <w:right w:val="nil"/>
            </w:tcBorders>
            <w:shd w:val="clear" w:color="auto" w:fill="auto"/>
            <w:vAlign w:val="bottom"/>
          </w:tcPr>
          <w:p w14:paraId="2D8F918B"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10</w:t>
            </w:r>
          </w:p>
        </w:tc>
      </w:tr>
      <w:tr w:rsidR="00EC4499" w14:paraId="43BD5F2A" w14:textId="77777777">
        <w:trPr>
          <w:trHeight w:val="288"/>
        </w:trPr>
        <w:tc>
          <w:tcPr>
            <w:tcW w:w="2360" w:type="dxa"/>
            <w:vMerge w:val="restart"/>
            <w:tcBorders>
              <w:top w:val="nil"/>
              <w:left w:val="nil"/>
              <w:bottom w:val="nil"/>
              <w:right w:val="nil"/>
            </w:tcBorders>
            <w:shd w:val="clear" w:color="auto" w:fill="auto"/>
            <w:vAlign w:val="bottom"/>
          </w:tcPr>
          <w:p w14:paraId="66606166"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J.P. Morgan </w:t>
            </w:r>
          </w:p>
        </w:tc>
        <w:tc>
          <w:tcPr>
            <w:tcW w:w="540" w:type="dxa"/>
            <w:tcBorders>
              <w:top w:val="single" w:sz="4" w:space="0" w:color="000000"/>
              <w:left w:val="nil"/>
              <w:bottom w:val="nil"/>
              <w:right w:val="nil"/>
            </w:tcBorders>
            <w:shd w:val="clear" w:color="auto" w:fill="auto"/>
            <w:vAlign w:val="bottom"/>
          </w:tcPr>
          <w:p w14:paraId="1A85727B"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2345" w:type="dxa"/>
            <w:tcBorders>
              <w:top w:val="single" w:sz="4" w:space="0" w:color="000000"/>
              <w:left w:val="nil"/>
              <w:bottom w:val="nil"/>
              <w:right w:val="nil"/>
            </w:tcBorders>
            <w:shd w:val="clear" w:color="auto" w:fill="auto"/>
            <w:vAlign w:val="bottom"/>
          </w:tcPr>
          <w:p w14:paraId="0C8585CB"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       ESG</w:t>
            </w:r>
          </w:p>
        </w:tc>
        <w:tc>
          <w:tcPr>
            <w:tcW w:w="746" w:type="dxa"/>
            <w:tcBorders>
              <w:top w:val="single" w:sz="4" w:space="0" w:color="000000"/>
              <w:left w:val="nil"/>
              <w:bottom w:val="nil"/>
              <w:right w:val="nil"/>
            </w:tcBorders>
            <w:shd w:val="clear" w:color="auto" w:fill="auto"/>
            <w:vAlign w:val="bottom"/>
          </w:tcPr>
          <w:p w14:paraId="796A7D8E"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78</w:t>
            </w:r>
          </w:p>
        </w:tc>
        <w:tc>
          <w:tcPr>
            <w:tcW w:w="2280" w:type="dxa"/>
            <w:tcBorders>
              <w:top w:val="single" w:sz="4" w:space="0" w:color="000000"/>
              <w:left w:val="nil"/>
              <w:bottom w:val="nil"/>
              <w:right w:val="nil"/>
            </w:tcBorders>
            <w:shd w:val="clear" w:color="auto" w:fill="auto"/>
            <w:vAlign w:val="bottom"/>
          </w:tcPr>
          <w:p w14:paraId="055FB55D"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18</w:t>
            </w:r>
          </w:p>
        </w:tc>
      </w:tr>
      <w:tr w:rsidR="00EC4499" w14:paraId="74143848" w14:textId="77777777">
        <w:trPr>
          <w:trHeight w:val="288"/>
        </w:trPr>
        <w:tc>
          <w:tcPr>
            <w:tcW w:w="2360" w:type="dxa"/>
            <w:vMerge/>
            <w:tcBorders>
              <w:top w:val="nil"/>
              <w:left w:val="nil"/>
              <w:bottom w:val="nil"/>
              <w:right w:val="nil"/>
            </w:tcBorders>
            <w:shd w:val="clear" w:color="auto" w:fill="auto"/>
            <w:vAlign w:val="bottom"/>
          </w:tcPr>
          <w:p w14:paraId="52F8B8CE"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540" w:type="dxa"/>
            <w:tcBorders>
              <w:top w:val="nil"/>
              <w:left w:val="nil"/>
              <w:bottom w:val="single" w:sz="4" w:space="0" w:color="000000"/>
              <w:right w:val="nil"/>
            </w:tcBorders>
            <w:shd w:val="clear" w:color="auto" w:fill="auto"/>
            <w:vAlign w:val="bottom"/>
          </w:tcPr>
          <w:p w14:paraId="2AD69BEA"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2345" w:type="dxa"/>
            <w:tcBorders>
              <w:top w:val="nil"/>
              <w:left w:val="nil"/>
              <w:bottom w:val="single" w:sz="4" w:space="0" w:color="000000"/>
              <w:right w:val="nil"/>
            </w:tcBorders>
            <w:shd w:val="clear" w:color="auto" w:fill="auto"/>
            <w:vAlign w:val="bottom"/>
          </w:tcPr>
          <w:p w14:paraId="06283B20"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       ESG</w:t>
            </w:r>
          </w:p>
        </w:tc>
        <w:tc>
          <w:tcPr>
            <w:tcW w:w="746" w:type="dxa"/>
            <w:tcBorders>
              <w:top w:val="nil"/>
              <w:left w:val="nil"/>
              <w:bottom w:val="single" w:sz="4" w:space="0" w:color="000000"/>
              <w:right w:val="nil"/>
            </w:tcBorders>
            <w:shd w:val="clear" w:color="auto" w:fill="auto"/>
            <w:vAlign w:val="bottom"/>
          </w:tcPr>
          <w:p w14:paraId="5070E94E"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74</w:t>
            </w:r>
          </w:p>
        </w:tc>
        <w:tc>
          <w:tcPr>
            <w:tcW w:w="2280" w:type="dxa"/>
            <w:tcBorders>
              <w:top w:val="nil"/>
              <w:left w:val="nil"/>
              <w:bottom w:val="single" w:sz="4" w:space="0" w:color="000000"/>
              <w:right w:val="nil"/>
            </w:tcBorders>
            <w:shd w:val="clear" w:color="auto" w:fill="auto"/>
            <w:vAlign w:val="bottom"/>
          </w:tcPr>
          <w:p w14:paraId="16B33566"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23</w:t>
            </w:r>
          </w:p>
        </w:tc>
      </w:tr>
      <w:tr w:rsidR="00EC4499" w14:paraId="23C6FFB8" w14:textId="77777777">
        <w:trPr>
          <w:trHeight w:val="288"/>
        </w:trPr>
        <w:tc>
          <w:tcPr>
            <w:tcW w:w="2360" w:type="dxa"/>
            <w:vMerge w:val="restart"/>
            <w:tcBorders>
              <w:top w:val="nil"/>
              <w:left w:val="nil"/>
              <w:bottom w:val="nil"/>
              <w:right w:val="nil"/>
            </w:tcBorders>
            <w:shd w:val="clear" w:color="auto" w:fill="auto"/>
            <w:vAlign w:val="bottom"/>
          </w:tcPr>
          <w:p w14:paraId="46C02521"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Santander</w:t>
            </w:r>
          </w:p>
        </w:tc>
        <w:tc>
          <w:tcPr>
            <w:tcW w:w="540" w:type="dxa"/>
            <w:tcBorders>
              <w:top w:val="single" w:sz="4" w:space="0" w:color="000000"/>
              <w:left w:val="nil"/>
              <w:bottom w:val="nil"/>
              <w:right w:val="nil"/>
            </w:tcBorders>
            <w:shd w:val="clear" w:color="auto" w:fill="auto"/>
            <w:vAlign w:val="bottom"/>
          </w:tcPr>
          <w:p w14:paraId="545D504F"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2345" w:type="dxa"/>
            <w:tcBorders>
              <w:top w:val="single" w:sz="4" w:space="0" w:color="000000"/>
              <w:left w:val="nil"/>
              <w:bottom w:val="nil"/>
              <w:right w:val="nil"/>
            </w:tcBorders>
            <w:shd w:val="clear" w:color="auto" w:fill="auto"/>
            <w:vAlign w:val="bottom"/>
          </w:tcPr>
          <w:p w14:paraId="1ADEC111"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       ESG</w:t>
            </w:r>
          </w:p>
        </w:tc>
        <w:tc>
          <w:tcPr>
            <w:tcW w:w="746" w:type="dxa"/>
            <w:tcBorders>
              <w:top w:val="single" w:sz="4" w:space="0" w:color="000000"/>
              <w:left w:val="nil"/>
              <w:bottom w:val="nil"/>
              <w:right w:val="nil"/>
            </w:tcBorders>
            <w:shd w:val="clear" w:color="auto" w:fill="auto"/>
            <w:vAlign w:val="bottom"/>
          </w:tcPr>
          <w:p w14:paraId="6EA15EE6"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98</w:t>
            </w:r>
          </w:p>
        </w:tc>
        <w:tc>
          <w:tcPr>
            <w:tcW w:w="2280" w:type="dxa"/>
            <w:tcBorders>
              <w:top w:val="single" w:sz="4" w:space="0" w:color="000000"/>
              <w:left w:val="nil"/>
              <w:bottom w:val="nil"/>
              <w:right w:val="nil"/>
            </w:tcBorders>
            <w:shd w:val="clear" w:color="auto" w:fill="auto"/>
            <w:vAlign w:val="bottom"/>
          </w:tcPr>
          <w:p w14:paraId="3FC28076"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6</w:t>
            </w:r>
          </w:p>
        </w:tc>
      </w:tr>
      <w:tr w:rsidR="00EC4499" w14:paraId="71A4DF62" w14:textId="77777777">
        <w:trPr>
          <w:trHeight w:val="288"/>
        </w:trPr>
        <w:tc>
          <w:tcPr>
            <w:tcW w:w="2360" w:type="dxa"/>
            <w:vMerge/>
            <w:tcBorders>
              <w:top w:val="nil"/>
              <w:left w:val="nil"/>
              <w:bottom w:val="nil"/>
              <w:right w:val="nil"/>
            </w:tcBorders>
            <w:shd w:val="clear" w:color="auto" w:fill="auto"/>
            <w:vAlign w:val="bottom"/>
          </w:tcPr>
          <w:p w14:paraId="244CE8F2"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540" w:type="dxa"/>
            <w:tcBorders>
              <w:top w:val="nil"/>
              <w:left w:val="nil"/>
              <w:bottom w:val="single" w:sz="4" w:space="0" w:color="000000"/>
              <w:right w:val="nil"/>
            </w:tcBorders>
            <w:shd w:val="clear" w:color="auto" w:fill="auto"/>
            <w:vAlign w:val="bottom"/>
          </w:tcPr>
          <w:p w14:paraId="3591611C"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2345" w:type="dxa"/>
            <w:tcBorders>
              <w:top w:val="nil"/>
              <w:left w:val="nil"/>
              <w:bottom w:val="single" w:sz="4" w:space="0" w:color="000000"/>
              <w:right w:val="nil"/>
            </w:tcBorders>
            <w:shd w:val="clear" w:color="auto" w:fill="auto"/>
            <w:vAlign w:val="bottom"/>
          </w:tcPr>
          <w:p w14:paraId="254736CE"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       Integrado</w:t>
            </w:r>
          </w:p>
        </w:tc>
        <w:tc>
          <w:tcPr>
            <w:tcW w:w="746" w:type="dxa"/>
            <w:tcBorders>
              <w:top w:val="nil"/>
              <w:left w:val="nil"/>
              <w:bottom w:val="single" w:sz="4" w:space="0" w:color="000000"/>
              <w:right w:val="nil"/>
            </w:tcBorders>
            <w:shd w:val="clear" w:color="auto" w:fill="auto"/>
            <w:vAlign w:val="bottom"/>
          </w:tcPr>
          <w:p w14:paraId="380E4930"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64</w:t>
            </w:r>
          </w:p>
        </w:tc>
        <w:tc>
          <w:tcPr>
            <w:tcW w:w="2280" w:type="dxa"/>
            <w:tcBorders>
              <w:top w:val="nil"/>
              <w:left w:val="nil"/>
              <w:bottom w:val="single" w:sz="4" w:space="0" w:color="000000"/>
              <w:right w:val="nil"/>
            </w:tcBorders>
            <w:shd w:val="clear" w:color="auto" w:fill="auto"/>
            <w:vAlign w:val="bottom"/>
          </w:tcPr>
          <w:p w14:paraId="171A93CD"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11</w:t>
            </w:r>
          </w:p>
        </w:tc>
      </w:tr>
      <w:tr w:rsidR="00EC4499" w14:paraId="3C04AB9E" w14:textId="77777777">
        <w:trPr>
          <w:trHeight w:val="288"/>
        </w:trPr>
        <w:tc>
          <w:tcPr>
            <w:tcW w:w="2360" w:type="dxa"/>
            <w:vMerge w:val="restart"/>
            <w:tcBorders>
              <w:top w:val="nil"/>
              <w:left w:val="nil"/>
              <w:bottom w:val="nil"/>
              <w:right w:val="nil"/>
            </w:tcBorders>
            <w:shd w:val="clear" w:color="auto" w:fill="auto"/>
            <w:vAlign w:val="bottom"/>
          </w:tcPr>
          <w:p w14:paraId="5D1AB07B"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Sicredi</w:t>
            </w:r>
          </w:p>
        </w:tc>
        <w:tc>
          <w:tcPr>
            <w:tcW w:w="540" w:type="dxa"/>
            <w:tcBorders>
              <w:top w:val="single" w:sz="4" w:space="0" w:color="000000"/>
              <w:left w:val="nil"/>
              <w:bottom w:val="nil"/>
              <w:right w:val="nil"/>
            </w:tcBorders>
            <w:shd w:val="clear" w:color="auto" w:fill="auto"/>
            <w:vAlign w:val="bottom"/>
          </w:tcPr>
          <w:p w14:paraId="63F13E84"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2345" w:type="dxa"/>
            <w:tcBorders>
              <w:top w:val="single" w:sz="4" w:space="0" w:color="000000"/>
              <w:left w:val="nil"/>
              <w:bottom w:val="nil"/>
              <w:right w:val="nil"/>
            </w:tcBorders>
            <w:shd w:val="clear" w:color="auto" w:fill="auto"/>
            <w:vAlign w:val="bottom"/>
          </w:tcPr>
          <w:p w14:paraId="38F83402"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       Sustentabilidade</w:t>
            </w:r>
          </w:p>
        </w:tc>
        <w:tc>
          <w:tcPr>
            <w:tcW w:w="746" w:type="dxa"/>
            <w:tcBorders>
              <w:top w:val="single" w:sz="4" w:space="0" w:color="000000"/>
              <w:left w:val="nil"/>
              <w:bottom w:val="nil"/>
              <w:right w:val="nil"/>
            </w:tcBorders>
            <w:shd w:val="clear" w:color="auto" w:fill="auto"/>
            <w:vAlign w:val="bottom"/>
          </w:tcPr>
          <w:p w14:paraId="24EFF357"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76</w:t>
            </w:r>
          </w:p>
        </w:tc>
        <w:tc>
          <w:tcPr>
            <w:tcW w:w="2280" w:type="dxa"/>
            <w:tcBorders>
              <w:top w:val="single" w:sz="4" w:space="0" w:color="000000"/>
              <w:left w:val="nil"/>
              <w:bottom w:val="nil"/>
              <w:right w:val="nil"/>
            </w:tcBorders>
            <w:shd w:val="clear" w:color="auto" w:fill="auto"/>
            <w:vAlign w:val="bottom"/>
          </w:tcPr>
          <w:p w14:paraId="24571671"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12</w:t>
            </w:r>
          </w:p>
        </w:tc>
      </w:tr>
      <w:tr w:rsidR="00EC4499" w14:paraId="6CD67C49" w14:textId="77777777">
        <w:trPr>
          <w:trHeight w:val="288"/>
        </w:trPr>
        <w:tc>
          <w:tcPr>
            <w:tcW w:w="2360" w:type="dxa"/>
            <w:vMerge/>
            <w:tcBorders>
              <w:top w:val="nil"/>
              <w:left w:val="nil"/>
              <w:bottom w:val="nil"/>
              <w:right w:val="nil"/>
            </w:tcBorders>
            <w:shd w:val="clear" w:color="auto" w:fill="auto"/>
            <w:vAlign w:val="bottom"/>
          </w:tcPr>
          <w:p w14:paraId="1A389994"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540" w:type="dxa"/>
            <w:tcBorders>
              <w:top w:val="nil"/>
              <w:left w:val="nil"/>
              <w:bottom w:val="single" w:sz="4" w:space="0" w:color="000000"/>
              <w:right w:val="nil"/>
            </w:tcBorders>
            <w:shd w:val="clear" w:color="auto" w:fill="auto"/>
            <w:vAlign w:val="bottom"/>
          </w:tcPr>
          <w:p w14:paraId="086879B1"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2345" w:type="dxa"/>
            <w:tcBorders>
              <w:top w:val="nil"/>
              <w:left w:val="nil"/>
              <w:bottom w:val="single" w:sz="4" w:space="0" w:color="000000"/>
              <w:right w:val="nil"/>
            </w:tcBorders>
            <w:shd w:val="clear" w:color="auto" w:fill="auto"/>
            <w:vAlign w:val="bottom"/>
          </w:tcPr>
          <w:p w14:paraId="2B11343F"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       Sustentabilidade</w:t>
            </w:r>
          </w:p>
        </w:tc>
        <w:tc>
          <w:tcPr>
            <w:tcW w:w="746" w:type="dxa"/>
            <w:tcBorders>
              <w:top w:val="nil"/>
              <w:left w:val="nil"/>
              <w:bottom w:val="single" w:sz="4" w:space="0" w:color="000000"/>
              <w:right w:val="nil"/>
            </w:tcBorders>
            <w:shd w:val="clear" w:color="auto" w:fill="auto"/>
            <w:vAlign w:val="bottom"/>
          </w:tcPr>
          <w:p w14:paraId="4E0E3086"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105</w:t>
            </w:r>
          </w:p>
        </w:tc>
        <w:tc>
          <w:tcPr>
            <w:tcW w:w="2280" w:type="dxa"/>
            <w:tcBorders>
              <w:top w:val="nil"/>
              <w:left w:val="nil"/>
              <w:bottom w:val="single" w:sz="4" w:space="0" w:color="000000"/>
              <w:right w:val="nil"/>
            </w:tcBorders>
            <w:shd w:val="clear" w:color="auto" w:fill="auto"/>
            <w:vAlign w:val="bottom"/>
          </w:tcPr>
          <w:p w14:paraId="11686424"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12</w:t>
            </w:r>
          </w:p>
        </w:tc>
      </w:tr>
    </w:tbl>
    <w:p w14:paraId="7B6AFA19" w14:textId="77777777" w:rsidR="00EC4499" w:rsidRDefault="00EC4499">
      <w:pPr>
        <w:spacing w:after="0" w:line="360" w:lineRule="auto"/>
        <w:rPr>
          <w:rFonts w:ascii="Garamond" w:eastAsia="Garamond" w:hAnsi="Garamond" w:cs="Garamond"/>
          <w:color w:val="000000"/>
          <w:sz w:val="24"/>
          <w:szCs w:val="24"/>
        </w:rPr>
      </w:pPr>
    </w:p>
    <w:p w14:paraId="52097B68" w14:textId="77777777" w:rsidR="00EC4499" w:rsidRPr="008347B5" w:rsidRDefault="00433EA7" w:rsidP="008347B5">
      <w:pPr>
        <w:pStyle w:val="Ttulo1"/>
      </w:pPr>
      <w:bookmarkStart w:id="11" w:name="_heading=h.fnm4aui81u8f" w:colFirst="0" w:colLast="0"/>
      <w:bookmarkEnd w:id="11"/>
      <w:r w:rsidRPr="008347B5">
        <w:lastRenderedPageBreak/>
        <w:t>Resultados</w:t>
      </w:r>
    </w:p>
    <w:p w14:paraId="50D01507" w14:textId="5F1C966C" w:rsidR="00EC4499" w:rsidRDefault="00433EA7">
      <w:pPr>
        <w:pStyle w:val="Ttulo2"/>
        <w:spacing w:after="0" w:line="360" w:lineRule="auto"/>
      </w:pPr>
      <w:bookmarkStart w:id="12" w:name="_heading=h.exwwev9d0q1v" w:colFirst="0" w:colLast="0"/>
      <w:bookmarkEnd w:id="12"/>
      <w:r>
        <w:rPr>
          <w:rFonts w:ascii="Garamond" w:eastAsia="Garamond" w:hAnsi="Garamond" w:cs="Garamond"/>
          <w:sz w:val="26"/>
          <w:szCs w:val="26"/>
        </w:rPr>
        <w:t>4.1</w:t>
      </w:r>
      <w:r>
        <w:rPr>
          <w:rFonts w:ascii="Garamond" w:eastAsia="Garamond" w:hAnsi="Garamond" w:cs="Garamond"/>
          <w:sz w:val="26"/>
          <w:szCs w:val="26"/>
        </w:rPr>
        <w:tab/>
        <w:t xml:space="preserve">Análise da qualidade conforme vinculação </w:t>
      </w:r>
      <w:r w:rsidR="00C22618">
        <w:rPr>
          <w:rFonts w:ascii="Garamond" w:eastAsia="Garamond" w:hAnsi="Garamond" w:cs="Garamond"/>
          <w:sz w:val="26"/>
          <w:szCs w:val="26"/>
        </w:rPr>
        <w:t>de</w:t>
      </w:r>
      <w:r w:rsidR="00246F29">
        <w:rPr>
          <w:rFonts w:ascii="Garamond" w:eastAsia="Garamond" w:hAnsi="Garamond" w:cs="Garamond"/>
          <w:sz w:val="26"/>
          <w:szCs w:val="26"/>
        </w:rPr>
        <w:t xml:space="preserve"> </w:t>
      </w:r>
      <w:r>
        <w:rPr>
          <w:rFonts w:ascii="Garamond" w:eastAsia="Garamond" w:hAnsi="Garamond" w:cs="Garamond"/>
          <w:sz w:val="26"/>
          <w:szCs w:val="26"/>
        </w:rPr>
        <w:t>Tsalis</w:t>
      </w:r>
      <w:r w:rsidR="00246F29">
        <w:rPr>
          <w:rFonts w:ascii="Garamond" w:eastAsia="Garamond" w:hAnsi="Garamond" w:cs="Garamond"/>
          <w:sz w:val="26"/>
          <w:szCs w:val="26"/>
        </w:rPr>
        <w:t xml:space="preserve"> </w:t>
      </w:r>
      <w:r w:rsidR="00246F29" w:rsidRPr="004F2292">
        <w:rPr>
          <w:rFonts w:ascii="Garamond" w:eastAsia="Garamond" w:hAnsi="Garamond" w:cs="Garamond"/>
          <w:i/>
          <w:iCs/>
          <w:sz w:val="26"/>
          <w:szCs w:val="26"/>
        </w:rPr>
        <w:t>et al</w:t>
      </w:r>
      <w:r w:rsidR="00246F29">
        <w:rPr>
          <w:rFonts w:ascii="Garamond" w:eastAsia="Garamond" w:hAnsi="Garamond" w:cs="Garamond"/>
          <w:sz w:val="26"/>
          <w:szCs w:val="26"/>
        </w:rPr>
        <w:t>. (2020)</w:t>
      </w:r>
      <w:r>
        <w:t xml:space="preserve"> </w:t>
      </w:r>
    </w:p>
    <w:p w14:paraId="59C39BFC" w14:textId="77777777" w:rsidR="00EC4499" w:rsidRDefault="00EC4499">
      <w:pPr>
        <w:spacing w:after="0" w:line="360" w:lineRule="auto"/>
        <w:rPr>
          <w:rFonts w:ascii="Garamond" w:eastAsia="Garamond" w:hAnsi="Garamond" w:cs="Garamond"/>
          <w:b/>
          <w:color w:val="000000"/>
          <w:sz w:val="24"/>
          <w:szCs w:val="24"/>
        </w:rPr>
      </w:pPr>
    </w:p>
    <w:p w14:paraId="404408B6"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Reproduzimos abaixo os resultados de Chagas </w:t>
      </w:r>
      <w:r w:rsidRPr="00FF374C">
        <w:rPr>
          <w:rFonts w:ascii="Garamond" w:eastAsia="Garamond" w:hAnsi="Garamond" w:cs="Garamond"/>
          <w:i/>
          <w:iCs/>
          <w:color w:val="000000"/>
          <w:sz w:val="24"/>
          <w:szCs w:val="24"/>
        </w:rPr>
        <w:t>et al</w:t>
      </w:r>
      <w:r>
        <w:rPr>
          <w:rFonts w:ascii="Garamond" w:eastAsia="Garamond" w:hAnsi="Garamond" w:cs="Garamond"/>
          <w:color w:val="000000"/>
          <w:sz w:val="24"/>
          <w:szCs w:val="24"/>
        </w:rPr>
        <w:t xml:space="preserve">. (2022) com relação ao Indicador de Desempenho da Qualidade da Informação (DQPI) para o ano de 2020, acrescentando a nossa análise com relação ao relatório do banco Inter, e os resultados obtidos nos anos de 2021 e 2022 a partir da aplicação da metodologia apresentada em Tsalis </w:t>
      </w:r>
      <w:r>
        <w:rPr>
          <w:rFonts w:ascii="Garamond" w:eastAsia="Garamond" w:hAnsi="Garamond" w:cs="Garamond"/>
          <w:i/>
          <w:color w:val="000000"/>
          <w:sz w:val="24"/>
          <w:szCs w:val="24"/>
        </w:rPr>
        <w:t>et al</w:t>
      </w:r>
      <w:r>
        <w:rPr>
          <w:rFonts w:ascii="Garamond" w:eastAsia="Garamond" w:hAnsi="Garamond" w:cs="Garamond"/>
          <w:color w:val="000000"/>
          <w:sz w:val="24"/>
          <w:szCs w:val="24"/>
        </w:rPr>
        <w:t>. (2020).</w:t>
      </w:r>
    </w:p>
    <w:p w14:paraId="0D0EF2C1" w14:textId="77777777" w:rsidR="00EC4499" w:rsidRDefault="00EC4499">
      <w:pPr>
        <w:spacing w:after="0" w:line="360" w:lineRule="auto"/>
        <w:ind w:firstLine="708"/>
        <w:jc w:val="both"/>
        <w:rPr>
          <w:rFonts w:ascii="Garamond" w:eastAsia="Garamond" w:hAnsi="Garamond" w:cs="Garamond"/>
          <w:sz w:val="24"/>
          <w:szCs w:val="24"/>
        </w:rPr>
      </w:pPr>
    </w:p>
    <w:p w14:paraId="11839847" w14:textId="7E9D6D9E" w:rsidR="00EC4499" w:rsidRDefault="00433EA7">
      <w:pPr>
        <w:spacing w:after="0" w:line="360" w:lineRule="auto"/>
        <w:jc w:val="center"/>
        <w:rPr>
          <w:rFonts w:ascii="Garamond" w:eastAsia="Garamond" w:hAnsi="Garamond" w:cs="Garamond"/>
          <w:i/>
          <w:color w:val="000000"/>
          <w:sz w:val="24"/>
          <w:szCs w:val="24"/>
        </w:rPr>
      </w:pPr>
      <w:r>
        <w:rPr>
          <w:rFonts w:ascii="Garamond" w:eastAsia="Garamond" w:hAnsi="Garamond" w:cs="Garamond"/>
          <w:color w:val="000000"/>
          <w:sz w:val="24"/>
          <w:szCs w:val="24"/>
        </w:rPr>
        <w:t xml:space="preserve">Tabela 6 - Resultados Qualidade 2020 </w:t>
      </w:r>
    </w:p>
    <w:tbl>
      <w:tblPr>
        <w:tblStyle w:val="a4"/>
        <w:tblW w:w="8505" w:type="dxa"/>
        <w:tblInd w:w="0" w:type="dxa"/>
        <w:tblLayout w:type="fixed"/>
        <w:tblLook w:val="0400" w:firstRow="0" w:lastRow="0" w:firstColumn="0" w:lastColumn="0" w:noHBand="0" w:noVBand="1"/>
      </w:tblPr>
      <w:tblGrid>
        <w:gridCol w:w="1418"/>
        <w:gridCol w:w="1202"/>
        <w:gridCol w:w="924"/>
        <w:gridCol w:w="1260"/>
        <w:gridCol w:w="1360"/>
        <w:gridCol w:w="2341"/>
      </w:tblGrid>
      <w:tr w:rsidR="00EC4499" w14:paraId="4C4C63E5" w14:textId="77777777" w:rsidTr="00F73D0C">
        <w:trPr>
          <w:trHeight w:val="288"/>
        </w:trPr>
        <w:tc>
          <w:tcPr>
            <w:tcW w:w="1418" w:type="dxa"/>
            <w:tcBorders>
              <w:top w:val="nil"/>
              <w:left w:val="nil"/>
              <w:bottom w:val="single" w:sz="4" w:space="0" w:color="000000"/>
              <w:right w:val="nil"/>
            </w:tcBorders>
            <w:shd w:val="clear" w:color="auto" w:fill="auto"/>
            <w:vAlign w:val="bottom"/>
          </w:tcPr>
          <w:p w14:paraId="00759E2F" w14:textId="77777777" w:rsidR="00EC4499" w:rsidRDefault="00433EA7">
            <w:pPr>
              <w:spacing w:after="0" w:line="240" w:lineRule="auto"/>
              <w:rPr>
                <w:rFonts w:ascii="Garamond" w:eastAsia="Garamond" w:hAnsi="Garamond" w:cs="Garamond"/>
                <w:b/>
                <w:color w:val="000000"/>
                <w:sz w:val="16"/>
                <w:szCs w:val="16"/>
              </w:rPr>
            </w:pPr>
            <w:r>
              <w:rPr>
                <w:rFonts w:ascii="Garamond" w:eastAsia="Garamond" w:hAnsi="Garamond" w:cs="Garamond"/>
                <w:b/>
                <w:color w:val="000000"/>
                <w:sz w:val="16"/>
                <w:szCs w:val="16"/>
              </w:rPr>
              <w:t>Bancos</w:t>
            </w:r>
          </w:p>
        </w:tc>
        <w:tc>
          <w:tcPr>
            <w:tcW w:w="1202" w:type="dxa"/>
            <w:tcBorders>
              <w:top w:val="nil"/>
              <w:left w:val="nil"/>
              <w:bottom w:val="single" w:sz="4" w:space="0" w:color="000000"/>
              <w:right w:val="nil"/>
            </w:tcBorders>
            <w:shd w:val="clear" w:color="auto" w:fill="auto"/>
            <w:vAlign w:val="bottom"/>
          </w:tcPr>
          <w:p w14:paraId="3B422201" w14:textId="77777777" w:rsidR="00EC4499" w:rsidRDefault="00433EA7">
            <w:pPr>
              <w:spacing w:after="0" w:line="240" w:lineRule="auto"/>
              <w:jc w:val="center"/>
              <w:rPr>
                <w:rFonts w:ascii="Garamond" w:eastAsia="Garamond" w:hAnsi="Garamond" w:cs="Garamond"/>
                <w:b/>
                <w:color w:val="000000"/>
                <w:sz w:val="16"/>
                <w:szCs w:val="16"/>
              </w:rPr>
            </w:pPr>
            <w:r>
              <w:rPr>
                <w:rFonts w:ascii="Garamond" w:eastAsia="Garamond" w:hAnsi="Garamond" w:cs="Garamond"/>
                <w:b/>
                <w:color w:val="000000"/>
                <w:sz w:val="16"/>
                <w:szCs w:val="16"/>
              </w:rPr>
              <w:t>DQPI</w:t>
            </w:r>
          </w:p>
        </w:tc>
        <w:tc>
          <w:tcPr>
            <w:tcW w:w="924" w:type="dxa"/>
            <w:tcBorders>
              <w:top w:val="nil"/>
              <w:left w:val="nil"/>
              <w:bottom w:val="single" w:sz="4" w:space="0" w:color="000000"/>
              <w:right w:val="nil"/>
            </w:tcBorders>
            <w:shd w:val="clear" w:color="auto" w:fill="auto"/>
            <w:vAlign w:val="bottom"/>
          </w:tcPr>
          <w:p w14:paraId="731F4B4A" w14:textId="77777777" w:rsidR="00EC4499" w:rsidRDefault="00433EA7">
            <w:pPr>
              <w:spacing w:after="0" w:line="240" w:lineRule="auto"/>
              <w:jc w:val="center"/>
              <w:rPr>
                <w:rFonts w:ascii="Garamond" w:eastAsia="Garamond" w:hAnsi="Garamond" w:cs="Garamond"/>
                <w:b/>
                <w:color w:val="000000"/>
                <w:sz w:val="16"/>
                <w:szCs w:val="16"/>
              </w:rPr>
            </w:pPr>
            <w:r>
              <w:rPr>
                <w:rFonts w:ascii="Garamond" w:eastAsia="Garamond" w:hAnsi="Garamond" w:cs="Garamond"/>
                <w:b/>
                <w:color w:val="000000"/>
                <w:sz w:val="16"/>
                <w:szCs w:val="16"/>
              </w:rPr>
              <w:t>Qualidade</w:t>
            </w:r>
          </w:p>
        </w:tc>
        <w:tc>
          <w:tcPr>
            <w:tcW w:w="1260" w:type="dxa"/>
            <w:tcBorders>
              <w:top w:val="nil"/>
              <w:left w:val="nil"/>
              <w:bottom w:val="single" w:sz="4" w:space="0" w:color="000000"/>
              <w:right w:val="nil"/>
            </w:tcBorders>
            <w:shd w:val="clear" w:color="auto" w:fill="auto"/>
            <w:vAlign w:val="bottom"/>
          </w:tcPr>
          <w:p w14:paraId="129853C4" w14:textId="77777777" w:rsidR="00EC4499" w:rsidRDefault="00433EA7">
            <w:pPr>
              <w:spacing w:after="0" w:line="240" w:lineRule="auto"/>
              <w:jc w:val="center"/>
              <w:rPr>
                <w:rFonts w:ascii="Garamond" w:eastAsia="Garamond" w:hAnsi="Garamond" w:cs="Garamond"/>
                <w:b/>
                <w:color w:val="000000"/>
                <w:sz w:val="16"/>
                <w:szCs w:val="16"/>
              </w:rPr>
            </w:pPr>
            <w:r>
              <w:rPr>
                <w:rFonts w:ascii="Garamond" w:eastAsia="Garamond" w:hAnsi="Garamond" w:cs="Garamond"/>
                <w:b/>
                <w:color w:val="000000"/>
                <w:sz w:val="16"/>
                <w:szCs w:val="16"/>
              </w:rPr>
              <w:t xml:space="preserve">Qt. conteúdos </w:t>
            </w:r>
          </w:p>
        </w:tc>
        <w:tc>
          <w:tcPr>
            <w:tcW w:w="1360" w:type="dxa"/>
            <w:tcBorders>
              <w:top w:val="nil"/>
              <w:left w:val="nil"/>
              <w:bottom w:val="single" w:sz="4" w:space="0" w:color="000000"/>
              <w:right w:val="nil"/>
            </w:tcBorders>
            <w:shd w:val="clear" w:color="auto" w:fill="auto"/>
            <w:vAlign w:val="bottom"/>
          </w:tcPr>
          <w:p w14:paraId="78D23FAC" w14:textId="77777777" w:rsidR="00EC4499" w:rsidRDefault="00433EA7">
            <w:pPr>
              <w:spacing w:after="0" w:line="240" w:lineRule="auto"/>
              <w:ind w:right="288"/>
              <w:jc w:val="center"/>
              <w:rPr>
                <w:rFonts w:ascii="Garamond" w:eastAsia="Garamond" w:hAnsi="Garamond" w:cs="Garamond"/>
                <w:b/>
                <w:color w:val="000000"/>
                <w:sz w:val="16"/>
                <w:szCs w:val="16"/>
              </w:rPr>
            </w:pPr>
            <w:r>
              <w:rPr>
                <w:rFonts w:ascii="Garamond" w:eastAsia="Garamond" w:hAnsi="Garamond" w:cs="Garamond"/>
                <w:b/>
                <w:color w:val="000000"/>
                <w:sz w:val="16"/>
                <w:szCs w:val="16"/>
              </w:rPr>
              <w:t>ODS maior pontuação</w:t>
            </w:r>
          </w:p>
        </w:tc>
        <w:tc>
          <w:tcPr>
            <w:tcW w:w="2341" w:type="dxa"/>
            <w:tcBorders>
              <w:top w:val="nil"/>
              <w:left w:val="nil"/>
              <w:bottom w:val="single" w:sz="4" w:space="0" w:color="000000"/>
              <w:right w:val="nil"/>
            </w:tcBorders>
            <w:shd w:val="clear" w:color="auto" w:fill="auto"/>
            <w:vAlign w:val="bottom"/>
          </w:tcPr>
          <w:p w14:paraId="34E18F8A" w14:textId="77777777" w:rsidR="00EC4499" w:rsidRDefault="00433EA7">
            <w:pPr>
              <w:spacing w:after="0" w:line="240" w:lineRule="auto"/>
              <w:rPr>
                <w:rFonts w:ascii="Garamond" w:eastAsia="Garamond" w:hAnsi="Garamond" w:cs="Garamond"/>
                <w:b/>
                <w:color w:val="000000"/>
                <w:sz w:val="16"/>
                <w:szCs w:val="16"/>
              </w:rPr>
            </w:pPr>
            <w:r>
              <w:rPr>
                <w:rFonts w:ascii="Garamond" w:eastAsia="Garamond" w:hAnsi="Garamond" w:cs="Garamond"/>
                <w:b/>
                <w:color w:val="000000"/>
                <w:sz w:val="16"/>
                <w:szCs w:val="16"/>
              </w:rPr>
              <w:t>ODS não comunicados</w:t>
            </w:r>
          </w:p>
        </w:tc>
      </w:tr>
      <w:tr w:rsidR="00EC4499" w14:paraId="44CD0E84" w14:textId="77777777" w:rsidTr="00F73D0C">
        <w:trPr>
          <w:trHeight w:val="288"/>
        </w:trPr>
        <w:tc>
          <w:tcPr>
            <w:tcW w:w="1418" w:type="dxa"/>
            <w:tcBorders>
              <w:top w:val="single" w:sz="4" w:space="0" w:color="000000"/>
              <w:left w:val="nil"/>
              <w:bottom w:val="nil"/>
              <w:right w:val="nil"/>
            </w:tcBorders>
            <w:shd w:val="clear" w:color="auto" w:fill="auto"/>
            <w:vAlign w:val="bottom"/>
          </w:tcPr>
          <w:p w14:paraId="29A11BF7"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Bradesco</w:t>
            </w:r>
          </w:p>
        </w:tc>
        <w:tc>
          <w:tcPr>
            <w:tcW w:w="1202" w:type="dxa"/>
            <w:tcBorders>
              <w:top w:val="single" w:sz="4" w:space="0" w:color="000000"/>
              <w:left w:val="nil"/>
              <w:bottom w:val="nil"/>
              <w:right w:val="nil"/>
            </w:tcBorders>
            <w:shd w:val="clear" w:color="auto" w:fill="auto"/>
            <w:vAlign w:val="bottom"/>
          </w:tcPr>
          <w:p w14:paraId="24BA890E"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241</w:t>
            </w:r>
          </w:p>
        </w:tc>
        <w:tc>
          <w:tcPr>
            <w:tcW w:w="924" w:type="dxa"/>
            <w:tcBorders>
              <w:top w:val="single" w:sz="4" w:space="0" w:color="000000"/>
              <w:left w:val="nil"/>
              <w:bottom w:val="nil"/>
              <w:right w:val="nil"/>
            </w:tcBorders>
            <w:shd w:val="clear" w:color="auto" w:fill="auto"/>
            <w:vAlign w:val="bottom"/>
          </w:tcPr>
          <w:p w14:paraId="2328AC03"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Média</w:t>
            </w:r>
          </w:p>
        </w:tc>
        <w:tc>
          <w:tcPr>
            <w:tcW w:w="1260" w:type="dxa"/>
            <w:tcBorders>
              <w:top w:val="single" w:sz="4" w:space="0" w:color="000000"/>
              <w:left w:val="nil"/>
              <w:bottom w:val="nil"/>
              <w:right w:val="nil"/>
            </w:tcBorders>
            <w:shd w:val="clear" w:color="auto" w:fill="auto"/>
            <w:vAlign w:val="bottom"/>
          </w:tcPr>
          <w:p w14:paraId="6A5BC554"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56</w:t>
            </w:r>
          </w:p>
        </w:tc>
        <w:tc>
          <w:tcPr>
            <w:tcW w:w="1360" w:type="dxa"/>
            <w:tcBorders>
              <w:top w:val="single" w:sz="4" w:space="0" w:color="000000"/>
              <w:left w:val="nil"/>
              <w:bottom w:val="nil"/>
              <w:right w:val="nil"/>
            </w:tcBorders>
            <w:shd w:val="clear" w:color="auto" w:fill="auto"/>
            <w:vAlign w:val="bottom"/>
          </w:tcPr>
          <w:p w14:paraId="5DAE2A57" w14:textId="77777777" w:rsidR="00EC4499" w:rsidRDefault="00433EA7">
            <w:pPr>
              <w:spacing w:after="0" w:line="240" w:lineRule="auto"/>
              <w:ind w:right="147"/>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2341" w:type="dxa"/>
            <w:tcBorders>
              <w:top w:val="single" w:sz="4" w:space="0" w:color="000000"/>
              <w:left w:val="nil"/>
              <w:bottom w:val="nil"/>
              <w:right w:val="nil"/>
            </w:tcBorders>
            <w:shd w:val="clear" w:color="auto" w:fill="auto"/>
            <w:vAlign w:val="bottom"/>
          </w:tcPr>
          <w:p w14:paraId="7D9B2AFC"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 xml:space="preserve">            11</w:t>
            </w:r>
          </w:p>
        </w:tc>
      </w:tr>
      <w:tr w:rsidR="00EC4499" w14:paraId="31B1EE29" w14:textId="77777777" w:rsidTr="00F73D0C">
        <w:trPr>
          <w:trHeight w:val="288"/>
        </w:trPr>
        <w:tc>
          <w:tcPr>
            <w:tcW w:w="1418" w:type="dxa"/>
            <w:tcBorders>
              <w:top w:val="nil"/>
              <w:left w:val="nil"/>
              <w:bottom w:val="nil"/>
              <w:right w:val="nil"/>
            </w:tcBorders>
            <w:shd w:val="clear" w:color="auto" w:fill="auto"/>
            <w:vAlign w:val="bottom"/>
          </w:tcPr>
          <w:p w14:paraId="09B2B94B"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Inter</w:t>
            </w:r>
          </w:p>
        </w:tc>
        <w:tc>
          <w:tcPr>
            <w:tcW w:w="1202" w:type="dxa"/>
            <w:tcBorders>
              <w:top w:val="nil"/>
              <w:left w:val="nil"/>
              <w:bottom w:val="nil"/>
              <w:right w:val="nil"/>
            </w:tcBorders>
            <w:shd w:val="clear" w:color="auto" w:fill="auto"/>
            <w:vAlign w:val="bottom"/>
          </w:tcPr>
          <w:p w14:paraId="287B35D5"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213</w:t>
            </w:r>
          </w:p>
        </w:tc>
        <w:tc>
          <w:tcPr>
            <w:tcW w:w="924" w:type="dxa"/>
            <w:tcBorders>
              <w:top w:val="nil"/>
              <w:left w:val="nil"/>
              <w:bottom w:val="nil"/>
              <w:right w:val="nil"/>
            </w:tcBorders>
            <w:shd w:val="clear" w:color="auto" w:fill="auto"/>
            <w:vAlign w:val="bottom"/>
          </w:tcPr>
          <w:p w14:paraId="19CD0014"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Média</w:t>
            </w:r>
          </w:p>
        </w:tc>
        <w:tc>
          <w:tcPr>
            <w:tcW w:w="1260" w:type="dxa"/>
            <w:tcBorders>
              <w:top w:val="nil"/>
              <w:left w:val="nil"/>
              <w:bottom w:val="nil"/>
              <w:right w:val="nil"/>
            </w:tcBorders>
            <w:shd w:val="clear" w:color="auto" w:fill="auto"/>
            <w:vAlign w:val="bottom"/>
          </w:tcPr>
          <w:p w14:paraId="6888AE9E"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40</w:t>
            </w:r>
          </w:p>
        </w:tc>
        <w:tc>
          <w:tcPr>
            <w:tcW w:w="1360" w:type="dxa"/>
            <w:tcBorders>
              <w:top w:val="nil"/>
              <w:left w:val="nil"/>
              <w:bottom w:val="nil"/>
              <w:right w:val="nil"/>
            </w:tcBorders>
            <w:shd w:val="clear" w:color="auto" w:fill="auto"/>
            <w:vAlign w:val="bottom"/>
          </w:tcPr>
          <w:p w14:paraId="5E9FDBCF" w14:textId="77777777" w:rsidR="00EC4499" w:rsidRDefault="00433EA7">
            <w:pPr>
              <w:spacing w:after="0" w:line="240" w:lineRule="auto"/>
              <w:ind w:right="147"/>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2341" w:type="dxa"/>
            <w:tcBorders>
              <w:top w:val="nil"/>
              <w:left w:val="nil"/>
              <w:bottom w:val="nil"/>
              <w:right w:val="nil"/>
            </w:tcBorders>
            <w:shd w:val="clear" w:color="auto" w:fill="auto"/>
            <w:vAlign w:val="bottom"/>
          </w:tcPr>
          <w:p w14:paraId="35C06A11"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 xml:space="preserve">             -</w:t>
            </w:r>
          </w:p>
        </w:tc>
      </w:tr>
      <w:tr w:rsidR="00EC4499" w14:paraId="0526D582" w14:textId="77777777" w:rsidTr="00F73D0C">
        <w:trPr>
          <w:trHeight w:val="288"/>
        </w:trPr>
        <w:tc>
          <w:tcPr>
            <w:tcW w:w="1418" w:type="dxa"/>
            <w:tcBorders>
              <w:top w:val="nil"/>
              <w:left w:val="nil"/>
              <w:bottom w:val="nil"/>
              <w:right w:val="nil"/>
            </w:tcBorders>
            <w:shd w:val="clear" w:color="auto" w:fill="auto"/>
            <w:vAlign w:val="bottom"/>
          </w:tcPr>
          <w:p w14:paraId="120A6886"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Citibank</w:t>
            </w:r>
          </w:p>
        </w:tc>
        <w:tc>
          <w:tcPr>
            <w:tcW w:w="1202" w:type="dxa"/>
            <w:tcBorders>
              <w:top w:val="nil"/>
              <w:left w:val="nil"/>
              <w:bottom w:val="nil"/>
              <w:right w:val="nil"/>
            </w:tcBorders>
            <w:shd w:val="clear" w:color="auto" w:fill="auto"/>
            <w:vAlign w:val="bottom"/>
          </w:tcPr>
          <w:p w14:paraId="3458970D"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207</w:t>
            </w:r>
          </w:p>
        </w:tc>
        <w:tc>
          <w:tcPr>
            <w:tcW w:w="924" w:type="dxa"/>
            <w:tcBorders>
              <w:top w:val="nil"/>
              <w:left w:val="nil"/>
              <w:bottom w:val="nil"/>
              <w:right w:val="nil"/>
            </w:tcBorders>
            <w:shd w:val="clear" w:color="auto" w:fill="auto"/>
            <w:vAlign w:val="bottom"/>
          </w:tcPr>
          <w:p w14:paraId="45A7944E"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Média</w:t>
            </w:r>
          </w:p>
        </w:tc>
        <w:tc>
          <w:tcPr>
            <w:tcW w:w="1260" w:type="dxa"/>
            <w:tcBorders>
              <w:top w:val="nil"/>
              <w:left w:val="nil"/>
              <w:bottom w:val="nil"/>
              <w:right w:val="nil"/>
            </w:tcBorders>
            <w:shd w:val="clear" w:color="auto" w:fill="auto"/>
            <w:vAlign w:val="bottom"/>
          </w:tcPr>
          <w:p w14:paraId="48F15239"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40</w:t>
            </w:r>
          </w:p>
        </w:tc>
        <w:tc>
          <w:tcPr>
            <w:tcW w:w="1360" w:type="dxa"/>
            <w:tcBorders>
              <w:top w:val="nil"/>
              <w:left w:val="nil"/>
              <w:bottom w:val="nil"/>
              <w:right w:val="nil"/>
            </w:tcBorders>
            <w:shd w:val="clear" w:color="auto" w:fill="auto"/>
            <w:vAlign w:val="bottom"/>
          </w:tcPr>
          <w:p w14:paraId="6CEC1F09" w14:textId="77777777" w:rsidR="00EC4499" w:rsidRDefault="00433EA7">
            <w:pPr>
              <w:spacing w:after="0" w:line="240" w:lineRule="auto"/>
              <w:ind w:right="147"/>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2341" w:type="dxa"/>
            <w:tcBorders>
              <w:top w:val="nil"/>
              <w:left w:val="nil"/>
              <w:bottom w:val="nil"/>
              <w:right w:val="nil"/>
            </w:tcBorders>
            <w:shd w:val="clear" w:color="auto" w:fill="auto"/>
            <w:vAlign w:val="bottom"/>
          </w:tcPr>
          <w:p w14:paraId="396F7D4D"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 xml:space="preserve">             -</w:t>
            </w:r>
          </w:p>
        </w:tc>
      </w:tr>
      <w:tr w:rsidR="00EC4499" w14:paraId="7A73455D" w14:textId="77777777" w:rsidTr="00F73D0C">
        <w:trPr>
          <w:trHeight w:val="288"/>
        </w:trPr>
        <w:tc>
          <w:tcPr>
            <w:tcW w:w="1418" w:type="dxa"/>
            <w:tcBorders>
              <w:top w:val="nil"/>
              <w:left w:val="nil"/>
              <w:bottom w:val="nil"/>
              <w:right w:val="nil"/>
            </w:tcBorders>
            <w:shd w:val="clear" w:color="auto" w:fill="auto"/>
            <w:vAlign w:val="bottom"/>
          </w:tcPr>
          <w:p w14:paraId="3DD98A3C"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Itaú</w:t>
            </w:r>
          </w:p>
        </w:tc>
        <w:tc>
          <w:tcPr>
            <w:tcW w:w="1202" w:type="dxa"/>
            <w:tcBorders>
              <w:top w:val="nil"/>
              <w:left w:val="nil"/>
              <w:bottom w:val="nil"/>
              <w:right w:val="nil"/>
            </w:tcBorders>
            <w:shd w:val="clear" w:color="auto" w:fill="auto"/>
            <w:vAlign w:val="bottom"/>
          </w:tcPr>
          <w:p w14:paraId="5D98E780"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184</w:t>
            </w:r>
          </w:p>
        </w:tc>
        <w:tc>
          <w:tcPr>
            <w:tcW w:w="924" w:type="dxa"/>
            <w:tcBorders>
              <w:top w:val="nil"/>
              <w:left w:val="nil"/>
              <w:bottom w:val="nil"/>
              <w:right w:val="nil"/>
            </w:tcBorders>
            <w:shd w:val="clear" w:color="auto" w:fill="auto"/>
            <w:vAlign w:val="bottom"/>
          </w:tcPr>
          <w:p w14:paraId="4DF6132F"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Baixa</w:t>
            </w:r>
          </w:p>
        </w:tc>
        <w:tc>
          <w:tcPr>
            <w:tcW w:w="1260" w:type="dxa"/>
            <w:tcBorders>
              <w:top w:val="nil"/>
              <w:left w:val="nil"/>
              <w:bottom w:val="nil"/>
              <w:right w:val="nil"/>
            </w:tcBorders>
            <w:shd w:val="clear" w:color="auto" w:fill="auto"/>
            <w:vAlign w:val="bottom"/>
          </w:tcPr>
          <w:p w14:paraId="744ACB50"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48</w:t>
            </w:r>
          </w:p>
        </w:tc>
        <w:tc>
          <w:tcPr>
            <w:tcW w:w="1360" w:type="dxa"/>
            <w:tcBorders>
              <w:top w:val="nil"/>
              <w:left w:val="nil"/>
              <w:bottom w:val="nil"/>
              <w:right w:val="nil"/>
            </w:tcBorders>
            <w:shd w:val="clear" w:color="auto" w:fill="auto"/>
            <w:vAlign w:val="bottom"/>
          </w:tcPr>
          <w:p w14:paraId="7466A2B6" w14:textId="77777777" w:rsidR="00EC4499" w:rsidRDefault="00433EA7">
            <w:pPr>
              <w:spacing w:after="0" w:line="240" w:lineRule="auto"/>
              <w:ind w:right="147"/>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2341" w:type="dxa"/>
            <w:tcBorders>
              <w:top w:val="nil"/>
              <w:left w:val="nil"/>
              <w:bottom w:val="nil"/>
              <w:right w:val="nil"/>
            </w:tcBorders>
            <w:shd w:val="clear" w:color="auto" w:fill="auto"/>
            <w:vAlign w:val="bottom"/>
          </w:tcPr>
          <w:p w14:paraId="207D1AA1"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 xml:space="preserve">            11</w:t>
            </w:r>
          </w:p>
        </w:tc>
      </w:tr>
      <w:tr w:rsidR="00EC4499" w14:paraId="2911ABFD" w14:textId="77777777" w:rsidTr="00F73D0C">
        <w:trPr>
          <w:trHeight w:val="288"/>
        </w:trPr>
        <w:tc>
          <w:tcPr>
            <w:tcW w:w="1418" w:type="dxa"/>
            <w:tcBorders>
              <w:top w:val="nil"/>
              <w:left w:val="nil"/>
              <w:bottom w:val="nil"/>
              <w:right w:val="nil"/>
            </w:tcBorders>
            <w:shd w:val="clear" w:color="auto" w:fill="auto"/>
            <w:vAlign w:val="bottom"/>
          </w:tcPr>
          <w:p w14:paraId="3338E770"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Banco do Brasil</w:t>
            </w:r>
          </w:p>
        </w:tc>
        <w:tc>
          <w:tcPr>
            <w:tcW w:w="1202" w:type="dxa"/>
            <w:tcBorders>
              <w:top w:val="nil"/>
              <w:left w:val="nil"/>
              <w:bottom w:val="nil"/>
              <w:right w:val="nil"/>
            </w:tcBorders>
            <w:shd w:val="clear" w:color="auto" w:fill="auto"/>
            <w:vAlign w:val="bottom"/>
          </w:tcPr>
          <w:p w14:paraId="291387D5"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165</w:t>
            </w:r>
          </w:p>
        </w:tc>
        <w:tc>
          <w:tcPr>
            <w:tcW w:w="924" w:type="dxa"/>
            <w:tcBorders>
              <w:top w:val="nil"/>
              <w:left w:val="nil"/>
              <w:bottom w:val="nil"/>
              <w:right w:val="nil"/>
            </w:tcBorders>
            <w:shd w:val="clear" w:color="auto" w:fill="auto"/>
            <w:vAlign w:val="bottom"/>
          </w:tcPr>
          <w:p w14:paraId="6D4ECF8B"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Baixa</w:t>
            </w:r>
          </w:p>
        </w:tc>
        <w:tc>
          <w:tcPr>
            <w:tcW w:w="1260" w:type="dxa"/>
            <w:tcBorders>
              <w:top w:val="nil"/>
              <w:left w:val="nil"/>
              <w:bottom w:val="nil"/>
              <w:right w:val="nil"/>
            </w:tcBorders>
            <w:shd w:val="clear" w:color="auto" w:fill="auto"/>
            <w:vAlign w:val="bottom"/>
          </w:tcPr>
          <w:p w14:paraId="037CE72F"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37</w:t>
            </w:r>
          </w:p>
        </w:tc>
        <w:tc>
          <w:tcPr>
            <w:tcW w:w="1360" w:type="dxa"/>
            <w:tcBorders>
              <w:top w:val="nil"/>
              <w:left w:val="nil"/>
              <w:bottom w:val="nil"/>
              <w:right w:val="nil"/>
            </w:tcBorders>
            <w:shd w:val="clear" w:color="auto" w:fill="auto"/>
            <w:vAlign w:val="bottom"/>
          </w:tcPr>
          <w:p w14:paraId="69BDA7E6" w14:textId="77777777" w:rsidR="00EC4499" w:rsidRDefault="00433EA7">
            <w:pPr>
              <w:spacing w:after="0" w:line="240" w:lineRule="auto"/>
              <w:ind w:right="147"/>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2341" w:type="dxa"/>
            <w:tcBorders>
              <w:top w:val="nil"/>
              <w:left w:val="nil"/>
              <w:bottom w:val="nil"/>
              <w:right w:val="nil"/>
            </w:tcBorders>
            <w:shd w:val="clear" w:color="auto" w:fill="auto"/>
            <w:vAlign w:val="bottom"/>
          </w:tcPr>
          <w:p w14:paraId="2BDF1ABE"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 xml:space="preserve">            11</w:t>
            </w:r>
          </w:p>
        </w:tc>
      </w:tr>
      <w:tr w:rsidR="00EC4499" w14:paraId="2F5703E2" w14:textId="77777777" w:rsidTr="00F73D0C">
        <w:trPr>
          <w:trHeight w:val="288"/>
        </w:trPr>
        <w:tc>
          <w:tcPr>
            <w:tcW w:w="1418" w:type="dxa"/>
            <w:tcBorders>
              <w:top w:val="nil"/>
              <w:left w:val="nil"/>
              <w:bottom w:val="nil"/>
              <w:right w:val="nil"/>
            </w:tcBorders>
            <w:shd w:val="clear" w:color="auto" w:fill="auto"/>
            <w:vAlign w:val="bottom"/>
          </w:tcPr>
          <w:p w14:paraId="25FFCEE5"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J.P. Morgan</w:t>
            </w:r>
          </w:p>
        </w:tc>
        <w:tc>
          <w:tcPr>
            <w:tcW w:w="1202" w:type="dxa"/>
            <w:tcBorders>
              <w:top w:val="nil"/>
              <w:left w:val="nil"/>
              <w:bottom w:val="nil"/>
              <w:right w:val="nil"/>
            </w:tcBorders>
            <w:shd w:val="clear" w:color="auto" w:fill="auto"/>
            <w:vAlign w:val="bottom"/>
          </w:tcPr>
          <w:p w14:paraId="61B0F3B1"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145</w:t>
            </w:r>
          </w:p>
        </w:tc>
        <w:tc>
          <w:tcPr>
            <w:tcW w:w="924" w:type="dxa"/>
            <w:tcBorders>
              <w:top w:val="nil"/>
              <w:left w:val="nil"/>
              <w:bottom w:val="nil"/>
              <w:right w:val="nil"/>
            </w:tcBorders>
            <w:shd w:val="clear" w:color="auto" w:fill="auto"/>
            <w:vAlign w:val="bottom"/>
          </w:tcPr>
          <w:p w14:paraId="5C81B899"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Baixa</w:t>
            </w:r>
          </w:p>
        </w:tc>
        <w:tc>
          <w:tcPr>
            <w:tcW w:w="1260" w:type="dxa"/>
            <w:tcBorders>
              <w:top w:val="nil"/>
              <w:left w:val="nil"/>
              <w:bottom w:val="nil"/>
              <w:right w:val="nil"/>
            </w:tcBorders>
            <w:shd w:val="clear" w:color="auto" w:fill="auto"/>
            <w:vAlign w:val="bottom"/>
          </w:tcPr>
          <w:p w14:paraId="7793A39D"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21</w:t>
            </w:r>
          </w:p>
        </w:tc>
        <w:tc>
          <w:tcPr>
            <w:tcW w:w="1360" w:type="dxa"/>
            <w:tcBorders>
              <w:top w:val="nil"/>
              <w:left w:val="nil"/>
              <w:bottom w:val="nil"/>
              <w:right w:val="nil"/>
            </w:tcBorders>
            <w:shd w:val="clear" w:color="auto" w:fill="auto"/>
            <w:vAlign w:val="bottom"/>
          </w:tcPr>
          <w:p w14:paraId="75F8BCA9" w14:textId="77777777" w:rsidR="00EC4499" w:rsidRDefault="00433EA7">
            <w:pPr>
              <w:spacing w:after="0" w:line="240" w:lineRule="auto"/>
              <w:ind w:right="147"/>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2341" w:type="dxa"/>
            <w:tcBorders>
              <w:top w:val="nil"/>
              <w:left w:val="nil"/>
              <w:bottom w:val="nil"/>
              <w:right w:val="nil"/>
            </w:tcBorders>
            <w:shd w:val="clear" w:color="auto" w:fill="auto"/>
            <w:vAlign w:val="bottom"/>
          </w:tcPr>
          <w:p w14:paraId="626A9EB2"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 xml:space="preserve">             -</w:t>
            </w:r>
          </w:p>
        </w:tc>
      </w:tr>
      <w:tr w:rsidR="00EC4499" w14:paraId="73A822FE" w14:textId="77777777" w:rsidTr="00F73D0C">
        <w:trPr>
          <w:trHeight w:val="288"/>
        </w:trPr>
        <w:tc>
          <w:tcPr>
            <w:tcW w:w="1418" w:type="dxa"/>
            <w:tcBorders>
              <w:top w:val="nil"/>
              <w:left w:val="nil"/>
              <w:bottom w:val="nil"/>
              <w:right w:val="nil"/>
            </w:tcBorders>
            <w:shd w:val="clear" w:color="auto" w:fill="auto"/>
            <w:vAlign w:val="bottom"/>
          </w:tcPr>
          <w:p w14:paraId="383CBA30"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Sicredi</w:t>
            </w:r>
          </w:p>
        </w:tc>
        <w:tc>
          <w:tcPr>
            <w:tcW w:w="1202" w:type="dxa"/>
            <w:tcBorders>
              <w:top w:val="nil"/>
              <w:left w:val="nil"/>
              <w:bottom w:val="nil"/>
              <w:right w:val="nil"/>
            </w:tcBorders>
            <w:shd w:val="clear" w:color="auto" w:fill="auto"/>
            <w:vAlign w:val="bottom"/>
          </w:tcPr>
          <w:p w14:paraId="0CBF890D"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142</w:t>
            </w:r>
          </w:p>
        </w:tc>
        <w:tc>
          <w:tcPr>
            <w:tcW w:w="924" w:type="dxa"/>
            <w:tcBorders>
              <w:top w:val="nil"/>
              <w:left w:val="nil"/>
              <w:bottom w:val="nil"/>
              <w:right w:val="nil"/>
            </w:tcBorders>
            <w:shd w:val="clear" w:color="auto" w:fill="auto"/>
            <w:vAlign w:val="bottom"/>
          </w:tcPr>
          <w:p w14:paraId="2AF96162"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Baixa</w:t>
            </w:r>
          </w:p>
        </w:tc>
        <w:tc>
          <w:tcPr>
            <w:tcW w:w="1260" w:type="dxa"/>
            <w:tcBorders>
              <w:top w:val="nil"/>
              <w:left w:val="nil"/>
              <w:bottom w:val="nil"/>
              <w:right w:val="nil"/>
            </w:tcBorders>
            <w:shd w:val="clear" w:color="auto" w:fill="auto"/>
            <w:vAlign w:val="bottom"/>
          </w:tcPr>
          <w:p w14:paraId="3C19C624"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29</w:t>
            </w:r>
          </w:p>
        </w:tc>
        <w:tc>
          <w:tcPr>
            <w:tcW w:w="1360" w:type="dxa"/>
            <w:tcBorders>
              <w:top w:val="nil"/>
              <w:left w:val="nil"/>
              <w:bottom w:val="nil"/>
              <w:right w:val="nil"/>
            </w:tcBorders>
            <w:shd w:val="clear" w:color="auto" w:fill="auto"/>
            <w:vAlign w:val="bottom"/>
          </w:tcPr>
          <w:p w14:paraId="43D32F3D" w14:textId="77777777" w:rsidR="00EC4499" w:rsidRDefault="00433EA7">
            <w:pPr>
              <w:spacing w:after="0" w:line="240" w:lineRule="auto"/>
              <w:ind w:right="147"/>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2341" w:type="dxa"/>
            <w:tcBorders>
              <w:top w:val="nil"/>
              <w:left w:val="nil"/>
              <w:bottom w:val="nil"/>
              <w:right w:val="nil"/>
            </w:tcBorders>
            <w:shd w:val="clear" w:color="auto" w:fill="auto"/>
            <w:vAlign w:val="bottom"/>
          </w:tcPr>
          <w:p w14:paraId="17C82109"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 xml:space="preserve">             6</w:t>
            </w:r>
          </w:p>
        </w:tc>
      </w:tr>
      <w:tr w:rsidR="00EC4499" w14:paraId="4043D111" w14:textId="77777777" w:rsidTr="00F73D0C">
        <w:trPr>
          <w:trHeight w:val="288"/>
        </w:trPr>
        <w:tc>
          <w:tcPr>
            <w:tcW w:w="1418" w:type="dxa"/>
            <w:tcBorders>
              <w:top w:val="nil"/>
              <w:left w:val="nil"/>
              <w:bottom w:val="nil"/>
              <w:right w:val="nil"/>
            </w:tcBorders>
            <w:shd w:val="clear" w:color="auto" w:fill="auto"/>
            <w:vAlign w:val="bottom"/>
          </w:tcPr>
          <w:p w14:paraId="14536A7B"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Santander</w:t>
            </w:r>
          </w:p>
        </w:tc>
        <w:tc>
          <w:tcPr>
            <w:tcW w:w="1202" w:type="dxa"/>
            <w:tcBorders>
              <w:top w:val="nil"/>
              <w:left w:val="nil"/>
              <w:bottom w:val="nil"/>
              <w:right w:val="nil"/>
            </w:tcBorders>
            <w:shd w:val="clear" w:color="auto" w:fill="auto"/>
            <w:vAlign w:val="bottom"/>
          </w:tcPr>
          <w:p w14:paraId="5F289C11"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136</w:t>
            </w:r>
          </w:p>
        </w:tc>
        <w:tc>
          <w:tcPr>
            <w:tcW w:w="924" w:type="dxa"/>
            <w:tcBorders>
              <w:top w:val="nil"/>
              <w:left w:val="nil"/>
              <w:bottom w:val="nil"/>
              <w:right w:val="nil"/>
            </w:tcBorders>
            <w:shd w:val="clear" w:color="auto" w:fill="auto"/>
            <w:vAlign w:val="bottom"/>
          </w:tcPr>
          <w:p w14:paraId="33F81889"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Baixa</w:t>
            </w:r>
          </w:p>
        </w:tc>
        <w:tc>
          <w:tcPr>
            <w:tcW w:w="1260" w:type="dxa"/>
            <w:tcBorders>
              <w:top w:val="nil"/>
              <w:left w:val="nil"/>
              <w:bottom w:val="nil"/>
              <w:right w:val="nil"/>
            </w:tcBorders>
            <w:shd w:val="clear" w:color="auto" w:fill="auto"/>
            <w:vAlign w:val="bottom"/>
          </w:tcPr>
          <w:p w14:paraId="4FD209DF"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29</w:t>
            </w:r>
          </w:p>
        </w:tc>
        <w:tc>
          <w:tcPr>
            <w:tcW w:w="1360" w:type="dxa"/>
            <w:tcBorders>
              <w:top w:val="nil"/>
              <w:left w:val="nil"/>
              <w:bottom w:val="nil"/>
              <w:right w:val="nil"/>
            </w:tcBorders>
            <w:shd w:val="clear" w:color="auto" w:fill="auto"/>
            <w:vAlign w:val="bottom"/>
          </w:tcPr>
          <w:p w14:paraId="47D1A281" w14:textId="77777777" w:rsidR="00EC4499" w:rsidRDefault="00433EA7">
            <w:pPr>
              <w:spacing w:after="0" w:line="240" w:lineRule="auto"/>
              <w:ind w:right="147"/>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2341" w:type="dxa"/>
            <w:tcBorders>
              <w:top w:val="nil"/>
              <w:left w:val="nil"/>
              <w:bottom w:val="nil"/>
              <w:right w:val="nil"/>
            </w:tcBorders>
            <w:shd w:val="clear" w:color="auto" w:fill="auto"/>
            <w:vAlign w:val="bottom"/>
          </w:tcPr>
          <w:p w14:paraId="5053F751"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 xml:space="preserve">            11</w:t>
            </w:r>
          </w:p>
        </w:tc>
      </w:tr>
      <w:tr w:rsidR="00EC4499" w14:paraId="18A2BC68" w14:textId="77777777" w:rsidTr="00F73D0C">
        <w:trPr>
          <w:trHeight w:val="288"/>
        </w:trPr>
        <w:tc>
          <w:tcPr>
            <w:tcW w:w="1418" w:type="dxa"/>
            <w:tcBorders>
              <w:top w:val="nil"/>
              <w:left w:val="nil"/>
              <w:bottom w:val="nil"/>
              <w:right w:val="nil"/>
            </w:tcBorders>
            <w:shd w:val="clear" w:color="auto" w:fill="auto"/>
            <w:vAlign w:val="bottom"/>
          </w:tcPr>
          <w:p w14:paraId="04B84F92"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BNDES</w:t>
            </w:r>
          </w:p>
        </w:tc>
        <w:tc>
          <w:tcPr>
            <w:tcW w:w="1202" w:type="dxa"/>
            <w:tcBorders>
              <w:top w:val="nil"/>
              <w:left w:val="nil"/>
              <w:bottom w:val="nil"/>
              <w:right w:val="nil"/>
            </w:tcBorders>
            <w:shd w:val="clear" w:color="auto" w:fill="auto"/>
            <w:vAlign w:val="bottom"/>
          </w:tcPr>
          <w:p w14:paraId="2DD15813"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121</w:t>
            </w:r>
          </w:p>
        </w:tc>
        <w:tc>
          <w:tcPr>
            <w:tcW w:w="924" w:type="dxa"/>
            <w:tcBorders>
              <w:top w:val="nil"/>
              <w:left w:val="nil"/>
              <w:bottom w:val="nil"/>
              <w:right w:val="nil"/>
            </w:tcBorders>
            <w:shd w:val="clear" w:color="auto" w:fill="auto"/>
            <w:vAlign w:val="bottom"/>
          </w:tcPr>
          <w:p w14:paraId="532CA80B"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Baixa</w:t>
            </w:r>
          </w:p>
        </w:tc>
        <w:tc>
          <w:tcPr>
            <w:tcW w:w="1260" w:type="dxa"/>
            <w:tcBorders>
              <w:top w:val="nil"/>
              <w:left w:val="nil"/>
              <w:bottom w:val="nil"/>
              <w:right w:val="nil"/>
            </w:tcBorders>
            <w:shd w:val="clear" w:color="auto" w:fill="auto"/>
            <w:vAlign w:val="bottom"/>
          </w:tcPr>
          <w:p w14:paraId="73379159"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22</w:t>
            </w:r>
          </w:p>
        </w:tc>
        <w:tc>
          <w:tcPr>
            <w:tcW w:w="1360" w:type="dxa"/>
            <w:tcBorders>
              <w:top w:val="nil"/>
              <w:left w:val="nil"/>
              <w:bottom w:val="nil"/>
              <w:right w:val="nil"/>
            </w:tcBorders>
            <w:shd w:val="clear" w:color="auto" w:fill="auto"/>
            <w:vAlign w:val="bottom"/>
          </w:tcPr>
          <w:p w14:paraId="35CFFDFE" w14:textId="77777777" w:rsidR="00EC4499" w:rsidRDefault="00433EA7">
            <w:pPr>
              <w:spacing w:after="0" w:line="240" w:lineRule="auto"/>
              <w:ind w:right="147"/>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2341" w:type="dxa"/>
            <w:tcBorders>
              <w:top w:val="nil"/>
              <w:left w:val="nil"/>
              <w:bottom w:val="nil"/>
              <w:right w:val="nil"/>
            </w:tcBorders>
            <w:shd w:val="clear" w:color="auto" w:fill="auto"/>
            <w:vAlign w:val="bottom"/>
          </w:tcPr>
          <w:p w14:paraId="074FBA17"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 xml:space="preserve">             -</w:t>
            </w:r>
          </w:p>
        </w:tc>
      </w:tr>
      <w:tr w:rsidR="00EC4499" w14:paraId="00403158" w14:textId="77777777" w:rsidTr="00F73D0C">
        <w:trPr>
          <w:trHeight w:val="288"/>
        </w:trPr>
        <w:tc>
          <w:tcPr>
            <w:tcW w:w="1418" w:type="dxa"/>
            <w:tcBorders>
              <w:top w:val="nil"/>
              <w:left w:val="nil"/>
              <w:bottom w:val="nil"/>
              <w:right w:val="nil"/>
            </w:tcBorders>
            <w:shd w:val="clear" w:color="auto" w:fill="auto"/>
            <w:vAlign w:val="bottom"/>
          </w:tcPr>
          <w:p w14:paraId="3622902A"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Banco do Nordeste</w:t>
            </w:r>
          </w:p>
        </w:tc>
        <w:tc>
          <w:tcPr>
            <w:tcW w:w="1202" w:type="dxa"/>
            <w:tcBorders>
              <w:top w:val="nil"/>
              <w:left w:val="nil"/>
              <w:bottom w:val="nil"/>
              <w:right w:val="nil"/>
            </w:tcBorders>
            <w:shd w:val="clear" w:color="auto" w:fill="auto"/>
            <w:vAlign w:val="bottom"/>
          </w:tcPr>
          <w:p w14:paraId="67015F71"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119</w:t>
            </w:r>
          </w:p>
        </w:tc>
        <w:tc>
          <w:tcPr>
            <w:tcW w:w="924" w:type="dxa"/>
            <w:tcBorders>
              <w:top w:val="nil"/>
              <w:left w:val="nil"/>
              <w:bottom w:val="nil"/>
              <w:right w:val="nil"/>
            </w:tcBorders>
            <w:shd w:val="clear" w:color="auto" w:fill="auto"/>
            <w:vAlign w:val="bottom"/>
          </w:tcPr>
          <w:p w14:paraId="3AB75721"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Baixa</w:t>
            </w:r>
          </w:p>
        </w:tc>
        <w:tc>
          <w:tcPr>
            <w:tcW w:w="1260" w:type="dxa"/>
            <w:tcBorders>
              <w:top w:val="nil"/>
              <w:left w:val="nil"/>
              <w:bottom w:val="nil"/>
              <w:right w:val="nil"/>
            </w:tcBorders>
            <w:shd w:val="clear" w:color="auto" w:fill="auto"/>
            <w:vAlign w:val="bottom"/>
          </w:tcPr>
          <w:p w14:paraId="2696681A"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20</w:t>
            </w:r>
          </w:p>
        </w:tc>
        <w:tc>
          <w:tcPr>
            <w:tcW w:w="1360" w:type="dxa"/>
            <w:tcBorders>
              <w:top w:val="nil"/>
              <w:left w:val="nil"/>
              <w:bottom w:val="nil"/>
              <w:right w:val="nil"/>
            </w:tcBorders>
            <w:shd w:val="clear" w:color="auto" w:fill="auto"/>
            <w:vAlign w:val="bottom"/>
          </w:tcPr>
          <w:p w14:paraId="7324827C" w14:textId="77777777" w:rsidR="00EC4499" w:rsidRDefault="00433EA7">
            <w:pPr>
              <w:spacing w:after="0" w:line="240" w:lineRule="auto"/>
              <w:ind w:right="147"/>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2341" w:type="dxa"/>
            <w:tcBorders>
              <w:top w:val="nil"/>
              <w:left w:val="nil"/>
              <w:bottom w:val="nil"/>
              <w:right w:val="nil"/>
            </w:tcBorders>
            <w:shd w:val="clear" w:color="auto" w:fill="auto"/>
            <w:vAlign w:val="bottom"/>
          </w:tcPr>
          <w:p w14:paraId="5AAED578"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 xml:space="preserve">          11, 14</w:t>
            </w:r>
          </w:p>
        </w:tc>
      </w:tr>
      <w:tr w:rsidR="00EC4499" w14:paraId="36F87D97" w14:textId="77777777" w:rsidTr="00F73D0C">
        <w:trPr>
          <w:trHeight w:val="288"/>
        </w:trPr>
        <w:tc>
          <w:tcPr>
            <w:tcW w:w="1418" w:type="dxa"/>
            <w:tcBorders>
              <w:top w:val="nil"/>
              <w:left w:val="nil"/>
              <w:right w:val="nil"/>
            </w:tcBorders>
            <w:shd w:val="clear" w:color="auto" w:fill="auto"/>
            <w:vAlign w:val="bottom"/>
          </w:tcPr>
          <w:p w14:paraId="39B19ACA"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BTG Pactual</w:t>
            </w:r>
          </w:p>
        </w:tc>
        <w:tc>
          <w:tcPr>
            <w:tcW w:w="1202" w:type="dxa"/>
            <w:tcBorders>
              <w:top w:val="nil"/>
              <w:left w:val="nil"/>
              <w:right w:val="nil"/>
            </w:tcBorders>
            <w:shd w:val="clear" w:color="auto" w:fill="auto"/>
            <w:vAlign w:val="bottom"/>
          </w:tcPr>
          <w:p w14:paraId="6D8C1C76"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93</w:t>
            </w:r>
          </w:p>
        </w:tc>
        <w:tc>
          <w:tcPr>
            <w:tcW w:w="924" w:type="dxa"/>
            <w:tcBorders>
              <w:top w:val="nil"/>
              <w:left w:val="nil"/>
              <w:right w:val="nil"/>
            </w:tcBorders>
            <w:shd w:val="clear" w:color="auto" w:fill="auto"/>
            <w:vAlign w:val="bottom"/>
          </w:tcPr>
          <w:p w14:paraId="332CC45E"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Muito Baixa</w:t>
            </w:r>
          </w:p>
        </w:tc>
        <w:tc>
          <w:tcPr>
            <w:tcW w:w="1260" w:type="dxa"/>
            <w:tcBorders>
              <w:top w:val="nil"/>
              <w:left w:val="nil"/>
              <w:right w:val="nil"/>
            </w:tcBorders>
            <w:shd w:val="clear" w:color="auto" w:fill="auto"/>
            <w:vAlign w:val="bottom"/>
          </w:tcPr>
          <w:p w14:paraId="57761A65"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23</w:t>
            </w:r>
          </w:p>
        </w:tc>
        <w:tc>
          <w:tcPr>
            <w:tcW w:w="1360" w:type="dxa"/>
            <w:tcBorders>
              <w:top w:val="nil"/>
              <w:left w:val="nil"/>
              <w:right w:val="nil"/>
            </w:tcBorders>
            <w:shd w:val="clear" w:color="auto" w:fill="auto"/>
            <w:vAlign w:val="bottom"/>
          </w:tcPr>
          <w:p w14:paraId="68DF8322" w14:textId="77777777" w:rsidR="00EC4499" w:rsidRDefault="00433EA7">
            <w:pPr>
              <w:spacing w:after="0" w:line="240" w:lineRule="auto"/>
              <w:ind w:right="147"/>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2341" w:type="dxa"/>
            <w:tcBorders>
              <w:top w:val="nil"/>
              <w:left w:val="nil"/>
              <w:right w:val="nil"/>
            </w:tcBorders>
            <w:shd w:val="clear" w:color="auto" w:fill="auto"/>
            <w:vAlign w:val="bottom"/>
          </w:tcPr>
          <w:p w14:paraId="61B6A583"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 xml:space="preserve">      6, 12, 14, 15</w:t>
            </w:r>
          </w:p>
        </w:tc>
      </w:tr>
      <w:tr w:rsidR="00EC4499" w14:paraId="699E1648" w14:textId="77777777" w:rsidTr="00F73D0C">
        <w:trPr>
          <w:trHeight w:val="288"/>
        </w:trPr>
        <w:tc>
          <w:tcPr>
            <w:tcW w:w="1418" w:type="dxa"/>
            <w:tcBorders>
              <w:top w:val="nil"/>
              <w:left w:val="nil"/>
              <w:bottom w:val="single" w:sz="4" w:space="0" w:color="000000"/>
              <w:right w:val="nil"/>
            </w:tcBorders>
            <w:shd w:val="clear" w:color="auto" w:fill="auto"/>
            <w:vAlign w:val="bottom"/>
          </w:tcPr>
          <w:p w14:paraId="75F6CC04"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Caixa</w:t>
            </w:r>
          </w:p>
        </w:tc>
        <w:tc>
          <w:tcPr>
            <w:tcW w:w="1202" w:type="dxa"/>
            <w:tcBorders>
              <w:top w:val="nil"/>
              <w:left w:val="nil"/>
              <w:bottom w:val="single" w:sz="4" w:space="0" w:color="000000"/>
              <w:right w:val="nil"/>
            </w:tcBorders>
            <w:shd w:val="clear" w:color="auto" w:fill="auto"/>
            <w:vAlign w:val="bottom"/>
          </w:tcPr>
          <w:p w14:paraId="17FD9E35"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70</w:t>
            </w:r>
          </w:p>
        </w:tc>
        <w:tc>
          <w:tcPr>
            <w:tcW w:w="924" w:type="dxa"/>
            <w:tcBorders>
              <w:top w:val="nil"/>
              <w:left w:val="nil"/>
              <w:bottom w:val="single" w:sz="4" w:space="0" w:color="000000"/>
              <w:right w:val="nil"/>
            </w:tcBorders>
            <w:shd w:val="clear" w:color="auto" w:fill="auto"/>
            <w:vAlign w:val="bottom"/>
          </w:tcPr>
          <w:p w14:paraId="77AB0854"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Muito Baixa</w:t>
            </w:r>
          </w:p>
        </w:tc>
        <w:tc>
          <w:tcPr>
            <w:tcW w:w="1260" w:type="dxa"/>
            <w:tcBorders>
              <w:top w:val="nil"/>
              <w:left w:val="nil"/>
              <w:bottom w:val="single" w:sz="4" w:space="0" w:color="000000"/>
              <w:right w:val="nil"/>
            </w:tcBorders>
            <w:shd w:val="clear" w:color="auto" w:fill="auto"/>
            <w:vAlign w:val="bottom"/>
          </w:tcPr>
          <w:p w14:paraId="776B7DBE"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18</w:t>
            </w:r>
          </w:p>
        </w:tc>
        <w:tc>
          <w:tcPr>
            <w:tcW w:w="1360" w:type="dxa"/>
            <w:tcBorders>
              <w:top w:val="nil"/>
              <w:left w:val="nil"/>
              <w:bottom w:val="single" w:sz="4" w:space="0" w:color="000000"/>
              <w:right w:val="nil"/>
            </w:tcBorders>
            <w:shd w:val="clear" w:color="auto" w:fill="auto"/>
            <w:vAlign w:val="bottom"/>
          </w:tcPr>
          <w:p w14:paraId="71C3CC58" w14:textId="77777777" w:rsidR="00EC4499" w:rsidRDefault="00433EA7">
            <w:pPr>
              <w:spacing w:after="0" w:line="240" w:lineRule="auto"/>
              <w:ind w:right="147"/>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2341" w:type="dxa"/>
            <w:tcBorders>
              <w:top w:val="nil"/>
              <w:left w:val="nil"/>
              <w:bottom w:val="single" w:sz="4" w:space="0" w:color="000000"/>
              <w:right w:val="nil"/>
            </w:tcBorders>
            <w:shd w:val="clear" w:color="auto" w:fill="auto"/>
            <w:vAlign w:val="bottom"/>
          </w:tcPr>
          <w:p w14:paraId="7F834294"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 xml:space="preserve">  1, 2, 6, 7, 9, 11, 17</w:t>
            </w:r>
          </w:p>
        </w:tc>
      </w:tr>
      <w:tr w:rsidR="00EC4499" w14:paraId="38AED592" w14:textId="77777777" w:rsidTr="00F73D0C">
        <w:trPr>
          <w:trHeight w:val="288"/>
        </w:trPr>
        <w:tc>
          <w:tcPr>
            <w:tcW w:w="1418" w:type="dxa"/>
            <w:tcBorders>
              <w:top w:val="single" w:sz="4" w:space="0" w:color="000000"/>
              <w:left w:val="nil"/>
              <w:bottom w:val="nil"/>
              <w:right w:val="nil"/>
            </w:tcBorders>
            <w:shd w:val="clear" w:color="auto" w:fill="auto"/>
            <w:vAlign w:val="bottom"/>
          </w:tcPr>
          <w:p w14:paraId="70C9C55C" w14:textId="77777777" w:rsidR="00EC4499" w:rsidRDefault="00433EA7">
            <w:pPr>
              <w:spacing w:after="0" w:line="240" w:lineRule="auto"/>
              <w:rPr>
                <w:rFonts w:ascii="Garamond" w:eastAsia="Garamond" w:hAnsi="Garamond" w:cs="Garamond"/>
                <w:b/>
                <w:color w:val="000000"/>
                <w:sz w:val="16"/>
                <w:szCs w:val="16"/>
              </w:rPr>
            </w:pPr>
            <w:r>
              <w:rPr>
                <w:rFonts w:ascii="Garamond" w:eastAsia="Garamond" w:hAnsi="Garamond" w:cs="Garamond"/>
                <w:b/>
                <w:color w:val="000000"/>
                <w:sz w:val="16"/>
                <w:szCs w:val="16"/>
              </w:rPr>
              <w:t>Média</w:t>
            </w:r>
          </w:p>
        </w:tc>
        <w:tc>
          <w:tcPr>
            <w:tcW w:w="1202" w:type="dxa"/>
            <w:tcBorders>
              <w:top w:val="single" w:sz="4" w:space="0" w:color="000000"/>
              <w:left w:val="nil"/>
              <w:bottom w:val="nil"/>
              <w:right w:val="nil"/>
            </w:tcBorders>
            <w:shd w:val="clear" w:color="auto" w:fill="auto"/>
            <w:vAlign w:val="bottom"/>
          </w:tcPr>
          <w:p w14:paraId="07A54845" w14:textId="77777777" w:rsidR="00EC4499" w:rsidRDefault="00433EA7">
            <w:pPr>
              <w:spacing w:after="0" w:line="240" w:lineRule="auto"/>
              <w:jc w:val="center"/>
              <w:rPr>
                <w:rFonts w:ascii="Garamond" w:eastAsia="Garamond" w:hAnsi="Garamond" w:cs="Garamond"/>
                <w:b/>
                <w:color w:val="000000"/>
                <w:sz w:val="16"/>
                <w:szCs w:val="16"/>
              </w:rPr>
            </w:pPr>
            <w:r>
              <w:rPr>
                <w:rFonts w:ascii="Garamond" w:eastAsia="Garamond" w:hAnsi="Garamond" w:cs="Garamond"/>
                <w:b/>
                <w:color w:val="000000"/>
                <w:sz w:val="16"/>
                <w:szCs w:val="16"/>
              </w:rPr>
              <w:t>153</w:t>
            </w:r>
          </w:p>
        </w:tc>
        <w:tc>
          <w:tcPr>
            <w:tcW w:w="924" w:type="dxa"/>
            <w:tcBorders>
              <w:top w:val="single" w:sz="4" w:space="0" w:color="000000"/>
              <w:left w:val="nil"/>
              <w:bottom w:val="nil"/>
              <w:right w:val="nil"/>
            </w:tcBorders>
            <w:shd w:val="clear" w:color="auto" w:fill="auto"/>
            <w:vAlign w:val="bottom"/>
          </w:tcPr>
          <w:p w14:paraId="6AD23DA1" w14:textId="77777777" w:rsidR="00EC4499" w:rsidRDefault="00EC4499">
            <w:pPr>
              <w:spacing w:after="0" w:line="240" w:lineRule="auto"/>
              <w:jc w:val="center"/>
              <w:rPr>
                <w:rFonts w:ascii="Garamond" w:eastAsia="Garamond" w:hAnsi="Garamond" w:cs="Garamond"/>
                <w:b/>
                <w:color w:val="000000"/>
                <w:sz w:val="16"/>
                <w:szCs w:val="16"/>
              </w:rPr>
            </w:pPr>
          </w:p>
        </w:tc>
        <w:tc>
          <w:tcPr>
            <w:tcW w:w="1260" w:type="dxa"/>
            <w:tcBorders>
              <w:top w:val="single" w:sz="4" w:space="0" w:color="000000"/>
              <w:left w:val="nil"/>
              <w:bottom w:val="nil"/>
              <w:right w:val="nil"/>
            </w:tcBorders>
            <w:shd w:val="clear" w:color="auto" w:fill="auto"/>
            <w:vAlign w:val="bottom"/>
          </w:tcPr>
          <w:p w14:paraId="1E933D08" w14:textId="77777777" w:rsidR="00EC4499" w:rsidRDefault="00433EA7">
            <w:pPr>
              <w:spacing w:after="0" w:line="240" w:lineRule="auto"/>
              <w:jc w:val="center"/>
              <w:rPr>
                <w:rFonts w:ascii="Garamond" w:eastAsia="Garamond" w:hAnsi="Garamond" w:cs="Garamond"/>
                <w:b/>
                <w:color w:val="000000"/>
                <w:sz w:val="16"/>
                <w:szCs w:val="16"/>
              </w:rPr>
            </w:pPr>
            <w:r>
              <w:rPr>
                <w:rFonts w:ascii="Garamond" w:eastAsia="Garamond" w:hAnsi="Garamond" w:cs="Garamond"/>
                <w:b/>
                <w:color w:val="000000"/>
                <w:sz w:val="16"/>
                <w:szCs w:val="16"/>
              </w:rPr>
              <w:t>31,9</w:t>
            </w:r>
          </w:p>
        </w:tc>
        <w:tc>
          <w:tcPr>
            <w:tcW w:w="1360" w:type="dxa"/>
            <w:tcBorders>
              <w:top w:val="single" w:sz="4" w:space="0" w:color="000000"/>
              <w:left w:val="nil"/>
              <w:bottom w:val="nil"/>
              <w:right w:val="nil"/>
            </w:tcBorders>
            <w:shd w:val="clear" w:color="auto" w:fill="auto"/>
            <w:vAlign w:val="bottom"/>
          </w:tcPr>
          <w:p w14:paraId="119912FB" w14:textId="77777777" w:rsidR="00EC4499" w:rsidRDefault="00EC4499">
            <w:pPr>
              <w:spacing w:after="0" w:line="240" w:lineRule="auto"/>
              <w:jc w:val="center"/>
              <w:rPr>
                <w:rFonts w:ascii="Garamond" w:eastAsia="Garamond" w:hAnsi="Garamond" w:cs="Garamond"/>
                <w:b/>
                <w:color w:val="000000"/>
                <w:sz w:val="16"/>
                <w:szCs w:val="16"/>
              </w:rPr>
            </w:pPr>
          </w:p>
        </w:tc>
        <w:tc>
          <w:tcPr>
            <w:tcW w:w="2341" w:type="dxa"/>
            <w:tcBorders>
              <w:top w:val="single" w:sz="4" w:space="0" w:color="000000"/>
              <w:left w:val="nil"/>
              <w:bottom w:val="nil"/>
              <w:right w:val="nil"/>
            </w:tcBorders>
            <w:shd w:val="clear" w:color="auto" w:fill="auto"/>
            <w:vAlign w:val="bottom"/>
          </w:tcPr>
          <w:p w14:paraId="3879EE11" w14:textId="77777777" w:rsidR="00EC4499" w:rsidRDefault="00EC4499">
            <w:pPr>
              <w:spacing w:after="0" w:line="240" w:lineRule="auto"/>
              <w:jc w:val="center"/>
              <w:rPr>
                <w:rFonts w:ascii="Garamond" w:eastAsia="Garamond" w:hAnsi="Garamond" w:cs="Garamond"/>
                <w:sz w:val="16"/>
                <w:szCs w:val="16"/>
              </w:rPr>
            </w:pPr>
          </w:p>
        </w:tc>
      </w:tr>
    </w:tbl>
    <w:p w14:paraId="04D49930" w14:textId="77777777" w:rsidR="00F73D0C" w:rsidRDefault="00F73D0C" w:rsidP="00F73D0C">
      <w:pPr>
        <w:spacing w:after="0" w:line="360" w:lineRule="auto"/>
        <w:rPr>
          <w:rFonts w:ascii="Garamond" w:eastAsia="Garamond" w:hAnsi="Garamond" w:cs="Garamond"/>
          <w:sz w:val="24"/>
          <w:szCs w:val="24"/>
        </w:rPr>
      </w:pPr>
    </w:p>
    <w:p w14:paraId="3E8FAFD4" w14:textId="77777777" w:rsidR="00D80C89" w:rsidRDefault="00D80C89" w:rsidP="00F73D0C">
      <w:pPr>
        <w:spacing w:after="0" w:line="360" w:lineRule="auto"/>
        <w:rPr>
          <w:rFonts w:ascii="Garamond" w:eastAsia="Garamond" w:hAnsi="Garamond" w:cs="Garamond"/>
          <w:sz w:val="24"/>
          <w:szCs w:val="24"/>
        </w:rPr>
      </w:pPr>
    </w:p>
    <w:p w14:paraId="3AB8025E" w14:textId="77777777" w:rsidR="00D80C89" w:rsidRDefault="00D80C89" w:rsidP="00F73D0C">
      <w:pPr>
        <w:spacing w:after="0" w:line="360" w:lineRule="auto"/>
        <w:rPr>
          <w:rFonts w:ascii="Garamond" w:eastAsia="Garamond" w:hAnsi="Garamond" w:cs="Garamond"/>
          <w:sz w:val="24"/>
          <w:szCs w:val="24"/>
        </w:rPr>
      </w:pPr>
    </w:p>
    <w:p w14:paraId="7FDFDD41" w14:textId="77777777" w:rsidR="00D80C89" w:rsidRDefault="00D80C89" w:rsidP="00F73D0C">
      <w:pPr>
        <w:spacing w:after="0" w:line="360" w:lineRule="auto"/>
        <w:rPr>
          <w:rFonts w:ascii="Garamond" w:eastAsia="Garamond" w:hAnsi="Garamond" w:cs="Garamond"/>
          <w:sz w:val="24"/>
          <w:szCs w:val="24"/>
        </w:rPr>
      </w:pPr>
    </w:p>
    <w:p w14:paraId="7C5FA040" w14:textId="77777777" w:rsidR="00D80C89" w:rsidRDefault="00D80C89" w:rsidP="00F73D0C">
      <w:pPr>
        <w:spacing w:after="0" w:line="360" w:lineRule="auto"/>
        <w:rPr>
          <w:rFonts w:ascii="Garamond" w:eastAsia="Garamond" w:hAnsi="Garamond" w:cs="Garamond"/>
          <w:sz w:val="24"/>
          <w:szCs w:val="24"/>
        </w:rPr>
      </w:pPr>
    </w:p>
    <w:p w14:paraId="55191B6B" w14:textId="77777777" w:rsidR="00D80C89" w:rsidRDefault="00D80C89" w:rsidP="00F73D0C">
      <w:pPr>
        <w:spacing w:after="0" w:line="360" w:lineRule="auto"/>
        <w:rPr>
          <w:rFonts w:ascii="Garamond" w:eastAsia="Garamond" w:hAnsi="Garamond" w:cs="Garamond"/>
          <w:sz w:val="24"/>
          <w:szCs w:val="24"/>
        </w:rPr>
      </w:pPr>
    </w:p>
    <w:p w14:paraId="5D9A0104" w14:textId="77777777" w:rsidR="00D80C89" w:rsidRDefault="00D80C89" w:rsidP="00F73D0C">
      <w:pPr>
        <w:spacing w:after="0" w:line="360" w:lineRule="auto"/>
        <w:rPr>
          <w:rFonts w:ascii="Garamond" w:eastAsia="Garamond" w:hAnsi="Garamond" w:cs="Garamond"/>
          <w:sz w:val="24"/>
          <w:szCs w:val="24"/>
        </w:rPr>
      </w:pPr>
    </w:p>
    <w:p w14:paraId="2D4F6E13" w14:textId="77777777" w:rsidR="00D80C89" w:rsidRDefault="00D80C89" w:rsidP="00F73D0C">
      <w:pPr>
        <w:spacing w:after="0" w:line="360" w:lineRule="auto"/>
        <w:rPr>
          <w:rFonts w:ascii="Garamond" w:eastAsia="Garamond" w:hAnsi="Garamond" w:cs="Garamond"/>
          <w:sz w:val="24"/>
          <w:szCs w:val="24"/>
        </w:rPr>
      </w:pPr>
    </w:p>
    <w:p w14:paraId="18FF37E2" w14:textId="77777777" w:rsidR="00D80C89" w:rsidRDefault="00D80C89" w:rsidP="00F73D0C">
      <w:pPr>
        <w:spacing w:after="0" w:line="360" w:lineRule="auto"/>
        <w:rPr>
          <w:rFonts w:ascii="Garamond" w:eastAsia="Garamond" w:hAnsi="Garamond" w:cs="Garamond"/>
          <w:sz w:val="24"/>
          <w:szCs w:val="24"/>
        </w:rPr>
      </w:pPr>
    </w:p>
    <w:p w14:paraId="3B2EB930" w14:textId="77777777" w:rsidR="00F73D0C" w:rsidRDefault="00F73D0C" w:rsidP="00F73D0C">
      <w:pPr>
        <w:spacing w:after="0" w:line="360" w:lineRule="auto"/>
        <w:rPr>
          <w:rFonts w:ascii="Garamond" w:eastAsia="Garamond" w:hAnsi="Garamond" w:cs="Garamond"/>
          <w:color w:val="000000"/>
          <w:sz w:val="24"/>
          <w:szCs w:val="24"/>
        </w:rPr>
      </w:pPr>
    </w:p>
    <w:p w14:paraId="42D9039F" w14:textId="77777777" w:rsidR="00E334DC" w:rsidRDefault="00E334DC">
      <w:pPr>
        <w:spacing w:after="0" w:line="360" w:lineRule="auto"/>
        <w:jc w:val="center"/>
        <w:rPr>
          <w:rFonts w:ascii="Garamond" w:eastAsia="Garamond" w:hAnsi="Garamond" w:cs="Garamond"/>
          <w:color w:val="000000"/>
          <w:sz w:val="24"/>
          <w:szCs w:val="24"/>
        </w:rPr>
      </w:pPr>
    </w:p>
    <w:p w14:paraId="1C6DDA18" w14:textId="77777777" w:rsidR="00AB2255" w:rsidRDefault="00AB2255">
      <w:pPr>
        <w:spacing w:after="0" w:line="360" w:lineRule="auto"/>
        <w:jc w:val="center"/>
        <w:rPr>
          <w:rFonts w:ascii="Garamond" w:eastAsia="Garamond" w:hAnsi="Garamond" w:cs="Garamond"/>
          <w:color w:val="000000"/>
          <w:sz w:val="24"/>
          <w:szCs w:val="24"/>
        </w:rPr>
      </w:pPr>
    </w:p>
    <w:p w14:paraId="5FE715E9" w14:textId="491A9909" w:rsidR="00EC4499" w:rsidRDefault="00433EA7">
      <w:pPr>
        <w:spacing w:after="0" w:line="360" w:lineRule="auto"/>
        <w:jc w:val="center"/>
        <w:rPr>
          <w:rFonts w:ascii="Garamond" w:eastAsia="Garamond" w:hAnsi="Garamond" w:cs="Garamond"/>
          <w:i/>
          <w:color w:val="000000"/>
          <w:sz w:val="24"/>
          <w:szCs w:val="24"/>
        </w:rPr>
      </w:pPr>
      <w:r>
        <w:rPr>
          <w:rFonts w:ascii="Garamond" w:eastAsia="Garamond" w:hAnsi="Garamond" w:cs="Garamond"/>
          <w:color w:val="000000"/>
          <w:sz w:val="24"/>
          <w:szCs w:val="24"/>
        </w:rPr>
        <w:lastRenderedPageBreak/>
        <w:t xml:space="preserve">Tabela 7 - Resultados Qualidade 2021 </w:t>
      </w:r>
    </w:p>
    <w:tbl>
      <w:tblPr>
        <w:tblStyle w:val="a5"/>
        <w:tblW w:w="8647" w:type="dxa"/>
        <w:tblInd w:w="0" w:type="dxa"/>
        <w:tblLayout w:type="fixed"/>
        <w:tblLook w:val="0400" w:firstRow="0" w:lastRow="0" w:firstColumn="0" w:lastColumn="0" w:noHBand="0" w:noVBand="1"/>
      </w:tblPr>
      <w:tblGrid>
        <w:gridCol w:w="1418"/>
        <w:gridCol w:w="1202"/>
        <w:gridCol w:w="924"/>
        <w:gridCol w:w="1843"/>
        <w:gridCol w:w="2126"/>
        <w:gridCol w:w="1134"/>
      </w:tblGrid>
      <w:tr w:rsidR="00EC4499" w14:paraId="63F6F559" w14:textId="77777777" w:rsidTr="00F73D0C">
        <w:trPr>
          <w:trHeight w:val="288"/>
        </w:trPr>
        <w:tc>
          <w:tcPr>
            <w:tcW w:w="1418" w:type="dxa"/>
            <w:tcBorders>
              <w:top w:val="nil"/>
              <w:left w:val="nil"/>
              <w:bottom w:val="single" w:sz="4" w:space="0" w:color="000000"/>
              <w:right w:val="nil"/>
            </w:tcBorders>
            <w:shd w:val="clear" w:color="auto" w:fill="auto"/>
            <w:vAlign w:val="bottom"/>
          </w:tcPr>
          <w:p w14:paraId="3F407226" w14:textId="77777777" w:rsidR="00EC4499" w:rsidRDefault="00433EA7">
            <w:pPr>
              <w:spacing w:after="0" w:line="240" w:lineRule="auto"/>
              <w:rPr>
                <w:rFonts w:ascii="Garamond" w:eastAsia="Garamond" w:hAnsi="Garamond" w:cs="Garamond"/>
                <w:b/>
                <w:color w:val="000000"/>
                <w:sz w:val="16"/>
                <w:szCs w:val="16"/>
              </w:rPr>
            </w:pPr>
            <w:r>
              <w:rPr>
                <w:rFonts w:ascii="Garamond" w:eastAsia="Garamond" w:hAnsi="Garamond" w:cs="Garamond"/>
                <w:b/>
                <w:color w:val="000000"/>
                <w:sz w:val="16"/>
                <w:szCs w:val="16"/>
              </w:rPr>
              <w:t>Bancos</w:t>
            </w:r>
          </w:p>
        </w:tc>
        <w:tc>
          <w:tcPr>
            <w:tcW w:w="1202" w:type="dxa"/>
            <w:tcBorders>
              <w:top w:val="nil"/>
              <w:left w:val="nil"/>
              <w:bottom w:val="single" w:sz="4" w:space="0" w:color="000000"/>
              <w:right w:val="nil"/>
            </w:tcBorders>
            <w:shd w:val="clear" w:color="auto" w:fill="auto"/>
            <w:vAlign w:val="bottom"/>
          </w:tcPr>
          <w:p w14:paraId="2667E1DD" w14:textId="77777777" w:rsidR="00EC4499" w:rsidRDefault="00433EA7">
            <w:pPr>
              <w:spacing w:after="0" w:line="240" w:lineRule="auto"/>
              <w:jc w:val="center"/>
              <w:rPr>
                <w:rFonts w:ascii="Garamond" w:eastAsia="Garamond" w:hAnsi="Garamond" w:cs="Garamond"/>
                <w:b/>
                <w:color w:val="000000"/>
                <w:sz w:val="16"/>
                <w:szCs w:val="16"/>
              </w:rPr>
            </w:pPr>
            <w:r>
              <w:rPr>
                <w:rFonts w:ascii="Garamond" w:eastAsia="Garamond" w:hAnsi="Garamond" w:cs="Garamond"/>
                <w:b/>
                <w:color w:val="000000"/>
                <w:sz w:val="16"/>
                <w:szCs w:val="16"/>
              </w:rPr>
              <w:t>DQPI</w:t>
            </w:r>
          </w:p>
        </w:tc>
        <w:tc>
          <w:tcPr>
            <w:tcW w:w="924" w:type="dxa"/>
            <w:tcBorders>
              <w:top w:val="nil"/>
              <w:left w:val="nil"/>
              <w:bottom w:val="single" w:sz="4" w:space="0" w:color="000000"/>
              <w:right w:val="nil"/>
            </w:tcBorders>
            <w:shd w:val="clear" w:color="auto" w:fill="auto"/>
            <w:vAlign w:val="bottom"/>
          </w:tcPr>
          <w:p w14:paraId="7A50AEC1" w14:textId="77777777" w:rsidR="00EC4499" w:rsidRDefault="00433EA7">
            <w:pPr>
              <w:spacing w:after="0" w:line="240" w:lineRule="auto"/>
              <w:jc w:val="center"/>
              <w:rPr>
                <w:rFonts w:ascii="Garamond" w:eastAsia="Garamond" w:hAnsi="Garamond" w:cs="Garamond"/>
                <w:b/>
                <w:color w:val="000000"/>
                <w:sz w:val="16"/>
                <w:szCs w:val="16"/>
              </w:rPr>
            </w:pPr>
            <w:r>
              <w:rPr>
                <w:rFonts w:ascii="Garamond" w:eastAsia="Garamond" w:hAnsi="Garamond" w:cs="Garamond"/>
                <w:b/>
                <w:color w:val="000000"/>
                <w:sz w:val="16"/>
                <w:szCs w:val="16"/>
              </w:rPr>
              <w:t>Qualidade</w:t>
            </w:r>
          </w:p>
        </w:tc>
        <w:tc>
          <w:tcPr>
            <w:tcW w:w="1843" w:type="dxa"/>
            <w:tcBorders>
              <w:top w:val="nil"/>
              <w:left w:val="nil"/>
              <w:bottom w:val="single" w:sz="4" w:space="0" w:color="000000"/>
              <w:right w:val="nil"/>
            </w:tcBorders>
            <w:shd w:val="clear" w:color="auto" w:fill="auto"/>
            <w:vAlign w:val="bottom"/>
          </w:tcPr>
          <w:p w14:paraId="044D094B" w14:textId="77777777" w:rsidR="00EC4499" w:rsidRDefault="00433EA7">
            <w:pPr>
              <w:spacing w:after="0" w:line="240" w:lineRule="auto"/>
              <w:jc w:val="center"/>
              <w:rPr>
                <w:rFonts w:ascii="Garamond" w:eastAsia="Garamond" w:hAnsi="Garamond" w:cs="Garamond"/>
                <w:b/>
                <w:color w:val="000000"/>
                <w:sz w:val="16"/>
                <w:szCs w:val="16"/>
              </w:rPr>
            </w:pPr>
            <w:r>
              <w:rPr>
                <w:rFonts w:ascii="Garamond" w:eastAsia="Garamond" w:hAnsi="Garamond" w:cs="Garamond"/>
                <w:b/>
                <w:color w:val="000000"/>
                <w:sz w:val="16"/>
                <w:szCs w:val="16"/>
              </w:rPr>
              <w:t>Qt. conteúdos</w:t>
            </w:r>
          </w:p>
        </w:tc>
        <w:tc>
          <w:tcPr>
            <w:tcW w:w="2126" w:type="dxa"/>
            <w:tcBorders>
              <w:top w:val="nil"/>
              <w:left w:val="nil"/>
              <w:bottom w:val="single" w:sz="4" w:space="0" w:color="000000"/>
              <w:right w:val="nil"/>
            </w:tcBorders>
            <w:shd w:val="clear" w:color="auto" w:fill="auto"/>
            <w:vAlign w:val="bottom"/>
          </w:tcPr>
          <w:p w14:paraId="1A6A3A5F" w14:textId="77777777" w:rsidR="00EC4499" w:rsidRDefault="00433EA7">
            <w:pPr>
              <w:spacing w:after="0" w:line="240" w:lineRule="auto"/>
              <w:jc w:val="center"/>
              <w:rPr>
                <w:rFonts w:ascii="Garamond" w:eastAsia="Garamond" w:hAnsi="Garamond" w:cs="Garamond"/>
                <w:b/>
                <w:color w:val="000000"/>
                <w:sz w:val="16"/>
                <w:szCs w:val="16"/>
              </w:rPr>
            </w:pPr>
            <w:r>
              <w:rPr>
                <w:rFonts w:ascii="Garamond" w:eastAsia="Garamond" w:hAnsi="Garamond" w:cs="Garamond"/>
                <w:b/>
                <w:color w:val="000000"/>
                <w:sz w:val="16"/>
                <w:szCs w:val="16"/>
              </w:rPr>
              <w:t>ODS maior pontuação</w:t>
            </w:r>
          </w:p>
        </w:tc>
        <w:tc>
          <w:tcPr>
            <w:tcW w:w="1134" w:type="dxa"/>
            <w:tcBorders>
              <w:top w:val="nil"/>
              <w:left w:val="nil"/>
              <w:bottom w:val="single" w:sz="4" w:space="0" w:color="000000"/>
              <w:right w:val="nil"/>
            </w:tcBorders>
            <w:shd w:val="clear" w:color="auto" w:fill="auto"/>
            <w:vAlign w:val="bottom"/>
          </w:tcPr>
          <w:p w14:paraId="784E03DC" w14:textId="77777777" w:rsidR="00EC4499" w:rsidRDefault="00433EA7">
            <w:pPr>
              <w:spacing w:after="0" w:line="240" w:lineRule="auto"/>
              <w:rPr>
                <w:rFonts w:ascii="Garamond" w:eastAsia="Garamond" w:hAnsi="Garamond" w:cs="Garamond"/>
                <w:b/>
                <w:color w:val="000000"/>
                <w:sz w:val="16"/>
                <w:szCs w:val="16"/>
              </w:rPr>
            </w:pPr>
            <w:r>
              <w:rPr>
                <w:rFonts w:ascii="Garamond" w:eastAsia="Garamond" w:hAnsi="Garamond" w:cs="Garamond"/>
                <w:b/>
                <w:color w:val="000000"/>
                <w:sz w:val="16"/>
                <w:szCs w:val="16"/>
              </w:rPr>
              <w:t>ODS não comunicados</w:t>
            </w:r>
          </w:p>
        </w:tc>
      </w:tr>
      <w:tr w:rsidR="00EC4499" w14:paraId="1C2FFDEB" w14:textId="77777777" w:rsidTr="00F73D0C">
        <w:trPr>
          <w:trHeight w:val="288"/>
        </w:trPr>
        <w:tc>
          <w:tcPr>
            <w:tcW w:w="1418" w:type="dxa"/>
            <w:tcBorders>
              <w:top w:val="single" w:sz="4" w:space="0" w:color="000000"/>
              <w:left w:val="nil"/>
              <w:bottom w:val="nil"/>
              <w:right w:val="nil"/>
            </w:tcBorders>
            <w:shd w:val="clear" w:color="auto" w:fill="auto"/>
            <w:vAlign w:val="bottom"/>
          </w:tcPr>
          <w:p w14:paraId="142F3CDD"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Bradesco</w:t>
            </w:r>
          </w:p>
        </w:tc>
        <w:tc>
          <w:tcPr>
            <w:tcW w:w="1202" w:type="dxa"/>
            <w:tcBorders>
              <w:top w:val="single" w:sz="4" w:space="0" w:color="000000"/>
              <w:left w:val="nil"/>
              <w:bottom w:val="nil"/>
              <w:right w:val="nil"/>
            </w:tcBorders>
            <w:shd w:val="clear" w:color="auto" w:fill="auto"/>
            <w:vAlign w:val="bottom"/>
          </w:tcPr>
          <w:p w14:paraId="733EA27B"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245</w:t>
            </w:r>
          </w:p>
        </w:tc>
        <w:tc>
          <w:tcPr>
            <w:tcW w:w="924" w:type="dxa"/>
            <w:tcBorders>
              <w:top w:val="single" w:sz="4" w:space="0" w:color="000000"/>
              <w:left w:val="nil"/>
              <w:bottom w:val="nil"/>
              <w:right w:val="nil"/>
            </w:tcBorders>
            <w:shd w:val="clear" w:color="auto" w:fill="auto"/>
            <w:vAlign w:val="bottom"/>
          </w:tcPr>
          <w:p w14:paraId="44EC2B5D"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Média</w:t>
            </w:r>
          </w:p>
        </w:tc>
        <w:tc>
          <w:tcPr>
            <w:tcW w:w="1843" w:type="dxa"/>
            <w:tcBorders>
              <w:top w:val="single" w:sz="4" w:space="0" w:color="000000"/>
              <w:left w:val="nil"/>
              <w:bottom w:val="nil"/>
              <w:right w:val="nil"/>
            </w:tcBorders>
            <w:shd w:val="clear" w:color="auto" w:fill="auto"/>
            <w:vAlign w:val="bottom"/>
          </w:tcPr>
          <w:p w14:paraId="3348712B"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57</w:t>
            </w:r>
          </w:p>
        </w:tc>
        <w:tc>
          <w:tcPr>
            <w:tcW w:w="2126" w:type="dxa"/>
            <w:tcBorders>
              <w:top w:val="single" w:sz="4" w:space="0" w:color="000000"/>
              <w:left w:val="nil"/>
              <w:bottom w:val="nil"/>
              <w:right w:val="nil"/>
            </w:tcBorders>
            <w:shd w:val="clear" w:color="auto" w:fill="auto"/>
            <w:vAlign w:val="bottom"/>
          </w:tcPr>
          <w:p w14:paraId="7D2A450D"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134" w:type="dxa"/>
            <w:tcBorders>
              <w:top w:val="single" w:sz="4" w:space="0" w:color="000000"/>
              <w:left w:val="nil"/>
              <w:bottom w:val="nil"/>
              <w:right w:val="nil"/>
            </w:tcBorders>
            <w:shd w:val="clear" w:color="auto" w:fill="auto"/>
            <w:vAlign w:val="bottom"/>
          </w:tcPr>
          <w:p w14:paraId="59A7FA08"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 xml:space="preserve">             -</w:t>
            </w:r>
          </w:p>
        </w:tc>
      </w:tr>
      <w:tr w:rsidR="00EC4499" w14:paraId="69808BA8" w14:textId="77777777" w:rsidTr="00F73D0C">
        <w:trPr>
          <w:trHeight w:val="288"/>
        </w:trPr>
        <w:tc>
          <w:tcPr>
            <w:tcW w:w="1418" w:type="dxa"/>
            <w:tcBorders>
              <w:top w:val="nil"/>
              <w:left w:val="nil"/>
              <w:bottom w:val="nil"/>
              <w:right w:val="nil"/>
            </w:tcBorders>
            <w:shd w:val="clear" w:color="auto" w:fill="auto"/>
            <w:vAlign w:val="bottom"/>
          </w:tcPr>
          <w:p w14:paraId="782CE142"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Inter</w:t>
            </w:r>
          </w:p>
        </w:tc>
        <w:tc>
          <w:tcPr>
            <w:tcW w:w="1202" w:type="dxa"/>
            <w:tcBorders>
              <w:top w:val="nil"/>
              <w:left w:val="nil"/>
              <w:bottom w:val="nil"/>
              <w:right w:val="nil"/>
            </w:tcBorders>
            <w:shd w:val="clear" w:color="auto" w:fill="auto"/>
            <w:vAlign w:val="bottom"/>
          </w:tcPr>
          <w:p w14:paraId="6CCA865A"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194</w:t>
            </w:r>
          </w:p>
        </w:tc>
        <w:tc>
          <w:tcPr>
            <w:tcW w:w="924" w:type="dxa"/>
            <w:tcBorders>
              <w:top w:val="nil"/>
              <w:left w:val="nil"/>
              <w:bottom w:val="nil"/>
              <w:right w:val="nil"/>
            </w:tcBorders>
            <w:shd w:val="clear" w:color="auto" w:fill="auto"/>
            <w:vAlign w:val="bottom"/>
          </w:tcPr>
          <w:p w14:paraId="309121C2"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Baixa</w:t>
            </w:r>
          </w:p>
        </w:tc>
        <w:tc>
          <w:tcPr>
            <w:tcW w:w="1843" w:type="dxa"/>
            <w:tcBorders>
              <w:top w:val="nil"/>
              <w:left w:val="nil"/>
              <w:bottom w:val="nil"/>
              <w:right w:val="nil"/>
            </w:tcBorders>
            <w:shd w:val="clear" w:color="auto" w:fill="auto"/>
            <w:vAlign w:val="bottom"/>
          </w:tcPr>
          <w:p w14:paraId="4AC8DB14"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29</w:t>
            </w:r>
          </w:p>
        </w:tc>
        <w:tc>
          <w:tcPr>
            <w:tcW w:w="2126" w:type="dxa"/>
            <w:tcBorders>
              <w:top w:val="nil"/>
              <w:left w:val="nil"/>
              <w:bottom w:val="nil"/>
              <w:right w:val="nil"/>
            </w:tcBorders>
            <w:shd w:val="clear" w:color="auto" w:fill="auto"/>
            <w:vAlign w:val="bottom"/>
          </w:tcPr>
          <w:p w14:paraId="168972AC"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134" w:type="dxa"/>
            <w:tcBorders>
              <w:top w:val="nil"/>
              <w:left w:val="nil"/>
              <w:bottom w:val="nil"/>
              <w:right w:val="nil"/>
            </w:tcBorders>
            <w:shd w:val="clear" w:color="auto" w:fill="auto"/>
            <w:vAlign w:val="bottom"/>
          </w:tcPr>
          <w:p w14:paraId="3200F33F"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 xml:space="preserve">             -</w:t>
            </w:r>
          </w:p>
        </w:tc>
      </w:tr>
      <w:tr w:rsidR="00EC4499" w14:paraId="157ED0E5" w14:textId="77777777" w:rsidTr="00F73D0C">
        <w:trPr>
          <w:trHeight w:val="288"/>
        </w:trPr>
        <w:tc>
          <w:tcPr>
            <w:tcW w:w="1418" w:type="dxa"/>
            <w:tcBorders>
              <w:top w:val="nil"/>
              <w:left w:val="nil"/>
              <w:bottom w:val="nil"/>
              <w:right w:val="nil"/>
            </w:tcBorders>
            <w:shd w:val="clear" w:color="auto" w:fill="auto"/>
            <w:vAlign w:val="bottom"/>
          </w:tcPr>
          <w:p w14:paraId="037A88B9"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BTG Pactual</w:t>
            </w:r>
          </w:p>
        </w:tc>
        <w:tc>
          <w:tcPr>
            <w:tcW w:w="1202" w:type="dxa"/>
            <w:tcBorders>
              <w:top w:val="nil"/>
              <w:left w:val="nil"/>
              <w:bottom w:val="nil"/>
              <w:right w:val="nil"/>
            </w:tcBorders>
            <w:shd w:val="clear" w:color="auto" w:fill="auto"/>
            <w:vAlign w:val="bottom"/>
          </w:tcPr>
          <w:p w14:paraId="0EDBC8C6"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182</w:t>
            </w:r>
          </w:p>
        </w:tc>
        <w:tc>
          <w:tcPr>
            <w:tcW w:w="924" w:type="dxa"/>
            <w:tcBorders>
              <w:top w:val="nil"/>
              <w:left w:val="nil"/>
              <w:bottom w:val="nil"/>
              <w:right w:val="nil"/>
            </w:tcBorders>
            <w:shd w:val="clear" w:color="auto" w:fill="auto"/>
            <w:vAlign w:val="bottom"/>
          </w:tcPr>
          <w:p w14:paraId="20B203D0"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Baixa</w:t>
            </w:r>
          </w:p>
        </w:tc>
        <w:tc>
          <w:tcPr>
            <w:tcW w:w="1843" w:type="dxa"/>
            <w:tcBorders>
              <w:top w:val="nil"/>
              <w:left w:val="nil"/>
              <w:bottom w:val="nil"/>
              <w:right w:val="nil"/>
            </w:tcBorders>
            <w:shd w:val="clear" w:color="auto" w:fill="auto"/>
            <w:vAlign w:val="bottom"/>
          </w:tcPr>
          <w:p w14:paraId="6848F8A9"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41</w:t>
            </w:r>
          </w:p>
        </w:tc>
        <w:tc>
          <w:tcPr>
            <w:tcW w:w="2126" w:type="dxa"/>
            <w:tcBorders>
              <w:top w:val="nil"/>
              <w:left w:val="nil"/>
              <w:bottom w:val="nil"/>
              <w:right w:val="nil"/>
            </w:tcBorders>
            <w:shd w:val="clear" w:color="auto" w:fill="auto"/>
            <w:vAlign w:val="bottom"/>
          </w:tcPr>
          <w:p w14:paraId="52784AC7"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134" w:type="dxa"/>
            <w:tcBorders>
              <w:top w:val="nil"/>
              <w:left w:val="nil"/>
              <w:bottom w:val="nil"/>
              <w:right w:val="nil"/>
            </w:tcBorders>
            <w:shd w:val="clear" w:color="auto" w:fill="auto"/>
            <w:vAlign w:val="bottom"/>
          </w:tcPr>
          <w:p w14:paraId="6BD996E5"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 xml:space="preserve">             -</w:t>
            </w:r>
          </w:p>
        </w:tc>
      </w:tr>
      <w:tr w:rsidR="00EC4499" w14:paraId="77259E4E" w14:textId="77777777" w:rsidTr="00F73D0C">
        <w:trPr>
          <w:trHeight w:val="288"/>
        </w:trPr>
        <w:tc>
          <w:tcPr>
            <w:tcW w:w="1418" w:type="dxa"/>
            <w:tcBorders>
              <w:top w:val="nil"/>
              <w:left w:val="nil"/>
              <w:bottom w:val="nil"/>
              <w:right w:val="nil"/>
            </w:tcBorders>
            <w:shd w:val="clear" w:color="auto" w:fill="auto"/>
            <w:vAlign w:val="bottom"/>
          </w:tcPr>
          <w:p w14:paraId="3D20A4DA"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Citibank</w:t>
            </w:r>
          </w:p>
        </w:tc>
        <w:tc>
          <w:tcPr>
            <w:tcW w:w="1202" w:type="dxa"/>
            <w:tcBorders>
              <w:top w:val="nil"/>
              <w:left w:val="nil"/>
              <w:bottom w:val="nil"/>
              <w:right w:val="nil"/>
            </w:tcBorders>
            <w:shd w:val="clear" w:color="auto" w:fill="auto"/>
            <w:vAlign w:val="bottom"/>
          </w:tcPr>
          <w:p w14:paraId="286119DC"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180</w:t>
            </w:r>
          </w:p>
        </w:tc>
        <w:tc>
          <w:tcPr>
            <w:tcW w:w="924" w:type="dxa"/>
            <w:tcBorders>
              <w:top w:val="nil"/>
              <w:left w:val="nil"/>
              <w:bottom w:val="nil"/>
              <w:right w:val="nil"/>
            </w:tcBorders>
            <w:shd w:val="clear" w:color="auto" w:fill="auto"/>
            <w:vAlign w:val="bottom"/>
          </w:tcPr>
          <w:p w14:paraId="3029DE85"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Baixa</w:t>
            </w:r>
          </w:p>
        </w:tc>
        <w:tc>
          <w:tcPr>
            <w:tcW w:w="1843" w:type="dxa"/>
            <w:tcBorders>
              <w:top w:val="nil"/>
              <w:left w:val="nil"/>
              <w:bottom w:val="nil"/>
              <w:right w:val="nil"/>
            </w:tcBorders>
            <w:shd w:val="clear" w:color="auto" w:fill="auto"/>
            <w:vAlign w:val="bottom"/>
          </w:tcPr>
          <w:p w14:paraId="514A66BD"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39</w:t>
            </w:r>
          </w:p>
        </w:tc>
        <w:tc>
          <w:tcPr>
            <w:tcW w:w="2126" w:type="dxa"/>
            <w:tcBorders>
              <w:top w:val="nil"/>
              <w:left w:val="nil"/>
              <w:bottom w:val="nil"/>
              <w:right w:val="nil"/>
            </w:tcBorders>
            <w:shd w:val="clear" w:color="auto" w:fill="auto"/>
            <w:vAlign w:val="bottom"/>
          </w:tcPr>
          <w:p w14:paraId="2E543302"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134" w:type="dxa"/>
            <w:tcBorders>
              <w:top w:val="nil"/>
              <w:left w:val="nil"/>
              <w:bottom w:val="nil"/>
              <w:right w:val="nil"/>
            </w:tcBorders>
            <w:shd w:val="clear" w:color="auto" w:fill="auto"/>
            <w:vAlign w:val="bottom"/>
          </w:tcPr>
          <w:p w14:paraId="6F359F1A"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 xml:space="preserve">             -</w:t>
            </w:r>
          </w:p>
        </w:tc>
      </w:tr>
      <w:tr w:rsidR="00EC4499" w14:paraId="7BBAE010" w14:textId="77777777" w:rsidTr="00F73D0C">
        <w:trPr>
          <w:trHeight w:val="288"/>
        </w:trPr>
        <w:tc>
          <w:tcPr>
            <w:tcW w:w="1418" w:type="dxa"/>
            <w:tcBorders>
              <w:top w:val="nil"/>
              <w:left w:val="nil"/>
              <w:bottom w:val="nil"/>
              <w:right w:val="nil"/>
            </w:tcBorders>
            <w:shd w:val="clear" w:color="auto" w:fill="auto"/>
            <w:vAlign w:val="bottom"/>
          </w:tcPr>
          <w:p w14:paraId="79370BE5"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Banco do Brasil</w:t>
            </w:r>
          </w:p>
        </w:tc>
        <w:tc>
          <w:tcPr>
            <w:tcW w:w="1202" w:type="dxa"/>
            <w:tcBorders>
              <w:top w:val="nil"/>
              <w:left w:val="nil"/>
              <w:bottom w:val="nil"/>
              <w:right w:val="nil"/>
            </w:tcBorders>
            <w:shd w:val="clear" w:color="auto" w:fill="auto"/>
            <w:vAlign w:val="bottom"/>
          </w:tcPr>
          <w:p w14:paraId="4FD0503E"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177</w:t>
            </w:r>
          </w:p>
        </w:tc>
        <w:tc>
          <w:tcPr>
            <w:tcW w:w="924" w:type="dxa"/>
            <w:tcBorders>
              <w:top w:val="nil"/>
              <w:left w:val="nil"/>
              <w:bottom w:val="nil"/>
              <w:right w:val="nil"/>
            </w:tcBorders>
            <w:shd w:val="clear" w:color="auto" w:fill="auto"/>
            <w:vAlign w:val="bottom"/>
          </w:tcPr>
          <w:p w14:paraId="05A344B3"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Baixa</w:t>
            </w:r>
          </w:p>
        </w:tc>
        <w:tc>
          <w:tcPr>
            <w:tcW w:w="1843" w:type="dxa"/>
            <w:tcBorders>
              <w:top w:val="nil"/>
              <w:left w:val="nil"/>
              <w:bottom w:val="nil"/>
              <w:right w:val="nil"/>
            </w:tcBorders>
            <w:shd w:val="clear" w:color="auto" w:fill="auto"/>
            <w:vAlign w:val="bottom"/>
          </w:tcPr>
          <w:p w14:paraId="638F4943"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39</w:t>
            </w:r>
          </w:p>
        </w:tc>
        <w:tc>
          <w:tcPr>
            <w:tcW w:w="2126" w:type="dxa"/>
            <w:tcBorders>
              <w:top w:val="nil"/>
              <w:left w:val="nil"/>
              <w:bottom w:val="nil"/>
              <w:right w:val="nil"/>
            </w:tcBorders>
            <w:shd w:val="clear" w:color="auto" w:fill="auto"/>
            <w:vAlign w:val="bottom"/>
          </w:tcPr>
          <w:p w14:paraId="0AFA7F10"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134" w:type="dxa"/>
            <w:tcBorders>
              <w:top w:val="nil"/>
              <w:left w:val="nil"/>
              <w:bottom w:val="nil"/>
              <w:right w:val="nil"/>
            </w:tcBorders>
            <w:shd w:val="clear" w:color="auto" w:fill="auto"/>
            <w:vAlign w:val="bottom"/>
          </w:tcPr>
          <w:p w14:paraId="46E9359F"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 xml:space="preserve">            11</w:t>
            </w:r>
          </w:p>
        </w:tc>
      </w:tr>
      <w:tr w:rsidR="00EC4499" w14:paraId="4B9EDB5D" w14:textId="77777777" w:rsidTr="00F73D0C">
        <w:trPr>
          <w:trHeight w:val="288"/>
        </w:trPr>
        <w:tc>
          <w:tcPr>
            <w:tcW w:w="1418" w:type="dxa"/>
            <w:tcBorders>
              <w:top w:val="nil"/>
              <w:left w:val="nil"/>
              <w:bottom w:val="nil"/>
              <w:right w:val="nil"/>
            </w:tcBorders>
            <w:shd w:val="clear" w:color="auto" w:fill="auto"/>
            <w:vAlign w:val="bottom"/>
          </w:tcPr>
          <w:p w14:paraId="4B32B4B5"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Itaú</w:t>
            </w:r>
          </w:p>
        </w:tc>
        <w:tc>
          <w:tcPr>
            <w:tcW w:w="1202" w:type="dxa"/>
            <w:tcBorders>
              <w:top w:val="nil"/>
              <w:left w:val="nil"/>
              <w:bottom w:val="nil"/>
              <w:right w:val="nil"/>
            </w:tcBorders>
            <w:shd w:val="clear" w:color="auto" w:fill="auto"/>
            <w:vAlign w:val="bottom"/>
          </w:tcPr>
          <w:p w14:paraId="734B56FF"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168</w:t>
            </w:r>
          </w:p>
        </w:tc>
        <w:tc>
          <w:tcPr>
            <w:tcW w:w="924" w:type="dxa"/>
            <w:tcBorders>
              <w:top w:val="nil"/>
              <w:left w:val="nil"/>
              <w:bottom w:val="nil"/>
              <w:right w:val="nil"/>
            </w:tcBorders>
            <w:shd w:val="clear" w:color="auto" w:fill="auto"/>
            <w:vAlign w:val="bottom"/>
          </w:tcPr>
          <w:p w14:paraId="2C556D46"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Baixa</w:t>
            </w:r>
          </w:p>
        </w:tc>
        <w:tc>
          <w:tcPr>
            <w:tcW w:w="1843" w:type="dxa"/>
            <w:tcBorders>
              <w:top w:val="nil"/>
              <w:left w:val="nil"/>
              <w:bottom w:val="nil"/>
              <w:right w:val="nil"/>
            </w:tcBorders>
            <w:shd w:val="clear" w:color="auto" w:fill="auto"/>
            <w:vAlign w:val="bottom"/>
          </w:tcPr>
          <w:p w14:paraId="644DDAFD"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40</w:t>
            </w:r>
          </w:p>
        </w:tc>
        <w:tc>
          <w:tcPr>
            <w:tcW w:w="2126" w:type="dxa"/>
            <w:tcBorders>
              <w:top w:val="nil"/>
              <w:left w:val="nil"/>
              <w:bottom w:val="nil"/>
              <w:right w:val="nil"/>
            </w:tcBorders>
            <w:shd w:val="clear" w:color="auto" w:fill="auto"/>
            <w:vAlign w:val="bottom"/>
          </w:tcPr>
          <w:p w14:paraId="19D6FD78"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134" w:type="dxa"/>
            <w:tcBorders>
              <w:top w:val="nil"/>
              <w:left w:val="nil"/>
              <w:bottom w:val="nil"/>
              <w:right w:val="nil"/>
            </w:tcBorders>
            <w:shd w:val="clear" w:color="auto" w:fill="auto"/>
            <w:vAlign w:val="bottom"/>
          </w:tcPr>
          <w:p w14:paraId="67C6AB19"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 xml:space="preserve">           9, 11</w:t>
            </w:r>
          </w:p>
        </w:tc>
      </w:tr>
      <w:tr w:rsidR="00EC4499" w14:paraId="7DF9E898" w14:textId="77777777" w:rsidTr="00F73D0C">
        <w:trPr>
          <w:trHeight w:val="288"/>
        </w:trPr>
        <w:tc>
          <w:tcPr>
            <w:tcW w:w="1418" w:type="dxa"/>
            <w:tcBorders>
              <w:top w:val="nil"/>
              <w:left w:val="nil"/>
              <w:bottom w:val="nil"/>
              <w:right w:val="nil"/>
            </w:tcBorders>
            <w:shd w:val="clear" w:color="auto" w:fill="auto"/>
            <w:vAlign w:val="bottom"/>
          </w:tcPr>
          <w:p w14:paraId="28524D3D"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BNDES</w:t>
            </w:r>
          </w:p>
        </w:tc>
        <w:tc>
          <w:tcPr>
            <w:tcW w:w="1202" w:type="dxa"/>
            <w:tcBorders>
              <w:top w:val="nil"/>
              <w:left w:val="nil"/>
              <w:bottom w:val="nil"/>
              <w:right w:val="nil"/>
            </w:tcBorders>
            <w:shd w:val="clear" w:color="auto" w:fill="auto"/>
            <w:vAlign w:val="bottom"/>
          </w:tcPr>
          <w:p w14:paraId="7869D774"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166</w:t>
            </w:r>
          </w:p>
        </w:tc>
        <w:tc>
          <w:tcPr>
            <w:tcW w:w="924" w:type="dxa"/>
            <w:tcBorders>
              <w:top w:val="nil"/>
              <w:left w:val="nil"/>
              <w:bottom w:val="nil"/>
              <w:right w:val="nil"/>
            </w:tcBorders>
            <w:shd w:val="clear" w:color="auto" w:fill="auto"/>
            <w:vAlign w:val="bottom"/>
          </w:tcPr>
          <w:p w14:paraId="0F7B631F"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Baixa</w:t>
            </w:r>
          </w:p>
        </w:tc>
        <w:tc>
          <w:tcPr>
            <w:tcW w:w="1843" w:type="dxa"/>
            <w:tcBorders>
              <w:top w:val="nil"/>
              <w:left w:val="nil"/>
              <w:bottom w:val="nil"/>
              <w:right w:val="nil"/>
            </w:tcBorders>
            <w:shd w:val="clear" w:color="auto" w:fill="auto"/>
            <w:vAlign w:val="bottom"/>
          </w:tcPr>
          <w:p w14:paraId="0B9657FC"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45</w:t>
            </w:r>
          </w:p>
        </w:tc>
        <w:tc>
          <w:tcPr>
            <w:tcW w:w="2126" w:type="dxa"/>
            <w:tcBorders>
              <w:top w:val="nil"/>
              <w:left w:val="nil"/>
              <w:bottom w:val="nil"/>
              <w:right w:val="nil"/>
            </w:tcBorders>
            <w:shd w:val="clear" w:color="auto" w:fill="auto"/>
            <w:vAlign w:val="bottom"/>
          </w:tcPr>
          <w:p w14:paraId="21BA091C"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134" w:type="dxa"/>
            <w:tcBorders>
              <w:top w:val="nil"/>
              <w:left w:val="nil"/>
              <w:bottom w:val="nil"/>
              <w:right w:val="nil"/>
            </w:tcBorders>
            <w:shd w:val="clear" w:color="auto" w:fill="auto"/>
            <w:vAlign w:val="bottom"/>
          </w:tcPr>
          <w:p w14:paraId="78FC313D"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 xml:space="preserve">             -</w:t>
            </w:r>
          </w:p>
        </w:tc>
      </w:tr>
      <w:tr w:rsidR="00EC4499" w14:paraId="5B733F9D" w14:textId="77777777" w:rsidTr="00F73D0C">
        <w:trPr>
          <w:trHeight w:val="288"/>
        </w:trPr>
        <w:tc>
          <w:tcPr>
            <w:tcW w:w="1418" w:type="dxa"/>
            <w:tcBorders>
              <w:top w:val="nil"/>
              <w:left w:val="nil"/>
              <w:bottom w:val="nil"/>
              <w:right w:val="nil"/>
            </w:tcBorders>
            <w:shd w:val="clear" w:color="auto" w:fill="auto"/>
            <w:vAlign w:val="bottom"/>
          </w:tcPr>
          <w:p w14:paraId="775CFDBC"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Sicredi</w:t>
            </w:r>
          </w:p>
        </w:tc>
        <w:tc>
          <w:tcPr>
            <w:tcW w:w="1202" w:type="dxa"/>
            <w:tcBorders>
              <w:top w:val="nil"/>
              <w:left w:val="nil"/>
              <w:bottom w:val="nil"/>
              <w:right w:val="nil"/>
            </w:tcBorders>
            <w:shd w:val="clear" w:color="auto" w:fill="auto"/>
            <w:vAlign w:val="bottom"/>
          </w:tcPr>
          <w:p w14:paraId="457F1281"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148</w:t>
            </w:r>
          </w:p>
        </w:tc>
        <w:tc>
          <w:tcPr>
            <w:tcW w:w="924" w:type="dxa"/>
            <w:tcBorders>
              <w:top w:val="nil"/>
              <w:left w:val="nil"/>
              <w:bottom w:val="nil"/>
              <w:right w:val="nil"/>
            </w:tcBorders>
            <w:shd w:val="clear" w:color="auto" w:fill="auto"/>
            <w:vAlign w:val="bottom"/>
          </w:tcPr>
          <w:p w14:paraId="36F5A66C"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Baixa</w:t>
            </w:r>
          </w:p>
        </w:tc>
        <w:tc>
          <w:tcPr>
            <w:tcW w:w="1843" w:type="dxa"/>
            <w:tcBorders>
              <w:top w:val="nil"/>
              <w:left w:val="nil"/>
              <w:bottom w:val="nil"/>
              <w:right w:val="nil"/>
            </w:tcBorders>
            <w:shd w:val="clear" w:color="auto" w:fill="auto"/>
            <w:vAlign w:val="bottom"/>
          </w:tcPr>
          <w:p w14:paraId="08FE429F"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27</w:t>
            </w:r>
          </w:p>
        </w:tc>
        <w:tc>
          <w:tcPr>
            <w:tcW w:w="2126" w:type="dxa"/>
            <w:tcBorders>
              <w:top w:val="nil"/>
              <w:left w:val="nil"/>
              <w:bottom w:val="nil"/>
              <w:right w:val="nil"/>
            </w:tcBorders>
            <w:shd w:val="clear" w:color="auto" w:fill="auto"/>
            <w:vAlign w:val="bottom"/>
          </w:tcPr>
          <w:p w14:paraId="1D4E88E2"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134" w:type="dxa"/>
            <w:tcBorders>
              <w:top w:val="nil"/>
              <w:left w:val="nil"/>
              <w:bottom w:val="nil"/>
              <w:right w:val="nil"/>
            </w:tcBorders>
            <w:shd w:val="clear" w:color="auto" w:fill="auto"/>
            <w:vAlign w:val="bottom"/>
          </w:tcPr>
          <w:p w14:paraId="68E605A3"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 xml:space="preserve">             6</w:t>
            </w:r>
          </w:p>
        </w:tc>
      </w:tr>
      <w:tr w:rsidR="00EC4499" w14:paraId="7AC2F752" w14:textId="77777777" w:rsidTr="00F73D0C">
        <w:trPr>
          <w:trHeight w:val="288"/>
        </w:trPr>
        <w:tc>
          <w:tcPr>
            <w:tcW w:w="1418" w:type="dxa"/>
            <w:tcBorders>
              <w:top w:val="nil"/>
              <w:left w:val="nil"/>
              <w:bottom w:val="nil"/>
              <w:right w:val="nil"/>
            </w:tcBorders>
            <w:shd w:val="clear" w:color="auto" w:fill="auto"/>
            <w:vAlign w:val="bottom"/>
          </w:tcPr>
          <w:p w14:paraId="6F5C5E79"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Santander</w:t>
            </w:r>
          </w:p>
        </w:tc>
        <w:tc>
          <w:tcPr>
            <w:tcW w:w="1202" w:type="dxa"/>
            <w:tcBorders>
              <w:top w:val="nil"/>
              <w:left w:val="nil"/>
              <w:bottom w:val="nil"/>
              <w:right w:val="nil"/>
            </w:tcBorders>
            <w:shd w:val="clear" w:color="auto" w:fill="auto"/>
            <w:vAlign w:val="bottom"/>
          </w:tcPr>
          <w:p w14:paraId="45A12C23"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145</w:t>
            </w:r>
          </w:p>
        </w:tc>
        <w:tc>
          <w:tcPr>
            <w:tcW w:w="924" w:type="dxa"/>
            <w:tcBorders>
              <w:top w:val="nil"/>
              <w:left w:val="nil"/>
              <w:bottom w:val="nil"/>
              <w:right w:val="nil"/>
            </w:tcBorders>
            <w:shd w:val="clear" w:color="auto" w:fill="auto"/>
            <w:vAlign w:val="bottom"/>
          </w:tcPr>
          <w:p w14:paraId="53270F02"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Baixa</w:t>
            </w:r>
          </w:p>
        </w:tc>
        <w:tc>
          <w:tcPr>
            <w:tcW w:w="1843" w:type="dxa"/>
            <w:tcBorders>
              <w:top w:val="nil"/>
              <w:left w:val="nil"/>
              <w:bottom w:val="nil"/>
              <w:right w:val="nil"/>
            </w:tcBorders>
            <w:shd w:val="clear" w:color="auto" w:fill="auto"/>
            <w:vAlign w:val="bottom"/>
          </w:tcPr>
          <w:p w14:paraId="1C77A6D5"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31</w:t>
            </w:r>
          </w:p>
        </w:tc>
        <w:tc>
          <w:tcPr>
            <w:tcW w:w="2126" w:type="dxa"/>
            <w:tcBorders>
              <w:top w:val="nil"/>
              <w:left w:val="nil"/>
              <w:bottom w:val="nil"/>
              <w:right w:val="nil"/>
            </w:tcBorders>
            <w:shd w:val="clear" w:color="auto" w:fill="auto"/>
            <w:vAlign w:val="bottom"/>
          </w:tcPr>
          <w:p w14:paraId="3547EA75"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134" w:type="dxa"/>
            <w:tcBorders>
              <w:top w:val="nil"/>
              <w:left w:val="nil"/>
              <w:bottom w:val="nil"/>
              <w:right w:val="nil"/>
            </w:tcBorders>
            <w:shd w:val="clear" w:color="auto" w:fill="auto"/>
            <w:vAlign w:val="bottom"/>
          </w:tcPr>
          <w:p w14:paraId="22FA635F"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 xml:space="preserve">             -</w:t>
            </w:r>
          </w:p>
        </w:tc>
      </w:tr>
      <w:tr w:rsidR="00EC4499" w14:paraId="000E7467" w14:textId="77777777" w:rsidTr="00F73D0C">
        <w:trPr>
          <w:trHeight w:val="288"/>
        </w:trPr>
        <w:tc>
          <w:tcPr>
            <w:tcW w:w="1418" w:type="dxa"/>
            <w:tcBorders>
              <w:top w:val="nil"/>
              <w:left w:val="nil"/>
              <w:bottom w:val="nil"/>
              <w:right w:val="nil"/>
            </w:tcBorders>
            <w:shd w:val="clear" w:color="auto" w:fill="auto"/>
            <w:vAlign w:val="bottom"/>
          </w:tcPr>
          <w:p w14:paraId="2496ED64"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Banco do Nordeste</w:t>
            </w:r>
          </w:p>
        </w:tc>
        <w:tc>
          <w:tcPr>
            <w:tcW w:w="1202" w:type="dxa"/>
            <w:tcBorders>
              <w:top w:val="nil"/>
              <w:left w:val="nil"/>
              <w:bottom w:val="nil"/>
              <w:right w:val="nil"/>
            </w:tcBorders>
            <w:shd w:val="clear" w:color="auto" w:fill="auto"/>
            <w:vAlign w:val="bottom"/>
          </w:tcPr>
          <w:p w14:paraId="4D1DDEAF"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133</w:t>
            </w:r>
          </w:p>
        </w:tc>
        <w:tc>
          <w:tcPr>
            <w:tcW w:w="924" w:type="dxa"/>
            <w:tcBorders>
              <w:top w:val="nil"/>
              <w:left w:val="nil"/>
              <w:bottom w:val="nil"/>
              <w:right w:val="nil"/>
            </w:tcBorders>
            <w:shd w:val="clear" w:color="auto" w:fill="auto"/>
            <w:vAlign w:val="bottom"/>
          </w:tcPr>
          <w:p w14:paraId="0DF4B2BF"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Baixa</w:t>
            </w:r>
          </w:p>
        </w:tc>
        <w:tc>
          <w:tcPr>
            <w:tcW w:w="1843" w:type="dxa"/>
            <w:tcBorders>
              <w:top w:val="nil"/>
              <w:left w:val="nil"/>
              <w:bottom w:val="nil"/>
              <w:right w:val="nil"/>
            </w:tcBorders>
            <w:shd w:val="clear" w:color="auto" w:fill="auto"/>
            <w:vAlign w:val="bottom"/>
          </w:tcPr>
          <w:p w14:paraId="7F7A14B0"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24</w:t>
            </w:r>
          </w:p>
        </w:tc>
        <w:tc>
          <w:tcPr>
            <w:tcW w:w="2126" w:type="dxa"/>
            <w:tcBorders>
              <w:top w:val="nil"/>
              <w:left w:val="nil"/>
              <w:bottom w:val="nil"/>
              <w:right w:val="nil"/>
            </w:tcBorders>
            <w:shd w:val="clear" w:color="auto" w:fill="auto"/>
            <w:vAlign w:val="bottom"/>
          </w:tcPr>
          <w:p w14:paraId="097892D6"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134" w:type="dxa"/>
            <w:tcBorders>
              <w:top w:val="nil"/>
              <w:left w:val="nil"/>
              <w:bottom w:val="nil"/>
              <w:right w:val="nil"/>
            </w:tcBorders>
            <w:shd w:val="clear" w:color="auto" w:fill="auto"/>
            <w:vAlign w:val="bottom"/>
          </w:tcPr>
          <w:p w14:paraId="71A5C89F"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 xml:space="preserve">            11</w:t>
            </w:r>
          </w:p>
        </w:tc>
      </w:tr>
      <w:tr w:rsidR="00EC4499" w14:paraId="49C1C9AE" w14:textId="77777777" w:rsidTr="00F73D0C">
        <w:trPr>
          <w:trHeight w:val="288"/>
        </w:trPr>
        <w:tc>
          <w:tcPr>
            <w:tcW w:w="1418" w:type="dxa"/>
            <w:tcBorders>
              <w:top w:val="nil"/>
              <w:left w:val="nil"/>
              <w:right w:val="nil"/>
            </w:tcBorders>
            <w:shd w:val="clear" w:color="auto" w:fill="auto"/>
            <w:vAlign w:val="bottom"/>
          </w:tcPr>
          <w:p w14:paraId="4594319D"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J.P. Morgan</w:t>
            </w:r>
          </w:p>
        </w:tc>
        <w:tc>
          <w:tcPr>
            <w:tcW w:w="1202" w:type="dxa"/>
            <w:tcBorders>
              <w:top w:val="nil"/>
              <w:left w:val="nil"/>
              <w:right w:val="nil"/>
            </w:tcBorders>
            <w:shd w:val="clear" w:color="auto" w:fill="auto"/>
            <w:vAlign w:val="bottom"/>
          </w:tcPr>
          <w:p w14:paraId="61403597"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66</w:t>
            </w:r>
          </w:p>
        </w:tc>
        <w:tc>
          <w:tcPr>
            <w:tcW w:w="924" w:type="dxa"/>
            <w:tcBorders>
              <w:top w:val="nil"/>
              <w:left w:val="nil"/>
              <w:right w:val="nil"/>
            </w:tcBorders>
            <w:shd w:val="clear" w:color="auto" w:fill="auto"/>
            <w:vAlign w:val="bottom"/>
          </w:tcPr>
          <w:p w14:paraId="7754DC5C"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Muito Baixa</w:t>
            </w:r>
          </w:p>
        </w:tc>
        <w:tc>
          <w:tcPr>
            <w:tcW w:w="1843" w:type="dxa"/>
            <w:tcBorders>
              <w:top w:val="nil"/>
              <w:left w:val="nil"/>
              <w:right w:val="nil"/>
            </w:tcBorders>
            <w:shd w:val="clear" w:color="auto" w:fill="auto"/>
            <w:vAlign w:val="bottom"/>
          </w:tcPr>
          <w:p w14:paraId="0D96B4F4"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14</w:t>
            </w:r>
          </w:p>
        </w:tc>
        <w:tc>
          <w:tcPr>
            <w:tcW w:w="2126" w:type="dxa"/>
            <w:tcBorders>
              <w:top w:val="nil"/>
              <w:left w:val="nil"/>
              <w:right w:val="nil"/>
            </w:tcBorders>
            <w:shd w:val="clear" w:color="auto" w:fill="auto"/>
            <w:vAlign w:val="bottom"/>
          </w:tcPr>
          <w:p w14:paraId="69A8AE1C"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5, 8</w:t>
            </w:r>
          </w:p>
        </w:tc>
        <w:tc>
          <w:tcPr>
            <w:tcW w:w="1134" w:type="dxa"/>
            <w:tcBorders>
              <w:top w:val="nil"/>
              <w:left w:val="nil"/>
              <w:right w:val="nil"/>
            </w:tcBorders>
            <w:shd w:val="clear" w:color="auto" w:fill="auto"/>
            <w:vAlign w:val="bottom"/>
          </w:tcPr>
          <w:p w14:paraId="072C4E3A"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 xml:space="preserve">             6</w:t>
            </w:r>
          </w:p>
        </w:tc>
      </w:tr>
      <w:tr w:rsidR="00EC4499" w14:paraId="1BC4215C" w14:textId="77777777" w:rsidTr="00F73D0C">
        <w:trPr>
          <w:trHeight w:val="288"/>
        </w:trPr>
        <w:tc>
          <w:tcPr>
            <w:tcW w:w="1418" w:type="dxa"/>
            <w:tcBorders>
              <w:top w:val="nil"/>
              <w:left w:val="nil"/>
              <w:bottom w:val="single" w:sz="4" w:space="0" w:color="000000"/>
              <w:right w:val="nil"/>
            </w:tcBorders>
            <w:shd w:val="clear" w:color="auto" w:fill="auto"/>
            <w:vAlign w:val="bottom"/>
          </w:tcPr>
          <w:p w14:paraId="2A630469"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Caixa</w:t>
            </w:r>
          </w:p>
        </w:tc>
        <w:tc>
          <w:tcPr>
            <w:tcW w:w="1202" w:type="dxa"/>
            <w:tcBorders>
              <w:top w:val="nil"/>
              <w:left w:val="nil"/>
              <w:bottom w:val="single" w:sz="4" w:space="0" w:color="000000"/>
              <w:right w:val="nil"/>
            </w:tcBorders>
            <w:shd w:val="clear" w:color="auto" w:fill="auto"/>
            <w:vAlign w:val="bottom"/>
          </w:tcPr>
          <w:p w14:paraId="33ACEEB6"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53</w:t>
            </w:r>
          </w:p>
        </w:tc>
        <w:tc>
          <w:tcPr>
            <w:tcW w:w="924" w:type="dxa"/>
            <w:tcBorders>
              <w:top w:val="nil"/>
              <w:left w:val="nil"/>
              <w:bottom w:val="single" w:sz="4" w:space="0" w:color="000000"/>
              <w:right w:val="nil"/>
            </w:tcBorders>
            <w:shd w:val="clear" w:color="auto" w:fill="auto"/>
            <w:vAlign w:val="bottom"/>
          </w:tcPr>
          <w:p w14:paraId="0C4E894C"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Muito Baixa</w:t>
            </w:r>
          </w:p>
        </w:tc>
        <w:tc>
          <w:tcPr>
            <w:tcW w:w="1843" w:type="dxa"/>
            <w:tcBorders>
              <w:top w:val="nil"/>
              <w:left w:val="nil"/>
              <w:bottom w:val="single" w:sz="4" w:space="0" w:color="000000"/>
              <w:right w:val="nil"/>
            </w:tcBorders>
            <w:shd w:val="clear" w:color="auto" w:fill="auto"/>
            <w:vAlign w:val="bottom"/>
          </w:tcPr>
          <w:p w14:paraId="3BF5DF88"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14</w:t>
            </w:r>
          </w:p>
        </w:tc>
        <w:tc>
          <w:tcPr>
            <w:tcW w:w="2126" w:type="dxa"/>
            <w:tcBorders>
              <w:top w:val="nil"/>
              <w:left w:val="nil"/>
              <w:bottom w:val="single" w:sz="4" w:space="0" w:color="000000"/>
              <w:right w:val="nil"/>
            </w:tcBorders>
            <w:shd w:val="clear" w:color="auto" w:fill="auto"/>
            <w:vAlign w:val="bottom"/>
          </w:tcPr>
          <w:p w14:paraId="628D43B7"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134" w:type="dxa"/>
            <w:tcBorders>
              <w:top w:val="nil"/>
              <w:left w:val="nil"/>
              <w:bottom w:val="single" w:sz="4" w:space="0" w:color="000000"/>
              <w:right w:val="nil"/>
            </w:tcBorders>
            <w:shd w:val="clear" w:color="auto" w:fill="auto"/>
            <w:vAlign w:val="bottom"/>
          </w:tcPr>
          <w:p w14:paraId="606B9F1E"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1, 2, 6, 7, 9, 11, 12, 13, 14, 15 17</w:t>
            </w:r>
          </w:p>
        </w:tc>
      </w:tr>
      <w:tr w:rsidR="00EC4499" w14:paraId="46AD7024" w14:textId="77777777" w:rsidTr="00F73D0C">
        <w:trPr>
          <w:trHeight w:val="288"/>
        </w:trPr>
        <w:tc>
          <w:tcPr>
            <w:tcW w:w="1418" w:type="dxa"/>
            <w:tcBorders>
              <w:top w:val="single" w:sz="4" w:space="0" w:color="000000"/>
              <w:left w:val="nil"/>
              <w:bottom w:val="nil"/>
              <w:right w:val="nil"/>
            </w:tcBorders>
            <w:shd w:val="clear" w:color="auto" w:fill="auto"/>
            <w:vAlign w:val="bottom"/>
          </w:tcPr>
          <w:p w14:paraId="4E4089A2" w14:textId="77777777" w:rsidR="00EC4499" w:rsidRDefault="00433EA7">
            <w:pPr>
              <w:spacing w:after="0" w:line="240" w:lineRule="auto"/>
              <w:rPr>
                <w:rFonts w:ascii="Garamond" w:eastAsia="Garamond" w:hAnsi="Garamond" w:cs="Garamond"/>
                <w:b/>
                <w:color w:val="000000"/>
                <w:sz w:val="16"/>
                <w:szCs w:val="16"/>
              </w:rPr>
            </w:pPr>
            <w:r>
              <w:rPr>
                <w:rFonts w:ascii="Garamond" w:eastAsia="Garamond" w:hAnsi="Garamond" w:cs="Garamond"/>
                <w:b/>
                <w:color w:val="000000"/>
                <w:sz w:val="16"/>
                <w:szCs w:val="16"/>
              </w:rPr>
              <w:t>Média</w:t>
            </w:r>
          </w:p>
        </w:tc>
        <w:tc>
          <w:tcPr>
            <w:tcW w:w="1202" w:type="dxa"/>
            <w:tcBorders>
              <w:top w:val="single" w:sz="4" w:space="0" w:color="000000"/>
              <w:left w:val="nil"/>
              <w:bottom w:val="nil"/>
              <w:right w:val="nil"/>
            </w:tcBorders>
            <w:shd w:val="clear" w:color="auto" w:fill="auto"/>
            <w:vAlign w:val="bottom"/>
          </w:tcPr>
          <w:p w14:paraId="1CECE312" w14:textId="77777777" w:rsidR="00EC4499" w:rsidRDefault="00433EA7">
            <w:pPr>
              <w:spacing w:after="0" w:line="240" w:lineRule="auto"/>
              <w:jc w:val="center"/>
              <w:rPr>
                <w:rFonts w:ascii="Garamond" w:eastAsia="Garamond" w:hAnsi="Garamond" w:cs="Garamond"/>
                <w:b/>
                <w:color w:val="000000"/>
                <w:sz w:val="16"/>
                <w:szCs w:val="16"/>
              </w:rPr>
            </w:pPr>
            <w:r>
              <w:rPr>
                <w:rFonts w:ascii="Garamond" w:eastAsia="Garamond" w:hAnsi="Garamond" w:cs="Garamond"/>
                <w:b/>
                <w:color w:val="000000"/>
                <w:sz w:val="16"/>
                <w:szCs w:val="16"/>
              </w:rPr>
              <w:t>154,8</w:t>
            </w:r>
          </w:p>
        </w:tc>
        <w:tc>
          <w:tcPr>
            <w:tcW w:w="924" w:type="dxa"/>
            <w:tcBorders>
              <w:top w:val="single" w:sz="4" w:space="0" w:color="000000"/>
              <w:left w:val="nil"/>
              <w:bottom w:val="nil"/>
              <w:right w:val="nil"/>
            </w:tcBorders>
            <w:shd w:val="clear" w:color="auto" w:fill="auto"/>
            <w:vAlign w:val="bottom"/>
          </w:tcPr>
          <w:p w14:paraId="46CFED80" w14:textId="77777777" w:rsidR="00EC4499" w:rsidRDefault="00EC4499">
            <w:pPr>
              <w:spacing w:after="0" w:line="240" w:lineRule="auto"/>
              <w:jc w:val="center"/>
              <w:rPr>
                <w:rFonts w:ascii="Garamond" w:eastAsia="Garamond" w:hAnsi="Garamond" w:cs="Garamond"/>
                <w:b/>
                <w:color w:val="000000"/>
                <w:sz w:val="16"/>
                <w:szCs w:val="16"/>
              </w:rPr>
            </w:pPr>
          </w:p>
        </w:tc>
        <w:tc>
          <w:tcPr>
            <w:tcW w:w="1843" w:type="dxa"/>
            <w:tcBorders>
              <w:top w:val="single" w:sz="4" w:space="0" w:color="000000"/>
              <w:left w:val="nil"/>
              <w:bottom w:val="nil"/>
              <w:right w:val="nil"/>
            </w:tcBorders>
            <w:shd w:val="clear" w:color="auto" w:fill="auto"/>
            <w:vAlign w:val="bottom"/>
          </w:tcPr>
          <w:p w14:paraId="31D717AD" w14:textId="77777777" w:rsidR="00EC4499" w:rsidRDefault="00433EA7">
            <w:pPr>
              <w:spacing w:after="0" w:line="240" w:lineRule="auto"/>
              <w:jc w:val="center"/>
              <w:rPr>
                <w:rFonts w:ascii="Garamond" w:eastAsia="Garamond" w:hAnsi="Garamond" w:cs="Garamond"/>
                <w:b/>
                <w:color w:val="000000"/>
                <w:sz w:val="16"/>
                <w:szCs w:val="16"/>
              </w:rPr>
            </w:pPr>
            <w:r>
              <w:rPr>
                <w:rFonts w:ascii="Garamond" w:eastAsia="Garamond" w:hAnsi="Garamond" w:cs="Garamond"/>
                <w:b/>
                <w:color w:val="000000"/>
                <w:sz w:val="16"/>
                <w:szCs w:val="16"/>
              </w:rPr>
              <w:t>33,3</w:t>
            </w:r>
          </w:p>
        </w:tc>
        <w:tc>
          <w:tcPr>
            <w:tcW w:w="2126" w:type="dxa"/>
            <w:tcBorders>
              <w:top w:val="single" w:sz="4" w:space="0" w:color="000000"/>
              <w:left w:val="nil"/>
              <w:bottom w:val="nil"/>
              <w:right w:val="nil"/>
            </w:tcBorders>
            <w:shd w:val="clear" w:color="auto" w:fill="auto"/>
            <w:vAlign w:val="bottom"/>
          </w:tcPr>
          <w:p w14:paraId="23B408F6" w14:textId="77777777" w:rsidR="00EC4499" w:rsidRDefault="00EC4499">
            <w:pPr>
              <w:spacing w:after="0" w:line="240" w:lineRule="auto"/>
              <w:jc w:val="center"/>
              <w:rPr>
                <w:rFonts w:ascii="Garamond" w:eastAsia="Garamond" w:hAnsi="Garamond" w:cs="Garamond"/>
                <w:b/>
                <w:color w:val="000000"/>
                <w:sz w:val="16"/>
                <w:szCs w:val="16"/>
              </w:rPr>
            </w:pPr>
          </w:p>
        </w:tc>
        <w:tc>
          <w:tcPr>
            <w:tcW w:w="1134" w:type="dxa"/>
            <w:tcBorders>
              <w:top w:val="single" w:sz="4" w:space="0" w:color="000000"/>
              <w:left w:val="nil"/>
              <w:bottom w:val="nil"/>
              <w:right w:val="nil"/>
            </w:tcBorders>
            <w:shd w:val="clear" w:color="auto" w:fill="auto"/>
            <w:vAlign w:val="bottom"/>
          </w:tcPr>
          <w:p w14:paraId="4CC89949" w14:textId="77777777" w:rsidR="00EC4499" w:rsidRDefault="00EC4499">
            <w:pPr>
              <w:spacing w:after="0" w:line="240" w:lineRule="auto"/>
              <w:jc w:val="center"/>
              <w:rPr>
                <w:rFonts w:ascii="Garamond" w:eastAsia="Garamond" w:hAnsi="Garamond" w:cs="Garamond"/>
                <w:sz w:val="16"/>
                <w:szCs w:val="16"/>
              </w:rPr>
            </w:pPr>
          </w:p>
        </w:tc>
      </w:tr>
    </w:tbl>
    <w:p w14:paraId="06B40121" w14:textId="77777777" w:rsidR="00EC4499" w:rsidRDefault="00EC4499">
      <w:pPr>
        <w:spacing w:after="0" w:line="360" w:lineRule="auto"/>
        <w:rPr>
          <w:rFonts w:ascii="Garamond" w:eastAsia="Garamond" w:hAnsi="Garamond" w:cs="Garamond"/>
          <w:b/>
          <w:color w:val="000000"/>
          <w:sz w:val="16"/>
          <w:szCs w:val="16"/>
        </w:rPr>
      </w:pPr>
    </w:p>
    <w:p w14:paraId="75AA25D0" w14:textId="77777777" w:rsidR="00EC4499" w:rsidRDefault="00EC4499">
      <w:pPr>
        <w:spacing w:after="0" w:line="360" w:lineRule="auto"/>
        <w:rPr>
          <w:rFonts w:ascii="Garamond" w:eastAsia="Garamond" w:hAnsi="Garamond" w:cs="Garamond"/>
          <w:sz w:val="24"/>
          <w:szCs w:val="24"/>
        </w:rPr>
      </w:pPr>
    </w:p>
    <w:p w14:paraId="1B799F77" w14:textId="0F348CE1" w:rsidR="00EC4499" w:rsidRDefault="00433EA7">
      <w:pPr>
        <w:spacing w:after="0" w:line="360" w:lineRule="auto"/>
        <w:jc w:val="center"/>
        <w:rPr>
          <w:rFonts w:ascii="Garamond" w:eastAsia="Garamond" w:hAnsi="Garamond" w:cs="Garamond"/>
          <w:i/>
          <w:color w:val="000000"/>
          <w:sz w:val="24"/>
          <w:szCs w:val="24"/>
        </w:rPr>
      </w:pPr>
      <w:r>
        <w:rPr>
          <w:rFonts w:ascii="Garamond" w:eastAsia="Garamond" w:hAnsi="Garamond" w:cs="Garamond"/>
          <w:color w:val="000000"/>
          <w:sz w:val="24"/>
          <w:szCs w:val="24"/>
        </w:rPr>
        <w:t xml:space="preserve">Tabela 8 - Resultados Qualidade 2022 </w:t>
      </w:r>
    </w:p>
    <w:tbl>
      <w:tblPr>
        <w:tblStyle w:val="a6"/>
        <w:tblW w:w="8647" w:type="dxa"/>
        <w:tblInd w:w="0" w:type="dxa"/>
        <w:tblLayout w:type="fixed"/>
        <w:tblLook w:val="0400" w:firstRow="0" w:lastRow="0" w:firstColumn="0" w:lastColumn="0" w:noHBand="0" w:noVBand="1"/>
      </w:tblPr>
      <w:tblGrid>
        <w:gridCol w:w="1418"/>
        <w:gridCol w:w="1202"/>
        <w:gridCol w:w="924"/>
        <w:gridCol w:w="1843"/>
        <w:gridCol w:w="2126"/>
        <w:gridCol w:w="1134"/>
      </w:tblGrid>
      <w:tr w:rsidR="00EC4499" w14:paraId="74DFE712" w14:textId="77777777" w:rsidTr="00F73D0C">
        <w:trPr>
          <w:trHeight w:val="288"/>
        </w:trPr>
        <w:tc>
          <w:tcPr>
            <w:tcW w:w="1418" w:type="dxa"/>
            <w:tcBorders>
              <w:top w:val="nil"/>
              <w:left w:val="nil"/>
              <w:bottom w:val="single" w:sz="4" w:space="0" w:color="000000"/>
              <w:right w:val="nil"/>
            </w:tcBorders>
            <w:shd w:val="clear" w:color="auto" w:fill="auto"/>
            <w:vAlign w:val="bottom"/>
          </w:tcPr>
          <w:p w14:paraId="23E7584C" w14:textId="77777777" w:rsidR="00EC4499" w:rsidRDefault="00433EA7">
            <w:pPr>
              <w:spacing w:after="0" w:line="240" w:lineRule="auto"/>
              <w:rPr>
                <w:rFonts w:ascii="Garamond" w:eastAsia="Garamond" w:hAnsi="Garamond" w:cs="Garamond"/>
                <w:b/>
                <w:color w:val="000000"/>
                <w:sz w:val="16"/>
                <w:szCs w:val="16"/>
              </w:rPr>
            </w:pPr>
            <w:r>
              <w:rPr>
                <w:rFonts w:ascii="Garamond" w:eastAsia="Garamond" w:hAnsi="Garamond" w:cs="Garamond"/>
                <w:b/>
                <w:color w:val="000000"/>
                <w:sz w:val="16"/>
                <w:szCs w:val="16"/>
              </w:rPr>
              <w:t>Bancos</w:t>
            </w:r>
          </w:p>
        </w:tc>
        <w:tc>
          <w:tcPr>
            <w:tcW w:w="1202" w:type="dxa"/>
            <w:tcBorders>
              <w:top w:val="nil"/>
              <w:left w:val="nil"/>
              <w:bottom w:val="single" w:sz="4" w:space="0" w:color="000000"/>
              <w:right w:val="nil"/>
            </w:tcBorders>
            <w:shd w:val="clear" w:color="auto" w:fill="auto"/>
            <w:vAlign w:val="bottom"/>
          </w:tcPr>
          <w:p w14:paraId="7D331AB2" w14:textId="77777777" w:rsidR="00EC4499" w:rsidRDefault="00433EA7">
            <w:pPr>
              <w:spacing w:after="0" w:line="240" w:lineRule="auto"/>
              <w:jc w:val="center"/>
              <w:rPr>
                <w:rFonts w:ascii="Garamond" w:eastAsia="Garamond" w:hAnsi="Garamond" w:cs="Garamond"/>
                <w:b/>
                <w:color w:val="000000"/>
                <w:sz w:val="16"/>
                <w:szCs w:val="16"/>
              </w:rPr>
            </w:pPr>
            <w:r>
              <w:rPr>
                <w:rFonts w:ascii="Garamond" w:eastAsia="Garamond" w:hAnsi="Garamond" w:cs="Garamond"/>
                <w:b/>
                <w:color w:val="000000"/>
                <w:sz w:val="16"/>
                <w:szCs w:val="16"/>
              </w:rPr>
              <w:t>DQPI</w:t>
            </w:r>
          </w:p>
        </w:tc>
        <w:tc>
          <w:tcPr>
            <w:tcW w:w="924" w:type="dxa"/>
            <w:tcBorders>
              <w:top w:val="nil"/>
              <w:left w:val="nil"/>
              <w:bottom w:val="single" w:sz="4" w:space="0" w:color="000000"/>
              <w:right w:val="nil"/>
            </w:tcBorders>
            <w:shd w:val="clear" w:color="auto" w:fill="auto"/>
            <w:vAlign w:val="bottom"/>
          </w:tcPr>
          <w:p w14:paraId="2C941C9F" w14:textId="77777777" w:rsidR="00EC4499" w:rsidRDefault="00433EA7">
            <w:pPr>
              <w:spacing w:after="0" w:line="240" w:lineRule="auto"/>
              <w:jc w:val="center"/>
              <w:rPr>
                <w:rFonts w:ascii="Garamond" w:eastAsia="Garamond" w:hAnsi="Garamond" w:cs="Garamond"/>
                <w:b/>
                <w:color w:val="000000"/>
                <w:sz w:val="16"/>
                <w:szCs w:val="16"/>
              </w:rPr>
            </w:pPr>
            <w:r>
              <w:rPr>
                <w:rFonts w:ascii="Garamond" w:eastAsia="Garamond" w:hAnsi="Garamond" w:cs="Garamond"/>
                <w:b/>
                <w:color w:val="000000"/>
                <w:sz w:val="16"/>
                <w:szCs w:val="16"/>
              </w:rPr>
              <w:t>Qualidade</w:t>
            </w:r>
          </w:p>
        </w:tc>
        <w:tc>
          <w:tcPr>
            <w:tcW w:w="1843" w:type="dxa"/>
            <w:tcBorders>
              <w:top w:val="nil"/>
              <w:left w:val="nil"/>
              <w:bottom w:val="single" w:sz="4" w:space="0" w:color="000000"/>
              <w:right w:val="nil"/>
            </w:tcBorders>
            <w:shd w:val="clear" w:color="auto" w:fill="auto"/>
            <w:vAlign w:val="bottom"/>
          </w:tcPr>
          <w:p w14:paraId="491AC046" w14:textId="77777777" w:rsidR="00EC4499" w:rsidRDefault="00433EA7">
            <w:pPr>
              <w:spacing w:after="0" w:line="240" w:lineRule="auto"/>
              <w:jc w:val="center"/>
              <w:rPr>
                <w:rFonts w:ascii="Garamond" w:eastAsia="Garamond" w:hAnsi="Garamond" w:cs="Garamond"/>
                <w:b/>
                <w:color w:val="000000"/>
                <w:sz w:val="16"/>
                <w:szCs w:val="16"/>
              </w:rPr>
            </w:pPr>
            <w:r>
              <w:rPr>
                <w:rFonts w:ascii="Garamond" w:eastAsia="Garamond" w:hAnsi="Garamond" w:cs="Garamond"/>
                <w:b/>
                <w:color w:val="000000"/>
                <w:sz w:val="16"/>
                <w:szCs w:val="16"/>
              </w:rPr>
              <w:t>Qt. conteúdos</w:t>
            </w:r>
          </w:p>
        </w:tc>
        <w:tc>
          <w:tcPr>
            <w:tcW w:w="2126" w:type="dxa"/>
            <w:tcBorders>
              <w:top w:val="nil"/>
              <w:left w:val="nil"/>
              <w:bottom w:val="single" w:sz="4" w:space="0" w:color="000000"/>
              <w:right w:val="nil"/>
            </w:tcBorders>
            <w:shd w:val="clear" w:color="auto" w:fill="auto"/>
            <w:vAlign w:val="bottom"/>
          </w:tcPr>
          <w:p w14:paraId="224F2655" w14:textId="77777777" w:rsidR="00EC4499" w:rsidRDefault="00433EA7">
            <w:pPr>
              <w:spacing w:after="0" w:line="240" w:lineRule="auto"/>
              <w:jc w:val="center"/>
              <w:rPr>
                <w:rFonts w:ascii="Garamond" w:eastAsia="Garamond" w:hAnsi="Garamond" w:cs="Garamond"/>
                <w:b/>
                <w:color w:val="000000"/>
                <w:sz w:val="16"/>
                <w:szCs w:val="16"/>
              </w:rPr>
            </w:pPr>
            <w:r>
              <w:rPr>
                <w:rFonts w:ascii="Garamond" w:eastAsia="Garamond" w:hAnsi="Garamond" w:cs="Garamond"/>
                <w:b/>
                <w:color w:val="000000"/>
                <w:sz w:val="16"/>
                <w:szCs w:val="16"/>
              </w:rPr>
              <w:t>ODS maior pontuação</w:t>
            </w:r>
          </w:p>
        </w:tc>
        <w:tc>
          <w:tcPr>
            <w:tcW w:w="1134" w:type="dxa"/>
            <w:tcBorders>
              <w:top w:val="nil"/>
              <w:left w:val="nil"/>
              <w:bottom w:val="single" w:sz="4" w:space="0" w:color="000000"/>
              <w:right w:val="nil"/>
            </w:tcBorders>
            <w:shd w:val="clear" w:color="auto" w:fill="auto"/>
            <w:vAlign w:val="bottom"/>
          </w:tcPr>
          <w:p w14:paraId="517E49BE" w14:textId="77777777" w:rsidR="00EC4499" w:rsidRDefault="00433EA7">
            <w:pPr>
              <w:spacing w:after="0" w:line="240" w:lineRule="auto"/>
              <w:rPr>
                <w:rFonts w:ascii="Garamond" w:eastAsia="Garamond" w:hAnsi="Garamond" w:cs="Garamond"/>
                <w:b/>
                <w:color w:val="000000"/>
                <w:sz w:val="16"/>
                <w:szCs w:val="16"/>
              </w:rPr>
            </w:pPr>
            <w:r>
              <w:rPr>
                <w:rFonts w:ascii="Garamond" w:eastAsia="Garamond" w:hAnsi="Garamond" w:cs="Garamond"/>
                <w:b/>
                <w:color w:val="000000"/>
                <w:sz w:val="16"/>
                <w:szCs w:val="16"/>
              </w:rPr>
              <w:t>ODS não comunicados</w:t>
            </w:r>
          </w:p>
        </w:tc>
      </w:tr>
      <w:tr w:rsidR="00EC4499" w14:paraId="25443793" w14:textId="77777777" w:rsidTr="00F73D0C">
        <w:trPr>
          <w:trHeight w:val="288"/>
        </w:trPr>
        <w:tc>
          <w:tcPr>
            <w:tcW w:w="1418" w:type="dxa"/>
            <w:tcBorders>
              <w:top w:val="single" w:sz="4" w:space="0" w:color="000000"/>
              <w:left w:val="nil"/>
              <w:bottom w:val="nil"/>
              <w:right w:val="nil"/>
            </w:tcBorders>
            <w:shd w:val="clear" w:color="auto" w:fill="auto"/>
            <w:vAlign w:val="bottom"/>
          </w:tcPr>
          <w:p w14:paraId="4CB090B4"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Bradesco</w:t>
            </w:r>
          </w:p>
        </w:tc>
        <w:tc>
          <w:tcPr>
            <w:tcW w:w="1202" w:type="dxa"/>
            <w:tcBorders>
              <w:top w:val="single" w:sz="4" w:space="0" w:color="000000"/>
              <w:left w:val="nil"/>
              <w:bottom w:val="nil"/>
              <w:right w:val="nil"/>
            </w:tcBorders>
            <w:shd w:val="clear" w:color="auto" w:fill="auto"/>
            <w:vAlign w:val="bottom"/>
          </w:tcPr>
          <w:p w14:paraId="2CAC2A46"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257</w:t>
            </w:r>
          </w:p>
        </w:tc>
        <w:tc>
          <w:tcPr>
            <w:tcW w:w="924" w:type="dxa"/>
            <w:tcBorders>
              <w:top w:val="single" w:sz="4" w:space="0" w:color="000000"/>
              <w:left w:val="nil"/>
              <w:bottom w:val="nil"/>
              <w:right w:val="nil"/>
            </w:tcBorders>
            <w:shd w:val="clear" w:color="auto" w:fill="auto"/>
            <w:vAlign w:val="bottom"/>
          </w:tcPr>
          <w:p w14:paraId="63DE93F2"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Média</w:t>
            </w:r>
          </w:p>
        </w:tc>
        <w:tc>
          <w:tcPr>
            <w:tcW w:w="1843" w:type="dxa"/>
            <w:tcBorders>
              <w:top w:val="single" w:sz="4" w:space="0" w:color="000000"/>
              <w:left w:val="nil"/>
              <w:bottom w:val="nil"/>
              <w:right w:val="nil"/>
            </w:tcBorders>
            <w:shd w:val="clear" w:color="auto" w:fill="auto"/>
            <w:vAlign w:val="bottom"/>
          </w:tcPr>
          <w:p w14:paraId="6CDEA6EB"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63</w:t>
            </w:r>
          </w:p>
        </w:tc>
        <w:tc>
          <w:tcPr>
            <w:tcW w:w="2126" w:type="dxa"/>
            <w:tcBorders>
              <w:top w:val="single" w:sz="4" w:space="0" w:color="000000"/>
              <w:left w:val="nil"/>
              <w:bottom w:val="nil"/>
              <w:right w:val="nil"/>
            </w:tcBorders>
            <w:shd w:val="clear" w:color="auto" w:fill="auto"/>
            <w:vAlign w:val="bottom"/>
          </w:tcPr>
          <w:p w14:paraId="34B676D0"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134" w:type="dxa"/>
            <w:tcBorders>
              <w:top w:val="single" w:sz="4" w:space="0" w:color="000000"/>
              <w:left w:val="nil"/>
              <w:bottom w:val="nil"/>
              <w:right w:val="nil"/>
            </w:tcBorders>
            <w:shd w:val="clear" w:color="auto" w:fill="auto"/>
            <w:vAlign w:val="bottom"/>
          </w:tcPr>
          <w:p w14:paraId="56F8E3B3"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 xml:space="preserve">            11</w:t>
            </w:r>
          </w:p>
        </w:tc>
      </w:tr>
      <w:tr w:rsidR="00EC4499" w14:paraId="09B352E6" w14:textId="77777777" w:rsidTr="00F73D0C">
        <w:trPr>
          <w:trHeight w:val="288"/>
        </w:trPr>
        <w:tc>
          <w:tcPr>
            <w:tcW w:w="1418" w:type="dxa"/>
            <w:tcBorders>
              <w:top w:val="nil"/>
              <w:left w:val="nil"/>
              <w:bottom w:val="nil"/>
              <w:right w:val="nil"/>
            </w:tcBorders>
            <w:shd w:val="clear" w:color="auto" w:fill="auto"/>
            <w:vAlign w:val="bottom"/>
          </w:tcPr>
          <w:p w14:paraId="4514CB4F"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BNDES</w:t>
            </w:r>
          </w:p>
        </w:tc>
        <w:tc>
          <w:tcPr>
            <w:tcW w:w="1202" w:type="dxa"/>
            <w:tcBorders>
              <w:top w:val="nil"/>
              <w:left w:val="nil"/>
              <w:bottom w:val="nil"/>
              <w:right w:val="nil"/>
            </w:tcBorders>
            <w:shd w:val="clear" w:color="auto" w:fill="auto"/>
            <w:vAlign w:val="bottom"/>
          </w:tcPr>
          <w:p w14:paraId="49C8656C"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218</w:t>
            </w:r>
          </w:p>
        </w:tc>
        <w:tc>
          <w:tcPr>
            <w:tcW w:w="924" w:type="dxa"/>
            <w:tcBorders>
              <w:top w:val="nil"/>
              <w:left w:val="nil"/>
              <w:bottom w:val="nil"/>
              <w:right w:val="nil"/>
            </w:tcBorders>
            <w:shd w:val="clear" w:color="auto" w:fill="auto"/>
            <w:vAlign w:val="bottom"/>
          </w:tcPr>
          <w:p w14:paraId="27E7C444"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Média</w:t>
            </w:r>
          </w:p>
        </w:tc>
        <w:tc>
          <w:tcPr>
            <w:tcW w:w="1843" w:type="dxa"/>
            <w:tcBorders>
              <w:top w:val="nil"/>
              <w:left w:val="nil"/>
              <w:bottom w:val="nil"/>
              <w:right w:val="nil"/>
            </w:tcBorders>
            <w:shd w:val="clear" w:color="auto" w:fill="auto"/>
            <w:vAlign w:val="bottom"/>
          </w:tcPr>
          <w:p w14:paraId="01612AFD"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49</w:t>
            </w:r>
          </w:p>
        </w:tc>
        <w:tc>
          <w:tcPr>
            <w:tcW w:w="2126" w:type="dxa"/>
            <w:tcBorders>
              <w:top w:val="nil"/>
              <w:left w:val="nil"/>
              <w:bottom w:val="nil"/>
              <w:right w:val="nil"/>
            </w:tcBorders>
            <w:shd w:val="clear" w:color="auto" w:fill="auto"/>
            <w:vAlign w:val="bottom"/>
          </w:tcPr>
          <w:p w14:paraId="07BAEDED"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134" w:type="dxa"/>
            <w:tcBorders>
              <w:top w:val="nil"/>
              <w:left w:val="nil"/>
              <w:bottom w:val="nil"/>
              <w:right w:val="nil"/>
            </w:tcBorders>
            <w:shd w:val="clear" w:color="auto" w:fill="auto"/>
            <w:vAlign w:val="bottom"/>
          </w:tcPr>
          <w:p w14:paraId="2946518D"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 xml:space="preserve">             -</w:t>
            </w:r>
          </w:p>
        </w:tc>
      </w:tr>
      <w:tr w:rsidR="00EC4499" w14:paraId="094E7F5F" w14:textId="77777777" w:rsidTr="00F73D0C">
        <w:trPr>
          <w:trHeight w:val="288"/>
        </w:trPr>
        <w:tc>
          <w:tcPr>
            <w:tcW w:w="1418" w:type="dxa"/>
            <w:tcBorders>
              <w:top w:val="nil"/>
              <w:left w:val="nil"/>
              <w:bottom w:val="nil"/>
              <w:right w:val="nil"/>
            </w:tcBorders>
            <w:shd w:val="clear" w:color="auto" w:fill="auto"/>
            <w:vAlign w:val="bottom"/>
          </w:tcPr>
          <w:p w14:paraId="3F7FF405"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BTG Pactual</w:t>
            </w:r>
          </w:p>
        </w:tc>
        <w:tc>
          <w:tcPr>
            <w:tcW w:w="1202" w:type="dxa"/>
            <w:tcBorders>
              <w:top w:val="nil"/>
              <w:left w:val="nil"/>
              <w:bottom w:val="nil"/>
              <w:right w:val="nil"/>
            </w:tcBorders>
            <w:shd w:val="clear" w:color="auto" w:fill="auto"/>
            <w:vAlign w:val="bottom"/>
          </w:tcPr>
          <w:p w14:paraId="2AC13753"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206</w:t>
            </w:r>
          </w:p>
        </w:tc>
        <w:tc>
          <w:tcPr>
            <w:tcW w:w="924" w:type="dxa"/>
            <w:tcBorders>
              <w:top w:val="nil"/>
              <w:left w:val="nil"/>
              <w:bottom w:val="nil"/>
              <w:right w:val="nil"/>
            </w:tcBorders>
            <w:shd w:val="clear" w:color="auto" w:fill="auto"/>
            <w:vAlign w:val="bottom"/>
          </w:tcPr>
          <w:p w14:paraId="517442AB"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Baixa</w:t>
            </w:r>
          </w:p>
        </w:tc>
        <w:tc>
          <w:tcPr>
            <w:tcW w:w="1843" w:type="dxa"/>
            <w:tcBorders>
              <w:top w:val="nil"/>
              <w:left w:val="nil"/>
              <w:bottom w:val="nil"/>
              <w:right w:val="nil"/>
            </w:tcBorders>
            <w:shd w:val="clear" w:color="auto" w:fill="auto"/>
            <w:vAlign w:val="bottom"/>
          </w:tcPr>
          <w:p w14:paraId="742E79F4"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51</w:t>
            </w:r>
          </w:p>
        </w:tc>
        <w:tc>
          <w:tcPr>
            <w:tcW w:w="2126" w:type="dxa"/>
            <w:tcBorders>
              <w:top w:val="nil"/>
              <w:left w:val="nil"/>
              <w:bottom w:val="nil"/>
              <w:right w:val="nil"/>
            </w:tcBorders>
            <w:shd w:val="clear" w:color="auto" w:fill="auto"/>
            <w:vAlign w:val="bottom"/>
          </w:tcPr>
          <w:p w14:paraId="36096BB2"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134" w:type="dxa"/>
            <w:tcBorders>
              <w:top w:val="nil"/>
              <w:left w:val="nil"/>
              <w:bottom w:val="nil"/>
              <w:right w:val="nil"/>
            </w:tcBorders>
            <w:shd w:val="clear" w:color="auto" w:fill="auto"/>
            <w:vAlign w:val="bottom"/>
          </w:tcPr>
          <w:p w14:paraId="22754E6D"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 xml:space="preserve">             -</w:t>
            </w:r>
          </w:p>
        </w:tc>
      </w:tr>
      <w:tr w:rsidR="00EC4499" w14:paraId="43E54906" w14:textId="77777777" w:rsidTr="00F73D0C">
        <w:trPr>
          <w:trHeight w:val="288"/>
        </w:trPr>
        <w:tc>
          <w:tcPr>
            <w:tcW w:w="1418" w:type="dxa"/>
            <w:tcBorders>
              <w:top w:val="nil"/>
              <w:left w:val="nil"/>
              <w:bottom w:val="nil"/>
              <w:right w:val="nil"/>
            </w:tcBorders>
            <w:shd w:val="clear" w:color="auto" w:fill="auto"/>
            <w:vAlign w:val="bottom"/>
          </w:tcPr>
          <w:p w14:paraId="237915D6"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Banco do Nordeste</w:t>
            </w:r>
          </w:p>
        </w:tc>
        <w:tc>
          <w:tcPr>
            <w:tcW w:w="1202" w:type="dxa"/>
            <w:tcBorders>
              <w:top w:val="nil"/>
              <w:left w:val="nil"/>
              <w:bottom w:val="nil"/>
              <w:right w:val="nil"/>
            </w:tcBorders>
            <w:shd w:val="clear" w:color="auto" w:fill="auto"/>
            <w:vAlign w:val="bottom"/>
          </w:tcPr>
          <w:p w14:paraId="774780AA"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202</w:t>
            </w:r>
          </w:p>
        </w:tc>
        <w:tc>
          <w:tcPr>
            <w:tcW w:w="924" w:type="dxa"/>
            <w:tcBorders>
              <w:top w:val="nil"/>
              <w:left w:val="nil"/>
              <w:bottom w:val="nil"/>
              <w:right w:val="nil"/>
            </w:tcBorders>
            <w:shd w:val="clear" w:color="auto" w:fill="auto"/>
            <w:vAlign w:val="bottom"/>
          </w:tcPr>
          <w:p w14:paraId="0D1FF65E"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Baixa</w:t>
            </w:r>
          </w:p>
        </w:tc>
        <w:tc>
          <w:tcPr>
            <w:tcW w:w="1843" w:type="dxa"/>
            <w:tcBorders>
              <w:top w:val="nil"/>
              <w:left w:val="nil"/>
              <w:bottom w:val="nil"/>
              <w:right w:val="nil"/>
            </w:tcBorders>
            <w:shd w:val="clear" w:color="auto" w:fill="auto"/>
            <w:vAlign w:val="bottom"/>
          </w:tcPr>
          <w:p w14:paraId="1E3B2A53"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35</w:t>
            </w:r>
          </w:p>
        </w:tc>
        <w:tc>
          <w:tcPr>
            <w:tcW w:w="2126" w:type="dxa"/>
            <w:tcBorders>
              <w:top w:val="nil"/>
              <w:left w:val="nil"/>
              <w:bottom w:val="nil"/>
              <w:right w:val="nil"/>
            </w:tcBorders>
            <w:shd w:val="clear" w:color="auto" w:fill="auto"/>
            <w:vAlign w:val="bottom"/>
          </w:tcPr>
          <w:p w14:paraId="5ED37224"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134" w:type="dxa"/>
            <w:tcBorders>
              <w:top w:val="nil"/>
              <w:left w:val="nil"/>
              <w:bottom w:val="nil"/>
              <w:right w:val="nil"/>
            </w:tcBorders>
            <w:shd w:val="clear" w:color="auto" w:fill="auto"/>
            <w:vAlign w:val="bottom"/>
          </w:tcPr>
          <w:p w14:paraId="70CEAD8F"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 xml:space="preserve">             -</w:t>
            </w:r>
          </w:p>
        </w:tc>
      </w:tr>
      <w:tr w:rsidR="00EC4499" w14:paraId="53BBEFD5" w14:textId="77777777" w:rsidTr="00F73D0C">
        <w:trPr>
          <w:trHeight w:val="288"/>
        </w:trPr>
        <w:tc>
          <w:tcPr>
            <w:tcW w:w="1418" w:type="dxa"/>
            <w:tcBorders>
              <w:top w:val="nil"/>
              <w:left w:val="nil"/>
              <w:bottom w:val="nil"/>
              <w:right w:val="nil"/>
            </w:tcBorders>
            <w:shd w:val="clear" w:color="auto" w:fill="auto"/>
            <w:vAlign w:val="bottom"/>
          </w:tcPr>
          <w:p w14:paraId="4E2F519B"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Itaú</w:t>
            </w:r>
          </w:p>
        </w:tc>
        <w:tc>
          <w:tcPr>
            <w:tcW w:w="1202" w:type="dxa"/>
            <w:tcBorders>
              <w:top w:val="nil"/>
              <w:left w:val="nil"/>
              <w:bottom w:val="nil"/>
              <w:right w:val="nil"/>
            </w:tcBorders>
            <w:shd w:val="clear" w:color="auto" w:fill="auto"/>
            <w:vAlign w:val="bottom"/>
          </w:tcPr>
          <w:p w14:paraId="085A8CC4"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187</w:t>
            </w:r>
          </w:p>
        </w:tc>
        <w:tc>
          <w:tcPr>
            <w:tcW w:w="924" w:type="dxa"/>
            <w:tcBorders>
              <w:top w:val="nil"/>
              <w:left w:val="nil"/>
              <w:bottom w:val="nil"/>
              <w:right w:val="nil"/>
            </w:tcBorders>
            <w:shd w:val="clear" w:color="auto" w:fill="auto"/>
            <w:vAlign w:val="bottom"/>
          </w:tcPr>
          <w:p w14:paraId="14D6EC6F"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Baixa</w:t>
            </w:r>
          </w:p>
        </w:tc>
        <w:tc>
          <w:tcPr>
            <w:tcW w:w="1843" w:type="dxa"/>
            <w:tcBorders>
              <w:top w:val="nil"/>
              <w:left w:val="nil"/>
              <w:bottom w:val="nil"/>
              <w:right w:val="nil"/>
            </w:tcBorders>
            <w:shd w:val="clear" w:color="auto" w:fill="auto"/>
            <w:vAlign w:val="bottom"/>
          </w:tcPr>
          <w:p w14:paraId="14391EC4"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48</w:t>
            </w:r>
          </w:p>
        </w:tc>
        <w:tc>
          <w:tcPr>
            <w:tcW w:w="2126" w:type="dxa"/>
            <w:tcBorders>
              <w:top w:val="nil"/>
              <w:left w:val="nil"/>
              <w:bottom w:val="nil"/>
              <w:right w:val="nil"/>
            </w:tcBorders>
            <w:shd w:val="clear" w:color="auto" w:fill="auto"/>
            <w:vAlign w:val="bottom"/>
          </w:tcPr>
          <w:p w14:paraId="6E5E00C5"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134" w:type="dxa"/>
            <w:tcBorders>
              <w:top w:val="nil"/>
              <w:left w:val="nil"/>
              <w:bottom w:val="nil"/>
              <w:right w:val="nil"/>
            </w:tcBorders>
            <w:shd w:val="clear" w:color="auto" w:fill="auto"/>
            <w:vAlign w:val="bottom"/>
          </w:tcPr>
          <w:p w14:paraId="27506EEB"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 xml:space="preserve">             9</w:t>
            </w:r>
          </w:p>
        </w:tc>
      </w:tr>
      <w:tr w:rsidR="00EC4499" w14:paraId="0E68D667" w14:textId="77777777" w:rsidTr="00F73D0C">
        <w:trPr>
          <w:trHeight w:val="288"/>
        </w:trPr>
        <w:tc>
          <w:tcPr>
            <w:tcW w:w="1418" w:type="dxa"/>
            <w:tcBorders>
              <w:top w:val="nil"/>
              <w:left w:val="nil"/>
              <w:bottom w:val="nil"/>
              <w:right w:val="nil"/>
            </w:tcBorders>
            <w:shd w:val="clear" w:color="auto" w:fill="auto"/>
            <w:vAlign w:val="bottom"/>
          </w:tcPr>
          <w:p w14:paraId="6BEC9CA3"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Inter</w:t>
            </w:r>
          </w:p>
        </w:tc>
        <w:tc>
          <w:tcPr>
            <w:tcW w:w="1202" w:type="dxa"/>
            <w:tcBorders>
              <w:top w:val="nil"/>
              <w:left w:val="nil"/>
              <w:bottom w:val="nil"/>
              <w:right w:val="nil"/>
            </w:tcBorders>
            <w:shd w:val="clear" w:color="auto" w:fill="auto"/>
            <w:vAlign w:val="bottom"/>
          </w:tcPr>
          <w:p w14:paraId="6F420662"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170</w:t>
            </w:r>
          </w:p>
        </w:tc>
        <w:tc>
          <w:tcPr>
            <w:tcW w:w="924" w:type="dxa"/>
            <w:tcBorders>
              <w:top w:val="nil"/>
              <w:left w:val="nil"/>
              <w:bottom w:val="nil"/>
              <w:right w:val="nil"/>
            </w:tcBorders>
            <w:shd w:val="clear" w:color="auto" w:fill="auto"/>
            <w:vAlign w:val="bottom"/>
          </w:tcPr>
          <w:p w14:paraId="52FBD077"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Baixa</w:t>
            </w:r>
          </w:p>
        </w:tc>
        <w:tc>
          <w:tcPr>
            <w:tcW w:w="1843" w:type="dxa"/>
            <w:tcBorders>
              <w:top w:val="nil"/>
              <w:left w:val="nil"/>
              <w:bottom w:val="nil"/>
              <w:right w:val="nil"/>
            </w:tcBorders>
            <w:shd w:val="clear" w:color="auto" w:fill="auto"/>
            <w:vAlign w:val="bottom"/>
          </w:tcPr>
          <w:p w14:paraId="2179509B"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27</w:t>
            </w:r>
          </w:p>
        </w:tc>
        <w:tc>
          <w:tcPr>
            <w:tcW w:w="2126" w:type="dxa"/>
            <w:tcBorders>
              <w:top w:val="nil"/>
              <w:left w:val="nil"/>
              <w:bottom w:val="nil"/>
              <w:right w:val="nil"/>
            </w:tcBorders>
            <w:shd w:val="clear" w:color="auto" w:fill="auto"/>
            <w:vAlign w:val="bottom"/>
          </w:tcPr>
          <w:p w14:paraId="461608F3"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134" w:type="dxa"/>
            <w:tcBorders>
              <w:top w:val="nil"/>
              <w:left w:val="nil"/>
              <w:bottom w:val="nil"/>
              <w:right w:val="nil"/>
            </w:tcBorders>
            <w:shd w:val="clear" w:color="auto" w:fill="auto"/>
            <w:vAlign w:val="bottom"/>
          </w:tcPr>
          <w:p w14:paraId="5662266C"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 xml:space="preserve">             -</w:t>
            </w:r>
          </w:p>
        </w:tc>
      </w:tr>
      <w:tr w:rsidR="00EC4499" w14:paraId="124C9718" w14:textId="77777777" w:rsidTr="00F73D0C">
        <w:trPr>
          <w:trHeight w:val="288"/>
        </w:trPr>
        <w:tc>
          <w:tcPr>
            <w:tcW w:w="1418" w:type="dxa"/>
            <w:tcBorders>
              <w:top w:val="nil"/>
              <w:left w:val="nil"/>
              <w:bottom w:val="nil"/>
              <w:right w:val="nil"/>
            </w:tcBorders>
            <w:shd w:val="clear" w:color="auto" w:fill="auto"/>
            <w:vAlign w:val="bottom"/>
          </w:tcPr>
          <w:p w14:paraId="66F5E6BC"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Citibank</w:t>
            </w:r>
          </w:p>
        </w:tc>
        <w:tc>
          <w:tcPr>
            <w:tcW w:w="1202" w:type="dxa"/>
            <w:tcBorders>
              <w:top w:val="nil"/>
              <w:left w:val="nil"/>
              <w:bottom w:val="nil"/>
              <w:right w:val="nil"/>
            </w:tcBorders>
            <w:shd w:val="clear" w:color="auto" w:fill="auto"/>
            <w:vAlign w:val="bottom"/>
          </w:tcPr>
          <w:p w14:paraId="02A1B8C8"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164</w:t>
            </w:r>
          </w:p>
        </w:tc>
        <w:tc>
          <w:tcPr>
            <w:tcW w:w="924" w:type="dxa"/>
            <w:tcBorders>
              <w:top w:val="nil"/>
              <w:left w:val="nil"/>
              <w:bottom w:val="nil"/>
              <w:right w:val="nil"/>
            </w:tcBorders>
            <w:shd w:val="clear" w:color="auto" w:fill="auto"/>
            <w:vAlign w:val="bottom"/>
          </w:tcPr>
          <w:p w14:paraId="113A7526"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Baixa</w:t>
            </w:r>
          </w:p>
        </w:tc>
        <w:tc>
          <w:tcPr>
            <w:tcW w:w="1843" w:type="dxa"/>
            <w:tcBorders>
              <w:top w:val="nil"/>
              <w:left w:val="nil"/>
              <w:bottom w:val="nil"/>
              <w:right w:val="nil"/>
            </w:tcBorders>
            <w:shd w:val="clear" w:color="auto" w:fill="auto"/>
            <w:vAlign w:val="bottom"/>
          </w:tcPr>
          <w:p w14:paraId="0AACF7E5"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34</w:t>
            </w:r>
          </w:p>
        </w:tc>
        <w:tc>
          <w:tcPr>
            <w:tcW w:w="2126" w:type="dxa"/>
            <w:tcBorders>
              <w:top w:val="nil"/>
              <w:left w:val="nil"/>
              <w:bottom w:val="nil"/>
              <w:right w:val="nil"/>
            </w:tcBorders>
            <w:shd w:val="clear" w:color="auto" w:fill="auto"/>
            <w:vAlign w:val="bottom"/>
          </w:tcPr>
          <w:p w14:paraId="28AEC271"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134" w:type="dxa"/>
            <w:tcBorders>
              <w:top w:val="nil"/>
              <w:left w:val="nil"/>
              <w:bottom w:val="nil"/>
              <w:right w:val="nil"/>
            </w:tcBorders>
            <w:shd w:val="clear" w:color="auto" w:fill="auto"/>
            <w:vAlign w:val="bottom"/>
          </w:tcPr>
          <w:p w14:paraId="53663002"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 xml:space="preserve">             -</w:t>
            </w:r>
          </w:p>
        </w:tc>
      </w:tr>
      <w:tr w:rsidR="00EC4499" w14:paraId="0EE950F8" w14:textId="77777777" w:rsidTr="00F73D0C">
        <w:trPr>
          <w:trHeight w:val="288"/>
        </w:trPr>
        <w:tc>
          <w:tcPr>
            <w:tcW w:w="1418" w:type="dxa"/>
            <w:tcBorders>
              <w:top w:val="nil"/>
              <w:left w:val="nil"/>
              <w:bottom w:val="nil"/>
              <w:right w:val="nil"/>
            </w:tcBorders>
            <w:shd w:val="clear" w:color="auto" w:fill="auto"/>
            <w:vAlign w:val="bottom"/>
          </w:tcPr>
          <w:p w14:paraId="1F4D2972"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Banco do Brasil</w:t>
            </w:r>
          </w:p>
        </w:tc>
        <w:tc>
          <w:tcPr>
            <w:tcW w:w="1202" w:type="dxa"/>
            <w:tcBorders>
              <w:top w:val="nil"/>
              <w:left w:val="nil"/>
              <w:bottom w:val="nil"/>
              <w:right w:val="nil"/>
            </w:tcBorders>
            <w:shd w:val="clear" w:color="auto" w:fill="auto"/>
            <w:vAlign w:val="bottom"/>
          </w:tcPr>
          <w:p w14:paraId="6E3BB6F4"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154</w:t>
            </w:r>
          </w:p>
        </w:tc>
        <w:tc>
          <w:tcPr>
            <w:tcW w:w="924" w:type="dxa"/>
            <w:tcBorders>
              <w:top w:val="nil"/>
              <w:left w:val="nil"/>
              <w:bottom w:val="nil"/>
              <w:right w:val="nil"/>
            </w:tcBorders>
            <w:shd w:val="clear" w:color="auto" w:fill="auto"/>
            <w:vAlign w:val="bottom"/>
          </w:tcPr>
          <w:p w14:paraId="03E6A5DB"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Baixa</w:t>
            </w:r>
          </w:p>
        </w:tc>
        <w:tc>
          <w:tcPr>
            <w:tcW w:w="1843" w:type="dxa"/>
            <w:tcBorders>
              <w:top w:val="nil"/>
              <w:left w:val="nil"/>
              <w:bottom w:val="nil"/>
              <w:right w:val="nil"/>
            </w:tcBorders>
            <w:shd w:val="clear" w:color="auto" w:fill="auto"/>
            <w:vAlign w:val="bottom"/>
          </w:tcPr>
          <w:p w14:paraId="427575BC"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34</w:t>
            </w:r>
          </w:p>
        </w:tc>
        <w:tc>
          <w:tcPr>
            <w:tcW w:w="2126" w:type="dxa"/>
            <w:tcBorders>
              <w:top w:val="nil"/>
              <w:left w:val="nil"/>
              <w:bottom w:val="nil"/>
              <w:right w:val="nil"/>
            </w:tcBorders>
            <w:shd w:val="clear" w:color="auto" w:fill="auto"/>
            <w:vAlign w:val="bottom"/>
          </w:tcPr>
          <w:p w14:paraId="2F328976"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134" w:type="dxa"/>
            <w:tcBorders>
              <w:top w:val="nil"/>
              <w:left w:val="nil"/>
              <w:bottom w:val="nil"/>
              <w:right w:val="nil"/>
            </w:tcBorders>
            <w:shd w:val="clear" w:color="auto" w:fill="auto"/>
            <w:vAlign w:val="bottom"/>
          </w:tcPr>
          <w:p w14:paraId="40D03761"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 xml:space="preserve">            11 </w:t>
            </w:r>
          </w:p>
        </w:tc>
      </w:tr>
      <w:tr w:rsidR="00EC4499" w14:paraId="0565DB82" w14:textId="77777777" w:rsidTr="00F73D0C">
        <w:trPr>
          <w:trHeight w:val="288"/>
        </w:trPr>
        <w:tc>
          <w:tcPr>
            <w:tcW w:w="1418" w:type="dxa"/>
            <w:tcBorders>
              <w:top w:val="nil"/>
              <w:left w:val="nil"/>
              <w:bottom w:val="nil"/>
              <w:right w:val="nil"/>
            </w:tcBorders>
            <w:shd w:val="clear" w:color="auto" w:fill="auto"/>
            <w:vAlign w:val="bottom"/>
          </w:tcPr>
          <w:p w14:paraId="27D3ED92"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Sicredi</w:t>
            </w:r>
          </w:p>
        </w:tc>
        <w:tc>
          <w:tcPr>
            <w:tcW w:w="1202" w:type="dxa"/>
            <w:tcBorders>
              <w:top w:val="nil"/>
              <w:left w:val="nil"/>
              <w:bottom w:val="nil"/>
              <w:right w:val="nil"/>
            </w:tcBorders>
            <w:shd w:val="clear" w:color="auto" w:fill="auto"/>
            <w:vAlign w:val="bottom"/>
          </w:tcPr>
          <w:p w14:paraId="084DCBB7"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154</w:t>
            </w:r>
          </w:p>
        </w:tc>
        <w:tc>
          <w:tcPr>
            <w:tcW w:w="924" w:type="dxa"/>
            <w:tcBorders>
              <w:top w:val="nil"/>
              <w:left w:val="nil"/>
              <w:bottom w:val="nil"/>
              <w:right w:val="nil"/>
            </w:tcBorders>
            <w:shd w:val="clear" w:color="auto" w:fill="auto"/>
            <w:vAlign w:val="bottom"/>
          </w:tcPr>
          <w:p w14:paraId="2B8CDE82"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Baixa</w:t>
            </w:r>
          </w:p>
        </w:tc>
        <w:tc>
          <w:tcPr>
            <w:tcW w:w="1843" w:type="dxa"/>
            <w:tcBorders>
              <w:top w:val="nil"/>
              <w:left w:val="nil"/>
              <w:bottom w:val="nil"/>
              <w:right w:val="nil"/>
            </w:tcBorders>
            <w:shd w:val="clear" w:color="auto" w:fill="auto"/>
            <w:vAlign w:val="bottom"/>
          </w:tcPr>
          <w:p w14:paraId="5640EF73"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27</w:t>
            </w:r>
          </w:p>
        </w:tc>
        <w:tc>
          <w:tcPr>
            <w:tcW w:w="2126" w:type="dxa"/>
            <w:tcBorders>
              <w:top w:val="nil"/>
              <w:left w:val="nil"/>
              <w:bottom w:val="nil"/>
              <w:right w:val="nil"/>
            </w:tcBorders>
            <w:shd w:val="clear" w:color="auto" w:fill="auto"/>
            <w:vAlign w:val="bottom"/>
          </w:tcPr>
          <w:p w14:paraId="142F00E5"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134" w:type="dxa"/>
            <w:tcBorders>
              <w:top w:val="nil"/>
              <w:left w:val="nil"/>
              <w:bottom w:val="nil"/>
              <w:right w:val="nil"/>
            </w:tcBorders>
            <w:shd w:val="clear" w:color="auto" w:fill="auto"/>
            <w:vAlign w:val="bottom"/>
          </w:tcPr>
          <w:p w14:paraId="6A421D2B"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 xml:space="preserve">             6</w:t>
            </w:r>
          </w:p>
        </w:tc>
      </w:tr>
      <w:tr w:rsidR="00EC4499" w14:paraId="689C83DB" w14:textId="77777777" w:rsidTr="00F73D0C">
        <w:trPr>
          <w:trHeight w:val="288"/>
        </w:trPr>
        <w:tc>
          <w:tcPr>
            <w:tcW w:w="1418" w:type="dxa"/>
            <w:tcBorders>
              <w:top w:val="nil"/>
              <w:left w:val="nil"/>
              <w:bottom w:val="nil"/>
              <w:right w:val="nil"/>
            </w:tcBorders>
            <w:shd w:val="clear" w:color="auto" w:fill="auto"/>
            <w:vAlign w:val="bottom"/>
          </w:tcPr>
          <w:p w14:paraId="2FA2B862"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Santander</w:t>
            </w:r>
          </w:p>
        </w:tc>
        <w:tc>
          <w:tcPr>
            <w:tcW w:w="1202" w:type="dxa"/>
            <w:tcBorders>
              <w:top w:val="nil"/>
              <w:left w:val="nil"/>
              <w:bottom w:val="nil"/>
              <w:right w:val="nil"/>
            </w:tcBorders>
            <w:shd w:val="clear" w:color="auto" w:fill="auto"/>
            <w:vAlign w:val="bottom"/>
          </w:tcPr>
          <w:p w14:paraId="10885D3F"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120</w:t>
            </w:r>
          </w:p>
        </w:tc>
        <w:tc>
          <w:tcPr>
            <w:tcW w:w="924" w:type="dxa"/>
            <w:tcBorders>
              <w:top w:val="nil"/>
              <w:left w:val="nil"/>
              <w:bottom w:val="nil"/>
              <w:right w:val="nil"/>
            </w:tcBorders>
            <w:shd w:val="clear" w:color="auto" w:fill="auto"/>
            <w:vAlign w:val="bottom"/>
          </w:tcPr>
          <w:p w14:paraId="5A6E04F7"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Baixa</w:t>
            </w:r>
          </w:p>
        </w:tc>
        <w:tc>
          <w:tcPr>
            <w:tcW w:w="1843" w:type="dxa"/>
            <w:tcBorders>
              <w:top w:val="nil"/>
              <w:left w:val="nil"/>
              <w:bottom w:val="nil"/>
              <w:right w:val="nil"/>
            </w:tcBorders>
            <w:shd w:val="clear" w:color="auto" w:fill="auto"/>
            <w:vAlign w:val="bottom"/>
          </w:tcPr>
          <w:p w14:paraId="49C151B8"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25</w:t>
            </w:r>
          </w:p>
        </w:tc>
        <w:tc>
          <w:tcPr>
            <w:tcW w:w="2126" w:type="dxa"/>
            <w:tcBorders>
              <w:top w:val="nil"/>
              <w:left w:val="nil"/>
              <w:bottom w:val="nil"/>
              <w:right w:val="nil"/>
            </w:tcBorders>
            <w:shd w:val="clear" w:color="auto" w:fill="auto"/>
            <w:vAlign w:val="bottom"/>
          </w:tcPr>
          <w:p w14:paraId="1868DF74"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134" w:type="dxa"/>
            <w:tcBorders>
              <w:top w:val="nil"/>
              <w:left w:val="nil"/>
              <w:bottom w:val="nil"/>
              <w:right w:val="nil"/>
            </w:tcBorders>
            <w:shd w:val="clear" w:color="auto" w:fill="auto"/>
            <w:vAlign w:val="bottom"/>
          </w:tcPr>
          <w:p w14:paraId="0A51364B"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 xml:space="preserve">             -</w:t>
            </w:r>
          </w:p>
        </w:tc>
      </w:tr>
      <w:tr w:rsidR="00EC4499" w14:paraId="387207BC" w14:textId="77777777" w:rsidTr="00F73D0C">
        <w:trPr>
          <w:trHeight w:val="288"/>
        </w:trPr>
        <w:tc>
          <w:tcPr>
            <w:tcW w:w="1418" w:type="dxa"/>
            <w:tcBorders>
              <w:top w:val="nil"/>
              <w:left w:val="nil"/>
              <w:right w:val="nil"/>
            </w:tcBorders>
            <w:shd w:val="clear" w:color="auto" w:fill="auto"/>
            <w:vAlign w:val="bottom"/>
          </w:tcPr>
          <w:p w14:paraId="577B53A1"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Caixa</w:t>
            </w:r>
          </w:p>
        </w:tc>
        <w:tc>
          <w:tcPr>
            <w:tcW w:w="1202" w:type="dxa"/>
            <w:tcBorders>
              <w:top w:val="nil"/>
              <w:left w:val="nil"/>
              <w:right w:val="nil"/>
            </w:tcBorders>
            <w:shd w:val="clear" w:color="auto" w:fill="auto"/>
            <w:vAlign w:val="bottom"/>
          </w:tcPr>
          <w:p w14:paraId="314436FC"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85</w:t>
            </w:r>
          </w:p>
        </w:tc>
        <w:tc>
          <w:tcPr>
            <w:tcW w:w="924" w:type="dxa"/>
            <w:tcBorders>
              <w:top w:val="nil"/>
              <w:left w:val="nil"/>
              <w:right w:val="nil"/>
            </w:tcBorders>
            <w:shd w:val="clear" w:color="auto" w:fill="auto"/>
            <w:vAlign w:val="bottom"/>
          </w:tcPr>
          <w:p w14:paraId="20FE1FD1"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Muito Baixa</w:t>
            </w:r>
          </w:p>
        </w:tc>
        <w:tc>
          <w:tcPr>
            <w:tcW w:w="1843" w:type="dxa"/>
            <w:tcBorders>
              <w:top w:val="nil"/>
              <w:left w:val="nil"/>
              <w:right w:val="nil"/>
            </w:tcBorders>
            <w:shd w:val="clear" w:color="auto" w:fill="auto"/>
            <w:vAlign w:val="bottom"/>
          </w:tcPr>
          <w:p w14:paraId="5017463A"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27</w:t>
            </w:r>
          </w:p>
        </w:tc>
        <w:tc>
          <w:tcPr>
            <w:tcW w:w="2126" w:type="dxa"/>
            <w:tcBorders>
              <w:top w:val="nil"/>
              <w:left w:val="nil"/>
              <w:right w:val="nil"/>
            </w:tcBorders>
            <w:shd w:val="clear" w:color="auto" w:fill="auto"/>
            <w:vAlign w:val="bottom"/>
          </w:tcPr>
          <w:p w14:paraId="27EE0CD8"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134" w:type="dxa"/>
            <w:tcBorders>
              <w:top w:val="nil"/>
              <w:left w:val="nil"/>
              <w:right w:val="nil"/>
            </w:tcBorders>
            <w:shd w:val="clear" w:color="auto" w:fill="auto"/>
            <w:vAlign w:val="bottom"/>
          </w:tcPr>
          <w:p w14:paraId="726F71EA"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 xml:space="preserve">   6, 11, 13, 14, 15</w:t>
            </w:r>
          </w:p>
        </w:tc>
      </w:tr>
      <w:tr w:rsidR="00EC4499" w14:paraId="78556D0E" w14:textId="77777777" w:rsidTr="00F73D0C">
        <w:trPr>
          <w:trHeight w:val="288"/>
        </w:trPr>
        <w:tc>
          <w:tcPr>
            <w:tcW w:w="1418" w:type="dxa"/>
            <w:tcBorders>
              <w:top w:val="nil"/>
              <w:left w:val="nil"/>
              <w:bottom w:val="single" w:sz="4" w:space="0" w:color="000000"/>
              <w:right w:val="nil"/>
            </w:tcBorders>
            <w:shd w:val="clear" w:color="auto" w:fill="auto"/>
            <w:vAlign w:val="bottom"/>
          </w:tcPr>
          <w:p w14:paraId="099F762A"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J.P. Morgan</w:t>
            </w:r>
          </w:p>
        </w:tc>
        <w:tc>
          <w:tcPr>
            <w:tcW w:w="1202" w:type="dxa"/>
            <w:tcBorders>
              <w:top w:val="nil"/>
              <w:left w:val="nil"/>
              <w:bottom w:val="single" w:sz="4" w:space="0" w:color="000000"/>
              <w:right w:val="nil"/>
            </w:tcBorders>
            <w:shd w:val="clear" w:color="auto" w:fill="auto"/>
            <w:vAlign w:val="bottom"/>
          </w:tcPr>
          <w:p w14:paraId="4584EBF2"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65</w:t>
            </w:r>
          </w:p>
        </w:tc>
        <w:tc>
          <w:tcPr>
            <w:tcW w:w="924" w:type="dxa"/>
            <w:tcBorders>
              <w:top w:val="nil"/>
              <w:left w:val="nil"/>
              <w:bottom w:val="single" w:sz="4" w:space="0" w:color="000000"/>
              <w:right w:val="nil"/>
            </w:tcBorders>
            <w:shd w:val="clear" w:color="auto" w:fill="auto"/>
            <w:vAlign w:val="bottom"/>
          </w:tcPr>
          <w:p w14:paraId="175C6FB8"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Muito Baixa</w:t>
            </w:r>
          </w:p>
        </w:tc>
        <w:tc>
          <w:tcPr>
            <w:tcW w:w="1843" w:type="dxa"/>
            <w:tcBorders>
              <w:top w:val="nil"/>
              <w:left w:val="nil"/>
              <w:bottom w:val="single" w:sz="4" w:space="0" w:color="000000"/>
              <w:right w:val="nil"/>
            </w:tcBorders>
            <w:shd w:val="clear" w:color="auto" w:fill="auto"/>
            <w:vAlign w:val="bottom"/>
          </w:tcPr>
          <w:p w14:paraId="5036A04A"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14</w:t>
            </w:r>
          </w:p>
        </w:tc>
        <w:tc>
          <w:tcPr>
            <w:tcW w:w="2126" w:type="dxa"/>
            <w:tcBorders>
              <w:top w:val="nil"/>
              <w:left w:val="nil"/>
              <w:bottom w:val="single" w:sz="4" w:space="0" w:color="000000"/>
              <w:right w:val="nil"/>
            </w:tcBorders>
            <w:shd w:val="clear" w:color="auto" w:fill="auto"/>
            <w:vAlign w:val="bottom"/>
          </w:tcPr>
          <w:p w14:paraId="5AB0046F"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134" w:type="dxa"/>
            <w:tcBorders>
              <w:top w:val="nil"/>
              <w:left w:val="nil"/>
              <w:bottom w:val="single" w:sz="4" w:space="0" w:color="000000"/>
              <w:right w:val="nil"/>
            </w:tcBorders>
            <w:shd w:val="clear" w:color="auto" w:fill="auto"/>
            <w:vAlign w:val="bottom"/>
          </w:tcPr>
          <w:p w14:paraId="2DA6F017"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 xml:space="preserve">             -</w:t>
            </w:r>
          </w:p>
        </w:tc>
      </w:tr>
      <w:tr w:rsidR="00EC4499" w14:paraId="535223E3" w14:textId="77777777" w:rsidTr="00F73D0C">
        <w:trPr>
          <w:trHeight w:val="288"/>
        </w:trPr>
        <w:tc>
          <w:tcPr>
            <w:tcW w:w="1418" w:type="dxa"/>
            <w:tcBorders>
              <w:top w:val="single" w:sz="4" w:space="0" w:color="000000"/>
              <w:left w:val="nil"/>
              <w:bottom w:val="nil"/>
              <w:right w:val="nil"/>
            </w:tcBorders>
            <w:shd w:val="clear" w:color="auto" w:fill="auto"/>
            <w:vAlign w:val="bottom"/>
          </w:tcPr>
          <w:p w14:paraId="0045B5F7" w14:textId="77777777" w:rsidR="00EC4499" w:rsidRDefault="00433EA7">
            <w:pPr>
              <w:spacing w:after="0" w:line="240" w:lineRule="auto"/>
              <w:rPr>
                <w:rFonts w:ascii="Garamond" w:eastAsia="Garamond" w:hAnsi="Garamond" w:cs="Garamond"/>
                <w:b/>
                <w:color w:val="000000"/>
                <w:sz w:val="16"/>
                <w:szCs w:val="16"/>
              </w:rPr>
            </w:pPr>
            <w:r>
              <w:rPr>
                <w:rFonts w:ascii="Garamond" w:eastAsia="Garamond" w:hAnsi="Garamond" w:cs="Garamond"/>
                <w:b/>
                <w:color w:val="000000"/>
                <w:sz w:val="16"/>
                <w:szCs w:val="16"/>
              </w:rPr>
              <w:t>Média</w:t>
            </w:r>
          </w:p>
        </w:tc>
        <w:tc>
          <w:tcPr>
            <w:tcW w:w="1202" w:type="dxa"/>
            <w:tcBorders>
              <w:top w:val="single" w:sz="4" w:space="0" w:color="000000"/>
              <w:left w:val="nil"/>
              <w:bottom w:val="nil"/>
              <w:right w:val="nil"/>
            </w:tcBorders>
            <w:shd w:val="clear" w:color="auto" w:fill="auto"/>
            <w:vAlign w:val="bottom"/>
          </w:tcPr>
          <w:p w14:paraId="0D626C39" w14:textId="77777777" w:rsidR="00EC4499" w:rsidRDefault="00433EA7">
            <w:pPr>
              <w:spacing w:after="0" w:line="240" w:lineRule="auto"/>
              <w:jc w:val="center"/>
              <w:rPr>
                <w:rFonts w:ascii="Garamond" w:eastAsia="Garamond" w:hAnsi="Garamond" w:cs="Garamond"/>
                <w:b/>
                <w:color w:val="000000"/>
                <w:sz w:val="16"/>
                <w:szCs w:val="16"/>
              </w:rPr>
            </w:pPr>
            <w:r>
              <w:rPr>
                <w:rFonts w:ascii="Garamond" w:eastAsia="Garamond" w:hAnsi="Garamond" w:cs="Garamond"/>
                <w:b/>
                <w:color w:val="000000"/>
                <w:sz w:val="16"/>
                <w:szCs w:val="16"/>
              </w:rPr>
              <w:t>165,2</w:t>
            </w:r>
          </w:p>
        </w:tc>
        <w:tc>
          <w:tcPr>
            <w:tcW w:w="924" w:type="dxa"/>
            <w:tcBorders>
              <w:top w:val="single" w:sz="4" w:space="0" w:color="000000"/>
              <w:left w:val="nil"/>
              <w:bottom w:val="nil"/>
              <w:right w:val="nil"/>
            </w:tcBorders>
            <w:shd w:val="clear" w:color="auto" w:fill="auto"/>
            <w:vAlign w:val="bottom"/>
          </w:tcPr>
          <w:p w14:paraId="13DE6F9F" w14:textId="77777777" w:rsidR="00EC4499" w:rsidRDefault="00EC4499">
            <w:pPr>
              <w:spacing w:after="0" w:line="240" w:lineRule="auto"/>
              <w:jc w:val="center"/>
              <w:rPr>
                <w:rFonts w:ascii="Garamond" w:eastAsia="Garamond" w:hAnsi="Garamond" w:cs="Garamond"/>
                <w:b/>
                <w:color w:val="000000"/>
                <w:sz w:val="16"/>
                <w:szCs w:val="16"/>
              </w:rPr>
            </w:pPr>
          </w:p>
        </w:tc>
        <w:tc>
          <w:tcPr>
            <w:tcW w:w="1843" w:type="dxa"/>
            <w:tcBorders>
              <w:top w:val="single" w:sz="4" w:space="0" w:color="000000"/>
              <w:left w:val="nil"/>
              <w:bottom w:val="nil"/>
              <w:right w:val="nil"/>
            </w:tcBorders>
            <w:shd w:val="clear" w:color="auto" w:fill="auto"/>
            <w:vAlign w:val="bottom"/>
          </w:tcPr>
          <w:p w14:paraId="576CEF59" w14:textId="77777777" w:rsidR="00EC4499" w:rsidRDefault="00433EA7">
            <w:pPr>
              <w:spacing w:after="0" w:line="240" w:lineRule="auto"/>
              <w:jc w:val="center"/>
              <w:rPr>
                <w:rFonts w:ascii="Garamond" w:eastAsia="Garamond" w:hAnsi="Garamond" w:cs="Garamond"/>
                <w:b/>
                <w:color w:val="000000"/>
                <w:sz w:val="16"/>
                <w:szCs w:val="16"/>
              </w:rPr>
            </w:pPr>
            <w:r>
              <w:rPr>
                <w:rFonts w:ascii="Garamond" w:eastAsia="Garamond" w:hAnsi="Garamond" w:cs="Garamond"/>
                <w:b/>
                <w:color w:val="000000"/>
                <w:sz w:val="16"/>
                <w:szCs w:val="16"/>
              </w:rPr>
              <w:t>36,2</w:t>
            </w:r>
          </w:p>
        </w:tc>
        <w:tc>
          <w:tcPr>
            <w:tcW w:w="2126" w:type="dxa"/>
            <w:tcBorders>
              <w:top w:val="single" w:sz="4" w:space="0" w:color="000000"/>
              <w:left w:val="nil"/>
              <w:bottom w:val="nil"/>
              <w:right w:val="nil"/>
            </w:tcBorders>
            <w:shd w:val="clear" w:color="auto" w:fill="auto"/>
            <w:vAlign w:val="bottom"/>
          </w:tcPr>
          <w:p w14:paraId="09270B66" w14:textId="77777777" w:rsidR="00EC4499" w:rsidRDefault="00EC4499">
            <w:pPr>
              <w:spacing w:after="0" w:line="240" w:lineRule="auto"/>
              <w:jc w:val="center"/>
              <w:rPr>
                <w:rFonts w:ascii="Garamond" w:eastAsia="Garamond" w:hAnsi="Garamond" w:cs="Garamond"/>
                <w:b/>
                <w:color w:val="000000"/>
                <w:sz w:val="16"/>
                <w:szCs w:val="16"/>
              </w:rPr>
            </w:pPr>
          </w:p>
        </w:tc>
        <w:tc>
          <w:tcPr>
            <w:tcW w:w="1134" w:type="dxa"/>
            <w:tcBorders>
              <w:top w:val="single" w:sz="4" w:space="0" w:color="000000"/>
              <w:left w:val="nil"/>
              <w:bottom w:val="nil"/>
              <w:right w:val="nil"/>
            </w:tcBorders>
            <w:shd w:val="clear" w:color="auto" w:fill="auto"/>
            <w:vAlign w:val="bottom"/>
          </w:tcPr>
          <w:p w14:paraId="39ECFA7B" w14:textId="77777777" w:rsidR="00EC4499" w:rsidRDefault="00EC4499">
            <w:pPr>
              <w:spacing w:after="0" w:line="240" w:lineRule="auto"/>
              <w:jc w:val="center"/>
              <w:rPr>
                <w:rFonts w:ascii="Garamond" w:eastAsia="Garamond" w:hAnsi="Garamond" w:cs="Garamond"/>
                <w:sz w:val="16"/>
                <w:szCs w:val="16"/>
              </w:rPr>
            </w:pPr>
          </w:p>
        </w:tc>
      </w:tr>
    </w:tbl>
    <w:p w14:paraId="1137A830" w14:textId="77777777" w:rsidR="00EC4499" w:rsidRDefault="00EC4499">
      <w:pPr>
        <w:spacing w:after="0" w:line="360" w:lineRule="auto"/>
        <w:rPr>
          <w:rFonts w:ascii="Garamond" w:eastAsia="Garamond" w:hAnsi="Garamond" w:cs="Garamond"/>
          <w:b/>
          <w:color w:val="000000"/>
          <w:sz w:val="26"/>
          <w:szCs w:val="26"/>
        </w:rPr>
      </w:pPr>
    </w:p>
    <w:p w14:paraId="1F3C026C" w14:textId="3ADA7F95"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Chagas </w:t>
      </w:r>
      <w:r w:rsidRPr="007057CC">
        <w:rPr>
          <w:rFonts w:ascii="Garamond" w:eastAsia="Garamond" w:hAnsi="Garamond" w:cs="Garamond"/>
          <w:i/>
          <w:iCs/>
          <w:color w:val="000000"/>
          <w:sz w:val="24"/>
          <w:szCs w:val="24"/>
        </w:rPr>
        <w:t>et al</w:t>
      </w:r>
      <w:r>
        <w:rPr>
          <w:rFonts w:ascii="Garamond" w:eastAsia="Garamond" w:hAnsi="Garamond" w:cs="Garamond"/>
          <w:color w:val="000000"/>
          <w:sz w:val="24"/>
          <w:szCs w:val="24"/>
        </w:rPr>
        <w:t xml:space="preserve">. (2022) </w:t>
      </w:r>
      <w:r w:rsidR="00553C02">
        <w:rPr>
          <w:rFonts w:ascii="Garamond" w:eastAsia="Garamond" w:hAnsi="Garamond" w:cs="Garamond"/>
          <w:color w:val="000000"/>
          <w:sz w:val="24"/>
          <w:szCs w:val="24"/>
        </w:rPr>
        <w:t xml:space="preserve">verificaram </w:t>
      </w:r>
      <w:r>
        <w:rPr>
          <w:rFonts w:ascii="Garamond" w:eastAsia="Garamond" w:hAnsi="Garamond" w:cs="Garamond"/>
          <w:color w:val="000000"/>
          <w:sz w:val="24"/>
          <w:szCs w:val="24"/>
        </w:rPr>
        <w:t xml:space="preserve">que para os relatórios de 2020 analisados a média de conteúdos relatados foi de 31 enquanto o DQPI médio foi 147,5. Com a inclusão do relatório de 2020 do banco Inter chegamos a uma média de 31,9 tópicos relatados e 153 de DQPI. </w:t>
      </w:r>
    </w:p>
    <w:p w14:paraId="5C359990"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Comparando as pontuações médias e quantidade média de conteúdos notamos que houve evolução na qualidade dos relatórios em 2021 e 2022, ainda que todas as notas médias indiquem qualidade “baixa” dos relatórios. O resultado corrobora a percepção de Chagas </w:t>
      </w:r>
      <w:r w:rsidRPr="007057CC">
        <w:rPr>
          <w:rFonts w:ascii="Garamond" w:eastAsia="Garamond" w:hAnsi="Garamond" w:cs="Garamond"/>
          <w:i/>
          <w:iCs/>
          <w:color w:val="000000"/>
          <w:sz w:val="24"/>
          <w:szCs w:val="24"/>
        </w:rPr>
        <w:t xml:space="preserve">et </w:t>
      </w:r>
      <w:r w:rsidRPr="007057CC">
        <w:rPr>
          <w:rFonts w:ascii="Garamond" w:eastAsia="Garamond" w:hAnsi="Garamond" w:cs="Garamond"/>
          <w:i/>
          <w:iCs/>
          <w:color w:val="000000"/>
          <w:sz w:val="24"/>
          <w:szCs w:val="24"/>
        </w:rPr>
        <w:lastRenderedPageBreak/>
        <w:t>al</w:t>
      </w:r>
      <w:r>
        <w:rPr>
          <w:rFonts w:ascii="Garamond" w:eastAsia="Garamond" w:hAnsi="Garamond" w:cs="Garamond"/>
          <w:color w:val="000000"/>
          <w:sz w:val="24"/>
          <w:szCs w:val="24"/>
        </w:rPr>
        <w:t>. (2022) de que nenhum relatório apresentou qualidade “alta” e, portanto, que os bancos ainda precisam avançar na qualidade da divulgação de suas práticas sustentáveis.</w:t>
      </w:r>
    </w:p>
    <w:p w14:paraId="0F510939" w14:textId="2A835000"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Nos três anos analisados o Bradesco obteve a melhor pontuação DQPI e a qualidade dos seus relatórios foi “média”. No outro extremo, os relatórios da Caixa obtiveram classificação “muito baixa”, ainda que em 2022 tenha ficado uma posição acima do J.P. Morgan. O resultado também corrobora os achados de Chagas </w:t>
      </w:r>
      <w:r w:rsidRPr="007057CC">
        <w:rPr>
          <w:rFonts w:ascii="Garamond" w:eastAsia="Garamond" w:hAnsi="Garamond" w:cs="Garamond"/>
          <w:i/>
          <w:iCs/>
          <w:color w:val="000000"/>
          <w:sz w:val="24"/>
          <w:szCs w:val="24"/>
        </w:rPr>
        <w:t>et al</w:t>
      </w:r>
      <w:r>
        <w:rPr>
          <w:rFonts w:ascii="Garamond" w:eastAsia="Garamond" w:hAnsi="Garamond" w:cs="Garamond"/>
          <w:color w:val="000000"/>
          <w:sz w:val="24"/>
          <w:szCs w:val="24"/>
        </w:rPr>
        <w:t>. (2022) que havia destacado a Caixa pelo fato de ter obtido apenas 70 pontos no DQPI para o relato de 2020.</w:t>
      </w:r>
    </w:p>
    <w:p w14:paraId="32DB965E"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Em termos de evolução o BNDES e BTG Pactual se destacam, tendo saído de um DQPI na classificação “baixa” e “muito baixa” com 121 e 93 pontos, respectivamente, em 2020, subido para 166 e 182 em 2021 e chegado a um DQPI 218 e 206 em 2022, indicando qualidade “média” e “baixa”. </w:t>
      </w:r>
    </w:p>
    <w:p w14:paraId="2D2452A4"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Por outro lado, nota-se involução da classificação do Inter, Citibank e do J.P. Morgan, que saíram, respectivamente, de posições “média”, “média” e “baixa” em 2020 para “baixa”, “baixa” e “muito baixa”, respectivamente, em 2021 e 2022.</w:t>
      </w:r>
    </w:p>
    <w:p w14:paraId="658323C9"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O ODS 8 - trabalho digno e crescimento econômico, foi o que obteve a maior pontuação em todos os relatórios, também aderente aos achados de Chagas </w:t>
      </w:r>
      <w:r w:rsidRPr="00BE4860">
        <w:rPr>
          <w:rFonts w:ascii="Garamond" w:eastAsia="Garamond" w:hAnsi="Garamond" w:cs="Garamond"/>
          <w:i/>
          <w:iCs/>
          <w:color w:val="000000"/>
          <w:sz w:val="24"/>
          <w:szCs w:val="24"/>
        </w:rPr>
        <w:t>et al</w:t>
      </w:r>
      <w:r>
        <w:rPr>
          <w:rFonts w:ascii="Garamond" w:eastAsia="Garamond" w:hAnsi="Garamond" w:cs="Garamond"/>
          <w:color w:val="000000"/>
          <w:sz w:val="24"/>
          <w:szCs w:val="24"/>
        </w:rPr>
        <w:t xml:space="preserve">. (2022) e confirmando outros estudos que destacam a prevalência desse ODS em relatos não financeiros (Avrampou </w:t>
      </w:r>
      <w:r w:rsidRPr="00BE4860">
        <w:rPr>
          <w:rFonts w:ascii="Garamond" w:eastAsia="Garamond" w:hAnsi="Garamond" w:cs="Garamond"/>
          <w:i/>
          <w:iCs/>
          <w:color w:val="000000"/>
          <w:sz w:val="24"/>
          <w:szCs w:val="24"/>
        </w:rPr>
        <w:t>et al</w:t>
      </w:r>
      <w:r>
        <w:rPr>
          <w:rFonts w:ascii="Garamond" w:eastAsia="Garamond" w:hAnsi="Garamond" w:cs="Garamond"/>
          <w:color w:val="000000"/>
          <w:sz w:val="24"/>
          <w:szCs w:val="24"/>
        </w:rPr>
        <w:t>., 2019; KPMG, 2020). O ODS 11 – cidades e comunidades sustentáveis foi o menos comunicado em todos os anos analisados.</w:t>
      </w:r>
    </w:p>
    <w:p w14:paraId="7D89AF87" w14:textId="5FF6284F" w:rsidR="00EC4499" w:rsidRDefault="00433EA7" w:rsidP="00553C02">
      <w:pPr>
        <w:spacing w:after="0" w:line="360" w:lineRule="auto"/>
        <w:ind w:firstLine="708"/>
        <w:jc w:val="both"/>
        <w:rPr>
          <w:rFonts w:ascii="Garamond" w:eastAsia="Garamond" w:hAnsi="Garamond" w:cs="Garamond"/>
          <w:color w:val="000000"/>
          <w:sz w:val="24"/>
          <w:szCs w:val="24"/>
        </w:rPr>
      </w:pPr>
      <w:r>
        <w:rPr>
          <w:rFonts w:ascii="Garamond" w:eastAsia="Garamond" w:hAnsi="Garamond" w:cs="Garamond"/>
          <w:color w:val="000000"/>
          <w:sz w:val="24"/>
          <w:szCs w:val="24"/>
        </w:rPr>
        <w:t>Apresentamos abaixo os resultados médios dos DQPI de acordo com o controle, capital, sede, atuação e tipo de relato.</w:t>
      </w:r>
    </w:p>
    <w:p w14:paraId="662E0503" w14:textId="77777777" w:rsidR="00D80C89" w:rsidRDefault="00D80C89" w:rsidP="00553C02">
      <w:pPr>
        <w:spacing w:after="0" w:line="360" w:lineRule="auto"/>
        <w:ind w:firstLine="708"/>
        <w:jc w:val="both"/>
        <w:rPr>
          <w:rFonts w:ascii="Garamond" w:eastAsia="Garamond" w:hAnsi="Garamond" w:cs="Garamond"/>
          <w:color w:val="000000"/>
          <w:sz w:val="24"/>
          <w:szCs w:val="24"/>
        </w:rPr>
      </w:pPr>
    </w:p>
    <w:p w14:paraId="312F5563" w14:textId="77777777" w:rsidR="00D80C89" w:rsidRDefault="00D80C89" w:rsidP="00553C02">
      <w:pPr>
        <w:spacing w:after="0" w:line="360" w:lineRule="auto"/>
        <w:ind w:firstLine="708"/>
        <w:jc w:val="both"/>
        <w:rPr>
          <w:rFonts w:ascii="Garamond" w:eastAsia="Garamond" w:hAnsi="Garamond" w:cs="Garamond"/>
          <w:color w:val="000000"/>
          <w:sz w:val="24"/>
          <w:szCs w:val="24"/>
        </w:rPr>
      </w:pPr>
    </w:p>
    <w:p w14:paraId="6CFC4D02" w14:textId="77777777" w:rsidR="00D80C89" w:rsidRDefault="00D80C89" w:rsidP="00553C02">
      <w:pPr>
        <w:spacing w:after="0" w:line="360" w:lineRule="auto"/>
        <w:ind w:firstLine="708"/>
        <w:jc w:val="both"/>
        <w:rPr>
          <w:rFonts w:ascii="Garamond" w:eastAsia="Garamond" w:hAnsi="Garamond" w:cs="Garamond"/>
          <w:color w:val="000000"/>
          <w:sz w:val="24"/>
          <w:szCs w:val="24"/>
        </w:rPr>
      </w:pPr>
    </w:p>
    <w:p w14:paraId="616B8F05" w14:textId="77777777" w:rsidR="00D80C89" w:rsidRDefault="00D80C89" w:rsidP="00553C02">
      <w:pPr>
        <w:spacing w:after="0" w:line="360" w:lineRule="auto"/>
        <w:ind w:firstLine="708"/>
        <w:jc w:val="both"/>
        <w:rPr>
          <w:rFonts w:ascii="Garamond" w:eastAsia="Garamond" w:hAnsi="Garamond" w:cs="Garamond"/>
          <w:color w:val="000000"/>
          <w:sz w:val="24"/>
          <w:szCs w:val="24"/>
        </w:rPr>
      </w:pPr>
    </w:p>
    <w:p w14:paraId="4B907C2E" w14:textId="77777777" w:rsidR="00D80C89" w:rsidRDefault="00D80C89" w:rsidP="00553C02">
      <w:pPr>
        <w:spacing w:after="0" w:line="360" w:lineRule="auto"/>
        <w:ind w:firstLine="708"/>
        <w:jc w:val="both"/>
        <w:rPr>
          <w:rFonts w:ascii="Garamond" w:eastAsia="Garamond" w:hAnsi="Garamond" w:cs="Garamond"/>
          <w:color w:val="000000"/>
          <w:sz w:val="24"/>
          <w:szCs w:val="24"/>
        </w:rPr>
      </w:pPr>
    </w:p>
    <w:p w14:paraId="660EDEA4" w14:textId="77777777" w:rsidR="00D80C89" w:rsidRDefault="00D80C89" w:rsidP="00553C02">
      <w:pPr>
        <w:spacing w:after="0" w:line="360" w:lineRule="auto"/>
        <w:ind w:firstLine="708"/>
        <w:jc w:val="both"/>
        <w:rPr>
          <w:rFonts w:ascii="Garamond" w:eastAsia="Garamond" w:hAnsi="Garamond" w:cs="Garamond"/>
          <w:color w:val="000000"/>
          <w:sz w:val="24"/>
          <w:szCs w:val="24"/>
        </w:rPr>
      </w:pPr>
    </w:p>
    <w:p w14:paraId="3B09154A" w14:textId="77777777" w:rsidR="00D80C89" w:rsidRDefault="00D80C89" w:rsidP="00553C02">
      <w:pPr>
        <w:spacing w:after="0" w:line="360" w:lineRule="auto"/>
        <w:ind w:firstLine="708"/>
        <w:jc w:val="both"/>
        <w:rPr>
          <w:rFonts w:ascii="Garamond" w:eastAsia="Garamond" w:hAnsi="Garamond" w:cs="Garamond"/>
          <w:color w:val="000000"/>
          <w:sz w:val="24"/>
          <w:szCs w:val="24"/>
        </w:rPr>
      </w:pPr>
    </w:p>
    <w:p w14:paraId="694307D5" w14:textId="77777777" w:rsidR="00D80C89" w:rsidRDefault="00D80C89" w:rsidP="00553C02">
      <w:pPr>
        <w:spacing w:after="0" w:line="360" w:lineRule="auto"/>
        <w:ind w:firstLine="708"/>
        <w:jc w:val="both"/>
        <w:rPr>
          <w:rFonts w:ascii="Garamond" w:eastAsia="Garamond" w:hAnsi="Garamond" w:cs="Garamond"/>
          <w:color w:val="000000"/>
          <w:sz w:val="24"/>
          <w:szCs w:val="24"/>
        </w:rPr>
      </w:pPr>
    </w:p>
    <w:p w14:paraId="32FEE975" w14:textId="77777777" w:rsidR="00D80C89" w:rsidRDefault="00D80C89" w:rsidP="00553C02">
      <w:pPr>
        <w:spacing w:after="0" w:line="360" w:lineRule="auto"/>
        <w:ind w:firstLine="708"/>
        <w:jc w:val="both"/>
        <w:rPr>
          <w:rFonts w:ascii="Garamond" w:eastAsia="Garamond" w:hAnsi="Garamond" w:cs="Garamond"/>
          <w:color w:val="000000"/>
          <w:sz w:val="24"/>
          <w:szCs w:val="24"/>
        </w:rPr>
      </w:pPr>
    </w:p>
    <w:p w14:paraId="1D89ED10" w14:textId="77777777" w:rsidR="00F73D0C" w:rsidRDefault="00F73D0C">
      <w:pPr>
        <w:spacing w:after="0" w:line="360" w:lineRule="auto"/>
        <w:rPr>
          <w:rFonts w:ascii="Garamond" w:eastAsia="Garamond" w:hAnsi="Garamond" w:cs="Garamond"/>
          <w:color w:val="000000"/>
          <w:sz w:val="24"/>
          <w:szCs w:val="24"/>
        </w:rPr>
      </w:pPr>
    </w:p>
    <w:p w14:paraId="7D00D742" w14:textId="77777777" w:rsidR="000A4456" w:rsidRDefault="000A4456">
      <w:pPr>
        <w:spacing w:after="0" w:line="360" w:lineRule="auto"/>
        <w:jc w:val="center"/>
        <w:rPr>
          <w:rFonts w:ascii="Garamond" w:eastAsia="Garamond" w:hAnsi="Garamond" w:cs="Garamond"/>
          <w:color w:val="000000"/>
          <w:sz w:val="24"/>
          <w:szCs w:val="24"/>
        </w:rPr>
      </w:pPr>
    </w:p>
    <w:p w14:paraId="261FD3A4" w14:textId="5C95E1B5" w:rsidR="00EC4499" w:rsidRDefault="00433EA7">
      <w:pPr>
        <w:spacing w:after="0" w:line="360" w:lineRule="auto"/>
        <w:jc w:val="center"/>
        <w:rPr>
          <w:rFonts w:ascii="Garamond" w:eastAsia="Garamond" w:hAnsi="Garamond" w:cs="Garamond"/>
          <w:i/>
          <w:color w:val="000000"/>
          <w:sz w:val="24"/>
          <w:szCs w:val="24"/>
        </w:rPr>
      </w:pPr>
      <w:r>
        <w:rPr>
          <w:rFonts w:ascii="Garamond" w:eastAsia="Garamond" w:hAnsi="Garamond" w:cs="Garamond"/>
          <w:color w:val="000000"/>
          <w:sz w:val="24"/>
          <w:szCs w:val="24"/>
        </w:rPr>
        <w:lastRenderedPageBreak/>
        <w:t>Tabela 9 - DQPIs médios por grupo</w:t>
      </w:r>
    </w:p>
    <w:tbl>
      <w:tblPr>
        <w:tblStyle w:val="a7"/>
        <w:tblW w:w="8364" w:type="dxa"/>
        <w:tblInd w:w="0" w:type="dxa"/>
        <w:tblLayout w:type="fixed"/>
        <w:tblLook w:val="0400" w:firstRow="0" w:lastRow="0" w:firstColumn="0" w:lastColumn="0" w:noHBand="0" w:noVBand="1"/>
      </w:tblPr>
      <w:tblGrid>
        <w:gridCol w:w="3828"/>
        <w:gridCol w:w="2268"/>
        <w:gridCol w:w="2268"/>
      </w:tblGrid>
      <w:tr w:rsidR="00EC4499" w14:paraId="3C2FEBE7" w14:textId="77777777" w:rsidTr="00F73D0C">
        <w:trPr>
          <w:trHeight w:val="312"/>
        </w:trPr>
        <w:tc>
          <w:tcPr>
            <w:tcW w:w="3828" w:type="dxa"/>
            <w:tcBorders>
              <w:top w:val="nil"/>
              <w:left w:val="nil"/>
              <w:bottom w:val="single" w:sz="4" w:space="0" w:color="000000"/>
              <w:right w:val="nil"/>
            </w:tcBorders>
            <w:shd w:val="clear" w:color="auto" w:fill="auto"/>
            <w:vAlign w:val="bottom"/>
          </w:tcPr>
          <w:p w14:paraId="2E070F53"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Características</w:t>
            </w:r>
          </w:p>
        </w:tc>
        <w:tc>
          <w:tcPr>
            <w:tcW w:w="2268" w:type="dxa"/>
            <w:tcBorders>
              <w:top w:val="nil"/>
              <w:left w:val="nil"/>
              <w:bottom w:val="single" w:sz="4" w:space="0" w:color="000000"/>
              <w:right w:val="nil"/>
            </w:tcBorders>
            <w:shd w:val="clear" w:color="auto" w:fill="auto"/>
            <w:vAlign w:val="bottom"/>
          </w:tcPr>
          <w:p w14:paraId="5FE3A756"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DQPI médio 2021</w:t>
            </w:r>
          </w:p>
        </w:tc>
        <w:tc>
          <w:tcPr>
            <w:tcW w:w="2268" w:type="dxa"/>
            <w:tcBorders>
              <w:top w:val="nil"/>
              <w:left w:val="nil"/>
              <w:bottom w:val="single" w:sz="4" w:space="0" w:color="000000"/>
              <w:right w:val="nil"/>
            </w:tcBorders>
            <w:shd w:val="clear" w:color="auto" w:fill="auto"/>
            <w:vAlign w:val="bottom"/>
          </w:tcPr>
          <w:p w14:paraId="3B977352" w14:textId="77777777" w:rsidR="00EC4499" w:rsidRDefault="00433EA7">
            <w:pPr>
              <w:spacing w:after="0" w:line="240" w:lineRule="auto"/>
              <w:rPr>
                <w:rFonts w:ascii="Garamond" w:eastAsia="Garamond" w:hAnsi="Garamond" w:cs="Garamond"/>
                <w:b/>
                <w:color w:val="000000"/>
                <w:sz w:val="18"/>
                <w:szCs w:val="18"/>
              </w:rPr>
            </w:pPr>
            <w:r>
              <w:rPr>
                <w:rFonts w:ascii="Garamond" w:eastAsia="Garamond" w:hAnsi="Garamond" w:cs="Garamond"/>
                <w:b/>
                <w:color w:val="000000"/>
                <w:sz w:val="18"/>
                <w:szCs w:val="18"/>
              </w:rPr>
              <w:t xml:space="preserve">     DQPI médio 2022</w:t>
            </w:r>
          </w:p>
        </w:tc>
      </w:tr>
      <w:tr w:rsidR="00EC4499" w14:paraId="3827F07D" w14:textId="77777777" w:rsidTr="00F73D0C">
        <w:trPr>
          <w:trHeight w:val="312"/>
        </w:trPr>
        <w:tc>
          <w:tcPr>
            <w:tcW w:w="3828" w:type="dxa"/>
            <w:tcBorders>
              <w:top w:val="single" w:sz="4" w:space="0" w:color="000000"/>
              <w:left w:val="nil"/>
              <w:bottom w:val="nil"/>
              <w:right w:val="nil"/>
            </w:tcBorders>
            <w:shd w:val="clear" w:color="auto" w:fill="auto"/>
            <w:vAlign w:val="bottom"/>
          </w:tcPr>
          <w:p w14:paraId="1579D1F7"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Privado</w:t>
            </w:r>
          </w:p>
        </w:tc>
        <w:tc>
          <w:tcPr>
            <w:tcW w:w="2268" w:type="dxa"/>
            <w:tcBorders>
              <w:top w:val="single" w:sz="4" w:space="0" w:color="000000"/>
              <w:left w:val="nil"/>
              <w:bottom w:val="nil"/>
              <w:right w:val="nil"/>
            </w:tcBorders>
            <w:shd w:val="clear" w:color="auto" w:fill="auto"/>
            <w:vAlign w:val="bottom"/>
          </w:tcPr>
          <w:p w14:paraId="7D78AA6C"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166,0</w:t>
            </w:r>
          </w:p>
        </w:tc>
        <w:tc>
          <w:tcPr>
            <w:tcW w:w="2268" w:type="dxa"/>
            <w:tcBorders>
              <w:top w:val="single" w:sz="4" w:space="0" w:color="000000"/>
              <w:left w:val="nil"/>
              <w:bottom w:val="nil"/>
              <w:right w:val="nil"/>
            </w:tcBorders>
            <w:shd w:val="clear" w:color="auto" w:fill="auto"/>
            <w:vAlign w:val="bottom"/>
          </w:tcPr>
          <w:p w14:paraId="192EEC32" w14:textId="77777777" w:rsidR="00EC4499" w:rsidRDefault="00433EA7">
            <w:pPr>
              <w:spacing w:after="0" w:line="240" w:lineRule="auto"/>
              <w:rPr>
                <w:rFonts w:ascii="Garamond" w:eastAsia="Garamond" w:hAnsi="Garamond" w:cs="Garamond"/>
                <w:b/>
                <w:color w:val="000000"/>
                <w:sz w:val="18"/>
                <w:szCs w:val="18"/>
              </w:rPr>
            </w:pPr>
            <w:r>
              <w:rPr>
                <w:rFonts w:ascii="Garamond" w:eastAsia="Garamond" w:hAnsi="Garamond" w:cs="Garamond"/>
                <w:b/>
                <w:color w:val="000000"/>
                <w:sz w:val="18"/>
                <w:szCs w:val="18"/>
              </w:rPr>
              <w:t xml:space="preserve">              165,4</w:t>
            </w:r>
          </w:p>
        </w:tc>
      </w:tr>
      <w:tr w:rsidR="00EC4499" w14:paraId="6BED257B" w14:textId="77777777" w:rsidTr="00F73D0C">
        <w:trPr>
          <w:trHeight w:val="312"/>
        </w:trPr>
        <w:tc>
          <w:tcPr>
            <w:tcW w:w="3828" w:type="dxa"/>
            <w:tcBorders>
              <w:top w:val="nil"/>
              <w:left w:val="nil"/>
              <w:bottom w:val="nil"/>
              <w:right w:val="nil"/>
            </w:tcBorders>
            <w:shd w:val="clear" w:color="auto" w:fill="auto"/>
            <w:vAlign w:val="bottom"/>
          </w:tcPr>
          <w:p w14:paraId="6F41B955"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Público</w:t>
            </w:r>
          </w:p>
        </w:tc>
        <w:tc>
          <w:tcPr>
            <w:tcW w:w="2268" w:type="dxa"/>
            <w:tcBorders>
              <w:top w:val="nil"/>
              <w:left w:val="nil"/>
              <w:bottom w:val="nil"/>
              <w:right w:val="nil"/>
            </w:tcBorders>
            <w:shd w:val="clear" w:color="auto" w:fill="auto"/>
            <w:vAlign w:val="bottom"/>
          </w:tcPr>
          <w:p w14:paraId="476FEE7C"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132,3</w:t>
            </w:r>
          </w:p>
        </w:tc>
        <w:tc>
          <w:tcPr>
            <w:tcW w:w="2268" w:type="dxa"/>
            <w:tcBorders>
              <w:top w:val="nil"/>
              <w:left w:val="nil"/>
              <w:bottom w:val="nil"/>
              <w:right w:val="nil"/>
            </w:tcBorders>
            <w:shd w:val="clear" w:color="auto" w:fill="auto"/>
            <w:vAlign w:val="bottom"/>
          </w:tcPr>
          <w:p w14:paraId="2C1CE796"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              164,8</w:t>
            </w:r>
          </w:p>
        </w:tc>
      </w:tr>
      <w:tr w:rsidR="00EC4499" w14:paraId="3E2461AE" w14:textId="77777777" w:rsidTr="00F73D0C">
        <w:trPr>
          <w:trHeight w:val="312"/>
        </w:trPr>
        <w:tc>
          <w:tcPr>
            <w:tcW w:w="3828" w:type="dxa"/>
            <w:tcBorders>
              <w:top w:val="nil"/>
              <w:left w:val="nil"/>
              <w:bottom w:val="nil"/>
              <w:right w:val="nil"/>
            </w:tcBorders>
            <w:shd w:val="clear" w:color="auto" w:fill="auto"/>
            <w:vAlign w:val="bottom"/>
          </w:tcPr>
          <w:p w14:paraId="03C3BE2C"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Capital aberto</w:t>
            </w:r>
          </w:p>
        </w:tc>
        <w:tc>
          <w:tcPr>
            <w:tcW w:w="2268" w:type="dxa"/>
            <w:tcBorders>
              <w:top w:val="nil"/>
              <w:left w:val="nil"/>
              <w:bottom w:val="nil"/>
              <w:right w:val="nil"/>
            </w:tcBorders>
            <w:shd w:val="clear" w:color="auto" w:fill="auto"/>
            <w:vAlign w:val="bottom"/>
          </w:tcPr>
          <w:p w14:paraId="07635369"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165,6</w:t>
            </w:r>
          </w:p>
        </w:tc>
        <w:tc>
          <w:tcPr>
            <w:tcW w:w="2268" w:type="dxa"/>
            <w:tcBorders>
              <w:top w:val="nil"/>
              <w:left w:val="nil"/>
              <w:bottom w:val="nil"/>
              <w:right w:val="nil"/>
            </w:tcBorders>
            <w:shd w:val="clear" w:color="auto" w:fill="auto"/>
            <w:vAlign w:val="bottom"/>
          </w:tcPr>
          <w:p w14:paraId="0883AA2E" w14:textId="77777777" w:rsidR="00EC4499" w:rsidRDefault="00433EA7">
            <w:pPr>
              <w:spacing w:after="0" w:line="240" w:lineRule="auto"/>
              <w:rPr>
                <w:rFonts w:ascii="Garamond" w:eastAsia="Garamond" w:hAnsi="Garamond" w:cs="Garamond"/>
                <w:b/>
                <w:color w:val="000000"/>
                <w:sz w:val="18"/>
                <w:szCs w:val="18"/>
              </w:rPr>
            </w:pPr>
            <w:r>
              <w:rPr>
                <w:rFonts w:ascii="Garamond" w:eastAsia="Garamond" w:hAnsi="Garamond" w:cs="Garamond"/>
                <w:b/>
                <w:color w:val="000000"/>
                <w:sz w:val="18"/>
                <w:szCs w:val="18"/>
              </w:rPr>
              <w:t xml:space="preserve">               169,4</w:t>
            </w:r>
          </w:p>
        </w:tc>
      </w:tr>
      <w:tr w:rsidR="00EC4499" w14:paraId="711F60C8" w14:textId="77777777" w:rsidTr="00F73D0C">
        <w:trPr>
          <w:trHeight w:val="312"/>
        </w:trPr>
        <w:tc>
          <w:tcPr>
            <w:tcW w:w="3828" w:type="dxa"/>
            <w:tcBorders>
              <w:top w:val="nil"/>
              <w:left w:val="nil"/>
              <w:bottom w:val="nil"/>
              <w:right w:val="nil"/>
            </w:tcBorders>
            <w:shd w:val="clear" w:color="auto" w:fill="auto"/>
            <w:vAlign w:val="bottom"/>
          </w:tcPr>
          <w:p w14:paraId="14C4282E"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Capital fechado</w:t>
            </w:r>
          </w:p>
        </w:tc>
        <w:tc>
          <w:tcPr>
            <w:tcW w:w="2268" w:type="dxa"/>
            <w:tcBorders>
              <w:top w:val="nil"/>
              <w:left w:val="nil"/>
              <w:bottom w:val="nil"/>
              <w:right w:val="nil"/>
            </w:tcBorders>
            <w:shd w:val="clear" w:color="auto" w:fill="auto"/>
            <w:vAlign w:val="bottom"/>
          </w:tcPr>
          <w:p w14:paraId="444629A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122,3</w:t>
            </w:r>
          </w:p>
        </w:tc>
        <w:tc>
          <w:tcPr>
            <w:tcW w:w="2268" w:type="dxa"/>
            <w:tcBorders>
              <w:top w:val="nil"/>
              <w:left w:val="nil"/>
              <w:bottom w:val="nil"/>
              <w:right w:val="nil"/>
            </w:tcBorders>
            <w:shd w:val="clear" w:color="auto" w:fill="auto"/>
            <w:vAlign w:val="bottom"/>
          </w:tcPr>
          <w:p w14:paraId="52B7D2D0"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               152,3</w:t>
            </w:r>
          </w:p>
        </w:tc>
      </w:tr>
      <w:tr w:rsidR="00EC4499" w14:paraId="3A869454" w14:textId="77777777" w:rsidTr="00F73D0C">
        <w:trPr>
          <w:trHeight w:val="312"/>
        </w:trPr>
        <w:tc>
          <w:tcPr>
            <w:tcW w:w="3828" w:type="dxa"/>
            <w:tcBorders>
              <w:top w:val="nil"/>
              <w:left w:val="nil"/>
              <w:bottom w:val="nil"/>
              <w:right w:val="nil"/>
            </w:tcBorders>
            <w:shd w:val="clear" w:color="auto" w:fill="auto"/>
            <w:vAlign w:val="bottom"/>
          </w:tcPr>
          <w:p w14:paraId="5BD0D616"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Sede no Brasil</w:t>
            </w:r>
          </w:p>
        </w:tc>
        <w:tc>
          <w:tcPr>
            <w:tcW w:w="2268" w:type="dxa"/>
            <w:tcBorders>
              <w:top w:val="nil"/>
              <w:left w:val="nil"/>
              <w:bottom w:val="nil"/>
              <w:right w:val="nil"/>
            </w:tcBorders>
            <w:shd w:val="clear" w:color="auto" w:fill="auto"/>
            <w:vAlign w:val="bottom"/>
          </w:tcPr>
          <w:p w14:paraId="75B1E687"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162,9</w:t>
            </w:r>
          </w:p>
        </w:tc>
        <w:tc>
          <w:tcPr>
            <w:tcW w:w="2268" w:type="dxa"/>
            <w:tcBorders>
              <w:top w:val="nil"/>
              <w:left w:val="nil"/>
              <w:bottom w:val="nil"/>
              <w:right w:val="nil"/>
            </w:tcBorders>
            <w:shd w:val="clear" w:color="auto" w:fill="auto"/>
            <w:vAlign w:val="bottom"/>
          </w:tcPr>
          <w:p w14:paraId="44E5AF65" w14:textId="77777777" w:rsidR="00EC4499" w:rsidRDefault="00433EA7">
            <w:pPr>
              <w:spacing w:after="0" w:line="240" w:lineRule="auto"/>
              <w:rPr>
                <w:rFonts w:ascii="Garamond" w:eastAsia="Garamond" w:hAnsi="Garamond" w:cs="Garamond"/>
                <w:b/>
                <w:color w:val="000000"/>
                <w:sz w:val="18"/>
                <w:szCs w:val="18"/>
              </w:rPr>
            </w:pPr>
            <w:r>
              <w:rPr>
                <w:rFonts w:ascii="Garamond" w:eastAsia="Garamond" w:hAnsi="Garamond" w:cs="Garamond"/>
                <w:b/>
                <w:color w:val="000000"/>
                <w:sz w:val="18"/>
                <w:szCs w:val="18"/>
              </w:rPr>
              <w:t xml:space="preserve">               181,4</w:t>
            </w:r>
          </w:p>
        </w:tc>
      </w:tr>
      <w:tr w:rsidR="00EC4499" w14:paraId="29250C59" w14:textId="77777777" w:rsidTr="00F73D0C">
        <w:trPr>
          <w:trHeight w:val="312"/>
        </w:trPr>
        <w:tc>
          <w:tcPr>
            <w:tcW w:w="3828" w:type="dxa"/>
            <w:tcBorders>
              <w:top w:val="nil"/>
              <w:left w:val="nil"/>
              <w:bottom w:val="nil"/>
              <w:right w:val="nil"/>
            </w:tcBorders>
            <w:shd w:val="clear" w:color="auto" w:fill="auto"/>
            <w:vAlign w:val="bottom"/>
          </w:tcPr>
          <w:p w14:paraId="57F51DCD"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Sede no exterior</w:t>
            </w:r>
          </w:p>
        </w:tc>
        <w:tc>
          <w:tcPr>
            <w:tcW w:w="2268" w:type="dxa"/>
            <w:tcBorders>
              <w:top w:val="nil"/>
              <w:left w:val="nil"/>
              <w:bottom w:val="nil"/>
              <w:right w:val="nil"/>
            </w:tcBorders>
            <w:shd w:val="clear" w:color="auto" w:fill="auto"/>
            <w:vAlign w:val="bottom"/>
          </w:tcPr>
          <w:p w14:paraId="71851FA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130,3</w:t>
            </w:r>
          </w:p>
        </w:tc>
        <w:tc>
          <w:tcPr>
            <w:tcW w:w="2268" w:type="dxa"/>
            <w:tcBorders>
              <w:top w:val="nil"/>
              <w:left w:val="nil"/>
              <w:bottom w:val="nil"/>
              <w:right w:val="nil"/>
            </w:tcBorders>
            <w:shd w:val="clear" w:color="auto" w:fill="auto"/>
            <w:vAlign w:val="bottom"/>
          </w:tcPr>
          <w:p w14:paraId="1B1C563C"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               116,3</w:t>
            </w:r>
          </w:p>
        </w:tc>
      </w:tr>
      <w:tr w:rsidR="00EC4499" w14:paraId="3B473C04" w14:textId="77777777" w:rsidTr="00F73D0C">
        <w:trPr>
          <w:trHeight w:val="312"/>
        </w:trPr>
        <w:tc>
          <w:tcPr>
            <w:tcW w:w="3828" w:type="dxa"/>
            <w:tcBorders>
              <w:top w:val="nil"/>
              <w:left w:val="nil"/>
              <w:bottom w:val="nil"/>
              <w:right w:val="nil"/>
            </w:tcBorders>
            <w:shd w:val="clear" w:color="auto" w:fill="auto"/>
            <w:vAlign w:val="bottom"/>
          </w:tcPr>
          <w:p w14:paraId="0D576FED"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Desenvolvimento</w:t>
            </w:r>
          </w:p>
        </w:tc>
        <w:tc>
          <w:tcPr>
            <w:tcW w:w="2268" w:type="dxa"/>
            <w:tcBorders>
              <w:top w:val="nil"/>
              <w:left w:val="nil"/>
              <w:bottom w:val="nil"/>
              <w:right w:val="nil"/>
            </w:tcBorders>
            <w:shd w:val="clear" w:color="auto" w:fill="auto"/>
            <w:vAlign w:val="bottom"/>
          </w:tcPr>
          <w:p w14:paraId="6E6D9669"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149,5</w:t>
            </w:r>
          </w:p>
        </w:tc>
        <w:tc>
          <w:tcPr>
            <w:tcW w:w="2268" w:type="dxa"/>
            <w:tcBorders>
              <w:top w:val="nil"/>
              <w:left w:val="nil"/>
              <w:bottom w:val="nil"/>
              <w:right w:val="nil"/>
            </w:tcBorders>
            <w:shd w:val="clear" w:color="auto" w:fill="auto"/>
            <w:vAlign w:val="bottom"/>
          </w:tcPr>
          <w:p w14:paraId="7D3026A3" w14:textId="77777777" w:rsidR="00EC4499" w:rsidRDefault="00433EA7">
            <w:pPr>
              <w:spacing w:after="0" w:line="240" w:lineRule="auto"/>
              <w:rPr>
                <w:rFonts w:ascii="Garamond" w:eastAsia="Garamond" w:hAnsi="Garamond" w:cs="Garamond"/>
                <w:b/>
                <w:color w:val="000000"/>
                <w:sz w:val="18"/>
                <w:szCs w:val="18"/>
              </w:rPr>
            </w:pPr>
            <w:r>
              <w:rPr>
                <w:rFonts w:ascii="Garamond" w:eastAsia="Garamond" w:hAnsi="Garamond" w:cs="Garamond"/>
                <w:b/>
                <w:color w:val="000000"/>
                <w:sz w:val="18"/>
                <w:szCs w:val="18"/>
              </w:rPr>
              <w:t xml:space="preserve">               210,0</w:t>
            </w:r>
          </w:p>
        </w:tc>
      </w:tr>
      <w:tr w:rsidR="00EC4499" w14:paraId="1196E936" w14:textId="77777777" w:rsidTr="00F73D0C">
        <w:trPr>
          <w:trHeight w:val="312"/>
        </w:trPr>
        <w:tc>
          <w:tcPr>
            <w:tcW w:w="3828" w:type="dxa"/>
            <w:tcBorders>
              <w:top w:val="nil"/>
              <w:left w:val="nil"/>
              <w:bottom w:val="nil"/>
              <w:right w:val="nil"/>
            </w:tcBorders>
            <w:shd w:val="clear" w:color="auto" w:fill="auto"/>
            <w:vAlign w:val="bottom"/>
          </w:tcPr>
          <w:p w14:paraId="36D64896"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Múltiplo</w:t>
            </w:r>
          </w:p>
        </w:tc>
        <w:tc>
          <w:tcPr>
            <w:tcW w:w="2268" w:type="dxa"/>
            <w:tcBorders>
              <w:top w:val="nil"/>
              <w:left w:val="nil"/>
              <w:bottom w:val="nil"/>
              <w:right w:val="nil"/>
            </w:tcBorders>
            <w:shd w:val="clear" w:color="auto" w:fill="auto"/>
            <w:vAlign w:val="bottom"/>
          </w:tcPr>
          <w:p w14:paraId="55AB61E1"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155,8</w:t>
            </w:r>
          </w:p>
        </w:tc>
        <w:tc>
          <w:tcPr>
            <w:tcW w:w="2268" w:type="dxa"/>
            <w:tcBorders>
              <w:top w:val="nil"/>
              <w:left w:val="nil"/>
              <w:bottom w:val="nil"/>
              <w:right w:val="nil"/>
            </w:tcBorders>
            <w:shd w:val="clear" w:color="auto" w:fill="auto"/>
            <w:vAlign w:val="bottom"/>
          </w:tcPr>
          <w:p w14:paraId="2AD6E834"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               156,2</w:t>
            </w:r>
          </w:p>
        </w:tc>
      </w:tr>
      <w:tr w:rsidR="00EC4499" w14:paraId="7B234605" w14:textId="77777777" w:rsidTr="00F112C2">
        <w:trPr>
          <w:trHeight w:val="312"/>
        </w:trPr>
        <w:tc>
          <w:tcPr>
            <w:tcW w:w="3828" w:type="dxa"/>
            <w:tcBorders>
              <w:top w:val="nil"/>
              <w:left w:val="nil"/>
              <w:right w:val="nil"/>
            </w:tcBorders>
            <w:shd w:val="clear" w:color="auto" w:fill="auto"/>
            <w:vAlign w:val="bottom"/>
          </w:tcPr>
          <w:p w14:paraId="657D79AF"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Relato Integrado</w:t>
            </w:r>
          </w:p>
        </w:tc>
        <w:tc>
          <w:tcPr>
            <w:tcW w:w="2268" w:type="dxa"/>
            <w:tcBorders>
              <w:top w:val="nil"/>
              <w:left w:val="nil"/>
              <w:right w:val="nil"/>
            </w:tcBorders>
            <w:shd w:val="clear" w:color="auto" w:fill="auto"/>
            <w:vAlign w:val="bottom"/>
          </w:tcPr>
          <w:p w14:paraId="19B209D7"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169,5</w:t>
            </w:r>
          </w:p>
        </w:tc>
        <w:tc>
          <w:tcPr>
            <w:tcW w:w="2268" w:type="dxa"/>
            <w:tcBorders>
              <w:top w:val="nil"/>
              <w:left w:val="nil"/>
              <w:right w:val="nil"/>
            </w:tcBorders>
            <w:shd w:val="clear" w:color="auto" w:fill="auto"/>
            <w:vAlign w:val="bottom"/>
          </w:tcPr>
          <w:p w14:paraId="5E3039B9" w14:textId="77777777" w:rsidR="00EC4499" w:rsidRDefault="00433EA7">
            <w:pPr>
              <w:spacing w:after="0" w:line="240" w:lineRule="auto"/>
              <w:rPr>
                <w:rFonts w:ascii="Garamond" w:eastAsia="Garamond" w:hAnsi="Garamond" w:cs="Garamond"/>
                <w:b/>
                <w:color w:val="000000"/>
                <w:sz w:val="18"/>
                <w:szCs w:val="18"/>
              </w:rPr>
            </w:pPr>
            <w:r>
              <w:rPr>
                <w:rFonts w:ascii="Garamond" w:eastAsia="Garamond" w:hAnsi="Garamond" w:cs="Garamond"/>
                <w:b/>
                <w:color w:val="000000"/>
                <w:sz w:val="18"/>
                <w:szCs w:val="18"/>
              </w:rPr>
              <w:t xml:space="preserve">               187,5</w:t>
            </w:r>
          </w:p>
        </w:tc>
      </w:tr>
      <w:tr w:rsidR="00EC4499" w14:paraId="3CEEA793" w14:textId="77777777" w:rsidTr="00F112C2">
        <w:trPr>
          <w:trHeight w:val="312"/>
        </w:trPr>
        <w:tc>
          <w:tcPr>
            <w:tcW w:w="3828" w:type="dxa"/>
            <w:tcBorders>
              <w:top w:val="nil"/>
              <w:left w:val="nil"/>
              <w:bottom w:val="single" w:sz="4" w:space="0" w:color="auto"/>
              <w:right w:val="nil"/>
            </w:tcBorders>
            <w:shd w:val="clear" w:color="auto" w:fill="auto"/>
            <w:vAlign w:val="bottom"/>
          </w:tcPr>
          <w:p w14:paraId="13422987" w14:textId="173727D2"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Relato ESG</w:t>
            </w:r>
            <w:r w:rsidR="00037D37">
              <w:rPr>
                <w:rFonts w:ascii="Garamond" w:eastAsia="Garamond" w:hAnsi="Garamond" w:cs="Garamond"/>
                <w:color w:val="000000"/>
                <w:sz w:val="18"/>
                <w:szCs w:val="18"/>
              </w:rPr>
              <w:t>/Sustentabilidade</w:t>
            </w:r>
          </w:p>
        </w:tc>
        <w:tc>
          <w:tcPr>
            <w:tcW w:w="2268" w:type="dxa"/>
            <w:tcBorders>
              <w:top w:val="nil"/>
              <w:left w:val="nil"/>
              <w:bottom w:val="single" w:sz="4" w:space="0" w:color="auto"/>
              <w:right w:val="nil"/>
            </w:tcBorders>
            <w:shd w:val="clear" w:color="auto" w:fill="auto"/>
            <w:vAlign w:val="bottom"/>
          </w:tcPr>
          <w:p w14:paraId="6C3FCF52" w14:textId="3517ADAD"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r w:rsidR="00037D37">
              <w:rPr>
                <w:rFonts w:ascii="Garamond" w:eastAsia="Garamond" w:hAnsi="Garamond" w:cs="Garamond"/>
                <w:color w:val="000000"/>
                <w:sz w:val="18"/>
                <w:szCs w:val="18"/>
              </w:rPr>
              <w:t>40,</w:t>
            </w:r>
            <w:r w:rsidR="00F112C2">
              <w:rPr>
                <w:rFonts w:ascii="Garamond" w:eastAsia="Garamond" w:hAnsi="Garamond" w:cs="Garamond"/>
                <w:color w:val="000000"/>
                <w:sz w:val="18"/>
                <w:szCs w:val="18"/>
              </w:rPr>
              <w:t>0</w:t>
            </w:r>
          </w:p>
        </w:tc>
        <w:tc>
          <w:tcPr>
            <w:tcW w:w="2268" w:type="dxa"/>
            <w:tcBorders>
              <w:top w:val="nil"/>
              <w:left w:val="nil"/>
              <w:bottom w:val="single" w:sz="4" w:space="0" w:color="auto"/>
              <w:right w:val="nil"/>
            </w:tcBorders>
            <w:shd w:val="clear" w:color="auto" w:fill="auto"/>
            <w:vAlign w:val="bottom"/>
          </w:tcPr>
          <w:p w14:paraId="67016E3A" w14:textId="7F4C8C3A"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               1</w:t>
            </w:r>
            <w:r w:rsidR="004C4D02">
              <w:rPr>
                <w:rFonts w:ascii="Garamond" w:eastAsia="Garamond" w:hAnsi="Garamond" w:cs="Garamond"/>
                <w:color w:val="000000"/>
                <w:sz w:val="18"/>
                <w:szCs w:val="18"/>
              </w:rPr>
              <w:t>42</w:t>
            </w:r>
            <w:r>
              <w:rPr>
                <w:rFonts w:ascii="Garamond" w:eastAsia="Garamond" w:hAnsi="Garamond" w:cs="Garamond"/>
                <w:color w:val="000000"/>
                <w:sz w:val="18"/>
                <w:szCs w:val="18"/>
              </w:rPr>
              <w:t>,</w:t>
            </w:r>
            <w:r w:rsidR="004C4D02">
              <w:rPr>
                <w:rFonts w:ascii="Garamond" w:eastAsia="Garamond" w:hAnsi="Garamond" w:cs="Garamond"/>
                <w:color w:val="000000"/>
                <w:sz w:val="18"/>
                <w:szCs w:val="18"/>
              </w:rPr>
              <w:t>8</w:t>
            </w:r>
          </w:p>
        </w:tc>
      </w:tr>
    </w:tbl>
    <w:p w14:paraId="22514470" w14:textId="77777777" w:rsidR="00EC4499" w:rsidRDefault="00EC4499">
      <w:pPr>
        <w:spacing w:after="0" w:line="360" w:lineRule="auto"/>
        <w:rPr>
          <w:rFonts w:ascii="Garamond" w:eastAsia="Garamond" w:hAnsi="Garamond" w:cs="Garamond"/>
          <w:color w:val="000000"/>
          <w:sz w:val="24"/>
          <w:szCs w:val="24"/>
        </w:rPr>
      </w:pPr>
    </w:p>
    <w:p w14:paraId="22BB3EB4" w14:textId="05B20D5A" w:rsidR="00EC4499" w:rsidRDefault="00433EA7">
      <w:pPr>
        <w:spacing w:after="0" w:line="360" w:lineRule="auto"/>
        <w:ind w:firstLine="708"/>
        <w:jc w:val="both"/>
        <w:rPr>
          <w:rFonts w:ascii="Garamond" w:eastAsia="Garamond" w:hAnsi="Garamond" w:cs="Garamond"/>
          <w:color w:val="000000"/>
          <w:sz w:val="24"/>
          <w:szCs w:val="24"/>
        </w:rPr>
      </w:pPr>
      <w:r>
        <w:rPr>
          <w:rFonts w:ascii="Garamond" w:eastAsia="Garamond" w:hAnsi="Garamond" w:cs="Garamond"/>
          <w:color w:val="000000"/>
          <w:sz w:val="24"/>
          <w:szCs w:val="24"/>
        </w:rPr>
        <w:t>Os resultados acima demonstram que os relatos de mais qualidade são aqueles elaborados por bancos privados, de capital aberto, com sede no Brasil e na modalidade “Integrado”. Embora em 2021 a diferença tenha sido considerável, verifica-se que em 2022 os bancos públicos se aproximaram da pontuação dos privados. Embora tenham DQPI médio menor em 2021 os bancos de desenvolvimento tiveram um salto de qualidade e em 2022 tiveram média consideravelmente mais alt</w:t>
      </w:r>
      <w:r w:rsidR="009E7571">
        <w:rPr>
          <w:rFonts w:ascii="Garamond" w:eastAsia="Garamond" w:hAnsi="Garamond" w:cs="Garamond"/>
          <w:color w:val="000000"/>
          <w:sz w:val="24"/>
          <w:szCs w:val="24"/>
        </w:rPr>
        <w:t>a</w:t>
      </w:r>
      <w:r>
        <w:rPr>
          <w:rFonts w:ascii="Garamond" w:eastAsia="Garamond" w:hAnsi="Garamond" w:cs="Garamond"/>
          <w:color w:val="000000"/>
          <w:sz w:val="24"/>
          <w:szCs w:val="24"/>
        </w:rPr>
        <w:t xml:space="preserve"> do que </w:t>
      </w:r>
      <w:r w:rsidR="009E7571">
        <w:rPr>
          <w:rFonts w:ascii="Garamond" w:eastAsia="Garamond" w:hAnsi="Garamond" w:cs="Garamond"/>
          <w:color w:val="000000"/>
          <w:sz w:val="24"/>
          <w:szCs w:val="24"/>
        </w:rPr>
        <w:t xml:space="preserve">a </w:t>
      </w:r>
      <w:r>
        <w:rPr>
          <w:rFonts w:ascii="Garamond" w:eastAsia="Garamond" w:hAnsi="Garamond" w:cs="Garamond"/>
          <w:color w:val="000000"/>
          <w:sz w:val="24"/>
          <w:szCs w:val="24"/>
        </w:rPr>
        <w:t>dos bancos múltiplos.</w:t>
      </w:r>
      <w:r>
        <w:rPr>
          <w:rFonts w:ascii="Garamond" w:eastAsia="Garamond" w:hAnsi="Garamond" w:cs="Garamond"/>
          <w:color w:val="000000"/>
          <w:sz w:val="24"/>
          <w:szCs w:val="24"/>
        </w:rPr>
        <w:tab/>
      </w:r>
    </w:p>
    <w:p w14:paraId="046133D8" w14:textId="5FC6D46D" w:rsidR="00EC4499" w:rsidRDefault="00433EA7">
      <w:pPr>
        <w:pStyle w:val="Ttulo2"/>
        <w:spacing w:after="0" w:line="360" w:lineRule="auto"/>
        <w:rPr>
          <w:rFonts w:ascii="Garamond" w:eastAsia="Garamond" w:hAnsi="Garamond" w:cs="Garamond"/>
          <w:sz w:val="26"/>
          <w:szCs w:val="26"/>
        </w:rPr>
      </w:pPr>
      <w:bookmarkStart w:id="13" w:name="_heading=h.4n5kubq91fnb" w:colFirst="0" w:colLast="0"/>
      <w:bookmarkEnd w:id="13"/>
      <w:r>
        <w:rPr>
          <w:rFonts w:ascii="Garamond" w:eastAsia="Garamond" w:hAnsi="Garamond" w:cs="Garamond"/>
          <w:sz w:val="26"/>
          <w:szCs w:val="26"/>
        </w:rPr>
        <w:t>4.2</w:t>
      </w:r>
      <w:r>
        <w:rPr>
          <w:rFonts w:ascii="Garamond" w:eastAsia="Garamond" w:hAnsi="Garamond" w:cs="Garamond"/>
          <w:sz w:val="26"/>
          <w:szCs w:val="26"/>
        </w:rPr>
        <w:tab/>
        <w:t xml:space="preserve">Análise da qualidade conforme vinculação </w:t>
      </w:r>
      <w:r w:rsidR="00C279EB">
        <w:rPr>
          <w:rFonts w:ascii="Garamond" w:eastAsia="Garamond" w:hAnsi="Garamond" w:cs="Garamond"/>
          <w:sz w:val="26"/>
          <w:szCs w:val="26"/>
        </w:rPr>
        <w:t>da</w:t>
      </w:r>
      <w:r w:rsidR="00EF5929">
        <w:rPr>
          <w:rFonts w:ascii="Garamond" w:eastAsia="Garamond" w:hAnsi="Garamond" w:cs="Garamond"/>
          <w:sz w:val="26"/>
          <w:szCs w:val="26"/>
        </w:rPr>
        <w:t xml:space="preserve"> </w:t>
      </w:r>
      <w:r>
        <w:rPr>
          <w:rFonts w:ascii="Garamond" w:eastAsia="Garamond" w:hAnsi="Garamond" w:cs="Garamond"/>
          <w:sz w:val="26"/>
          <w:szCs w:val="26"/>
        </w:rPr>
        <w:t>GRI</w:t>
      </w:r>
    </w:p>
    <w:p w14:paraId="200E9EA4" w14:textId="77777777" w:rsidR="00EC4499" w:rsidRDefault="00EC4499">
      <w:pPr>
        <w:spacing w:after="0" w:line="360" w:lineRule="auto"/>
        <w:rPr>
          <w:rFonts w:ascii="Garamond" w:eastAsia="Garamond" w:hAnsi="Garamond" w:cs="Garamond"/>
          <w:color w:val="000000"/>
          <w:sz w:val="24"/>
          <w:szCs w:val="24"/>
        </w:rPr>
      </w:pPr>
    </w:p>
    <w:p w14:paraId="6BE8C3C1" w14:textId="2DE2660C"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Em maio de 2022 a GRI atualizou o documento “Linking the SDGs and the GRI Standards” (</w:t>
      </w:r>
      <w:r w:rsidR="00D91662">
        <w:rPr>
          <w:rFonts w:ascii="Garamond" w:eastAsia="Garamond" w:hAnsi="Garamond" w:cs="Garamond"/>
          <w:color w:val="000000"/>
          <w:sz w:val="24"/>
          <w:szCs w:val="24"/>
        </w:rPr>
        <w:t>Pacto Global</w:t>
      </w:r>
      <w:r>
        <w:rPr>
          <w:rFonts w:ascii="Garamond" w:eastAsia="Garamond" w:hAnsi="Garamond" w:cs="Garamond"/>
          <w:color w:val="000000"/>
          <w:sz w:val="24"/>
          <w:szCs w:val="24"/>
        </w:rPr>
        <w:t xml:space="preserve">, 2022), trazendo a sua visão da correlação entre os conteúdos e os ODS, cujo resultado reproduzimos na Tabela 3. Desta forma, aplicamos a mesma metodologia para os relatórios de 2021 e 2022 a fim de comparar os resultados obtidos. </w:t>
      </w:r>
    </w:p>
    <w:p w14:paraId="5BAABC92" w14:textId="77777777" w:rsidR="00EC4499" w:rsidRDefault="00433EA7">
      <w:pPr>
        <w:spacing w:after="0" w:line="360" w:lineRule="auto"/>
        <w:ind w:firstLine="708"/>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A pontuação do DQPI, neste caso, variou de 0 a 372, sendo um relatório com pontuação de 275 a 372 considerado de </w:t>
      </w:r>
      <w:r>
        <w:rPr>
          <w:rFonts w:ascii="Garamond" w:eastAsia="Garamond" w:hAnsi="Garamond" w:cs="Garamond"/>
          <w:b/>
          <w:color w:val="000000"/>
          <w:sz w:val="24"/>
          <w:szCs w:val="24"/>
        </w:rPr>
        <w:t xml:space="preserve">alta </w:t>
      </w:r>
      <w:r>
        <w:rPr>
          <w:rFonts w:ascii="Garamond" w:eastAsia="Garamond" w:hAnsi="Garamond" w:cs="Garamond"/>
          <w:color w:val="000000"/>
          <w:sz w:val="24"/>
          <w:szCs w:val="24"/>
        </w:rPr>
        <w:t xml:space="preserve">qualidade, de 185 a 274 </w:t>
      </w:r>
      <w:r>
        <w:rPr>
          <w:rFonts w:ascii="Garamond" w:eastAsia="Garamond" w:hAnsi="Garamond" w:cs="Garamond"/>
          <w:b/>
          <w:color w:val="000000"/>
          <w:sz w:val="24"/>
          <w:szCs w:val="24"/>
        </w:rPr>
        <w:t>média</w:t>
      </w:r>
      <w:r>
        <w:rPr>
          <w:rFonts w:ascii="Garamond" w:eastAsia="Garamond" w:hAnsi="Garamond" w:cs="Garamond"/>
          <w:color w:val="000000"/>
          <w:sz w:val="24"/>
          <w:szCs w:val="24"/>
        </w:rPr>
        <w:t xml:space="preserve">, 95 a 184 </w:t>
      </w:r>
      <w:r>
        <w:rPr>
          <w:rFonts w:ascii="Garamond" w:eastAsia="Garamond" w:hAnsi="Garamond" w:cs="Garamond"/>
          <w:b/>
          <w:color w:val="000000"/>
          <w:sz w:val="24"/>
          <w:szCs w:val="24"/>
        </w:rPr>
        <w:t>baixa</w:t>
      </w:r>
      <w:r>
        <w:rPr>
          <w:rFonts w:ascii="Garamond" w:eastAsia="Garamond" w:hAnsi="Garamond" w:cs="Garamond"/>
          <w:color w:val="000000"/>
          <w:sz w:val="24"/>
          <w:szCs w:val="24"/>
        </w:rPr>
        <w:t xml:space="preserve"> e 0 a 94 de </w:t>
      </w:r>
      <w:r>
        <w:rPr>
          <w:rFonts w:ascii="Garamond" w:eastAsia="Garamond" w:hAnsi="Garamond" w:cs="Garamond"/>
          <w:b/>
          <w:color w:val="000000"/>
          <w:sz w:val="24"/>
          <w:szCs w:val="24"/>
        </w:rPr>
        <w:t>muito baixa</w:t>
      </w:r>
      <w:r>
        <w:rPr>
          <w:rFonts w:ascii="Garamond" w:eastAsia="Garamond" w:hAnsi="Garamond" w:cs="Garamond"/>
          <w:color w:val="000000"/>
          <w:sz w:val="24"/>
          <w:szCs w:val="24"/>
        </w:rPr>
        <w:t xml:space="preserve"> qualidade.</w:t>
      </w:r>
    </w:p>
    <w:p w14:paraId="5A8E5A6F" w14:textId="77777777" w:rsidR="00D80C89" w:rsidRDefault="00D80C89">
      <w:pPr>
        <w:spacing w:after="0" w:line="360" w:lineRule="auto"/>
        <w:ind w:firstLine="708"/>
        <w:jc w:val="both"/>
        <w:rPr>
          <w:rFonts w:ascii="Garamond" w:eastAsia="Garamond" w:hAnsi="Garamond" w:cs="Garamond"/>
          <w:color w:val="000000"/>
          <w:sz w:val="24"/>
          <w:szCs w:val="24"/>
        </w:rPr>
      </w:pPr>
    </w:p>
    <w:p w14:paraId="439F1573" w14:textId="77777777" w:rsidR="00D80C89" w:rsidRDefault="00D80C89">
      <w:pPr>
        <w:spacing w:after="0" w:line="360" w:lineRule="auto"/>
        <w:ind w:firstLine="708"/>
        <w:jc w:val="both"/>
        <w:rPr>
          <w:rFonts w:ascii="Garamond" w:eastAsia="Garamond" w:hAnsi="Garamond" w:cs="Garamond"/>
          <w:color w:val="000000"/>
          <w:sz w:val="24"/>
          <w:szCs w:val="24"/>
        </w:rPr>
      </w:pPr>
    </w:p>
    <w:p w14:paraId="211ED8FD" w14:textId="77777777" w:rsidR="00D80C89" w:rsidRDefault="00D80C89">
      <w:pPr>
        <w:spacing w:after="0" w:line="360" w:lineRule="auto"/>
        <w:ind w:firstLine="708"/>
        <w:jc w:val="both"/>
        <w:rPr>
          <w:rFonts w:ascii="Garamond" w:eastAsia="Garamond" w:hAnsi="Garamond" w:cs="Garamond"/>
          <w:color w:val="000000"/>
          <w:sz w:val="24"/>
          <w:szCs w:val="24"/>
        </w:rPr>
      </w:pPr>
    </w:p>
    <w:p w14:paraId="7260E402" w14:textId="77777777" w:rsidR="00D80C89" w:rsidRDefault="00D80C89">
      <w:pPr>
        <w:spacing w:after="0" w:line="360" w:lineRule="auto"/>
        <w:ind w:firstLine="708"/>
        <w:jc w:val="both"/>
        <w:rPr>
          <w:rFonts w:ascii="Garamond" w:eastAsia="Garamond" w:hAnsi="Garamond" w:cs="Garamond"/>
          <w:color w:val="000000"/>
          <w:sz w:val="24"/>
          <w:szCs w:val="24"/>
        </w:rPr>
      </w:pPr>
    </w:p>
    <w:p w14:paraId="442F590D" w14:textId="77777777" w:rsidR="00D80C89" w:rsidRDefault="00D80C89">
      <w:pPr>
        <w:spacing w:after="0" w:line="360" w:lineRule="auto"/>
        <w:ind w:firstLine="708"/>
        <w:jc w:val="both"/>
        <w:rPr>
          <w:rFonts w:ascii="Garamond" w:eastAsia="Garamond" w:hAnsi="Garamond" w:cs="Garamond"/>
          <w:color w:val="000000"/>
          <w:sz w:val="24"/>
          <w:szCs w:val="24"/>
        </w:rPr>
      </w:pPr>
    </w:p>
    <w:p w14:paraId="401117D0" w14:textId="77777777" w:rsidR="00EC4499" w:rsidRDefault="00EC4499">
      <w:pPr>
        <w:spacing w:after="0" w:line="360" w:lineRule="auto"/>
        <w:rPr>
          <w:rFonts w:ascii="Garamond" w:eastAsia="Garamond" w:hAnsi="Garamond" w:cs="Garamond"/>
          <w:color w:val="000000"/>
          <w:sz w:val="24"/>
          <w:szCs w:val="24"/>
        </w:rPr>
      </w:pPr>
    </w:p>
    <w:p w14:paraId="6ACB5A2E" w14:textId="4C253C86" w:rsidR="00EC4499" w:rsidRDefault="00433EA7">
      <w:pPr>
        <w:spacing w:after="0" w:line="360" w:lineRule="auto"/>
        <w:jc w:val="center"/>
        <w:rPr>
          <w:rFonts w:ascii="Garamond" w:eastAsia="Garamond" w:hAnsi="Garamond" w:cs="Garamond"/>
          <w:color w:val="000000"/>
          <w:sz w:val="24"/>
          <w:szCs w:val="24"/>
        </w:rPr>
      </w:pPr>
      <w:r>
        <w:rPr>
          <w:rFonts w:ascii="Garamond" w:eastAsia="Garamond" w:hAnsi="Garamond" w:cs="Garamond"/>
          <w:color w:val="000000"/>
          <w:sz w:val="24"/>
          <w:szCs w:val="24"/>
        </w:rPr>
        <w:lastRenderedPageBreak/>
        <w:t xml:space="preserve">Tabela 10 - Resultados Qualidade 2021 </w:t>
      </w:r>
    </w:p>
    <w:tbl>
      <w:tblPr>
        <w:tblStyle w:val="a8"/>
        <w:tblW w:w="8647" w:type="dxa"/>
        <w:tblInd w:w="0" w:type="dxa"/>
        <w:tblLayout w:type="fixed"/>
        <w:tblLook w:val="0400" w:firstRow="0" w:lastRow="0" w:firstColumn="0" w:lastColumn="0" w:noHBand="0" w:noVBand="1"/>
      </w:tblPr>
      <w:tblGrid>
        <w:gridCol w:w="1418"/>
        <w:gridCol w:w="1202"/>
        <w:gridCol w:w="924"/>
        <w:gridCol w:w="1843"/>
        <w:gridCol w:w="1417"/>
        <w:gridCol w:w="1843"/>
      </w:tblGrid>
      <w:tr w:rsidR="00EC4499" w14:paraId="04301126" w14:textId="77777777" w:rsidTr="00F73D0C">
        <w:trPr>
          <w:trHeight w:val="288"/>
        </w:trPr>
        <w:tc>
          <w:tcPr>
            <w:tcW w:w="1418" w:type="dxa"/>
            <w:tcBorders>
              <w:top w:val="nil"/>
              <w:left w:val="nil"/>
              <w:bottom w:val="single" w:sz="4" w:space="0" w:color="000000"/>
              <w:right w:val="nil"/>
            </w:tcBorders>
            <w:shd w:val="clear" w:color="auto" w:fill="auto"/>
            <w:vAlign w:val="bottom"/>
          </w:tcPr>
          <w:p w14:paraId="164F8BD4" w14:textId="77777777" w:rsidR="00EC4499" w:rsidRDefault="00433EA7">
            <w:pPr>
              <w:spacing w:after="0" w:line="240" w:lineRule="auto"/>
              <w:rPr>
                <w:rFonts w:ascii="Garamond" w:eastAsia="Garamond" w:hAnsi="Garamond" w:cs="Garamond"/>
                <w:b/>
                <w:color w:val="000000"/>
                <w:sz w:val="16"/>
                <w:szCs w:val="16"/>
              </w:rPr>
            </w:pPr>
            <w:r>
              <w:rPr>
                <w:rFonts w:ascii="Garamond" w:eastAsia="Garamond" w:hAnsi="Garamond" w:cs="Garamond"/>
                <w:b/>
                <w:color w:val="000000"/>
                <w:sz w:val="16"/>
                <w:szCs w:val="16"/>
              </w:rPr>
              <w:t>Bancos</w:t>
            </w:r>
          </w:p>
        </w:tc>
        <w:tc>
          <w:tcPr>
            <w:tcW w:w="1202" w:type="dxa"/>
            <w:tcBorders>
              <w:top w:val="nil"/>
              <w:left w:val="nil"/>
              <w:bottom w:val="single" w:sz="4" w:space="0" w:color="000000"/>
              <w:right w:val="nil"/>
            </w:tcBorders>
            <w:shd w:val="clear" w:color="auto" w:fill="auto"/>
            <w:vAlign w:val="bottom"/>
          </w:tcPr>
          <w:p w14:paraId="04B3F3E6" w14:textId="77777777" w:rsidR="00EC4499" w:rsidRDefault="00433EA7">
            <w:pPr>
              <w:spacing w:after="0" w:line="240" w:lineRule="auto"/>
              <w:jc w:val="center"/>
              <w:rPr>
                <w:rFonts w:ascii="Garamond" w:eastAsia="Garamond" w:hAnsi="Garamond" w:cs="Garamond"/>
                <w:b/>
                <w:color w:val="000000"/>
                <w:sz w:val="16"/>
                <w:szCs w:val="16"/>
              </w:rPr>
            </w:pPr>
            <w:r>
              <w:rPr>
                <w:rFonts w:ascii="Garamond" w:eastAsia="Garamond" w:hAnsi="Garamond" w:cs="Garamond"/>
                <w:b/>
                <w:color w:val="000000"/>
                <w:sz w:val="16"/>
                <w:szCs w:val="16"/>
              </w:rPr>
              <w:t>DQPI</w:t>
            </w:r>
          </w:p>
        </w:tc>
        <w:tc>
          <w:tcPr>
            <w:tcW w:w="924" w:type="dxa"/>
            <w:tcBorders>
              <w:top w:val="nil"/>
              <w:left w:val="nil"/>
              <w:bottom w:val="single" w:sz="4" w:space="0" w:color="000000"/>
              <w:right w:val="nil"/>
            </w:tcBorders>
            <w:shd w:val="clear" w:color="auto" w:fill="auto"/>
            <w:vAlign w:val="bottom"/>
          </w:tcPr>
          <w:p w14:paraId="06A074A8" w14:textId="77777777" w:rsidR="00EC4499" w:rsidRDefault="00433EA7">
            <w:pPr>
              <w:spacing w:after="0" w:line="240" w:lineRule="auto"/>
              <w:jc w:val="center"/>
              <w:rPr>
                <w:rFonts w:ascii="Garamond" w:eastAsia="Garamond" w:hAnsi="Garamond" w:cs="Garamond"/>
                <w:b/>
                <w:color w:val="000000"/>
                <w:sz w:val="16"/>
                <w:szCs w:val="16"/>
              </w:rPr>
            </w:pPr>
            <w:r>
              <w:rPr>
                <w:rFonts w:ascii="Garamond" w:eastAsia="Garamond" w:hAnsi="Garamond" w:cs="Garamond"/>
                <w:b/>
                <w:color w:val="000000"/>
                <w:sz w:val="16"/>
                <w:szCs w:val="16"/>
              </w:rPr>
              <w:t>Qualidade</w:t>
            </w:r>
          </w:p>
        </w:tc>
        <w:tc>
          <w:tcPr>
            <w:tcW w:w="1843" w:type="dxa"/>
            <w:tcBorders>
              <w:top w:val="nil"/>
              <w:left w:val="nil"/>
              <w:bottom w:val="single" w:sz="4" w:space="0" w:color="000000"/>
              <w:right w:val="nil"/>
            </w:tcBorders>
            <w:shd w:val="clear" w:color="auto" w:fill="auto"/>
            <w:vAlign w:val="bottom"/>
          </w:tcPr>
          <w:p w14:paraId="54A80A0D" w14:textId="77777777" w:rsidR="00EC4499" w:rsidRDefault="00433EA7">
            <w:pPr>
              <w:spacing w:after="0" w:line="240" w:lineRule="auto"/>
              <w:jc w:val="center"/>
              <w:rPr>
                <w:rFonts w:ascii="Garamond" w:eastAsia="Garamond" w:hAnsi="Garamond" w:cs="Garamond"/>
                <w:b/>
                <w:color w:val="000000"/>
                <w:sz w:val="16"/>
                <w:szCs w:val="16"/>
              </w:rPr>
            </w:pPr>
            <w:r>
              <w:rPr>
                <w:rFonts w:ascii="Garamond" w:eastAsia="Garamond" w:hAnsi="Garamond" w:cs="Garamond"/>
                <w:b/>
                <w:color w:val="000000"/>
                <w:sz w:val="16"/>
                <w:szCs w:val="16"/>
              </w:rPr>
              <w:t>Qt. conteúdos</w:t>
            </w:r>
          </w:p>
        </w:tc>
        <w:tc>
          <w:tcPr>
            <w:tcW w:w="1417" w:type="dxa"/>
            <w:tcBorders>
              <w:top w:val="nil"/>
              <w:left w:val="nil"/>
              <w:bottom w:val="single" w:sz="4" w:space="0" w:color="000000"/>
              <w:right w:val="nil"/>
            </w:tcBorders>
            <w:shd w:val="clear" w:color="auto" w:fill="auto"/>
            <w:vAlign w:val="bottom"/>
          </w:tcPr>
          <w:p w14:paraId="4D967754" w14:textId="77777777" w:rsidR="00EC4499" w:rsidRDefault="00433EA7">
            <w:pPr>
              <w:spacing w:after="0" w:line="240" w:lineRule="auto"/>
              <w:jc w:val="center"/>
              <w:rPr>
                <w:rFonts w:ascii="Garamond" w:eastAsia="Garamond" w:hAnsi="Garamond" w:cs="Garamond"/>
                <w:b/>
                <w:color w:val="000000"/>
                <w:sz w:val="16"/>
                <w:szCs w:val="16"/>
              </w:rPr>
            </w:pPr>
            <w:r>
              <w:rPr>
                <w:rFonts w:ascii="Garamond" w:eastAsia="Garamond" w:hAnsi="Garamond" w:cs="Garamond"/>
                <w:b/>
                <w:color w:val="000000"/>
                <w:sz w:val="16"/>
                <w:szCs w:val="16"/>
              </w:rPr>
              <w:t>ODS maior pontuação</w:t>
            </w:r>
          </w:p>
        </w:tc>
        <w:tc>
          <w:tcPr>
            <w:tcW w:w="1843" w:type="dxa"/>
            <w:tcBorders>
              <w:top w:val="nil"/>
              <w:left w:val="nil"/>
              <w:bottom w:val="single" w:sz="4" w:space="0" w:color="000000"/>
              <w:right w:val="nil"/>
            </w:tcBorders>
            <w:shd w:val="clear" w:color="auto" w:fill="auto"/>
            <w:vAlign w:val="bottom"/>
          </w:tcPr>
          <w:p w14:paraId="206CACDB" w14:textId="77777777" w:rsidR="00EC4499" w:rsidRDefault="00433EA7">
            <w:pPr>
              <w:spacing w:after="0" w:line="240" w:lineRule="auto"/>
              <w:rPr>
                <w:rFonts w:ascii="Garamond" w:eastAsia="Garamond" w:hAnsi="Garamond" w:cs="Garamond"/>
                <w:b/>
                <w:color w:val="000000"/>
                <w:sz w:val="16"/>
                <w:szCs w:val="16"/>
              </w:rPr>
            </w:pPr>
            <w:r>
              <w:rPr>
                <w:rFonts w:ascii="Garamond" w:eastAsia="Garamond" w:hAnsi="Garamond" w:cs="Garamond"/>
                <w:b/>
                <w:color w:val="000000"/>
                <w:sz w:val="16"/>
                <w:szCs w:val="16"/>
              </w:rPr>
              <w:t>ODS não comunicados</w:t>
            </w:r>
          </w:p>
        </w:tc>
      </w:tr>
      <w:tr w:rsidR="00EC4499" w14:paraId="5E691864" w14:textId="77777777" w:rsidTr="00F73D0C">
        <w:trPr>
          <w:trHeight w:val="288"/>
        </w:trPr>
        <w:tc>
          <w:tcPr>
            <w:tcW w:w="1418" w:type="dxa"/>
            <w:tcBorders>
              <w:top w:val="single" w:sz="4" w:space="0" w:color="000000"/>
              <w:left w:val="nil"/>
              <w:bottom w:val="nil"/>
              <w:right w:val="nil"/>
            </w:tcBorders>
            <w:shd w:val="clear" w:color="auto" w:fill="auto"/>
            <w:vAlign w:val="bottom"/>
          </w:tcPr>
          <w:p w14:paraId="430E8C23"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Bradesco</w:t>
            </w:r>
          </w:p>
        </w:tc>
        <w:tc>
          <w:tcPr>
            <w:tcW w:w="1202" w:type="dxa"/>
            <w:tcBorders>
              <w:top w:val="single" w:sz="4" w:space="0" w:color="000000"/>
              <w:left w:val="nil"/>
              <w:bottom w:val="nil"/>
              <w:right w:val="nil"/>
            </w:tcBorders>
            <w:shd w:val="clear" w:color="auto" w:fill="auto"/>
            <w:vAlign w:val="bottom"/>
          </w:tcPr>
          <w:p w14:paraId="2022F06F"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210</w:t>
            </w:r>
          </w:p>
        </w:tc>
        <w:tc>
          <w:tcPr>
            <w:tcW w:w="924" w:type="dxa"/>
            <w:tcBorders>
              <w:top w:val="single" w:sz="4" w:space="0" w:color="000000"/>
              <w:left w:val="nil"/>
              <w:bottom w:val="nil"/>
              <w:right w:val="nil"/>
            </w:tcBorders>
            <w:shd w:val="clear" w:color="auto" w:fill="auto"/>
            <w:vAlign w:val="bottom"/>
          </w:tcPr>
          <w:p w14:paraId="776EA45E"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Média</w:t>
            </w:r>
          </w:p>
        </w:tc>
        <w:tc>
          <w:tcPr>
            <w:tcW w:w="1843" w:type="dxa"/>
            <w:tcBorders>
              <w:top w:val="single" w:sz="4" w:space="0" w:color="000000"/>
              <w:left w:val="nil"/>
              <w:bottom w:val="nil"/>
              <w:right w:val="nil"/>
            </w:tcBorders>
            <w:shd w:val="clear" w:color="auto" w:fill="auto"/>
            <w:vAlign w:val="bottom"/>
          </w:tcPr>
          <w:p w14:paraId="6AA4A661"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57</w:t>
            </w:r>
          </w:p>
        </w:tc>
        <w:tc>
          <w:tcPr>
            <w:tcW w:w="1417" w:type="dxa"/>
            <w:tcBorders>
              <w:top w:val="single" w:sz="4" w:space="0" w:color="000000"/>
              <w:left w:val="nil"/>
              <w:bottom w:val="nil"/>
              <w:right w:val="nil"/>
            </w:tcBorders>
            <w:shd w:val="clear" w:color="auto" w:fill="auto"/>
            <w:vAlign w:val="bottom"/>
          </w:tcPr>
          <w:p w14:paraId="498FB75F"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843" w:type="dxa"/>
            <w:tcBorders>
              <w:top w:val="single" w:sz="4" w:space="0" w:color="000000"/>
              <w:left w:val="nil"/>
              <w:bottom w:val="nil"/>
              <w:right w:val="nil"/>
            </w:tcBorders>
            <w:shd w:val="clear" w:color="auto" w:fill="auto"/>
            <w:vAlign w:val="bottom"/>
          </w:tcPr>
          <w:p w14:paraId="297A9313" w14:textId="48EA3761" w:rsidR="00EC4499" w:rsidRDefault="00433EA7" w:rsidP="00F73D0C">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2, 17</w:t>
            </w:r>
          </w:p>
        </w:tc>
      </w:tr>
      <w:tr w:rsidR="00EC4499" w14:paraId="06059246" w14:textId="77777777" w:rsidTr="00F73D0C">
        <w:trPr>
          <w:trHeight w:val="288"/>
        </w:trPr>
        <w:tc>
          <w:tcPr>
            <w:tcW w:w="1418" w:type="dxa"/>
            <w:tcBorders>
              <w:top w:val="nil"/>
              <w:left w:val="nil"/>
              <w:bottom w:val="nil"/>
              <w:right w:val="nil"/>
            </w:tcBorders>
            <w:shd w:val="clear" w:color="auto" w:fill="auto"/>
            <w:vAlign w:val="bottom"/>
          </w:tcPr>
          <w:p w14:paraId="00D9A207"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Itaú</w:t>
            </w:r>
          </w:p>
        </w:tc>
        <w:tc>
          <w:tcPr>
            <w:tcW w:w="1202" w:type="dxa"/>
            <w:tcBorders>
              <w:top w:val="nil"/>
              <w:left w:val="nil"/>
              <w:bottom w:val="nil"/>
              <w:right w:val="nil"/>
            </w:tcBorders>
            <w:shd w:val="clear" w:color="auto" w:fill="auto"/>
            <w:vAlign w:val="bottom"/>
          </w:tcPr>
          <w:p w14:paraId="38299706"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169</w:t>
            </w:r>
          </w:p>
        </w:tc>
        <w:tc>
          <w:tcPr>
            <w:tcW w:w="924" w:type="dxa"/>
            <w:tcBorders>
              <w:top w:val="nil"/>
              <w:left w:val="nil"/>
              <w:bottom w:val="nil"/>
              <w:right w:val="nil"/>
            </w:tcBorders>
            <w:shd w:val="clear" w:color="auto" w:fill="auto"/>
            <w:vAlign w:val="bottom"/>
          </w:tcPr>
          <w:p w14:paraId="2E9388AA"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Baixa</w:t>
            </w:r>
          </w:p>
        </w:tc>
        <w:tc>
          <w:tcPr>
            <w:tcW w:w="1843" w:type="dxa"/>
            <w:tcBorders>
              <w:top w:val="nil"/>
              <w:left w:val="nil"/>
              <w:bottom w:val="nil"/>
              <w:right w:val="nil"/>
            </w:tcBorders>
            <w:shd w:val="clear" w:color="auto" w:fill="auto"/>
            <w:vAlign w:val="bottom"/>
          </w:tcPr>
          <w:p w14:paraId="6CEEABA2"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29</w:t>
            </w:r>
          </w:p>
        </w:tc>
        <w:tc>
          <w:tcPr>
            <w:tcW w:w="1417" w:type="dxa"/>
            <w:tcBorders>
              <w:top w:val="nil"/>
              <w:left w:val="nil"/>
              <w:bottom w:val="nil"/>
              <w:right w:val="nil"/>
            </w:tcBorders>
            <w:shd w:val="clear" w:color="auto" w:fill="auto"/>
            <w:vAlign w:val="bottom"/>
          </w:tcPr>
          <w:p w14:paraId="1B3B69CE"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843" w:type="dxa"/>
            <w:tcBorders>
              <w:top w:val="nil"/>
              <w:left w:val="nil"/>
              <w:bottom w:val="nil"/>
              <w:right w:val="nil"/>
            </w:tcBorders>
            <w:shd w:val="clear" w:color="auto" w:fill="auto"/>
            <w:vAlign w:val="bottom"/>
          </w:tcPr>
          <w:p w14:paraId="5156B25E" w14:textId="5C5B6724" w:rsidR="00EC4499" w:rsidRDefault="00433EA7" w:rsidP="00F73D0C">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2, 9</w:t>
            </w:r>
          </w:p>
        </w:tc>
      </w:tr>
      <w:tr w:rsidR="00EC4499" w14:paraId="631C4F14" w14:textId="77777777" w:rsidTr="00F73D0C">
        <w:trPr>
          <w:trHeight w:val="288"/>
        </w:trPr>
        <w:tc>
          <w:tcPr>
            <w:tcW w:w="1418" w:type="dxa"/>
            <w:tcBorders>
              <w:top w:val="nil"/>
              <w:left w:val="nil"/>
              <w:bottom w:val="nil"/>
              <w:right w:val="nil"/>
            </w:tcBorders>
            <w:shd w:val="clear" w:color="auto" w:fill="auto"/>
            <w:vAlign w:val="bottom"/>
          </w:tcPr>
          <w:p w14:paraId="1EC93DE8"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BNDES</w:t>
            </w:r>
          </w:p>
        </w:tc>
        <w:tc>
          <w:tcPr>
            <w:tcW w:w="1202" w:type="dxa"/>
            <w:tcBorders>
              <w:top w:val="nil"/>
              <w:left w:val="nil"/>
              <w:bottom w:val="nil"/>
              <w:right w:val="nil"/>
            </w:tcBorders>
            <w:shd w:val="clear" w:color="auto" w:fill="auto"/>
            <w:vAlign w:val="bottom"/>
          </w:tcPr>
          <w:p w14:paraId="2958A2C8"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156</w:t>
            </w:r>
          </w:p>
        </w:tc>
        <w:tc>
          <w:tcPr>
            <w:tcW w:w="924" w:type="dxa"/>
            <w:tcBorders>
              <w:top w:val="nil"/>
              <w:left w:val="nil"/>
              <w:bottom w:val="nil"/>
              <w:right w:val="nil"/>
            </w:tcBorders>
            <w:shd w:val="clear" w:color="auto" w:fill="auto"/>
            <w:vAlign w:val="bottom"/>
          </w:tcPr>
          <w:p w14:paraId="4869A0A8"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Baixa</w:t>
            </w:r>
          </w:p>
        </w:tc>
        <w:tc>
          <w:tcPr>
            <w:tcW w:w="1843" w:type="dxa"/>
            <w:tcBorders>
              <w:top w:val="nil"/>
              <w:left w:val="nil"/>
              <w:bottom w:val="nil"/>
              <w:right w:val="nil"/>
            </w:tcBorders>
            <w:shd w:val="clear" w:color="auto" w:fill="auto"/>
            <w:vAlign w:val="bottom"/>
          </w:tcPr>
          <w:p w14:paraId="17452A3F"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41</w:t>
            </w:r>
          </w:p>
        </w:tc>
        <w:tc>
          <w:tcPr>
            <w:tcW w:w="1417" w:type="dxa"/>
            <w:tcBorders>
              <w:top w:val="nil"/>
              <w:left w:val="nil"/>
              <w:bottom w:val="nil"/>
              <w:right w:val="nil"/>
            </w:tcBorders>
            <w:shd w:val="clear" w:color="auto" w:fill="auto"/>
            <w:vAlign w:val="bottom"/>
          </w:tcPr>
          <w:p w14:paraId="537264DD"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843" w:type="dxa"/>
            <w:tcBorders>
              <w:top w:val="nil"/>
              <w:left w:val="nil"/>
              <w:bottom w:val="nil"/>
              <w:right w:val="nil"/>
            </w:tcBorders>
            <w:shd w:val="clear" w:color="auto" w:fill="auto"/>
            <w:vAlign w:val="bottom"/>
          </w:tcPr>
          <w:p w14:paraId="6694520B" w14:textId="3990C74A" w:rsidR="00EC4499" w:rsidRDefault="00433EA7" w:rsidP="00F73D0C">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w:t>
            </w:r>
          </w:p>
        </w:tc>
      </w:tr>
      <w:tr w:rsidR="00EC4499" w14:paraId="73F2EEB9" w14:textId="77777777" w:rsidTr="00F73D0C">
        <w:trPr>
          <w:trHeight w:val="288"/>
        </w:trPr>
        <w:tc>
          <w:tcPr>
            <w:tcW w:w="1418" w:type="dxa"/>
            <w:tcBorders>
              <w:top w:val="nil"/>
              <w:left w:val="nil"/>
              <w:bottom w:val="nil"/>
              <w:right w:val="nil"/>
            </w:tcBorders>
            <w:shd w:val="clear" w:color="auto" w:fill="auto"/>
            <w:vAlign w:val="bottom"/>
          </w:tcPr>
          <w:p w14:paraId="50129F5C"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BTG Pactual</w:t>
            </w:r>
          </w:p>
        </w:tc>
        <w:tc>
          <w:tcPr>
            <w:tcW w:w="1202" w:type="dxa"/>
            <w:tcBorders>
              <w:top w:val="nil"/>
              <w:left w:val="nil"/>
              <w:bottom w:val="nil"/>
              <w:right w:val="nil"/>
            </w:tcBorders>
            <w:shd w:val="clear" w:color="auto" w:fill="auto"/>
            <w:vAlign w:val="bottom"/>
          </w:tcPr>
          <w:p w14:paraId="7578783E"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155</w:t>
            </w:r>
          </w:p>
        </w:tc>
        <w:tc>
          <w:tcPr>
            <w:tcW w:w="924" w:type="dxa"/>
            <w:tcBorders>
              <w:top w:val="nil"/>
              <w:left w:val="nil"/>
              <w:bottom w:val="nil"/>
              <w:right w:val="nil"/>
            </w:tcBorders>
            <w:shd w:val="clear" w:color="auto" w:fill="auto"/>
            <w:vAlign w:val="bottom"/>
          </w:tcPr>
          <w:p w14:paraId="29A9CAFA"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Baixa</w:t>
            </w:r>
          </w:p>
        </w:tc>
        <w:tc>
          <w:tcPr>
            <w:tcW w:w="1843" w:type="dxa"/>
            <w:tcBorders>
              <w:top w:val="nil"/>
              <w:left w:val="nil"/>
              <w:bottom w:val="nil"/>
              <w:right w:val="nil"/>
            </w:tcBorders>
            <w:shd w:val="clear" w:color="auto" w:fill="auto"/>
            <w:vAlign w:val="bottom"/>
          </w:tcPr>
          <w:p w14:paraId="71DC9463"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39</w:t>
            </w:r>
          </w:p>
        </w:tc>
        <w:tc>
          <w:tcPr>
            <w:tcW w:w="1417" w:type="dxa"/>
            <w:tcBorders>
              <w:top w:val="nil"/>
              <w:left w:val="nil"/>
              <w:bottom w:val="nil"/>
              <w:right w:val="nil"/>
            </w:tcBorders>
            <w:shd w:val="clear" w:color="auto" w:fill="auto"/>
            <w:vAlign w:val="bottom"/>
          </w:tcPr>
          <w:p w14:paraId="36358351"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843" w:type="dxa"/>
            <w:tcBorders>
              <w:top w:val="nil"/>
              <w:left w:val="nil"/>
              <w:bottom w:val="nil"/>
              <w:right w:val="nil"/>
            </w:tcBorders>
            <w:shd w:val="clear" w:color="auto" w:fill="auto"/>
            <w:vAlign w:val="bottom"/>
          </w:tcPr>
          <w:p w14:paraId="3DFB7CE3" w14:textId="023A3B5A" w:rsidR="00EC4499" w:rsidRDefault="00433EA7" w:rsidP="00F73D0C">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2, 17</w:t>
            </w:r>
          </w:p>
        </w:tc>
      </w:tr>
      <w:tr w:rsidR="00EC4499" w14:paraId="0D2E952D" w14:textId="77777777" w:rsidTr="00F73D0C">
        <w:trPr>
          <w:trHeight w:val="288"/>
        </w:trPr>
        <w:tc>
          <w:tcPr>
            <w:tcW w:w="1418" w:type="dxa"/>
            <w:tcBorders>
              <w:top w:val="nil"/>
              <w:left w:val="nil"/>
              <w:bottom w:val="nil"/>
              <w:right w:val="nil"/>
            </w:tcBorders>
            <w:shd w:val="clear" w:color="auto" w:fill="auto"/>
            <w:vAlign w:val="bottom"/>
          </w:tcPr>
          <w:p w14:paraId="49BD1C61"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Banco do Brasil</w:t>
            </w:r>
          </w:p>
        </w:tc>
        <w:tc>
          <w:tcPr>
            <w:tcW w:w="1202" w:type="dxa"/>
            <w:tcBorders>
              <w:top w:val="nil"/>
              <w:left w:val="nil"/>
              <w:bottom w:val="nil"/>
              <w:right w:val="nil"/>
            </w:tcBorders>
            <w:shd w:val="clear" w:color="auto" w:fill="auto"/>
            <w:vAlign w:val="bottom"/>
          </w:tcPr>
          <w:p w14:paraId="76F681BD"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152</w:t>
            </w:r>
          </w:p>
        </w:tc>
        <w:tc>
          <w:tcPr>
            <w:tcW w:w="924" w:type="dxa"/>
            <w:tcBorders>
              <w:top w:val="nil"/>
              <w:left w:val="nil"/>
              <w:bottom w:val="nil"/>
              <w:right w:val="nil"/>
            </w:tcBorders>
            <w:shd w:val="clear" w:color="auto" w:fill="auto"/>
            <w:vAlign w:val="bottom"/>
          </w:tcPr>
          <w:p w14:paraId="69DC1AF5"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Baixa</w:t>
            </w:r>
          </w:p>
        </w:tc>
        <w:tc>
          <w:tcPr>
            <w:tcW w:w="1843" w:type="dxa"/>
            <w:tcBorders>
              <w:top w:val="nil"/>
              <w:left w:val="nil"/>
              <w:bottom w:val="nil"/>
              <w:right w:val="nil"/>
            </w:tcBorders>
            <w:shd w:val="clear" w:color="auto" w:fill="auto"/>
            <w:vAlign w:val="bottom"/>
          </w:tcPr>
          <w:p w14:paraId="3C03070A"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39</w:t>
            </w:r>
          </w:p>
        </w:tc>
        <w:tc>
          <w:tcPr>
            <w:tcW w:w="1417" w:type="dxa"/>
            <w:tcBorders>
              <w:top w:val="nil"/>
              <w:left w:val="nil"/>
              <w:bottom w:val="nil"/>
              <w:right w:val="nil"/>
            </w:tcBorders>
            <w:shd w:val="clear" w:color="auto" w:fill="auto"/>
            <w:vAlign w:val="bottom"/>
          </w:tcPr>
          <w:p w14:paraId="5B31E2E6"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843" w:type="dxa"/>
            <w:tcBorders>
              <w:top w:val="nil"/>
              <w:left w:val="nil"/>
              <w:bottom w:val="nil"/>
              <w:right w:val="nil"/>
            </w:tcBorders>
            <w:shd w:val="clear" w:color="auto" w:fill="auto"/>
            <w:vAlign w:val="bottom"/>
          </w:tcPr>
          <w:p w14:paraId="23DA6A59" w14:textId="0F039A87" w:rsidR="00EC4499" w:rsidRDefault="00433EA7" w:rsidP="00F73D0C">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2, 17</w:t>
            </w:r>
          </w:p>
        </w:tc>
      </w:tr>
      <w:tr w:rsidR="00EC4499" w14:paraId="02C731ED" w14:textId="77777777" w:rsidTr="00F73D0C">
        <w:trPr>
          <w:trHeight w:val="288"/>
        </w:trPr>
        <w:tc>
          <w:tcPr>
            <w:tcW w:w="1418" w:type="dxa"/>
            <w:tcBorders>
              <w:top w:val="nil"/>
              <w:left w:val="nil"/>
              <w:bottom w:val="nil"/>
              <w:right w:val="nil"/>
            </w:tcBorders>
            <w:shd w:val="clear" w:color="auto" w:fill="auto"/>
            <w:vAlign w:val="bottom"/>
          </w:tcPr>
          <w:p w14:paraId="4F1DA5B4"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Inter</w:t>
            </w:r>
          </w:p>
        </w:tc>
        <w:tc>
          <w:tcPr>
            <w:tcW w:w="1202" w:type="dxa"/>
            <w:tcBorders>
              <w:top w:val="nil"/>
              <w:left w:val="nil"/>
              <w:bottom w:val="nil"/>
              <w:right w:val="nil"/>
            </w:tcBorders>
            <w:shd w:val="clear" w:color="auto" w:fill="auto"/>
            <w:vAlign w:val="bottom"/>
          </w:tcPr>
          <w:p w14:paraId="3F6AD9BC"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150</w:t>
            </w:r>
          </w:p>
        </w:tc>
        <w:tc>
          <w:tcPr>
            <w:tcW w:w="924" w:type="dxa"/>
            <w:tcBorders>
              <w:top w:val="nil"/>
              <w:left w:val="nil"/>
              <w:bottom w:val="nil"/>
              <w:right w:val="nil"/>
            </w:tcBorders>
            <w:shd w:val="clear" w:color="auto" w:fill="auto"/>
            <w:vAlign w:val="bottom"/>
          </w:tcPr>
          <w:p w14:paraId="012FD7FE"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Baixa</w:t>
            </w:r>
          </w:p>
        </w:tc>
        <w:tc>
          <w:tcPr>
            <w:tcW w:w="1843" w:type="dxa"/>
            <w:tcBorders>
              <w:top w:val="nil"/>
              <w:left w:val="nil"/>
              <w:bottom w:val="nil"/>
              <w:right w:val="nil"/>
            </w:tcBorders>
            <w:shd w:val="clear" w:color="auto" w:fill="auto"/>
            <w:vAlign w:val="bottom"/>
          </w:tcPr>
          <w:p w14:paraId="237DE4D2"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40</w:t>
            </w:r>
          </w:p>
        </w:tc>
        <w:tc>
          <w:tcPr>
            <w:tcW w:w="1417" w:type="dxa"/>
            <w:tcBorders>
              <w:top w:val="nil"/>
              <w:left w:val="nil"/>
              <w:bottom w:val="nil"/>
              <w:right w:val="nil"/>
            </w:tcBorders>
            <w:shd w:val="clear" w:color="auto" w:fill="auto"/>
            <w:vAlign w:val="bottom"/>
          </w:tcPr>
          <w:p w14:paraId="2FC012F3"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843" w:type="dxa"/>
            <w:tcBorders>
              <w:top w:val="nil"/>
              <w:left w:val="nil"/>
              <w:bottom w:val="nil"/>
              <w:right w:val="nil"/>
            </w:tcBorders>
            <w:shd w:val="clear" w:color="auto" w:fill="auto"/>
            <w:vAlign w:val="bottom"/>
          </w:tcPr>
          <w:p w14:paraId="76A3BE44" w14:textId="184BF4AE" w:rsidR="00EC4499" w:rsidRDefault="00433EA7" w:rsidP="00F73D0C">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2, 17</w:t>
            </w:r>
          </w:p>
        </w:tc>
      </w:tr>
      <w:tr w:rsidR="00EC4499" w14:paraId="162841A4" w14:textId="77777777" w:rsidTr="00F73D0C">
        <w:trPr>
          <w:trHeight w:val="288"/>
        </w:trPr>
        <w:tc>
          <w:tcPr>
            <w:tcW w:w="1418" w:type="dxa"/>
            <w:tcBorders>
              <w:top w:val="nil"/>
              <w:left w:val="nil"/>
              <w:bottom w:val="nil"/>
              <w:right w:val="nil"/>
            </w:tcBorders>
            <w:shd w:val="clear" w:color="auto" w:fill="auto"/>
            <w:vAlign w:val="bottom"/>
          </w:tcPr>
          <w:p w14:paraId="2ED30CAB"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Santander</w:t>
            </w:r>
          </w:p>
        </w:tc>
        <w:tc>
          <w:tcPr>
            <w:tcW w:w="1202" w:type="dxa"/>
            <w:tcBorders>
              <w:top w:val="nil"/>
              <w:left w:val="nil"/>
              <w:bottom w:val="nil"/>
              <w:right w:val="nil"/>
            </w:tcBorders>
            <w:shd w:val="clear" w:color="auto" w:fill="auto"/>
            <w:vAlign w:val="bottom"/>
          </w:tcPr>
          <w:p w14:paraId="7199BF1B"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149</w:t>
            </w:r>
          </w:p>
        </w:tc>
        <w:tc>
          <w:tcPr>
            <w:tcW w:w="924" w:type="dxa"/>
            <w:tcBorders>
              <w:top w:val="nil"/>
              <w:left w:val="nil"/>
              <w:bottom w:val="nil"/>
              <w:right w:val="nil"/>
            </w:tcBorders>
            <w:shd w:val="clear" w:color="auto" w:fill="auto"/>
            <w:vAlign w:val="bottom"/>
          </w:tcPr>
          <w:p w14:paraId="32456E7D"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Baixa</w:t>
            </w:r>
          </w:p>
        </w:tc>
        <w:tc>
          <w:tcPr>
            <w:tcW w:w="1843" w:type="dxa"/>
            <w:tcBorders>
              <w:top w:val="nil"/>
              <w:left w:val="nil"/>
              <w:bottom w:val="nil"/>
              <w:right w:val="nil"/>
            </w:tcBorders>
            <w:shd w:val="clear" w:color="auto" w:fill="auto"/>
            <w:vAlign w:val="bottom"/>
          </w:tcPr>
          <w:p w14:paraId="2CAC78AB"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45</w:t>
            </w:r>
          </w:p>
        </w:tc>
        <w:tc>
          <w:tcPr>
            <w:tcW w:w="1417" w:type="dxa"/>
            <w:tcBorders>
              <w:top w:val="nil"/>
              <w:left w:val="nil"/>
              <w:bottom w:val="nil"/>
              <w:right w:val="nil"/>
            </w:tcBorders>
            <w:shd w:val="clear" w:color="auto" w:fill="auto"/>
            <w:vAlign w:val="bottom"/>
          </w:tcPr>
          <w:p w14:paraId="6F9E07FE"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843" w:type="dxa"/>
            <w:tcBorders>
              <w:top w:val="nil"/>
              <w:left w:val="nil"/>
              <w:bottom w:val="nil"/>
              <w:right w:val="nil"/>
            </w:tcBorders>
            <w:shd w:val="clear" w:color="auto" w:fill="auto"/>
            <w:vAlign w:val="bottom"/>
          </w:tcPr>
          <w:p w14:paraId="1CA58D3E" w14:textId="34F67434" w:rsidR="00EC4499" w:rsidRDefault="00433EA7" w:rsidP="00F73D0C">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w:t>
            </w:r>
          </w:p>
        </w:tc>
      </w:tr>
      <w:tr w:rsidR="00EC4499" w14:paraId="36E79B90" w14:textId="77777777" w:rsidTr="00F73D0C">
        <w:trPr>
          <w:trHeight w:val="288"/>
        </w:trPr>
        <w:tc>
          <w:tcPr>
            <w:tcW w:w="1418" w:type="dxa"/>
            <w:tcBorders>
              <w:top w:val="nil"/>
              <w:left w:val="nil"/>
              <w:bottom w:val="nil"/>
              <w:right w:val="nil"/>
            </w:tcBorders>
            <w:shd w:val="clear" w:color="auto" w:fill="auto"/>
            <w:vAlign w:val="bottom"/>
          </w:tcPr>
          <w:p w14:paraId="216AFA4F"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Citibank</w:t>
            </w:r>
          </w:p>
        </w:tc>
        <w:tc>
          <w:tcPr>
            <w:tcW w:w="1202" w:type="dxa"/>
            <w:tcBorders>
              <w:top w:val="nil"/>
              <w:left w:val="nil"/>
              <w:bottom w:val="nil"/>
              <w:right w:val="nil"/>
            </w:tcBorders>
            <w:shd w:val="clear" w:color="auto" w:fill="auto"/>
            <w:vAlign w:val="bottom"/>
          </w:tcPr>
          <w:p w14:paraId="2011785A"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148</w:t>
            </w:r>
          </w:p>
        </w:tc>
        <w:tc>
          <w:tcPr>
            <w:tcW w:w="924" w:type="dxa"/>
            <w:tcBorders>
              <w:top w:val="nil"/>
              <w:left w:val="nil"/>
              <w:bottom w:val="nil"/>
              <w:right w:val="nil"/>
            </w:tcBorders>
            <w:shd w:val="clear" w:color="auto" w:fill="auto"/>
            <w:vAlign w:val="bottom"/>
          </w:tcPr>
          <w:p w14:paraId="5942CB64"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Baixa</w:t>
            </w:r>
          </w:p>
        </w:tc>
        <w:tc>
          <w:tcPr>
            <w:tcW w:w="1843" w:type="dxa"/>
            <w:tcBorders>
              <w:top w:val="nil"/>
              <w:left w:val="nil"/>
              <w:bottom w:val="nil"/>
              <w:right w:val="nil"/>
            </w:tcBorders>
            <w:shd w:val="clear" w:color="auto" w:fill="auto"/>
            <w:vAlign w:val="bottom"/>
          </w:tcPr>
          <w:p w14:paraId="7281AC18"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27</w:t>
            </w:r>
          </w:p>
        </w:tc>
        <w:tc>
          <w:tcPr>
            <w:tcW w:w="1417" w:type="dxa"/>
            <w:tcBorders>
              <w:top w:val="nil"/>
              <w:left w:val="nil"/>
              <w:bottom w:val="nil"/>
              <w:right w:val="nil"/>
            </w:tcBorders>
            <w:shd w:val="clear" w:color="auto" w:fill="auto"/>
            <w:vAlign w:val="bottom"/>
          </w:tcPr>
          <w:p w14:paraId="73B3FCB7"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843" w:type="dxa"/>
            <w:tcBorders>
              <w:top w:val="nil"/>
              <w:left w:val="nil"/>
              <w:bottom w:val="nil"/>
              <w:right w:val="nil"/>
            </w:tcBorders>
            <w:shd w:val="clear" w:color="auto" w:fill="auto"/>
            <w:vAlign w:val="bottom"/>
          </w:tcPr>
          <w:p w14:paraId="5AF2FD2D" w14:textId="6DD4C32F" w:rsidR="00EC4499" w:rsidRDefault="00433EA7" w:rsidP="00F73D0C">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4, 17</w:t>
            </w:r>
          </w:p>
        </w:tc>
      </w:tr>
      <w:tr w:rsidR="00EC4499" w14:paraId="4FFD1284" w14:textId="77777777" w:rsidTr="00F73D0C">
        <w:trPr>
          <w:trHeight w:val="288"/>
        </w:trPr>
        <w:tc>
          <w:tcPr>
            <w:tcW w:w="1418" w:type="dxa"/>
            <w:tcBorders>
              <w:top w:val="nil"/>
              <w:left w:val="nil"/>
              <w:bottom w:val="nil"/>
              <w:right w:val="nil"/>
            </w:tcBorders>
            <w:shd w:val="clear" w:color="auto" w:fill="auto"/>
            <w:vAlign w:val="bottom"/>
          </w:tcPr>
          <w:p w14:paraId="6E47B296"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Banco do Nordeste</w:t>
            </w:r>
          </w:p>
        </w:tc>
        <w:tc>
          <w:tcPr>
            <w:tcW w:w="1202" w:type="dxa"/>
            <w:tcBorders>
              <w:top w:val="nil"/>
              <w:left w:val="nil"/>
              <w:bottom w:val="nil"/>
              <w:right w:val="nil"/>
            </w:tcBorders>
            <w:shd w:val="clear" w:color="auto" w:fill="auto"/>
            <w:vAlign w:val="bottom"/>
          </w:tcPr>
          <w:p w14:paraId="4F9B0513"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109</w:t>
            </w:r>
          </w:p>
        </w:tc>
        <w:tc>
          <w:tcPr>
            <w:tcW w:w="924" w:type="dxa"/>
            <w:tcBorders>
              <w:top w:val="nil"/>
              <w:left w:val="nil"/>
              <w:bottom w:val="nil"/>
              <w:right w:val="nil"/>
            </w:tcBorders>
            <w:shd w:val="clear" w:color="auto" w:fill="auto"/>
            <w:vAlign w:val="bottom"/>
          </w:tcPr>
          <w:p w14:paraId="091E88FD"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Baixa</w:t>
            </w:r>
          </w:p>
        </w:tc>
        <w:tc>
          <w:tcPr>
            <w:tcW w:w="1843" w:type="dxa"/>
            <w:tcBorders>
              <w:top w:val="nil"/>
              <w:left w:val="nil"/>
              <w:bottom w:val="nil"/>
              <w:right w:val="nil"/>
            </w:tcBorders>
            <w:shd w:val="clear" w:color="auto" w:fill="auto"/>
            <w:vAlign w:val="bottom"/>
          </w:tcPr>
          <w:p w14:paraId="737A18A4"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31</w:t>
            </w:r>
          </w:p>
        </w:tc>
        <w:tc>
          <w:tcPr>
            <w:tcW w:w="1417" w:type="dxa"/>
            <w:tcBorders>
              <w:top w:val="nil"/>
              <w:left w:val="nil"/>
              <w:bottom w:val="nil"/>
              <w:right w:val="nil"/>
            </w:tcBorders>
            <w:shd w:val="clear" w:color="auto" w:fill="auto"/>
            <w:vAlign w:val="bottom"/>
          </w:tcPr>
          <w:p w14:paraId="2E103767"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843" w:type="dxa"/>
            <w:tcBorders>
              <w:top w:val="nil"/>
              <w:left w:val="nil"/>
              <w:bottom w:val="nil"/>
              <w:right w:val="nil"/>
            </w:tcBorders>
            <w:shd w:val="clear" w:color="auto" w:fill="auto"/>
            <w:vAlign w:val="bottom"/>
          </w:tcPr>
          <w:p w14:paraId="3F2A2C94" w14:textId="1650C92E" w:rsidR="00EC4499" w:rsidRDefault="00433EA7" w:rsidP="00F73D0C">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2, 14, 17</w:t>
            </w:r>
          </w:p>
        </w:tc>
      </w:tr>
      <w:tr w:rsidR="00EC4499" w14:paraId="777DB9D1" w14:textId="77777777" w:rsidTr="00F73D0C">
        <w:trPr>
          <w:trHeight w:val="288"/>
        </w:trPr>
        <w:tc>
          <w:tcPr>
            <w:tcW w:w="1418" w:type="dxa"/>
            <w:tcBorders>
              <w:top w:val="nil"/>
              <w:left w:val="nil"/>
              <w:bottom w:val="nil"/>
              <w:right w:val="nil"/>
            </w:tcBorders>
            <w:shd w:val="clear" w:color="auto" w:fill="auto"/>
            <w:vAlign w:val="bottom"/>
          </w:tcPr>
          <w:p w14:paraId="3ABC293F"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Sicredi</w:t>
            </w:r>
          </w:p>
        </w:tc>
        <w:tc>
          <w:tcPr>
            <w:tcW w:w="1202" w:type="dxa"/>
            <w:tcBorders>
              <w:top w:val="nil"/>
              <w:left w:val="nil"/>
              <w:bottom w:val="nil"/>
              <w:right w:val="nil"/>
            </w:tcBorders>
            <w:shd w:val="clear" w:color="auto" w:fill="auto"/>
            <w:vAlign w:val="bottom"/>
          </w:tcPr>
          <w:p w14:paraId="5F8720D0"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108</w:t>
            </w:r>
          </w:p>
        </w:tc>
        <w:tc>
          <w:tcPr>
            <w:tcW w:w="924" w:type="dxa"/>
            <w:tcBorders>
              <w:top w:val="nil"/>
              <w:left w:val="nil"/>
              <w:bottom w:val="nil"/>
              <w:right w:val="nil"/>
            </w:tcBorders>
            <w:shd w:val="clear" w:color="auto" w:fill="auto"/>
            <w:vAlign w:val="bottom"/>
          </w:tcPr>
          <w:p w14:paraId="5E02BDFA"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Baixa</w:t>
            </w:r>
          </w:p>
        </w:tc>
        <w:tc>
          <w:tcPr>
            <w:tcW w:w="1843" w:type="dxa"/>
            <w:tcBorders>
              <w:top w:val="nil"/>
              <w:left w:val="nil"/>
              <w:bottom w:val="nil"/>
              <w:right w:val="nil"/>
            </w:tcBorders>
            <w:shd w:val="clear" w:color="auto" w:fill="auto"/>
            <w:vAlign w:val="bottom"/>
          </w:tcPr>
          <w:p w14:paraId="2A3F07AC"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24</w:t>
            </w:r>
          </w:p>
        </w:tc>
        <w:tc>
          <w:tcPr>
            <w:tcW w:w="1417" w:type="dxa"/>
            <w:tcBorders>
              <w:top w:val="nil"/>
              <w:left w:val="nil"/>
              <w:bottom w:val="nil"/>
              <w:right w:val="nil"/>
            </w:tcBorders>
            <w:shd w:val="clear" w:color="auto" w:fill="auto"/>
            <w:vAlign w:val="bottom"/>
          </w:tcPr>
          <w:p w14:paraId="4F1621E2"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843" w:type="dxa"/>
            <w:tcBorders>
              <w:top w:val="nil"/>
              <w:left w:val="nil"/>
              <w:bottom w:val="nil"/>
              <w:right w:val="nil"/>
            </w:tcBorders>
            <w:shd w:val="clear" w:color="auto" w:fill="auto"/>
            <w:vAlign w:val="bottom"/>
          </w:tcPr>
          <w:p w14:paraId="1F1EB11F" w14:textId="34429ACA" w:rsidR="00EC4499" w:rsidRDefault="00433EA7" w:rsidP="00F73D0C">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2, 6, 7, 11, 17</w:t>
            </w:r>
          </w:p>
        </w:tc>
      </w:tr>
      <w:tr w:rsidR="00EC4499" w14:paraId="3619A61E" w14:textId="77777777" w:rsidTr="00F73D0C">
        <w:trPr>
          <w:trHeight w:val="288"/>
        </w:trPr>
        <w:tc>
          <w:tcPr>
            <w:tcW w:w="1418" w:type="dxa"/>
            <w:tcBorders>
              <w:top w:val="nil"/>
              <w:left w:val="nil"/>
              <w:right w:val="nil"/>
            </w:tcBorders>
            <w:shd w:val="clear" w:color="auto" w:fill="auto"/>
            <w:vAlign w:val="bottom"/>
          </w:tcPr>
          <w:p w14:paraId="2D4E72AD"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Caixa</w:t>
            </w:r>
          </w:p>
        </w:tc>
        <w:tc>
          <w:tcPr>
            <w:tcW w:w="1202" w:type="dxa"/>
            <w:tcBorders>
              <w:top w:val="nil"/>
              <w:left w:val="nil"/>
              <w:right w:val="nil"/>
            </w:tcBorders>
            <w:shd w:val="clear" w:color="auto" w:fill="auto"/>
            <w:vAlign w:val="bottom"/>
          </w:tcPr>
          <w:p w14:paraId="3592121E"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54</w:t>
            </w:r>
          </w:p>
        </w:tc>
        <w:tc>
          <w:tcPr>
            <w:tcW w:w="924" w:type="dxa"/>
            <w:tcBorders>
              <w:top w:val="nil"/>
              <w:left w:val="nil"/>
              <w:right w:val="nil"/>
            </w:tcBorders>
            <w:shd w:val="clear" w:color="auto" w:fill="auto"/>
            <w:vAlign w:val="bottom"/>
          </w:tcPr>
          <w:p w14:paraId="3FCDD660"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Muito Baixa</w:t>
            </w:r>
          </w:p>
        </w:tc>
        <w:tc>
          <w:tcPr>
            <w:tcW w:w="1843" w:type="dxa"/>
            <w:tcBorders>
              <w:top w:val="nil"/>
              <w:left w:val="nil"/>
              <w:right w:val="nil"/>
            </w:tcBorders>
            <w:shd w:val="clear" w:color="auto" w:fill="auto"/>
            <w:vAlign w:val="bottom"/>
          </w:tcPr>
          <w:p w14:paraId="56A5F3AB"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14</w:t>
            </w:r>
          </w:p>
        </w:tc>
        <w:tc>
          <w:tcPr>
            <w:tcW w:w="1417" w:type="dxa"/>
            <w:tcBorders>
              <w:top w:val="nil"/>
              <w:left w:val="nil"/>
              <w:right w:val="nil"/>
            </w:tcBorders>
            <w:shd w:val="clear" w:color="auto" w:fill="auto"/>
            <w:vAlign w:val="bottom"/>
          </w:tcPr>
          <w:p w14:paraId="3781DC4F"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843" w:type="dxa"/>
            <w:tcBorders>
              <w:top w:val="nil"/>
              <w:left w:val="nil"/>
              <w:right w:val="nil"/>
            </w:tcBorders>
            <w:shd w:val="clear" w:color="auto" w:fill="auto"/>
            <w:vAlign w:val="bottom"/>
          </w:tcPr>
          <w:p w14:paraId="0BED9FD7" w14:textId="77777777" w:rsidR="00EC4499" w:rsidRDefault="00433EA7" w:rsidP="00F73D0C">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1, 2, 6, 7, 9, 11, 12, 13, 14, 15, 17</w:t>
            </w:r>
          </w:p>
        </w:tc>
      </w:tr>
      <w:tr w:rsidR="00EC4499" w14:paraId="3C802651" w14:textId="77777777" w:rsidTr="00F73D0C">
        <w:trPr>
          <w:trHeight w:val="288"/>
        </w:trPr>
        <w:tc>
          <w:tcPr>
            <w:tcW w:w="1418" w:type="dxa"/>
            <w:tcBorders>
              <w:top w:val="nil"/>
              <w:left w:val="nil"/>
              <w:bottom w:val="single" w:sz="4" w:space="0" w:color="000000"/>
              <w:right w:val="nil"/>
            </w:tcBorders>
            <w:shd w:val="clear" w:color="auto" w:fill="auto"/>
            <w:vAlign w:val="bottom"/>
          </w:tcPr>
          <w:p w14:paraId="11068A6B"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J.P. Morgan</w:t>
            </w:r>
          </w:p>
        </w:tc>
        <w:tc>
          <w:tcPr>
            <w:tcW w:w="1202" w:type="dxa"/>
            <w:tcBorders>
              <w:top w:val="nil"/>
              <w:left w:val="nil"/>
              <w:bottom w:val="single" w:sz="4" w:space="0" w:color="000000"/>
              <w:right w:val="nil"/>
            </w:tcBorders>
            <w:shd w:val="clear" w:color="auto" w:fill="auto"/>
            <w:vAlign w:val="bottom"/>
          </w:tcPr>
          <w:p w14:paraId="42F8E338"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46</w:t>
            </w:r>
          </w:p>
        </w:tc>
        <w:tc>
          <w:tcPr>
            <w:tcW w:w="924" w:type="dxa"/>
            <w:tcBorders>
              <w:top w:val="nil"/>
              <w:left w:val="nil"/>
              <w:bottom w:val="single" w:sz="4" w:space="0" w:color="000000"/>
              <w:right w:val="nil"/>
            </w:tcBorders>
            <w:shd w:val="clear" w:color="auto" w:fill="auto"/>
            <w:vAlign w:val="bottom"/>
          </w:tcPr>
          <w:p w14:paraId="6131A599"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Muito Baixa</w:t>
            </w:r>
          </w:p>
        </w:tc>
        <w:tc>
          <w:tcPr>
            <w:tcW w:w="1843" w:type="dxa"/>
            <w:tcBorders>
              <w:top w:val="nil"/>
              <w:left w:val="nil"/>
              <w:bottom w:val="single" w:sz="4" w:space="0" w:color="000000"/>
              <w:right w:val="nil"/>
            </w:tcBorders>
            <w:shd w:val="clear" w:color="auto" w:fill="auto"/>
            <w:vAlign w:val="bottom"/>
          </w:tcPr>
          <w:p w14:paraId="48AAB8A5"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14</w:t>
            </w:r>
          </w:p>
        </w:tc>
        <w:tc>
          <w:tcPr>
            <w:tcW w:w="1417" w:type="dxa"/>
            <w:tcBorders>
              <w:top w:val="nil"/>
              <w:left w:val="nil"/>
              <w:bottom w:val="single" w:sz="4" w:space="0" w:color="000000"/>
              <w:right w:val="nil"/>
            </w:tcBorders>
            <w:shd w:val="clear" w:color="auto" w:fill="auto"/>
            <w:vAlign w:val="bottom"/>
          </w:tcPr>
          <w:p w14:paraId="587A7884"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843" w:type="dxa"/>
            <w:tcBorders>
              <w:top w:val="nil"/>
              <w:left w:val="nil"/>
              <w:bottom w:val="single" w:sz="4" w:space="0" w:color="000000"/>
              <w:right w:val="nil"/>
            </w:tcBorders>
            <w:shd w:val="clear" w:color="auto" w:fill="auto"/>
            <w:vAlign w:val="bottom"/>
          </w:tcPr>
          <w:p w14:paraId="6D6E5357" w14:textId="7A39103F" w:rsidR="00EC4499" w:rsidRDefault="00433EA7" w:rsidP="00F73D0C">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2, 4, 6, 7, 17</w:t>
            </w:r>
          </w:p>
        </w:tc>
      </w:tr>
      <w:tr w:rsidR="00EC4499" w14:paraId="5C863E4E" w14:textId="77777777" w:rsidTr="00F73D0C">
        <w:trPr>
          <w:trHeight w:val="288"/>
        </w:trPr>
        <w:tc>
          <w:tcPr>
            <w:tcW w:w="1418" w:type="dxa"/>
            <w:tcBorders>
              <w:top w:val="single" w:sz="4" w:space="0" w:color="000000"/>
              <w:left w:val="nil"/>
              <w:bottom w:val="nil"/>
              <w:right w:val="nil"/>
            </w:tcBorders>
            <w:shd w:val="clear" w:color="auto" w:fill="auto"/>
            <w:vAlign w:val="bottom"/>
          </w:tcPr>
          <w:p w14:paraId="1B4AD90E" w14:textId="77777777" w:rsidR="00EC4499" w:rsidRDefault="00433EA7">
            <w:pPr>
              <w:spacing w:after="0" w:line="240" w:lineRule="auto"/>
              <w:rPr>
                <w:rFonts w:ascii="Garamond" w:eastAsia="Garamond" w:hAnsi="Garamond" w:cs="Garamond"/>
                <w:b/>
                <w:color w:val="000000"/>
                <w:sz w:val="16"/>
                <w:szCs w:val="16"/>
              </w:rPr>
            </w:pPr>
            <w:r>
              <w:rPr>
                <w:rFonts w:ascii="Garamond" w:eastAsia="Garamond" w:hAnsi="Garamond" w:cs="Garamond"/>
                <w:b/>
                <w:color w:val="000000"/>
                <w:sz w:val="16"/>
                <w:szCs w:val="16"/>
              </w:rPr>
              <w:t>Média</w:t>
            </w:r>
          </w:p>
        </w:tc>
        <w:tc>
          <w:tcPr>
            <w:tcW w:w="1202" w:type="dxa"/>
            <w:tcBorders>
              <w:top w:val="single" w:sz="4" w:space="0" w:color="000000"/>
              <w:left w:val="nil"/>
              <w:bottom w:val="nil"/>
              <w:right w:val="nil"/>
            </w:tcBorders>
            <w:shd w:val="clear" w:color="auto" w:fill="auto"/>
            <w:vAlign w:val="bottom"/>
          </w:tcPr>
          <w:p w14:paraId="2175A995" w14:textId="77777777" w:rsidR="00EC4499" w:rsidRDefault="00433EA7">
            <w:pPr>
              <w:spacing w:after="0" w:line="240" w:lineRule="auto"/>
              <w:jc w:val="center"/>
              <w:rPr>
                <w:rFonts w:ascii="Garamond" w:eastAsia="Garamond" w:hAnsi="Garamond" w:cs="Garamond"/>
                <w:b/>
                <w:color w:val="000000"/>
                <w:sz w:val="16"/>
                <w:szCs w:val="16"/>
              </w:rPr>
            </w:pPr>
            <w:r>
              <w:rPr>
                <w:rFonts w:ascii="Garamond" w:eastAsia="Garamond" w:hAnsi="Garamond" w:cs="Garamond"/>
                <w:b/>
                <w:color w:val="000000"/>
                <w:sz w:val="16"/>
                <w:szCs w:val="16"/>
              </w:rPr>
              <w:t>133,8</w:t>
            </w:r>
          </w:p>
        </w:tc>
        <w:tc>
          <w:tcPr>
            <w:tcW w:w="924" w:type="dxa"/>
            <w:tcBorders>
              <w:top w:val="single" w:sz="4" w:space="0" w:color="000000"/>
              <w:left w:val="nil"/>
              <w:bottom w:val="nil"/>
              <w:right w:val="nil"/>
            </w:tcBorders>
            <w:shd w:val="clear" w:color="auto" w:fill="auto"/>
            <w:vAlign w:val="bottom"/>
          </w:tcPr>
          <w:p w14:paraId="39F77526" w14:textId="77777777" w:rsidR="00EC4499" w:rsidRDefault="00EC4499">
            <w:pPr>
              <w:spacing w:after="0" w:line="240" w:lineRule="auto"/>
              <w:jc w:val="center"/>
              <w:rPr>
                <w:rFonts w:ascii="Garamond" w:eastAsia="Garamond" w:hAnsi="Garamond" w:cs="Garamond"/>
                <w:b/>
                <w:color w:val="000000"/>
                <w:sz w:val="16"/>
                <w:szCs w:val="16"/>
              </w:rPr>
            </w:pPr>
          </w:p>
        </w:tc>
        <w:tc>
          <w:tcPr>
            <w:tcW w:w="1843" w:type="dxa"/>
            <w:tcBorders>
              <w:top w:val="single" w:sz="4" w:space="0" w:color="000000"/>
              <w:left w:val="nil"/>
              <w:bottom w:val="nil"/>
              <w:right w:val="nil"/>
            </w:tcBorders>
            <w:shd w:val="clear" w:color="auto" w:fill="auto"/>
            <w:vAlign w:val="bottom"/>
          </w:tcPr>
          <w:p w14:paraId="6555F93C" w14:textId="77777777" w:rsidR="00EC4499" w:rsidRDefault="00433EA7">
            <w:pPr>
              <w:spacing w:after="0" w:line="240" w:lineRule="auto"/>
              <w:jc w:val="center"/>
              <w:rPr>
                <w:rFonts w:ascii="Garamond" w:eastAsia="Garamond" w:hAnsi="Garamond" w:cs="Garamond"/>
                <w:b/>
                <w:color w:val="000000"/>
                <w:sz w:val="16"/>
                <w:szCs w:val="16"/>
              </w:rPr>
            </w:pPr>
            <w:r>
              <w:rPr>
                <w:rFonts w:ascii="Garamond" w:eastAsia="Garamond" w:hAnsi="Garamond" w:cs="Garamond"/>
                <w:b/>
                <w:color w:val="000000"/>
                <w:sz w:val="16"/>
                <w:szCs w:val="16"/>
              </w:rPr>
              <w:t>33,3</w:t>
            </w:r>
          </w:p>
        </w:tc>
        <w:tc>
          <w:tcPr>
            <w:tcW w:w="1417" w:type="dxa"/>
            <w:tcBorders>
              <w:top w:val="single" w:sz="4" w:space="0" w:color="000000"/>
              <w:left w:val="nil"/>
              <w:bottom w:val="nil"/>
              <w:right w:val="nil"/>
            </w:tcBorders>
            <w:shd w:val="clear" w:color="auto" w:fill="auto"/>
            <w:vAlign w:val="bottom"/>
          </w:tcPr>
          <w:p w14:paraId="2E47691C" w14:textId="77777777" w:rsidR="00EC4499" w:rsidRDefault="00EC4499">
            <w:pPr>
              <w:spacing w:after="0" w:line="240" w:lineRule="auto"/>
              <w:jc w:val="center"/>
              <w:rPr>
                <w:rFonts w:ascii="Garamond" w:eastAsia="Garamond" w:hAnsi="Garamond" w:cs="Garamond"/>
                <w:b/>
                <w:color w:val="000000"/>
                <w:sz w:val="16"/>
                <w:szCs w:val="16"/>
              </w:rPr>
            </w:pPr>
          </w:p>
        </w:tc>
        <w:tc>
          <w:tcPr>
            <w:tcW w:w="1843" w:type="dxa"/>
            <w:tcBorders>
              <w:top w:val="single" w:sz="4" w:space="0" w:color="000000"/>
              <w:left w:val="nil"/>
              <w:bottom w:val="nil"/>
              <w:right w:val="nil"/>
            </w:tcBorders>
            <w:shd w:val="clear" w:color="auto" w:fill="auto"/>
            <w:vAlign w:val="bottom"/>
          </w:tcPr>
          <w:p w14:paraId="049829BF" w14:textId="77777777" w:rsidR="00EC4499" w:rsidRDefault="00EC4499">
            <w:pPr>
              <w:spacing w:after="0" w:line="240" w:lineRule="auto"/>
              <w:jc w:val="center"/>
              <w:rPr>
                <w:rFonts w:ascii="Garamond" w:eastAsia="Garamond" w:hAnsi="Garamond" w:cs="Garamond"/>
                <w:sz w:val="16"/>
                <w:szCs w:val="16"/>
              </w:rPr>
            </w:pPr>
          </w:p>
        </w:tc>
      </w:tr>
    </w:tbl>
    <w:p w14:paraId="25111FD6" w14:textId="77777777" w:rsidR="00EC4499" w:rsidRDefault="00EC4499">
      <w:pPr>
        <w:spacing w:after="0" w:line="360" w:lineRule="auto"/>
        <w:rPr>
          <w:rFonts w:ascii="Garamond" w:eastAsia="Garamond" w:hAnsi="Garamond" w:cs="Garamond"/>
          <w:b/>
          <w:color w:val="000000"/>
          <w:sz w:val="16"/>
          <w:szCs w:val="16"/>
        </w:rPr>
      </w:pPr>
    </w:p>
    <w:p w14:paraId="7E34728E" w14:textId="77777777" w:rsidR="00EC4499" w:rsidRDefault="00EC4499">
      <w:pPr>
        <w:spacing w:after="0" w:line="360" w:lineRule="auto"/>
        <w:rPr>
          <w:rFonts w:ascii="Garamond" w:eastAsia="Garamond" w:hAnsi="Garamond" w:cs="Garamond"/>
          <w:color w:val="000000"/>
          <w:sz w:val="24"/>
          <w:szCs w:val="24"/>
        </w:rPr>
      </w:pPr>
    </w:p>
    <w:p w14:paraId="3D1BB11B" w14:textId="51F173B8" w:rsidR="00EC4499" w:rsidRDefault="00433EA7">
      <w:pPr>
        <w:spacing w:after="0" w:line="360" w:lineRule="auto"/>
        <w:jc w:val="center"/>
        <w:rPr>
          <w:rFonts w:ascii="Garamond" w:eastAsia="Garamond" w:hAnsi="Garamond" w:cs="Garamond"/>
          <w:i/>
          <w:color w:val="000000"/>
          <w:sz w:val="24"/>
          <w:szCs w:val="24"/>
        </w:rPr>
      </w:pPr>
      <w:r>
        <w:rPr>
          <w:rFonts w:ascii="Garamond" w:eastAsia="Garamond" w:hAnsi="Garamond" w:cs="Garamond"/>
          <w:color w:val="000000"/>
          <w:sz w:val="24"/>
          <w:szCs w:val="24"/>
        </w:rPr>
        <w:t xml:space="preserve">Tabela 11 - Resultados Qualidade 2022 </w:t>
      </w:r>
    </w:p>
    <w:tbl>
      <w:tblPr>
        <w:tblStyle w:val="a9"/>
        <w:tblW w:w="8647" w:type="dxa"/>
        <w:tblInd w:w="0" w:type="dxa"/>
        <w:tblLayout w:type="fixed"/>
        <w:tblLook w:val="0400" w:firstRow="0" w:lastRow="0" w:firstColumn="0" w:lastColumn="0" w:noHBand="0" w:noVBand="1"/>
      </w:tblPr>
      <w:tblGrid>
        <w:gridCol w:w="1418"/>
        <w:gridCol w:w="1202"/>
        <w:gridCol w:w="924"/>
        <w:gridCol w:w="1843"/>
        <w:gridCol w:w="2126"/>
        <w:gridCol w:w="1134"/>
      </w:tblGrid>
      <w:tr w:rsidR="00EC4499" w14:paraId="04B88167" w14:textId="77777777" w:rsidTr="00F73D0C">
        <w:trPr>
          <w:trHeight w:val="288"/>
        </w:trPr>
        <w:tc>
          <w:tcPr>
            <w:tcW w:w="1418" w:type="dxa"/>
            <w:tcBorders>
              <w:top w:val="nil"/>
              <w:left w:val="nil"/>
              <w:bottom w:val="single" w:sz="4" w:space="0" w:color="000000"/>
              <w:right w:val="nil"/>
            </w:tcBorders>
            <w:shd w:val="clear" w:color="auto" w:fill="auto"/>
            <w:vAlign w:val="bottom"/>
          </w:tcPr>
          <w:p w14:paraId="6A66295B" w14:textId="77777777" w:rsidR="00EC4499" w:rsidRDefault="00433EA7">
            <w:pPr>
              <w:spacing w:after="0" w:line="240" w:lineRule="auto"/>
              <w:rPr>
                <w:rFonts w:ascii="Garamond" w:eastAsia="Garamond" w:hAnsi="Garamond" w:cs="Garamond"/>
                <w:b/>
                <w:color w:val="000000"/>
                <w:sz w:val="16"/>
                <w:szCs w:val="16"/>
              </w:rPr>
            </w:pPr>
            <w:r>
              <w:rPr>
                <w:rFonts w:ascii="Garamond" w:eastAsia="Garamond" w:hAnsi="Garamond" w:cs="Garamond"/>
                <w:b/>
                <w:color w:val="000000"/>
                <w:sz w:val="16"/>
                <w:szCs w:val="16"/>
              </w:rPr>
              <w:t>Bancos</w:t>
            </w:r>
          </w:p>
        </w:tc>
        <w:tc>
          <w:tcPr>
            <w:tcW w:w="1202" w:type="dxa"/>
            <w:tcBorders>
              <w:top w:val="nil"/>
              <w:left w:val="nil"/>
              <w:bottom w:val="single" w:sz="4" w:space="0" w:color="000000"/>
              <w:right w:val="nil"/>
            </w:tcBorders>
            <w:shd w:val="clear" w:color="auto" w:fill="auto"/>
            <w:vAlign w:val="bottom"/>
          </w:tcPr>
          <w:p w14:paraId="6C4D6C03" w14:textId="77777777" w:rsidR="00EC4499" w:rsidRDefault="00433EA7">
            <w:pPr>
              <w:spacing w:after="0" w:line="240" w:lineRule="auto"/>
              <w:jc w:val="center"/>
              <w:rPr>
                <w:rFonts w:ascii="Garamond" w:eastAsia="Garamond" w:hAnsi="Garamond" w:cs="Garamond"/>
                <w:b/>
                <w:color w:val="000000"/>
                <w:sz w:val="16"/>
                <w:szCs w:val="16"/>
              </w:rPr>
            </w:pPr>
            <w:r>
              <w:rPr>
                <w:rFonts w:ascii="Garamond" w:eastAsia="Garamond" w:hAnsi="Garamond" w:cs="Garamond"/>
                <w:b/>
                <w:color w:val="000000"/>
                <w:sz w:val="16"/>
                <w:szCs w:val="16"/>
              </w:rPr>
              <w:t>DQPI</w:t>
            </w:r>
          </w:p>
        </w:tc>
        <w:tc>
          <w:tcPr>
            <w:tcW w:w="924" w:type="dxa"/>
            <w:tcBorders>
              <w:top w:val="nil"/>
              <w:left w:val="nil"/>
              <w:bottom w:val="single" w:sz="4" w:space="0" w:color="000000"/>
              <w:right w:val="nil"/>
            </w:tcBorders>
            <w:shd w:val="clear" w:color="auto" w:fill="auto"/>
            <w:vAlign w:val="bottom"/>
          </w:tcPr>
          <w:p w14:paraId="713594C4" w14:textId="77777777" w:rsidR="00EC4499" w:rsidRDefault="00433EA7">
            <w:pPr>
              <w:spacing w:after="0" w:line="240" w:lineRule="auto"/>
              <w:jc w:val="center"/>
              <w:rPr>
                <w:rFonts w:ascii="Garamond" w:eastAsia="Garamond" w:hAnsi="Garamond" w:cs="Garamond"/>
                <w:b/>
                <w:color w:val="000000"/>
                <w:sz w:val="16"/>
                <w:szCs w:val="16"/>
              </w:rPr>
            </w:pPr>
            <w:r>
              <w:rPr>
                <w:rFonts w:ascii="Garamond" w:eastAsia="Garamond" w:hAnsi="Garamond" w:cs="Garamond"/>
                <w:b/>
                <w:color w:val="000000"/>
                <w:sz w:val="16"/>
                <w:szCs w:val="16"/>
              </w:rPr>
              <w:t>Qualidade</w:t>
            </w:r>
          </w:p>
        </w:tc>
        <w:tc>
          <w:tcPr>
            <w:tcW w:w="1843" w:type="dxa"/>
            <w:tcBorders>
              <w:top w:val="nil"/>
              <w:left w:val="nil"/>
              <w:bottom w:val="single" w:sz="4" w:space="0" w:color="000000"/>
              <w:right w:val="nil"/>
            </w:tcBorders>
            <w:shd w:val="clear" w:color="auto" w:fill="auto"/>
            <w:vAlign w:val="bottom"/>
          </w:tcPr>
          <w:p w14:paraId="2F990FC7" w14:textId="77777777" w:rsidR="00EC4499" w:rsidRDefault="00433EA7">
            <w:pPr>
              <w:spacing w:after="0" w:line="240" w:lineRule="auto"/>
              <w:jc w:val="center"/>
              <w:rPr>
                <w:rFonts w:ascii="Garamond" w:eastAsia="Garamond" w:hAnsi="Garamond" w:cs="Garamond"/>
                <w:b/>
                <w:color w:val="000000"/>
                <w:sz w:val="16"/>
                <w:szCs w:val="16"/>
              </w:rPr>
            </w:pPr>
            <w:r>
              <w:rPr>
                <w:rFonts w:ascii="Garamond" w:eastAsia="Garamond" w:hAnsi="Garamond" w:cs="Garamond"/>
                <w:b/>
                <w:color w:val="000000"/>
                <w:sz w:val="16"/>
                <w:szCs w:val="16"/>
              </w:rPr>
              <w:t xml:space="preserve">Qt. conteúdos </w:t>
            </w:r>
          </w:p>
        </w:tc>
        <w:tc>
          <w:tcPr>
            <w:tcW w:w="2126" w:type="dxa"/>
            <w:tcBorders>
              <w:top w:val="nil"/>
              <w:left w:val="nil"/>
              <w:bottom w:val="single" w:sz="4" w:space="0" w:color="000000"/>
              <w:right w:val="nil"/>
            </w:tcBorders>
            <w:shd w:val="clear" w:color="auto" w:fill="auto"/>
            <w:vAlign w:val="bottom"/>
          </w:tcPr>
          <w:p w14:paraId="1DFF006A" w14:textId="77777777" w:rsidR="00EC4499" w:rsidRDefault="00433EA7">
            <w:pPr>
              <w:spacing w:after="0" w:line="240" w:lineRule="auto"/>
              <w:jc w:val="center"/>
              <w:rPr>
                <w:rFonts w:ascii="Garamond" w:eastAsia="Garamond" w:hAnsi="Garamond" w:cs="Garamond"/>
                <w:b/>
                <w:color w:val="000000"/>
                <w:sz w:val="16"/>
                <w:szCs w:val="16"/>
              </w:rPr>
            </w:pPr>
            <w:r>
              <w:rPr>
                <w:rFonts w:ascii="Garamond" w:eastAsia="Garamond" w:hAnsi="Garamond" w:cs="Garamond"/>
                <w:b/>
                <w:color w:val="000000"/>
                <w:sz w:val="16"/>
                <w:szCs w:val="16"/>
              </w:rPr>
              <w:t>ODS maior pontuação</w:t>
            </w:r>
          </w:p>
        </w:tc>
        <w:tc>
          <w:tcPr>
            <w:tcW w:w="1134" w:type="dxa"/>
            <w:tcBorders>
              <w:top w:val="nil"/>
              <w:left w:val="nil"/>
              <w:bottom w:val="single" w:sz="4" w:space="0" w:color="000000"/>
              <w:right w:val="nil"/>
            </w:tcBorders>
            <w:shd w:val="clear" w:color="auto" w:fill="auto"/>
            <w:vAlign w:val="bottom"/>
          </w:tcPr>
          <w:p w14:paraId="5ABFA20C" w14:textId="77777777" w:rsidR="00EC4499" w:rsidRDefault="00433EA7">
            <w:pPr>
              <w:spacing w:after="0" w:line="240" w:lineRule="auto"/>
              <w:rPr>
                <w:rFonts w:ascii="Garamond" w:eastAsia="Garamond" w:hAnsi="Garamond" w:cs="Garamond"/>
                <w:b/>
                <w:color w:val="000000"/>
                <w:sz w:val="16"/>
                <w:szCs w:val="16"/>
              </w:rPr>
            </w:pPr>
            <w:r>
              <w:rPr>
                <w:rFonts w:ascii="Garamond" w:eastAsia="Garamond" w:hAnsi="Garamond" w:cs="Garamond"/>
                <w:b/>
                <w:color w:val="000000"/>
                <w:sz w:val="16"/>
                <w:szCs w:val="16"/>
              </w:rPr>
              <w:t>ODS não comunicados</w:t>
            </w:r>
          </w:p>
        </w:tc>
      </w:tr>
      <w:tr w:rsidR="00EC4499" w14:paraId="221D3D5C" w14:textId="77777777" w:rsidTr="00F73D0C">
        <w:trPr>
          <w:trHeight w:val="288"/>
        </w:trPr>
        <w:tc>
          <w:tcPr>
            <w:tcW w:w="1418" w:type="dxa"/>
            <w:tcBorders>
              <w:top w:val="single" w:sz="4" w:space="0" w:color="000000"/>
              <w:left w:val="nil"/>
              <w:bottom w:val="nil"/>
              <w:right w:val="nil"/>
            </w:tcBorders>
            <w:shd w:val="clear" w:color="auto" w:fill="auto"/>
            <w:vAlign w:val="bottom"/>
          </w:tcPr>
          <w:p w14:paraId="3548F422"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Bradesco</w:t>
            </w:r>
          </w:p>
        </w:tc>
        <w:tc>
          <w:tcPr>
            <w:tcW w:w="1202" w:type="dxa"/>
            <w:tcBorders>
              <w:top w:val="single" w:sz="4" w:space="0" w:color="000000"/>
              <w:left w:val="nil"/>
              <w:bottom w:val="nil"/>
              <w:right w:val="nil"/>
            </w:tcBorders>
            <w:shd w:val="clear" w:color="auto" w:fill="auto"/>
            <w:vAlign w:val="bottom"/>
          </w:tcPr>
          <w:p w14:paraId="4ACA7A2B"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248</w:t>
            </w:r>
          </w:p>
        </w:tc>
        <w:tc>
          <w:tcPr>
            <w:tcW w:w="924" w:type="dxa"/>
            <w:tcBorders>
              <w:top w:val="single" w:sz="4" w:space="0" w:color="000000"/>
              <w:left w:val="nil"/>
              <w:bottom w:val="nil"/>
              <w:right w:val="nil"/>
            </w:tcBorders>
            <w:shd w:val="clear" w:color="auto" w:fill="auto"/>
            <w:vAlign w:val="bottom"/>
          </w:tcPr>
          <w:p w14:paraId="54BD97D7"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Média</w:t>
            </w:r>
          </w:p>
        </w:tc>
        <w:tc>
          <w:tcPr>
            <w:tcW w:w="1843" w:type="dxa"/>
            <w:tcBorders>
              <w:top w:val="single" w:sz="4" w:space="0" w:color="000000"/>
              <w:left w:val="nil"/>
              <w:bottom w:val="nil"/>
              <w:right w:val="nil"/>
            </w:tcBorders>
            <w:shd w:val="clear" w:color="auto" w:fill="auto"/>
            <w:vAlign w:val="bottom"/>
          </w:tcPr>
          <w:p w14:paraId="0876F33E"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63</w:t>
            </w:r>
          </w:p>
        </w:tc>
        <w:tc>
          <w:tcPr>
            <w:tcW w:w="2126" w:type="dxa"/>
            <w:tcBorders>
              <w:top w:val="single" w:sz="4" w:space="0" w:color="000000"/>
              <w:left w:val="nil"/>
              <w:bottom w:val="nil"/>
              <w:right w:val="nil"/>
            </w:tcBorders>
            <w:shd w:val="clear" w:color="auto" w:fill="auto"/>
            <w:vAlign w:val="bottom"/>
          </w:tcPr>
          <w:p w14:paraId="565E46B9"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134" w:type="dxa"/>
            <w:tcBorders>
              <w:top w:val="single" w:sz="4" w:space="0" w:color="000000"/>
              <w:left w:val="nil"/>
              <w:bottom w:val="nil"/>
              <w:right w:val="nil"/>
            </w:tcBorders>
            <w:shd w:val="clear" w:color="auto" w:fill="auto"/>
            <w:vAlign w:val="bottom"/>
          </w:tcPr>
          <w:p w14:paraId="79CBFFB2" w14:textId="4C099ABA" w:rsidR="00EC4499" w:rsidRDefault="00433EA7" w:rsidP="00F73D0C">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w:t>
            </w:r>
          </w:p>
        </w:tc>
      </w:tr>
      <w:tr w:rsidR="00EC4499" w14:paraId="42DD649C" w14:textId="77777777" w:rsidTr="00F73D0C">
        <w:trPr>
          <w:trHeight w:val="288"/>
        </w:trPr>
        <w:tc>
          <w:tcPr>
            <w:tcW w:w="1418" w:type="dxa"/>
            <w:tcBorders>
              <w:top w:val="nil"/>
              <w:left w:val="nil"/>
              <w:bottom w:val="nil"/>
              <w:right w:val="nil"/>
            </w:tcBorders>
            <w:shd w:val="clear" w:color="auto" w:fill="auto"/>
            <w:vAlign w:val="bottom"/>
          </w:tcPr>
          <w:p w14:paraId="56C7C943"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BNDES</w:t>
            </w:r>
          </w:p>
        </w:tc>
        <w:tc>
          <w:tcPr>
            <w:tcW w:w="1202" w:type="dxa"/>
            <w:tcBorders>
              <w:top w:val="nil"/>
              <w:left w:val="nil"/>
              <w:bottom w:val="nil"/>
              <w:right w:val="nil"/>
            </w:tcBorders>
            <w:shd w:val="clear" w:color="auto" w:fill="auto"/>
            <w:vAlign w:val="bottom"/>
          </w:tcPr>
          <w:p w14:paraId="4980FD2F"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204</w:t>
            </w:r>
          </w:p>
        </w:tc>
        <w:tc>
          <w:tcPr>
            <w:tcW w:w="924" w:type="dxa"/>
            <w:tcBorders>
              <w:top w:val="nil"/>
              <w:left w:val="nil"/>
              <w:bottom w:val="nil"/>
              <w:right w:val="nil"/>
            </w:tcBorders>
            <w:shd w:val="clear" w:color="auto" w:fill="auto"/>
            <w:vAlign w:val="bottom"/>
          </w:tcPr>
          <w:p w14:paraId="747DD8DA"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Média</w:t>
            </w:r>
          </w:p>
        </w:tc>
        <w:tc>
          <w:tcPr>
            <w:tcW w:w="1843" w:type="dxa"/>
            <w:tcBorders>
              <w:top w:val="nil"/>
              <w:left w:val="nil"/>
              <w:bottom w:val="nil"/>
              <w:right w:val="nil"/>
            </w:tcBorders>
            <w:shd w:val="clear" w:color="auto" w:fill="auto"/>
            <w:vAlign w:val="bottom"/>
          </w:tcPr>
          <w:p w14:paraId="1AF508CD"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49</w:t>
            </w:r>
          </w:p>
        </w:tc>
        <w:tc>
          <w:tcPr>
            <w:tcW w:w="2126" w:type="dxa"/>
            <w:tcBorders>
              <w:top w:val="nil"/>
              <w:left w:val="nil"/>
              <w:bottom w:val="nil"/>
              <w:right w:val="nil"/>
            </w:tcBorders>
            <w:shd w:val="clear" w:color="auto" w:fill="auto"/>
            <w:vAlign w:val="bottom"/>
          </w:tcPr>
          <w:p w14:paraId="455F5FA3"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134" w:type="dxa"/>
            <w:tcBorders>
              <w:top w:val="nil"/>
              <w:left w:val="nil"/>
              <w:bottom w:val="nil"/>
              <w:right w:val="nil"/>
            </w:tcBorders>
            <w:shd w:val="clear" w:color="auto" w:fill="auto"/>
            <w:vAlign w:val="bottom"/>
          </w:tcPr>
          <w:p w14:paraId="76E4CEC5" w14:textId="27819ED3" w:rsidR="00EC4499" w:rsidRDefault="00433EA7" w:rsidP="00F73D0C">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w:t>
            </w:r>
          </w:p>
        </w:tc>
      </w:tr>
      <w:tr w:rsidR="00EC4499" w14:paraId="2938F4A6" w14:textId="77777777" w:rsidTr="00F73D0C">
        <w:trPr>
          <w:trHeight w:val="288"/>
        </w:trPr>
        <w:tc>
          <w:tcPr>
            <w:tcW w:w="1418" w:type="dxa"/>
            <w:tcBorders>
              <w:top w:val="nil"/>
              <w:left w:val="nil"/>
              <w:bottom w:val="nil"/>
              <w:right w:val="nil"/>
            </w:tcBorders>
            <w:shd w:val="clear" w:color="auto" w:fill="auto"/>
            <w:vAlign w:val="bottom"/>
          </w:tcPr>
          <w:p w14:paraId="4269970E"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Itaú</w:t>
            </w:r>
          </w:p>
        </w:tc>
        <w:tc>
          <w:tcPr>
            <w:tcW w:w="1202" w:type="dxa"/>
            <w:tcBorders>
              <w:top w:val="nil"/>
              <w:left w:val="nil"/>
              <w:bottom w:val="nil"/>
              <w:right w:val="nil"/>
            </w:tcBorders>
            <w:shd w:val="clear" w:color="auto" w:fill="auto"/>
            <w:vAlign w:val="bottom"/>
          </w:tcPr>
          <w:p w14:paraId="67D4BA84"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194</w:t>
            </w:r>
          </w:p>
        </w:tc>
        <w:tc>
          <w:tcPr>
            <w:tcW w:w="924" w:type="dxa"/>
            <w:tcBorders>
              <w:top w:val="nil"/>
              <w:left w:val="nil"/>
              <w:bottom w:val="nil"/>
              <w:right w:val="nil"/>
            </w:tcBorders>
            <w:shd w:val="clear" w:color="auto" w:fill="auto"/>
            <w:vAlign w:val="bottom"/>
          </w:tcPr>
          <w:p w14:paraId="67045043"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Média</w:t>
            </w:r>
          </w:p>
        </w:tc>
        <w:tc>
          <w:tcPr>
            <w:tcW w:w="1843" w:type="dxa"/>
            <w:tcBorders>
              <w:top w:val="nil"/>
              <w:left w:val="nil"/>
              <w:bottom w:val="nil"/>
              <w:right w:val="nil"/>
            </w:tcBorders>
            <w:shd w:val="clear" w:color="auto" w:fill="auto"/>
            <w:vAlign w:val="bottom"/>
          </w:tcPr>
          <w:p w14:paraId="2B881347"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51</w:t>
            </w:r>
          </w:p>
        </w:tc>
        <w:tc>
          <w:tcPr>
            <w:tcW w:w="2126" w:type="dxa"/>
            <w:tcBorders>
              <w:top w:val="nil"/>
              <w:left w:val="nil"/>
              <w:bottom w:val="nil"/>
              <w:right w:val="nil"/>
            </w:tcBorders>
            <w:shd w:val="clear" w:color="auto" w:fill="auto"/>
            <w:vAlign w:val="bottom"/>
          </w:tcPr>
          <w:p w14:paraId="1E5844B7"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134" w:type="dxa"/>
            <w:tcBorders>
              <w:top w:val="nil"/>
              <w:left w:val="nil"/>
              <w:bottom w:val="nil"/>
              <w:right w:val="nil"/>
            </w:tcBorders>
            <w:shd w:val="clear" w:color="auto" w:fill="auto"/>
            <w:vAlign w:val="bottom"/>
          </w:tcPr>
          <w:p w14:paraId="3B50E39E" w14:textId="32B6C28B" w:rsidR="00EC4499" w:rsidRDefault="00433EA7" w:rsidP="00F73D0C">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2, 9</w:t>
            </w:r>
          </w:p>
        </w:tc>
      </w:tr>
      <w:tr w:rsidR="00EC4499" w14:paraId="1C01CF4C" w14:textId="77777777" w:rsidTr="00F73D0C">
        <w:trPr>
          <w:trHeight w:val="288"/>
        </w:trPr>
        <w:tc>
          <w:tcPr>
            <w:tcW w:w="1418" w:type="dxa"/>
            <w:tcBorders>
              <w:top w:val="nil"/>
              <w:left w:val="nil"/>
              <w:bottom w:val="nil"/>
              <w:right w:val="nil"/>
            </w:tcBorders>
            <w:shd w:val="clear" w:color="auto" w:fill="auto"/>
            <w:vAlign w:val="bottom"/>
          </w:tcPr>
          <w:p w14:paraId="090E4C64"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BTG Pactual</w:t>
            </w:r>
          </w:p>
        </w:tc>
        <w:tc>
          <w:tcPr>
            <w:tcW w:w="1202" w:type="dxa"/>
            <w:tcBorders>
              <w:top w:val="nil"/>
              <w:left w:val="nil"/>
              <w:bottom w:val="nil"/>
              <w:right w:val="nil"/>
            </w:tcBorders>
            <w:shd w:val="clear" w:color="auto" w:fill="auto"/>
            <w:vAlign w:val="bottom"/>
          </w:tcPr>
          <w:p w14:paraId="049541C4"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191</w:t>
            </w:r>
          </w:p>
        </w:tc>
        <w:tc>
          <w:tcPr>
            <w:tcW w:w="924" w:type="dxa"/>
            <w:tcBorders>
              <w:top w:val="nil"/>
              <w:left w:val="nil"/>
              <w:bottom w:val="nil"/>
              <w:right w:val="nil"/>
            </w:tcBorders>
            <w:shd w:val="clear" w:color="auto" w:fill="auto"/>
            <w:vAlign w:val="bottom"/>
          </w:tcPr>
          <w:p w14:paraId="6D08C0D6"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Média</w:t>
            </w:r>
          </w:p>
        </w:tc>
        <w:tc>
          <w:tcPr>
            <w:tcW w:w="1843" w:type="dxa"/>
            <w:tcBorders>
              <w:top w:val="nil"/>
              <w:left w:val="nil"/>
              <w:bottom w:val="nil"/>
              <w:right w:val="nil"/>
            </w:tcBorders>
            <w:shd w:val="clear" w:color="auto" w:fill="auto"/>
            <w:vAlign w:val="bottom"/>
          </w:tcPr>
          <w:p w14:paraId="03DABA45"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35</w:t>
            </w:r>
          </w:p>
        </w:tc>
        <w:tc>
          <w:tcPr>
            <w:tcW w:w="2126" w:type="dxa"/>
            <w:tcBorders>
              <w:top w:val="nil"/>
              <w:left w:val="nil"/>
              <w:bottom w:val="nil"/>
              <w:right w:val="nil"/>
            </w:tcBorders>
            <w:shd w:val="clear" w:color="auto" w:fill="auto"/>
            <w:vAlign w:val="bottom"/>
          </w:tcPr>
          <w:p w14:paraId="7928AB86"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134" w:type="dxa"/>
            <w:tcBorders>
              <w:top w:val="nil"/>
              <w:left w:val="nil"/>
              <w:bottom w:val="nil"/>
              <w:right w:val="nil"/>
            </w:tcBorders>
            <w:shd w:val="clear" w:color="auto" w:fill="auto"/>
            <w:vAlign w:val="bottom"/>
          </w:tcPr>
          <w:p w14:paraId="2849384E" w14:textId="285229B0" w:rsidR="00EC4499" w:rsidRDefault="00433EA7" w:rsidP="00F73D0C">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w:t>
            </w:r>
          </w:p>
        </w:tc>
      </w:tr>
      <w:tr w:rsidR="00EC4499" w14:paraId="22F5657A" w14:textId="77777777" w:rsidTr="00F73D0C">
        <w:trPr>
          <w:trHeight w:val="288"/>
        </w:trPr>
        <w:tc>
          <w:tcPr>
            <w:tcW w:w="1418" w:type="dxa"/>
            <w:tcBorders>
              <w:top w:val="nil"/>
              <w:left w:val="nil"/>
              <w:bottom w:val="nil"/>
              <w:right w:val="nil"/>
            </w:tcBorders>
            <w:shd w:val="clear" w:color="auto" w:fill="auto"/>
            <w:vAlign w:val="bottom"/>
          </w:tcPr>
          <w:p w14:paraId="0C7A4A9D"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Banco do Nordeste</w:t>
            </w:r>
          </w:p>
        </w:tc>
        <w:tc>
          <w:tcPr>
            <w:tcW w:w="1202" w:type="dxa"/>
            <w:tcBorders>
              <w:top w:val="nil"/>
              <w:left w:val="nil"/>
              <w:bottom w:val="nil"/>
              <w:right w:val="nil"/>
            </w:tcBorders>
            <w:shd w:val="clear" w:color="auto" w:fill="auto"/>
            <w:vAlign w:val="bottom"/>
          </w:tcPr>
          <w:p w14:paraId="4A8D1EC2"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166</w:t>
            </w:r>
          </w:p>
        </w:tc>
        <w:tc>
          <w:tcPr>
            <w:tcW w:w="924" w:type="dxa"/>
            <w:tcBorders>
              <w:top w:val="nil"/>
              <w:left w:val="nil"/>
              <w:bottom w:val="nil"/>
              <w:right w:val="nil"/>
            </w:tcBorders>
            <w:shd w:val="clear" w:color="auto" w:fill="auto"/>
            <w:vAlign w:val="bottom"/>
          </w:tcPr>
          <w:p w14:paraId="22E1DB62"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Baixa</w:t>
            </w:r>
          </w:p>
        </w:tc>
        <w:tc>
          <w:tcPr>
            <w:tcW w:w="1843" w:type="dxa"/>
            <w:tcBorders>
              <w:top w:val="nil"/>
              <w:left w:val="nil"/>
              <w:bottom w:val="nil"/>
              <w:right w:val="nil"/>
            </w:tcBorders>
            <w:shd w:val="clear" w:color="auto" w:fill="auto"/>
            <w:vAlign w:val="bottom"/>
          </w:tcPr>
          <w:p w14:paraId="4DAA0F73"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48</w:t>
            </w:r>
          </w:p>
        </w:tc>
        <w:tc>
          <w:tcPr>
            <w:tcW w:w="2126" w:type="dxa"/>
            <w:tcBorders>
              <w:top w:val="nil"/>
              <w:left w:val="nil"/>
              <w:bottom w:val="nil"/>
              <w:right w:val="nil"/>
            </w:tcBorders>
            <w:shd w:val="clear" w:color="auto" w:fill="auto"/>
            <w:vAlign w:val="bottom"/>
          </w:tcPr>
          <w:p w14:paraId="101F883F"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134" w:type="dxa"/>
            <w:tcBorders>
              <w:top w:val="nil"/>
              <w:left w:val="nil"/>
              <w:bottom w:val="nil"/>
              <w:right w:val="nil"/>
            </w:tcBorders>
            <w:shd w:val="clear" w:color="auto" w:fill="auto"/>
            <w:vAlign w:val="bottom"/>
          </w:tcPr>
          <w:p w14:paraId="24BA87B8" w14:textId="7315FA95" w:rsidR="00EC4499" w:rsidRDefault="00433EA7" w:rsidP="00F73D0C">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2, 4, 17</w:t>
            </w:r>
          </w:p>
        </w:tc>
      </w:tr>
      <w:tr w:rsidR="00EC4499" w14:paraId="1A1353BF" w14:textId="77777777" w:rsidTr="00F73D0C">
        <w:trPr>
          <w:trHeight w:val="288"/>
        </w:trPr>
        <w:tc>
          <w:tcPr>
            <w:tcW w:w="1418" w:type="dxa"/>
            <w:tcBorders>
              <w:top w:val="nil"/>
              <w:left w:val="nil"/>
              <w:bottom w:val="nil"/>
              <w:right w:val="nil"/>
            </w:tcBorders>
            <w:shd w:val="clear" w:color="auto" w:fill="auto"/>
            <w:vAlign w:val="bottom"/>
          </w:tcPr>
          <w:p w14:paraId="3B42C5AC"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Citibank</w:t>
            </w:r>
          </w:p>
        </w:tc>
        <w:tc>
          <w:tcPr>
            <w:tcW w:w="1202" w:type="dxa"/>
            <w:tcBorders>
              <w:top w:val="nil"/>
              <w:left w:val="nil"/>
              <w:bottom w:val="nil"/>
              <w:right w:val="nil"/>
            </w:tcBorders>
            <w:shd w:val="clear" w:color="auto" w:fill="auto"/>
            <w:vAlign w:val="bottom"/>
          </w:tcPr>
          <w:p w14:paraId="0BA634D9"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141</w:t>
            </w:r>
          </w:p>
        </w:tc>
        <w:tc>
          <w:tcPr>
            <w:tcW w:w="924" w:type="dxa"/>
            <w:tcBorders>
              <w:top w:val="nil"/>
              <w:left w:val="nil"/>
              <w:bottom w:val="nil"/>
              <w:right w:val="nil"/>
            </w:tcBorders>
            <w:shd w:val="clear" w:color="auto" w:fill="auto"/>
            <w:vAlign w:val="bottom"/>
          </w:tcPr>
          <w:p w14:paraId="024628C0"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Baixa</w:t>
            </w:r>
          </w:p>
        </w:tc>
        <w:tc>
          <w:tcPr>
            <w:tcW w:w="1843" w:type="dxa"/>
            <w:tcBorders>
              <w:top w:val="nil"/>
              <w:left w:val="nil"/>
              <w:bottom w:val="nil"/>
              <w:right w:val="nil"/>
            </w:tcBorders>
            <w:shd w:val="clear" w:color="auto" w:fill="auto"/>
            <w:vAlign w:val="bottom"/>
          </w:tcPr>
          <w:p w14:paraId="5895FEE7"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27</w:t>
            </w:r>
          </w:p>
        </w:tc>
        <w:tc>
          <w:tcPr>
            <w:tcW w:w="2126" w:type="dxa"/>
            <w:tcBorders>
              <w:top w:val="nil"/>
              <w:left w:val="nil"/>
              <w:bottom w:val="nil"/>
              <w:right w:val="nil"/>
            </w:tcBorders>
            <w:shd w:val="clear" w:color="auto" w:fill="auto"/>
            <w:vAlign w:val="bottom"/>
          </w:tcPr>
          <w:p w14:paraId="0D60C3C2"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134" w:type="dxa"/>
            <w:tcBorders>
              <w:top w:val="nil"/>
              <w:left w:val="nil"/>
              <w:bottom w:val="nil"/>
              <w:right w:val="nil"/>
            </w:tcBorders>
            <w:shd w:val="clear" w:color="auto" w:fill="auto"/>
            <w:vAlign w:val="bottom"/>
          </w:tcPr>
          <w:p w14:paraId="544299CE" w14:textId="2D3B286E" w:rsidR="00EC4499" w:rsidRDefault="00433EA7" w:rsidP="00F73D0C">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4, 17</w:t>
            </w:r>
          </w:p>
        </w:tc>
      </w:tr>
      <w:tr w:rsidR="00EC4499" w14:paraId="4B35551B" w14:textId="77777777" w:rsidTr="00F73D0C">
        <w:trPr>
          <w:trHeight w:val="288"/>
        </w:trPr>
        <w:tc>
          <w:tcPr>
            <w:tcW w:w="1418" w:type="dxa"/>
            <w:tcBorders>
              <w:top w:val="nil"/>
              <w:left w:val="nil"/>
              <w:bottom w:val="nil"/>
              <w:right w:val="nil"/>
            </w:tcBorders>
            <w:shd w:val="clear" w:color="auto" w:fill="auto"/>
            <w:vAlign w:val="bottom"/>
          </w:tcPr>
          <w:p w14:paraId="72808D0B"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Inter</w:t>
            </w:r>
          </w:p>
        </w:tc>
        <w:tc>
          <w:tcPr>
            <w:tcW w:w="1202" w:type="dxa"/>
            <w:tcBorders>
              <w:top w:val="nil"/>
              <w:left w:val="nil"/>
              <w:bottom w:val="nil"/>
              <w:right w:val="nil"/>
            </w:tcBorders>
            <w:shd w:val="clear" w:color="auto" w:fill="auto"/>
            <w:vAlign w:val="bottom"/>
          </w:tcPr>
          <w:p w14:paraId="48AFC3D9"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134</w:t>
            </w:r>
          </w:p>
        </w:tc>
        <w:tc>
          <w:tcPr>
            <w:tcW w:w="924" w:type="dxa"/>
            <w:tcBorders>
              <w:top w:val="nil"/>
              <w:left w:val="nil"/>
              <w:bottom w:val="nil"/>
              <w:right w:val="nil"/>
            </w:tcBorders>
            <w:shd w:val="clear" w:color="auto" w:fill="auto"/>
            <w:vAlign w:val="bottom"/>
          </w:tcPr>
          <w:p w14:paraId="19F9488E"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Baixa</w:t>
            </w:r>
          </w:p>
        </w:tc>
        <w:tc>
          <w:tcPr>
            <w:tcW w:w="1843" w:type="dxa"/>
            <w:tcBorders>
              <w:top w:val="nil"/>
              <w:left w:val="nil"/>
              <w:bottom w:val="nil"/>
              <w:right w:val="nil"/>
            </w:tcBorders>
            <w:shd w:val="clear" w:color="auto" w:fill="auto"/>
            <w:vAlign w:val="bottom"/>
          </w:tcPr>
          <w:p w14:paraId="0B613892"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34</w:t>
            </w:r>
          </w:p>
        </w:tc>
        <w:tc>
          <w:tcPr>
            <w:tcW w:w="2126" w:type="dxa"/>
            <w:tcBorders>
              <w:top w:val="nil"/>
              <w:left w:val="nil"/>
              <w:bottom w:val="nil"/>
              <w:right w:val="nil"/>
            </w:tcBorders>
            <w:shd w:val="clear" w:color="auto" w:fill="auto"/>
            <w:vAlign w:val="bottom"/>
          </w:tcPr>
          <w:p w14:paraId="2BC3E95F"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134" w:type="dxa"/>
            <w:tcBorders>
              <w:top w:val="nil"/>
              <w:left w:val="nil"/>
              <w:bottom w:val="nil"/>
              <w:right w:val="nil"/>
            </w:tcBorders>
            <w:shd w:val="clear" w:color="auto" w:fill="auto"/>
            <w:vAlign w:val="bottom"/>
          </w:tcPr>
          <w:p w14:paraId="15DC9B0F" w14:textId="518AD901" w:rsidR="00EC4499" w:rsidRDefault="00433EA7" w:rsidP="00F73D0C">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2, 17</w:t>
            </w:r>
          </w:p>
        </w:tc>
      </w:tr>
      <w:tr w:rsidR="00EC4499" w14:paraId="6FD3B0C6" w14:textId="77777777" w:rsidTr="00F73D0C">
        <w:trPr>
          <w:trHeight w:val="288"/>
        </w:trPr>
        <w:tc>
          <w:tcPr>
            <w:tcW w:w="1418" w:type="dxa"/>
            <w:tcBorders>
              <w:top w:val="nil"/>
              <w:left w:val="nil"/>
              <w:bottom w:val="nil"/>
              <w:right w:val="nil"/>
            </w:tcBorders>
            <w:shd w:val="clear" w:color="auto" w:fill="auto"/>
            <w:vAlign w:val="bottom"/>
          </w:tcPr>
          <w:p w14:paraId="580ED1A9"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Banco do Brasil</w:t>
            </w:r>
          </w:p>
        </w:tc>
        <w:tc>
          <w:tcPr>
            <w:tcW w:w="1202" w:type="dxa"/>
            <w:tcBorders>
              <w:top w:val="nil"/>
              <w:left w:val="nil"/>
              <w:bottom w:val="nil"/>
              <w:right w:val="nil"/>
            </w:tcBorders>
            <w:shd w:val="clear" w:color="auto" w:fill="auto"/>
            <w:vAlign w:val="bottom"/>
          </w:tcPr>
          <w:p w14:paraId="4B8E2CF7"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134</w:t>
            </w:r>
          </w:p>
        </w:tc>
        <w:tc>
          <w:tcPr>
            <w:tcW w:w="924" w:type="dxa"/>
            <w:tcBorders>
              <w:top w:val="nil"/>
              <w:left w:val="nil"/>
              <w:bottom w:val="nil"/>
              <w:right w:val="nil"/>
            </w:tcBorders>
            <w:shd w:val="clear" w:color="auto" w:fill="auto"/>
            <w:vAlign w:val="bottom"/>
          </w:tcPr>
          <w:p w14:paraId="285FE124"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Baixa</w:t>
            </w:r>
          </w:p>
        </w:tc>
        <w:tc>
          <w:tcPr>
            <w:tcW w:w="1843" w:type="dxa"/>
            <w:tcBorders>
              <w:top w:val="nil"/>
              <w:left w:val="nil"/>
              <w:bottom w:val="nil"/>
              <w:right w:val="nil"/>
            </w:tcBorders>
            <w:shd w:val="clear" w:color="auto" w:fill="auto"/>
            <w:vAlign w:val="bottom"/>
          </w:tcPr>
          <w:p w14:paraId="014CDAA7"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34</w:t>
            </w:r>
          </w:p>
        </w:tc>
        <w:tc>
          <w:tcPr>
            <w:tcW w:w="2126" w:type="dxa"/>
            <w:tcBorders>
              <w:top w:val="nil"/>
              <w:left w:val="nil"/>
              <w:bottom w:val="nil"/>
              <w:right w:val="nil"/>
            </w:tcBorders>
            <w:shd w:val="clear" w:color="auto" w:fill="auto"/>
            <w:vAlign w:val="bottom"/>
          </w:tcPr>
          <w:p w14:paraId="7C6CF176"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134" w:type="dxa"/>
            <w:tcBorders>
              <w:top w:val="nil"/>
              <w:left w:val="nil"/>
              <w:bottom w:val="nil"/>
              <w:right w:val="nil"/>
            </w:tcBorders>
            <w:shd w:val="clear" w:color="auto" w:fill="auto"/>
            <w:vAlign w:val="bottom"/>
          </w:tcPr>
          <w:p w14:paraId="7A782FEE" w14:textId="56B3DB6C" w:rsidR="00EC4499" w:rsidRDefault="00433EA7" w:rsidP="00F73D0C">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2, 17</w:t>
            </w:r>
          </w:p>
        </w:tc>
      </w:tr>
      <w:tr w:rsidR="00EC4499" w14:paraId="300F7088" w14:textId="77777777" w:rsidTr="00F73D0C">
        <w:trPr>
          <w:trHeight w:val="288"/>
        </w:trPr>
        <w:tc>
          <w:tcPr>
            <w:tcW w:w="1418" w:type="dxa"/>
            <w:tcBorders>
              <w:top w:val="nil"/>
              <w:left w:val="nil"/>
              <w:bottom w:val="nil"/>
              <w:right w:val="nil"/>
            </w:tcBorders>
            <w:shd w:val="clear" w:color="auto" w:fill="auto"/>
            <w:vAlign w:val="bottom"/>
          </w:tcPr>
          <w:p w14:paraId="27318AC0"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Sicredi</w:t>
            </w:r>
          </w:p>
        </w:tc>
        <w:tc>
          <w:tcPr>
            <w:tcW w:w="1202" w:type="dxa"/>
            <w:tcBorders>
              <w:top w:val="nil"/>
              <w:left w:val="nil"/>
              <w:bottom w:val="nil"/>
              <w:right w:val="nil"/>
            </w:tcBorders>
            <w:shd w:val="clear" w:color="auto" w:fill="auto"/>
            <w:vAlign w:val="bottom"/>
          </w:tcPr>
          <w:p w14:paraId="32A4B41A"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106</w:t>
            </w:r>
          </w:p>
        </w:tc>
        <w:tc>
          <w:tcPr>
            <w:tcW w:w="924" w:type="dxa"/>
            <w:tcBorders>
              <w:top w:val="nil"/>
              <w:left w:val="nil"/>
              <w:bottom w:val="nil"/>
              <w:right w:val="nil"/>
            </w:tcBorders>
            <w:shd w:val="clear" w:color="auto" w:fill="auto"/>
            <w:vAlign w:val="bottom"/>
          </w:tcPr>
          <w:p w14:paraId="739E26CE"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Baixa</w:t>
            </w:r>
          </w:p>
        </w:tc>
        <w:tc>
          <w:tcPr>
            <w:tcW w:w="1843" w:type="dxa"/>
            <w:tcBorders>
              <w:top w:val="nil"/>
              <w:left w:val="nil"/>
              <w:bottom w:val="nil"/>
              <w:right w:val="nil"/>
            </w:tcBorders>
            <w:shd w:val="clear" w:color="auto" w:fill="auto"/>
            <w:vAlign w:val="bottom"/>
          </w:tcPr>
          <w:p w14:paraId="1543931E"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27</w:t>
            </w:r>
          </w:p>
        </w:tc>
        <w:tc>
          <w:tcPr>
            <w:tcW w:w="2126" w:type="dxa"/>
            <w:tcBorders>
              <w:top w:val="nil"/>
              <w:left w:val="nil"/>
              <w:bottom w:val="nil"/>
              <w:right w:val="nil"/>
            </w:tcBorders>
            <w:shd w:val="clear" w:color="auto" w:fill="auto"/>
            <w:vAlign w:val="bottom"/>
          </w:tcPr>
          <w:p w14:paraId="5C6F9720"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134" w:type="dxa"/>
            <w:tcBorders>
              <w:top w:val="nil"/>
              <w:left w:val="nil"/>
              <w:bottom w:val="nil"/>
              <w:right w:val="nil"/>
            </w:tcBorders>
            <w:shd w:val="clear" w:color="auto" w:fill="auto"/>
            <w:vAlign w:val="bottom"/>
          </w:tcPr>
          <w:p w14:paraId="40058D6D" w14:textId="4CF592D4" w:rsidR="00EC4499" w:rsidRDefault="00433EA7" w:rsidP="00F73D0C">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2, 6, 7, 11, 17</w:t>
            </w:r>
          </w:p>
        </w:tc>
      </w:tr>
      <w:tr w:rsidR="00EC4499" w14:paraId="5F0B4249" w14:textId="77777777" w:rsidTr="00F73D0C">
        <w:trPr>
          <w:trHeight w:val="288"/>
        </w:trPr>
        <w:tc>
          <w:tcPr>
            <w:tcW w:w="1418" w:type="dxa"/>
            <w:tcBorders>
              <w:top w:val="nil"/>
              <w:left w:val="nil"/>
              <w:bottom w:val="nil"/>
              <w:right w:val="nil"/>
            </w:tcBorders>
            <w:shd w:val="clear" w:color="auto" w:fill="auto"/>
            <w:vAlign w:val="bottom"/>
          </w:tcPr>
          <w:p w14:paraId="5B5CD464"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Santander</w:t>
            </w:r>
          </w:p>
        </w:tc>
        <w:tc>
          <w:tcPr>
            <w:tcW w:w="1202" w:type="dxa"/>
            <w:tcBorders>
              <w:top w:val="nil"/>
              <w:left w:val="nil"/>
              <w:bottom w:val="nil"/>
              <w:right w:val="nil"/>
            </w:tcBorders>
            <w:shd w:val="clear" w:color="auto" w:fill="auto"/>
            <w:vAlign w:val="bottom"/>
          </w:tcPr>
          <w:p w14:paraId="134CE902"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102</w:t>
            </w:r>
          </w:p>
        </w:tc>
        <w:tc>
          <w:tcPr>
            <w:tcW w:w="924" w:type="dxa"/>
            <w:tcBorders>
              <w:top w:val="nil"/>
              <w:left w:val="nil"/>
              <w:bottom w:val="nil"/>
              <w:right w:val="nil"/>
            </w:tcBorders>
            <w:shd w:val="clear" w:color="auto" w:fill="auto"/>
            <w:vAlign w:val="bottom"/>
          </w:tcPr>
          <w:p w14:paraId="08939BB1"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Baixa</w:t>
            </w:r>
          </w:p>
        </w:tc>
        <w:tc>
          <w:tcPr>
            <w:tcW w:w="1843" w:type="dxa"/>
            <w:tcBorders>
              <w:top w:val="nil"/>
              <w:left w:val="nil"/>
              <w:bottom w:val="nil"/>
              <w:right w:val="nil"/>
            </w:tcBorders>
            <w:shd w:val="clear" w:color="auto" w:fill="auto"/>
            <w:vAlign w:val="bottom"/>
          </w:tcPr>
          <w:p w14:paraId="21C87DFD"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25</w:t>
            </w:r>
          </w:p>
        </w:tc>
        <w:tc>
          <w:tcPr>
            <w:tcW w:w="2126" w:type="dxa"/>
            <w:tcBorders>
              <w:top w:val="nil"/>
              <w:left w:val="nil"/>
              <w:bottom w:val="nil"/>
              <w:right w:val="nil"/>
            </w:tcBorders>
            <w:shd w:val="clear" w:color="auto" w:fill="auto"/>
            <w:vAlign w:val="bottom"/>
          </w:tcPr>
          <w:p w14:paraId="23961E97"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134" w:type="dxa"/>
            <w:tcBorders>
              <w:top w:val="nil"/>
              <w:left w:val="nil"/>
              <w:bottom w:val="nil"/>
              <w:right w:val="nil"/>
            </w:tcBorders>
            <w:shd w:val="clear" w:color="auto" w:fill="auto"/>
            <w:vAlign w:val="bottom"/>
          </w:tcPr>
          <w:p w14:paraId="51204BDD" w14:textId="040EABA2" w:rsidR="00EC4499" w:rsidRDefault="00433EA7" w:rsidP="00F73D0C">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2, 4, 7, 11</w:t>
            </w:r>
          </w:p>
        </w:tc>
      </w:tr>
      <w:tr w:rsidR="00EC4499" w14:paraId="7BFE3892" w14:textId="77777777" w:rsidTr="00F73D0C">
        <w:trPr>
          <w:trHeight w:val="288"/>
        </w:trPr>
        <w:tc>
          <w:tcPr>
            <w:tcW w:w="1418" w:type="dxa"/>
            <w:tcBorders>
              <w:top w:val="nil"/>
              <w:left w:val="nil"/>
              <w:right w:val="nil"/>
            </w:tcBorders>
            <w:shd w:val="clear" w:color="auto" w:fill="auto"/>
            <w:vAlign w:val="bottom"/>
          </w:tcPr>
          <w:p w14:paraId="4DFAE507"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Caixa</w:t>
            </w:r>
          </w:p>
        </w:tc>
        <w:tc>
          <w:tcPr>
            <w:tcW w:w="1202" w:type="dxa"/>
            <w:tcBorders>
              <w:top w:val="nil"/>
              <w:left w:val="nil"/>
              <w:right w:val="nil"/>
            </w:tcBorders>
            <w:shd w:val="clear" w:color="auto" w:fill="auto"/>
            <w:vAlign w:val="bottom"/>
          </w:tcPr>
          <w:p w14:paraId="2D3116B6"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73</w:t>
            </w:r>
          </w:p>
        </w:tc>
        <w:tc>
          <w:tcPr>
            <w:tcW w:w="924" w:type="dxa"/>
            <w:tcBorders>
              <w:top w:val="nil"/>
              <w:left w:val="nil"/>
              <w:right w:val="nil"/>
            </w:tcBorders>
            <w:shd w:val="clear" w:color="auto" w:fill="auto"/>
            <w:vAlign w:val="bottom"/>
          </w:tcPr>
          <w:p w14:paraId="4F40FD70"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Muito Baixa</w:t>
            </w:r>
          </w:p>
        </w:tc>
        <w:tc>
          <w:tcPr>
            <w:tcW w:w="1843" w:type="dxa"/>
            <w:tcBorders>
              <w:top w:val="nil"/>
              <w:left w:val="nil"/>
              <w:right w:val="nil"/>
            </w:tcBorders>
            <w:shd w:val="clear" w:color="auto" w:fill="auto"/>
            <w:vAlign w:val="bottom"/>
          </w:tcPr>
          <w:p w14:paraId="0B4789CF"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27</w:t>
            </w:r>
          </w:p>
        </w:tc>
        <w:tc>
          <w:tcPr>
            <w:tcW w:w="2126" w:type="dxa"/>
            <w:tcBorders>
              <w:top w:val="nil"/>
              <w:left w:val="nil"/>
              <w:right w:val="nil"/>
            </w:tcBorders>
            <w:shd w:val="clear" w:color="auto" w:fill="auto"/>
            <w:vAlign w:val="bottom"/>
          </w:tcPr>
          <w:p w14:paraId="527E6EB0"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134" w:type="dxa"/>
            <w:tcBorders>
              <w:top w:val="nil"/>
              <w:left w:val="nil"/>
              <w:right w:val="nil"/>
            </w:tcBorders>
            <w:shd w:val="clear" w:color="auto" w:fill="auto"/>
            <w:vAlign w:val="bottom"/>
          </w:tcPr>
          <w:p w14:paraId="57694162" w14:textId="41DB0672" w:rsidR="00EC4499" w:rsidRDefault="00433EA7" w:rsidP="00F73D0C">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1, 2, 6, 7, 11, 12, 13, 14, 15, 17</w:t>
            </w:r>
          </w:p>
        </w:tc>
      </w:tr>
      <w:tr w:rsidR="00EC4499" w14:paraId="40960B37" w14:textId="77777777" w:rsidTr="00F73D0C">
        <w:trPr>
          <w:trHeight w:val="288"/>
        </w:trPr>
        <w:tc>
          <w:tcPr>
            <w:tcW w:w="1418" w:type="dxa"/>
            <w:tcBorders>
              <w:top w:val="nil"/>
              <w:left w:val="nil"/>
              <w:bottom w:val="single" w:sz="4" w:space="0" w:color="000000"/>
              <w:right w:val="nil"/>
            </w:tcBorders>
            <w:shd w:val="clear" w:color="auto" w:fill="auto"/>
            <w:vAlign w:val="bottom"/>
          </w:tcPr>
          <w:p w14:paraId="62CD2F6D" w14:textId="77777777" w:rsidR="00EC4499" w:rsidRDefault="00433EA7">
            <w:pPr>
              <w:spacing w:after="0" w:line="240" w:lineRule="auto"/>
              <w:rPr>
                <w:rFonts w:ascii="Garamond" w:eastAsia="Garamond" w:hAnsi="Garamond" w:cs="Garamond"/>
                <w:color w:val="000000"/>
                <w:sz w:val="16"/>
                <w:szCs w:val="16"/>
              </w:rPr>
            </w:pPr>
            <w:r>
              <w:rPr>
                <w:rFonts w:ascii="Garamond" w:eastAsia="Garamond" w:hAnsi="Garamond" w:cs="Garamond"/>
                <w:color w:val="000000"/>
                <w:sz w:val="16"/>
                <w:szCs w:val="16"/>
              </w:rPr>
              <w:t>J.P. Morgan</w:t>
            </w:r>
          </w:p>
        </w:tc>
        <w:tc>
          <w:tcPr>
            <w:tcW w:w="1202" w:type="dxa"/>
            <w:tcBorders>
              <w:top w:val="nil"/>
              <w:left w:val="nil"/>
              <w:bottom w:val="single" w:sz="4" w:space="0" w:color="000000"/>
              <w:right w:val="nil"/>
            </w:tcBorders>
            <w:shd w:val="clear" w:color="auto" w:fill="auto"/>
            <w:vAlign w:val="bottom"/>
          </w:tcPr>
          <w:p w14:paraId="74A14222"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47</w:t>
            </w:r>
          </w:p>
        </w:tc>
        <w:tc>
          <w:tcPr>
            <w:tcW w:w="924" w:type="dxa"/>
            <w:tcBorders>
              <w:top w:val="nil"/>
              <w:left w:val="nil"/>
              <w:bottom w:val="single" w:sz="4" w:space="0" w:color="000000"/>
              <w:right w:val="nil"/>
            </w:tcBorders>
            <w:shd w:val="clear" w:color="auto" w:fill="auto"/>
            <w:vAlign w:val="bottom"/>
          </w:tcPr>
          <w:p w14:paraId="697314E0"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Muito Baixa</w:t>
            </w:r>
          </w:p>
        </w:tc>
        <w:tc>
          <w:tcPr>
            <w:tcW w:w="1843" w:type="dxa"/>
            <w:tcBorders>
              <w:top w:val="nil"/>
              <w:left w:val="nil"/>
              <w:bottom w:val="single" w:sz="4" w:space="0" w:color="000000"/>
              <w:right w:val="nil"/>
            </w:tcBorders>
            <w:shd w:val="clear" w:color="auto" w:fill="auto"/>
            <w:vAlign w:val="bottom"/>
          </w:tcPr>
          <w:p w14:paraId="7EF4BF65"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14</w:t>
            </w:r>
          </w:p>
        </w:tc>
        <w:tc>
          <w:tcPr>
            <w:tcW w:w="2126" w:type="dxa"/>
            <w:tcBorders>
              <w:top w:val="nil"/>
              <w:left w:val="nil"/>
              <w:bottom w:val="single" w:sz="4" w:space="0" w:color="000000"/>
              <w:right w:val="nil"/>
            </w:tcBorders>
            <w:shd w:val="clear" w:color="auto" w:fill="auto"/>
            <w:vAlign w:val="bottom"/>
          </w:tcPr>
          <w:p w14:paraId="0E5F86B9" w14:textId="77777777" w:rsidR="00EC4499" w:rsidRDefault="00433EA7">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8</w:t>
            </w:r>
          </w:p>
        </w:tc>
        <w:tc>
          <w:tcPr>
            <w:tcW w:w="1134" w:type="dxa"/>
            <w:tcBorders>
              <w:top w:val="nil"/>
              <w:left w:val="nil"/>
              <w:bottom w:val="single" w:sz="4" w:space="0" w:color="000000"/>
              <w:right w:val="nil"/>
            </w:tcBorders>
            <w:shd w:val="clear" w:color="auto" w:fill="auto"/>
            <w:vAlign w:val="bottom"/>
          </w:tcPr>
          <w:p w14:paraId="01C01298" w14:textId="0A931DC8" w:rsidR="00EC4499" w:rsidRDefault="00433EA7" w:rsidP="00F73D0C">
            <w:pPr>
              <w:spacing w:after="0"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2, 4, 17</w:t>
            </w:r>
          </w:p>
        </w:tc>
      </w:tr>
      <w:tr w:rsidR="00EC4499" w14:paraId="21A77E99" w14:textId="77777777" w:rsidTr="00F73D0C">
        <w:trPr>
          <w:trHeight w:val="288"/>
        </w:trPr>
        <w:tc>
          <w:tcPr>
            <w:tcW w:w="1418" w:type="dxa"/>
            <w:tcBorders>
              <w:top w:val="single" w:sz="4" w:space="0" w:color="000000"/>
              <w:left w:val="nil"/>
              <w:bottom w:val="nil"/>
              <w:right w:val="nil"/>
            </w:tcBorders>
            <w:shd w:val="clear" w:color="auto" w:fill="auto"/>
            <w:vAlign w:val="bottom"/>
          </w:tcPr>
          <w:p w14:paraId="57390716" w14:textId="77777777" w:rsidR="00EC4499" w:rsidRDefault="00433EA7">
            <w:pPr>
              <w:spacing w:after="0" w:line="240" w:lineRule="auto"/>
              <w:rPr>
                <w:rFonts w:ascii="Garamond" w:eastAsia="Garamond" w:hAnsi="Garamond" w:cs="Garamond"/>
                <w:b/>
                <w:color w:val="000000"/>
                <w:sz w:val="16"/>
                <w:szCs w:val="16"/>
              </w:rPr>
            </w:pPr>
            <w:r>
              <w:rPr>
                <w:rFonts w:ascii="Garamond" w:eastAsia="Garamond" w:hAnsi="Garamond" w:cs="Garamond"/>
                <w:b/>
                <w:color w:val="000000"/>
                <w:sz w:val="16"/>
                <w:szCs w:val="16"/>
              </w:rPr>
              <w:t>Média</w:t>
            </w:r>
          </w:p>
        </w:tc>
        <w:tc>
          <w:tcPr>
            <w:tcW w:w="1202" w:type="dxa"/>
            <w:tcBorders>
              <w:top w:val="single" w:sz="4" w:space="0" w:color="000000"/>
              <w:left w:val="nil"/>
              <w:bottom w:val="nil"/>
              <w:right w:val="nil"/>
            </w:tcBorders>
            <w:shd w:val="clear" w:color="auto" w:fill="auto"/>
            <w:vAlign w:val="bottom"/>
          </w:tcPr>
          <w:p w14:paraId="41D1BA1F" w14:textId="77777777" w:rsidR="00EC4499" w:rsidRDefault="00433EA7">
            <w:pPr>
              <w:spacing w:after="0" w:line="240" w:lineRule="auto"/>
              <w:jc w:val="center"/>
              <w:rPr>
                <w:rFonts w:ascii="Garamond" w:eastAsia="Garamond" w:hAnsi="Garamond" w:cs="Garamond"/>
                <w:b/>
                <w:color w:val="000000"/>
                <w:sz w:val="16"/>
                <w:szCs w:val="16"/>
              </w:rPr>
            </w:pPr>
            <w:r>
              <w:rPr>
                <w:rFonts w:ascii="Garamond" w:eastAsia="Garamond" w:hAnsi="Garamond" w:cs="Garamond"/>
                <w:b/>
                <w:color w:val="000000"/>
                <w:sz w:val="16"/>
                <w:szCs w:val="16"/>
              </w:rPr>
              <w:t>145</w:t>
            </w:r>
          </w:p>
        </w:tc>
        <w:tc>
          <w:tcPr>
            <w:tcW w:w="924" w:type="dxa"/>
            <w:tcBorders>
              <w:top w:val="single" w:sz="4" w:space="0" w:color="000000"/>
              <w:left w:val="nil"/>
              <w:bottom w:val="nil"/>
              <w:right w:val="nil"/>
            </w:tcBorders>
            <w:shd w:val="clear" w:color="auto" w:fill="auto"/>
            <w:vAlign w:val="bottom"/>
          </w:tcPr>
          <w:p w14:paraId="25DE1D04" w14:textId="77777777" w:rsidR="00EC4499" w:rsidRDefault="00EC4499">
            <w:pPr>
              <w:spacing w:after="0" w:line="240" w:lineRule="auto"/>
              <w:jc w:val="center"/>
              <w:rPr>
                <w:rFonts w:ascii="Garamond" w:eastAsia="Garamond" w:hAnsi="Garamond" w:cs="Garamond"/>
                <w:b/>
                <w:color w:val="000000"/>
                <w:sz w:val="16"/>
                <w:szCs w:val="16"/>
              </w:rPr>
            </w:pPr>
          </w:p>
        </w:tc>
        <w:tc>
          <w:tcPr>
            <w:tcW w:w="1843" w:type="dxa"/>
            <w:tcBorders>
              <w:top w:val="single" w:sz="4" w:space="0" w:color="000000"/>
              <w:left w:val="nil"/>
              <w:bottom w:val="nil"/>
              <w:right w:val="nil"/>
            </w:tcBorders>
            <w:shd w:val="clear" w:color="auto" w:fill="auto"/>
            <w:vAlign w:val="bottom"/>
          </w:tcPr>
          <w:p w14:paraId="550BEF8E" w14:textId="77777777" w:rsidR="00EC4499" w:rsidRDefault="00433EA7">
            <w:pPr>
              <w:spacing w:after="0" w:line="240" w:lineRule="auto"/>
              <w:jc w:val="center"/>
              <w:rPr>
                <w:rFonts w:ascii="Garamond" w:eastAsia="Garamond" w:hAnsi="Garamond" w:cs="Garamond"/>
                <w:b/>
                <w:color w:val="000000"/>
                <w:sz w:val="16"/>
                <w:szCs w:val="16"/>
              </w:rPr>
            </w:pPr>
            <w:r>
              <w:rPr>
                <w:rFonts w:ascii="Garamond" w:eastAsia="Garamond" w:hAnsi="Garamond" w:cs="Garamond"/>
                <w:b/>
                <w:color w:val="000000"/>
                <w:sz w:val="16"/>
                <w:szCs w:val="16"/>
              </w:rPr>
              <w:t>36,2</w:t>
            </w:r>
          </w:p>
        </w:tc>
        <w:tc>
          <w:tcPr>
            <w:tcW w:w="2126" w:type="dxa"/>
            <w:tcBorders>
              <w:top w:val="single" w:sz="4" w:space="0" w:color="000000"/>
              <w:left w:val="nil"/>
              <w:bottom w:val="nil"/>
              <w:right w:val="nil"/>
            </w:tcBorders>
            <w:shd w:val="clear" w:color="auto" w:fill="auto"/>
            <w:vAlign w:val="bottom"/>
          </w:tcPr>
          <w:p w14:paraId="45F1F0E7" w14:textId="77777777" w:rsidR="00EC4499" w:rsidRDefault="00EC4499">
            <w:pPr>
              <w:spacing w:after="0" w:line="240" w:lineRule="auto"/>
              <w:jc w:val="center"/>
              <w:rPr>
                <w:rFonts w:ascii="Garamond" w:eastAsia="Garamond" w:hAnsi="Garamond" w:cs="Garamond"/>
                <w:b/>
                <w:color w:val="000000"/>
                <w:sz w:val="16"/>
                <w:szCs w:val="16"/>
              </w:rPr>
            </w:pPr>
          </w:p>
        </w:tc>
        <w:tc>
          <w:tcPr>
            <w:tcW w:w="1134" w:type="dxa"/>
            <w:tcBorders>
              <w:top w:val="single" w:sz="4" w:space="0" w:color="000000"/>
              <w:left w:val="nil"/>
              <w:bottom w:val="nil"/>
              <w:right w:val="nil"/>
            </w:tcBorders>
            <w:shd w:val="clear" w:color="auto" w:fill="auto"/>
            <w:vAlign w:val="bottom"/>
          </w:tcPr>
          <w:p w14:paraId="6DB3B158" w14:textId="77777777" w:rsidR="00EC4499" w:rsidRDefault="00EC4499">
            <w:pPr>
              <w:spacing w:after="0" w:line="240" w:lineRule="auto"/>
              <w:jc w:val="center"/>
              <w:rPr>
                <w:rFonts w:ascii="Garamond" w:eastAsia="Garamond" w:hAnsi="Garamond" w:cs="Garamond"/>
                <w:sz w:val="16"/>
                <w:szCs w:val="16"/>
              </w:rPr>
            </w:pPr>
          </w:p>
        </w:tc>
      </w:tr>
    </w:tbl>
    <w:p w14:paraId="31B0705A" w14:textId="77777777" w:rsidR="00EC4499" w:rsidRDefault="00EC4499">
      <w:pPr>
        <w:spacing w:after="0" w:line="360" w:lineRule="auto"/>
        <w:rPr>
          <w:rFonts w:ascii="Garamond" w:eastAsia="Garamond" w:hAnsi="Garamond" w:cs="Garamond"/>
          <w:color w:val="000000"/>
          <w:sz w:val="24"/>
          <w:szCs w:val="24"/>
        </w:rPr>
      </w:pPr>
    </w:p>
    <w:p w14:paraId="58D2EC15" w14:textId="28846653"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Comparando a</w:t>
      </w:r>
      <w:r w:rsidR="007C4A3E">
        <w:rPr>
          <w:rFonts w:ascii="Garamond" w:eastAsia="Garamond" w:hAnsi="Garamond" w:cs="Garamond"/>
          <w:color w:val="000000"/>
          <w:sz w:val="24"/>
          <w:szCs w:val="24"/>
        </w:rPr>
        <w:t>s</w:t>
      </w:r>
      <w:r>
        <w:rPr>
          <w:rFonts w:ascii="Garamond" w:eastAsia="Garamond" w:hAnsi="Garamond" w:cs="Garamond"/>
          <w:color w:val="000000"/>
          <w:sz w:val="24"/>
          <w:szCs w:val="24"/>
        </w:rPr>
        <w:t xml:space="preserve"> média</w:t>
      </w:r>
      <w:r w:rsidR="007C4A3E">
        <w:rPr>
          <w:rFonts w:ascii="Garamond" w:eastAsia="Garamond" w:hAnsi="Garamond" w:cs="Garamond"/>
          <w:color w:val="000000"/>
          <w:sz w:val="24"/>
          <w:szCs w:val="24"/>
        </w:rPr>
        <w:t>s</w:t>
      </w:r>
      <w:r>
        <w:rPr>
          <w:rFonts w:ascii="Garamond" w:eastAsia="Garamond" w:hAnsi="Garamond" w:cs="Garamond"/>
          <w:color w:val="000000"/>
          <w:sz w:val="24"/>
          <w:szCs w:val="24"/>
        </w:rPr>
        <w:t xml:space="preserve"> do DQPI notamos que houve evolução na qualidade dos relatórios de 2022, ainda que todas as notas médias indiquem qualidade “baixa” dos relatórios. O resultado reforça que os bancos devem melhorar a qualidade dos seus reportes não financeiros.</w:t>
      </w:r>
    </w:p>
    <w:p w14:paraId="2EB7D518"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Nos dois anos analisados o Bradesco obteve a melhor pontuação DQPI e a qualidade dos seus relatórios foi “média”. No outro extremo, os relatórios do J.P. Morgan e da Caixa obtiveram classificação “muito baixa”.</w:t>
      </w:r>
    </w:p>
    <w:p w14:paraId="5D76D009"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lastRenderedPageBreak/>
        <w:t xml:space="preserve">Em termos de evolução o BTG Pactual, BNDES e Itaú se destacam, tendo obtido qualidade “baixa” com DQPI 155, 156 e 169 pontos, respectivamente, em 2021, subindo para qualidade “média” com DQPI 191, 204 e 194. </w:t>
      </w:r>
    </w:p>
    <w:p w14:paraId="3217CCB3"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O ODS 8 - trabalho digno e crescimento econômico, novamente foi o que obteve a maior pontuação em todos os relatórios, porém aquele que obteve a pior pontuação foi o ODS 2 – acabar com a fome, diferente de Chagas </w:t>
      </w:r>
      <w:r w:rsidRPr="007057CC">
        <w:rPr>
          <w:rFonts w:ascii="Garamond" w:eastAsia="Garamond" w:hAnsi="Garamond" w:cs="Garamond"/>
          <w:i/>
          <w:iCs/>
          <w:color w:val="000000"/>
          <w:sz w:val="24"/>
          <w:szCs w:val="24"/>
        </w:rPr>
        <w:t>et al</w:t>
      </w:r>
      <w:r>
        <w:rPr>
          <w:rFonts w:ascii="Garamond" w:eastAsia="Garamond" w:hAnsi="Garamond" w:cs="Garamond"/>
          <w:color w:val="000000"/>
          <w:sz w:val="24"/>
          <w:szCs w:val="24"/>
        </w:rPr>
        <w:t>. (2022) que identificou o ODS 11 – cidades e comunidades sustentáveis, como o de pior desempenho.</w:t>
      </w:r>
    </w:p>
    <w:p w14:paraId="76A15BDC" w14:textId="4B4DC720" w:rsidR="00EC4499" w:rsidRDefault="00433EA7" w:rsidP="00F73D0C">
      <w:pPr>
        <w:spacing w:after="0" w:line="360" w:lineRule="auto"/>
        <w:ind w:firstLine="708"/>
        <w:jc w:val="both"/>
        <w:rPr>
          <w:rFonts w:ascii="Garamond" w:eastAsia="Garamond" w:hAnsi="Garamond" w:cs="Garamond"/>
          <w:color w:val="000000"/>
          <w:sz w:val="24"/>
          <w:szCs w:val="24"/>
        </w:rPr>
      </w:pPr>
      <w:r>
        <w:rPr>
          <w:rFonts w:ascii="Garamond" w:eastAsia="Garamond" w:hAnsi="Garamond" w:cs="Garamond"/>
          <w:color w:val="000000"/>
          <w:sz w:val="24"/>
          <w:szCs w:val="24"/>
        </w:rPr>
        <w:t>Apresentamos abaixo os resultados médios dos DQPI de acordo com o</w:t>
      </w:r>
      <w:r w:rsidR="00F73D0C">
        <w:rPr>
          <w:rFonts w:ascii="Garamond" w:eastAsia="Garamond" w:hAnsi="Garamond" w:cs="Garamond"/>
          <w:color w:val="000000"/>
          <w:sz w:val="24"/>
          <w:szCs w:val="24"/>
        </w:rPr>
        <w:t xml:space="preserve"> </w:t>
      </w:r>
      <w:r>
        <w:rPr>
          <w:rFonts w:ascii="Garamond" w:eastAsia="Garamond" w:hAnsi="Garamond" w:cs="Garamond"/>
          <w:color w:val="000000"/>
          <w:sz w:val="24"/>
          <w:szCs w:val="24"/>
        </w:rPr>
        <w:t>controle, capital, sede, atuação e tipo de relato.</w:t>
      </w:r>
    </w:p>
    <w:p w14:paraId="5CF5089A" w14:textId="77777777" w:rsidR="00EC4499" w:rsidRDefault="00EC4499">
      <w:pPr>
        <w:spacing w:after="0" w:line="360" w:lineRule="auto"/>
        <w:rPr>
          <w:rFonts w:ascii="Garamond" w:eastAsia="Garamond" w:hAnsi="Garamond" w:cs="Garamond"/>
          <w:color w:val="000000"/>
          <w:sz w:val="24"/>
          <w:szCs w:val="24"/>
        </w:rPr>
      </w:pPr>
    </w:p>
    <w:p w14:paraId="3F57D2F0" w14:textId="77777777" w:rsidR="00EC4499" w:rsidRDefault="00433EA7">
      <w:pPr>
        <w:spacing w:after="0" w:line="360" w:lineRule="auto"/>
        <w:jc w:val="center"/>
        <w:rPr>
          <w:rFonts w:ascii="Garamond" w:eastAsia="Garamond" w:hAnsi="Garamond" w:cs="Garamond"/>
          <w:i/>
          <w:color w:val="000000"/>
          <w:sz w:val="24"/>
          <w:szCs w:val="24"/>
        </w:rPr>
      </w:pPr>
      <w:r>
        <w:rPr>
          <w:rFonts w:ascii="Garamond" w:eastAsia="Garamond" w:hAnsi="Garamond" w:cs="Garamond"/>
          <w:color w:val="000000"/>
          <w:sz w:val="24"/>
          <w:szCs w:val="24"/>
        </w:rPr>
        <w:t>Tabela 12 - DQPIs médios por grupo</w:t>
      </w:r>
    </w:p>
    <w:tbl>
      <w:tblPr>
        <w:tblStyle w:val="aa"/>
        <w:tblW w:w="8505" w:type="dxa"/>
        <w:tblInd w:w="0" w:type="dxa"/>
        <w:tblLayout w:type="fixed"/>
        <w:tblLook w:val="0400" w:firstRow="0" w:lastRow="0" w:firstColumn="0" w:lastColumn="0" w:noHBand="0" w:noVBand="1"/>
      </w:tblPr>
      <w:tblGrid>
        <w:gridCol w:w="3828"/>
        <w:gridCol w:w="2268"/>
        <w:gridCol w:w="2409"/>
      </w:tblGrid>
      <w:tr w:rsidR="00EC4499" w14:paraId="27CDBEED" w14:textId="77777777" w:rsidTr="00F73D0C">
        <w:trPr>
          <w:trHeight w:val="312"/>
        </w:trPr>
        <w:tc>
          <w:tcPr>
            <w:tcW w:w="3828" w:type="dxa"/>
            <w:tcBorders>
              <w:top w:val="nil"/>
              <w:left w:val="nil"/>
              <w:bottom w:val="single" w:sz="4" w:space="0" w:color="000000"/>
              <w:right w:val="nil"/>
            </w:tcBorders>
            <w:shd w:val="clear" w:color="auto" w:fill="auto"/>
            <w:vAlign w:val="bottom"/>
          </w:tcPr>
          <w:p w14:paraId="2744169C"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Características</w:t>
            </w:r>
          </w:p>
        </w:tc>
        <w:tc>
          <w:tcPr>
            <w:tcW w:w="2268" w:type="dxa"/>
            <w:tcBorders>
              <w:top w:val="nil"/>
              <w:left w:val="nil"/>
              <w:bottom w:val="single" w:sz="4" w:space="0" w:color="000000"/>
              <w:right w:val="nil"/>
            </w:tcBorders>
            <w:shd w:val="clear" w:color="auto" w:fill="auto"/>
            <w:vAlign w:val="bottom"/>
          </w:tcPr>
          <w:p w14:paraId="7A2414D8"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DQPI médio 2021</w:t>
            </w:r>
          </w:p>
        </w:tc>
        <w:tc>
          <w:tcPr>
            <w:tcW w:w="2409" w:type="dxa"/>
            <w:tcBorders>
              <w:top w:val="nil"/>
              <w:left w:val="nil"/>
              <w:bottom w:val="single" w:sz="4" w:space="0" w:color="000000"/>
              <w:right w:val="nil"/>
            </w:tcBorders>
            <w:shd w:val="clear" w:color="auto" w:fill="auto"/>
            <w:vAlign w:val="bottom"/>
          </w:tcPr>
          <w:p w14:paraId="554088D2" w14:textId="77777777" w:rsidR="00EC4499" w:rsidRDefault="00433EA7">
            <w:pPr>
              <w:spacing w:after="0" w:line="240" w:lineRule="auto"/>
              <w:rPr>
                <w:rFonts w:ascii="Garamond" w:eastAsia="Garamond" w:hAnsi="Garamond" w:cs="Garamond"/>
                <w:b/>
                <w:color w:val="000000"/>
                <w:sz w:val="18"/>
                <w:szCs w:val="18"/>
              </w:rPr>
            </w:pPr>
            <w:r>
              <w:rPr>
                <w:rFonts w:ascii="Garamond" w:eastAsia="Garamond" w:hAnsi="Garamond" w:cs="Garamond"/>
                <w:b/>
                <w:color w:val="000000"/>
                <w:sz w:val="18"/>
                <w:szCs w:val="18"/>
              </w:rPr>
              <w:t xml:space="preserve">     DQPI médio 2022</w:t>
            </w:r>
          </w:p>
        </w:tc>
      </w:tr>
      <w:tr w:rsidR="00EC4499" w14:paraId="7A026240" w14:textId="77777777" w:rsidTr="00F73D0C">
        <w:trPr>
          <w:trHeight w:val="312"/>
        </w:trPr>
        <w:tc>
          <w:tcPr>
            <w:tcW w:w="3828" w:type="dxa"/>
            <w:tcBorders>
              <w:top w:val="single" w:sz="4" w:space="0" w:color="000000"/>
              <w:left w:val="nil"/>
              <w:bottom w:val="nil"/>
              <w:right w:val="nil"/>
            </w:tcBorders>
            <w:shd w:val="clear" w:color="auto" w:fill="auto"/>
            <w:vAlign w:val="bottom"/>
          </w:tcPr>
          <w:p w14:paraId="1B224D6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Privado</w:t>
            </w:r>
          </w:p>
        </w:tc>
        <w:tc>
          <w:tcPr>
            <w:tcW w:w="2268" w:type="dxa"/>
            <w:tcBorders>
              <w:top w:val="single" w:sz="4" w:space="0" w:color="000000"/>
              <w:left w:val="nil"/>
              <w:bottom w:val="nil"/>
              <w:right w:val="nil"/>
            </w:tcBorders>
            <w:shd w:val="clear" w:color="auto" w:fill="auto"/>
            <w:vAlign w:val="bottom"/>
          </w:tcPr>
          <w:p w14:paraId="0DFF86CA"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141,9</w:t>
            </w:r>
          </w:p>
        </w:tc>
        <w:tc>
          <w:tcPr>
            <w:tcW w:w="2409" w:type="dxa"/>
            <w:tcBorders>
              <w:top w:val="single" w:sz="4" w:space="0" w:color="000000"/>
              <w:left w:val="nil"/>
              <w:bottom w:val="nil"/>
              <w:right w:val="nil"/>
            </w:tcBorders>
            <w:shd w:val="clear" w:color="auto" w:fill="auto"/>
            <w:vAlign w:val="bottom"/>
          </w:tcPr>
          <w:p w14:paraId="1EE2B339" w14:textId="77777777" w:rsidR="00EC4499" w:rsidRDefault="00433EA7">
            <w:pPr>
              <w:spacing w:after="0" w:line="240" w:lineRule="auto"/>
              <w:rPr>
                <w:rFonts w:ascii="Garamond" w:eastAsia="Garamond" w:hAnsi="Garamond" w:cs="Garamond"/>
                <w:b/>
                <w:color w:val="000000"/>
                <w:sz w:val="18"/>
                <w:szCs w:val="18"/>
              </w:rPr>
            </w:pPr>
            <w:r>
              <w:rPr>
                <w:rFonts w:ascii="Garamond" w:eastAsia="Garamond" w:hAnsi="Garamond" w:cs="Garamond"/>
                <w:b/>
                <w:color w:val="000000"/>
                <w:sz w:val="18"/>
                <w:szCs w:val="18"/>
              </w:rPr>
              <w:t xml:space="preserve">              145,4</w:t>
            </w:r>
          </w:p>
        </w:tc>
      </w:tr>
      <w:tr w:rsidR="00EC4499" w14:paraId="33B7F22C" w14:textId="77777777" w:rsidTr="00F73D0C">
        <w:trPr>
          <w:trHeight w:val="312"/>
        </w:trPr>
        <w:tc>
          <w:tcPr>
            <w:tcW w:w="3828" w:type="dxa"/>
            <w:tcBorders>
              <w:top w:val="nil"/>
              <w:left w:val="nil"/>
              <w:bottom w:val="nil"/>
              <w:right w:val="nil"/>
            </w:tcBorders>
            <w:shd w:val="clear" w:color="auto" w:fill="auto"/>
            <w:vAlign w:val="bottom"/>
          </w:tcPr>
          <w:p w14:paraId="48803B9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Público</w:t>
            </w:r>
          </w:p>
        </w:tc>
        <w:tc>
          <w:tcPr>
            <w:tcW w:w="2268" w:type="dxa"/>
            <w:tcBorders>
              <w:top w:val="nil"/>
              <w:left w:val="nil"/>
              <w:bottom w:val="nil"/>
              <w:right w:val="nil"/>
            </w:tcBorders>
            <w:shd w:val="clear" w:color="auto" w:fill="auto"/>
            <w:vAlign w:val="bottom"/>
          </w:tcPr>
          <w:p w14:paraId="7A7A0F80"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117,8</w:t>
            </w:r>
          </w:p>
        </w:tc>
        <w:tc>
          <w:tcPr>
            <w:tcW w:w="2409" w:type="dxa"/>
            <w:tcBorders>
              <w:top w:val="nil"/>
              <w:left w:val="nil"/>
              <w:bottom w:val="nil"/>
              <w:right w:val="nil"/>
            </w:tcBorders>
            <w:shd w:val="clear" w:color="auto" w:fill="auto"/>
            <w:vAlign w:val="bottom"/>
          </w:tcPr>
          <w:p w14:paraId="37B19BEF"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              144,3</w:t>
            </w:r>
          </w:p>
        </w:tc>
      </w:tr>
      <w:tr w:rsidR="00EC4499" w14:paraId="42666796" w14:textId="77777777" w:rsidTr="00F73D0C">
        <w:trPr>
          <w:trHeight w:val="312"/>
        </w:trPr>
        <w:tc>
          <w:tcPr>
            <w:tcW w:w="3828" w:type="dxa"/>
            <w:tcBorders>
              <w:top w:val="nil"/>
              <w:left w:val="nil"/>
              <w:bottom w:val="nil"/>
              <w:right w:val="nil"/>
            </w:tcBorders>
            <w:shd w:val="clear" w:color="auto" w:fill="auto"/>
            <w:vAlign w:val="bottom"/>
          </w:tcPr>
          <w:p w14:paraId="32D24D5D"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Capital aberto</w:t>
            </w:r>
          </w:p>
        </w:tc>
        <w:tc>
          <w:tcPr>
            <w:tcW w:w="2268" w:type="dxa"/>
            <w:tcBorders>
              <w:top w:val="nil"/>
              <w:left w:val="nil"/>
              <w:bottom w:val="nil"/>
              <w:right w:val="nil"/>
            </w:tcBorders>
            <w:shd w:val="clear" w:color="auto" w:fill="auto"/>
            <w:vAlign w:val="bottom"/>
          </w:tcPr>
          <w:p w14:paraId="48EEB849"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143,1</w:t>
            </w:r>
          </w:p>
        </w:tc>
        <w:tc>
          <w:tcPr>
            <w:tcW w:w="2409" w:type="dxa"/>
            <w:tcBorders>
              <w:top w:val="nil"/>
              <w:left w:val="nil"/>
              <w:bottom w:val="nil"/>
              <w:right w:val="nil"/>
            </w:tcBorders>
            <w:shd w:val="clear" w:color="auto" w:fill="auto"/>
            <w:vAlign w:val="bottom"/>
          </w:tcPr>
          <w:p w14:paraId="092097A6" w14:textId="77777777" w:rsidR="00EC4499" w:rsidRDefault="00433EA7">
            <w:pPr>
              <w:spacing w:after="0" w:line="240" w:lineRule="auto"/>
              <w:rPr>
                <w:rFonts w:ascii="Garamond" w:eastAsia="Garamond" w:hAnsi="Garamond" w:cs="Garamond"/>
                <w:b/>
                <w:color w:val="000000"/>
                <w:sz w:val="18"/>
                <w:szCs w:val="18"/>
              </w:rPr>
            </w:pPr>
            <w:r>
              <w:rPr>
                <w:rFonts w:ascii="Garamond" w:eastAsia="Garamond" w:hAnsi="Garamond" w:cs="Garamond"/>
                <w:b/>
                <w:color w:val="000000"/>
                <w:sz w:val="18"/>
                <w:szCs w:val="18"/>
              </w:rPr>
              <w:t xml:space="preserve">              150,8</w:t>
            </w:r>
          </w:p>
        </w:tc>
      </w:tr>
      <w:tr w:rsidR="00EC4499" w14:paraId="0D39546E" w14:textId="77777777" w:rsidTr="00F73D0C">
        <w:trPr>
          <w:trHeight w:val="312"/>
        </w:trPr>
        <w:tc>
          <w:tcPr>
            <w:tcW w:w="3828" w:type="dxa"/>
            <w:tcBorders>
              <w:top w:val="nil"/>
              <w:left w:val="nil"/>
              <w:bottom w:val="nil"/>
              <w:right w:val="nil"/>
            </w:tcBorders>
            <w:shd w:val="clear" w:color="auto" w:fill="auto"/>
            <w:vAlign w:val="bottom"/>
          </w:tcPr>
          <w:p w14:paraId="6DA0CCBE"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Capital fechado</w:t>
            </w:r>
          </w:p>
        </w:tc>
        <w:tc>
          <w:tcPr>
            <w:tcW w:w="2268" w:type="dxa"/>
            <w:tcBorders>
              <w:top w:val="nil"/>
              <w:left w:val="nil"/>
              <w:bottom w:val="nil"/>
              <w:right w:val="nil"/>
            </w:tcBorders>
            <w:shd w:val="clear" w:color="auto" w:fill="auto"/>
            <w:vAlign w:val="bottom"/>
          </w:tcPr>
          <w:p w14:paraId="4CDB7A67"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106,0</w:t>
            </w:r>
          </w:p>
        </w:tc>
        <w:tc>
          <w:tcPr>
            <w:tcW w:w="2409" w:type="dxa"/>
            <w:tcBorders>
              <w:top w:val="nil"/>
              <w:left w:val="nil"/>
              <w:bottom w:val="nil"/>
              <w:right w:val="nil"/>
            </w:tcBorders>
            <w:shd w:val="clear" w:color="auto" w:fill="auto"/>
            <w:vAlign w:val="bottom"/>
          </w:tcPr>
          <w:p w14:paraId="1AF3921E"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              127,7</w:t>
            </w:r>
          </w:p>
        </w:tc>
      </w:tr>
      <w:tr w:rsidR="00EC4499" w14:paraId="7F0D0642" w14:textId="77777777" w:rsidTr="00F73D0C">
        <w:trPr>
          <w:trHeight w:val="312"/>
        </w:trPr>
        <w:tc>
          <w:tcPr>
            <w:tcW w:w="3828" w:type="dxa"/>
            <w:tcBorders>
              <w:top w:val="nil"/>
              <w:left w:val="nil"/>
              <w:bottom w:val="nil"/>
              <w:right w:val="nil"/>
            </w:tcBorders>
            <w:shd w:val="clear" w:color="auto" w:fill="auto"/>
            <w:vAlign w:val="bottom"/>
          </w:tcPr>
          <w:p w14:paraId="6B68B70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Sede no Brasil</w:t>
            </w:r>
          </w:p>
        </w:tc>
        <w:tc>
          <w:tcPr>
            <w:tcW w:w="2268" w:type="dxa"/>
            <w:tcBorders>
              <w:top w:val="nil"/>
              <w:left w:val="nil"/>
              <w:bottom w:val="nil"/>
              <w:right w:val="nil"/>
            </w:tcBorders>
            <w:shd w:val="clear" w:color="auto" w:fill="auto"/>
            <w:vAlign w:val="bottom"/>
          </w:tcPr>
          <w:p w14:paraId="2B429B27"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140,3</w:t>
            </w:r>
          </w:p>
        </w:tc>
        <w:tc>
          <w:tcPr>
            <w:tcW w:w="2409" w:type="dxa"/>
            <w:tcBorders>
              <w:top w:val="nil"/>
              <w:left w:val="nil"/>
              <w:bottom w:val="nil"/>
              <w:right w:val="nil"/>
            </w:tcBorders>
            <w:shd w:val="clear" w:color="auto" w:fill="auto"/>
            <w:vAlign w:val="bottom"/>
          </w:tcPr>
          <w:p w14:paraId="3546FAB7" w14:textId="77777777" w:rsidR="00EC4499" w:rsidRDefault="00433EA7">
            <w:pPr>
              <w:spacing w:after="0" w:line="240" w:lineRule="auto"/>
              <w:rPr>
                <w:rFonts w:ascii="Garamond" w:eastAsia="Garamond" w:hAnsi="Garamond" w:cs="Garamond"/>
                <w:b/>
                <w:color w:val="000000"/>
                <w:sz w:val="18"/>
                <w:szCs w:val="18"/>
              </w:rPr>
            </w:pPr>
            <w:r>
              <w:rPr>
                <w:rFonts w:ascii="Garamond" w:eastAsia="Garamond" w:hAnsi="Garamond" w:cs="Garamond"/>
                <w:b/>
                <w:color w:val="000000"/>
                <w:sz w:val="18"/>
                <w:szCs w:val="18"/>
              </w:rPr>
              <w:t xml:space="preserve">              161,1</w:t>
            </w:r>
          </w:p>
        </w:tc>
      </w:tr>
      <w:tr w:rsidR="00EC4499" w14:paraId="32E9D19B" w14:textId="77777777" w:rsidTr="00F73D0C">
        <w:trPr>
          <w:trHeight w:val="312"/>
        </w:trPr>
        <w:tc>
          <w:tcPr>
            <w:tcW w:w="3828" w:type="dxa"/>
            <w:tcBorders>
              <w:top w:val="nil"/>
              <w:left w:val="nil"/>
              <w:bottom w:val="nil"/>
              <w:right w:val="nil"/>
            </w:tcBorders>
            <w:shd w:val="clear" w:color="auto" w:fill="auto"/>
            <w:vAlign w:val="bottom"/>
          </w:tcPr>
          <w:p w14:paraId="31B612A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Sede no exterior</w:t>
            </w:r>
          </w:p>
        </w:tc>
        <w:tc>
          <w:tcPr>
            <w:tcW w:w="2268" w:type="dxa"/>
            <w:tcBorders>
              <w:top w:val="nil"/>
              <w:left w:val="nil"/>
              <w:bottom w:val="nil"/>
              <w:right w:val="nil"/>
            </w:tcBorders>
            <w:shd w:val="clear" w:color="auto" w:fill="auto"/>
            <w:vAlign w:val="bottom"/>
          </w:tcPr>
          <w:p w14:paraId="30F57FAF"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114,3</w:t>
            </w:r>
          </w:p>
        </w:tc>
        <w:tc>
          <w:tcPr>
            <w:tcW w:w="2409" w:type="dxa"/>
            <w:tcBorders>
              <w:top w:val="nil"/>
              <w:left w:val="nil"/>
              <w:bottom w:val="nil"/>
              <w:right w:val="nil"/>
            </w:tcBorders>
            <w:shd w:val="clear" w:color="auto" w:fill="auto"/>
            <w:vAlign w:val="bottom"/>
          </w:tcPr>
          <w:p w14:paraId="55302434"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               96,7</w:t>
            </w:r>
          </w:p>
        </w:tc>
      </w:tr>
      <w:tr w:rsidR="00EC4499" w14:paraId="4FEEAADF" w14:textId="77777777" w:rsidTr="00F73D0C">
        <w:trPr>
          <w:trHeight w:val="312"/>
        </w:trPr>
        <w:tc>
          <w:tcPr>
            <w:tcW w:w="3828" w:type="dxa"/>
            <w:tcBorders>
              <w:top w:val="nil"/>
              <w:left w:val="nil"/>
              <w:bottom w:val="nil"/>
              <w:right w:val="nil"/>
            </w:tcBorders>
            <w:shd w:val="clear" w:color="auto" w:fill="auto"/>
            <w:vAlign w:val="bottom"/>
          </w:tcPr>
          <w:p w14:paraId="4F1B04AB"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Desenvolvimento</w:t>
            </w:r>
          </w:p>
        </w:tc>
        <w:tc>
          <w:tcPr>
            <w:tcW w:w="2268" w:type="dxa"/>
            <w:tcBorders>
              <w:top w:val="nil"/>
              <w:left w:val="nil"/>
              <w:bottom w:val="nil"/>
              <w:right w:val="nil"/>
            </w:tcBorders>
            <w:shd w:val="clear" w:color="auto" w:fill="auto"/>
            <w:vAlign w:val="bottom"/>
          </w:tcPr>
          <w:p w14:paraId="5A8EFA66"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132,5</w:t>
            </w:r>
          </w:p>
        </w:tc>
        <w:tc>
          <w:tcPr>
            <w:tcW w:w="2409" w:type="dxa"/>
            <w:tcBorders>
              <w:top w:val="nil"/>
              <w:left w:val="nil"/>
              <w:bottom w:val="nil"/>
              <w:right w:val="nil"/>
            </w:tcBorders>
            <w:shd w:val="clear" w:color="auto" w:fill="auto"/>
            <w:vAlign w:val="bottom"/>
          </w:tcPr>
          <w:p w14:paraId="3A28F292" w14:textId="77777777" w:rsidR="00EC4499" w:rsidRDefault="00433EA7">
            <w:pPr>
              <w:spacing w:after="0" w:line="240" w:lineRule="auto"/>
              <w:rPr>
                <w:rFonts w:ascii="Garamond" w:eastAsia="Garamond" w:hAnsi="Garamond" w:cs="Garamond"/>
                <w:b/>
                <w:color w:val="000000"/>
                <w:sz w:val="18"/>
                <w:szCs w:val="18"/>
              </w:rPr>
            </w:pPr>
            <w:r>
              <w:rPr>
                <w:rFonts w:ascii="Garamond" w:eastAsia="Garamond" w:hAnsi="Garamond" w:cs="Garamond"/>
                <w:b/>
                <w:color w:val="000000"/>
                <w:sz w:val="18"/>
                <w:szCs w:val="18"/>
              </w:rPr>
              <w:t xml:space="preserve">              185,0</w:t>
            </w:r>
          </w:p>
        </w:tc>
      </w:tr>
      <w:tr w:rsidR="00EC4499" w14:paraId="1D62BEE9" w14:textId="77777777" w:rsidTr="00F73D0C">
        <w:trPr>
          <w:trHeight w:val="312"/>
        </w:trPr>
        <w:tc>
          <w:tcPr>
            <w:tcW w:w="3828" w:type="dxa"/>
            <w:tcBorders>
              <w:top w:val="nil"/>
              <w:left w:val="nil"/>
              <w:bottom w:val="nil"/>
              <w:right w:val="nil"/>
            </w:tcBorders>
            <w:shd w:val="clear" w:color="auto" w:fill="auto"/>
            <w:vAlign w:val="bottom"/>
          </w:tcPr>
          <w:p w14:paraId="121E131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Múltiplo</w:t>
            </w:r>
          </w:p>
        </w:tc>
        <w:tc>
          <w:tcPr>
            <w:tcW w:w="2268" w:type="dxa"/>
            <w:tcBorders>
              <w:top w:val="nil"/>
              <w:left w:val="nil"/>
              <w:bottom w:val="nil"/>
              <w:right w:val="nil"/>
            </w:tcBorders>
            <w:shd w:val="clear" w:color="auto" w:fill="auto"/>
            <w:vAlign w:val="bottom"/>
          </w:tcPr>
          <w:p w14:paraId="26CE35CA"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134,1</w:t>
            </w:r>
          </w:p>
        </w:tc>
        <w:tc>
          <w:tcPr>
            <w:tcW w:w="2409" w:type="dxa"/>
            <w:tcBorders>
              <w:top w:val="nil"/>
              <w:left w:val="nil"/>
              <w:bottom w:val="nil"/>
              <w:right w:val="nil"/>
            </w:tcBorders>
            <w:shd w:val="clear" w:color="auto" w:fill="auto"/>
            <w:vAlign w:val="bottom"/>
          </w:tcPr>
          <w:p w14:paraId="4FF24C37"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              137,0 </w:t>
            </w:r>
          </w:p>
        </w:tc>
      </w:tr>
      <w:tr w:rsidR="00EC4499" w14:paraId="3C81FDA0" w14:textId="77777777" w:rsidTr="00A731E0">
        <w:trPr>
          <w:trHeight w:val="312"/>
        </w:trPr>
        <w:tc>
          <w:tcPr>
            <w:tcW w:w="3828" w:type="dxa"/>
            <w:tcBorders>
              <w:top w:val="nil"/>
              <w:left w:val="nil"/>
              <w:right w:val="nil"/>
            </w:tcBorders>
            <w:shd w:val="clear" w:color="auto" w:fill="auto"/>
            <w:vAlign w:val="bottom"/>
          </w:tcPr>
          <w:p w14:paraId="7042BDD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Relato Integrado</w:t>
            </w:r>
          </w:p>
        </w:tc>
        <w:tc>
          <w:tcPr>
            <w:tcW w:w="2268" w:type="dxa"/>
            <w:tcBorders>
              <w:top w:val="nil"/>
              <w:left w:val="nil"/>
              <w:right w:val="nil"/>
            </w:tcBorders>
            <w:shd w:val="clear" w:color="auto" w:fill="auto"/>
            <w:vAlign w:val="bottom"/>
          </w:tcPr>
          <w:p w14:paraId="4B78FE93"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146,2</w:t>
            </w:r>
          </w:p>
        </w:tc>
        <w:tc>
          <w:tcPr>
            <w:tcW w:w="2409" w:type="dxa"/>
            <w:tcBorders>
              <w:top w:val="nil"/>
              <w:left w:val="nil"/>
              <w:right w:val="nil"/>
            </w:tcBorders>
            <w:shd w:val="clear" w:color="auto" w:fill="auto"/>
            <w:vAlign w:val="bottom"/>
          </w:tcPr>
          <w:p w14:paraId="7BCB2CC8" w14:textId="77777777" w:rsidR="00EC4499" w:rsidRDefault="00433EA7">
            <w:pPr>
              <w:spacing w:after="0" w:line="240" w:lineRule="auto"/>
              <w:rPr>
                <w:rFonts w:ascii="Garamond" w:eastAsia="Garamond" w:hAnsi="Garamond" w:cs="Garamond"/>
                <w:b/>
                <w:color w:val="000000"/>
                <w:sz w:val="18"/>
                <w:szCs w:val="18"/>
              </w:rPr>
            </w:pPr>
            <w:r>
              <w:rPr>
                <w:rFonts w:ascii="Garamond" w:eastAsia="Garamond" w:hAnsi="Garamond" w:cs="Garamond"/>
                <w:b/>
                <w:color w:val="000000"/>
                <w:sz w:val="18"/>
                <w:szCs w:val="18"/>
              </w:rPr>
              <w:t xml:space="preserve">              168,8</w:t>
            </w:r>
          </w:p>
        </w:tc>
      </w:tr>
      <w:tr w:rsidR="00EC4499" w14:paraId="00F4287C" w14:textId="77777777" w:rsidTr="00A731E0">
        <w:trPr>
          <w:trHeight w:val="312"/>
        </w:trPr>
        <w:tc>
          <w:tcPr>
            <w:tcW w:w="3828" w:type="dxa"/>
            <w:tcBorders>
              <w:top w:val="nil"/>
              <w:left w:val="nil"/>
              <w:bottom w:val="single" w:sz="4" w:space="0" w:color="auto"/>
              <w:right w:val="nil"/>
            </w:tcBorders>
            <w:shd w:val="clear" w:color="auto" w:fill="auto"/>
            <w:vAlign w:val="bottom"/>
          </w:tcPr>
          <w:p w14:paraId="61EBBE76" w14:textId="5AB592A8"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Relato ESG</w:t>
            </w:r>
            <w:r w:rsidR="00A57CFE">
              <w:rPr>
                <w:rFonts w:ascii="Garamond" w:eastAsia="Garamond" w:hAnsi="Garamond" w:cs="Garamond"/>
                <w:color w:val="000000"/>
                <w:sz w:val="18"/>
                <w:szCs w:val="18"/>
              </w:rPr>
              <w:t>/Sustentabilidade</w:t>
            </w:r>
          </w:p>
        </w:tc>
        <w:tc>
          <w:tcPr>
            <w:tcW w:w="2268" w:type="dxa"/>
            <w:tcBorders>
              <w:top w:val="nil"/>
              <w:left w:val="nil"/>
              <w:bottom w:val="single" w:sz="4" w:space="0" w:color="auto"/>
              <w:right w:val="nil"/>
            </w:tcBorders>
            <w:shd w:val="clear" w:color="auto" w:fill="auto"/>
            <w:vAlign w:val="bottom"/>
          </w:tcPr>
          <w:p w14:paraId="2BF69ED1" w14:textId="3334891A"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12</w:t>
            </w:r>
            <w:r w:rsidR="00A57CFE">
              <w:rPr>
                <w:rFonts w:ascii="Garamond" w:eastAsia="Garamond" w:hAnsi="Garamond" w:cs="Garamond"/>
                <w:color w:val="000000"/>
                <w:sz w:val="18"/>
                <w:szCs w:val="18"/>
              </w:rPr>
              <w:t>1</w:t>
            </w:r>
            <w:r>
              <w:rPr>
                <w:rFonts w:ascii="Garamond" w:eastAsia="Garamond" w:hAnsi="Garamond" w:cs="Garamond"/>
                <w:color w:val="000000"/>
                <w:sz w:val="18"/>
                <w:szCs w:val="18"/>
              </w:rPr>
              <w:t>,</w:t>
            </w:r>
            <w:r w:rsidR="00A57CFE">
              <w:rPr>
                <w:rFonts w:ascii="Garamond" w:eastAsia="Garamond" w:hAnsi="Garamond" w:cs="Garamond"/>
                <w:color w:val="000000"/>
                <w:sz w:val="18"/>
                <w:szCs w:val="18"/>
              </w:rPr>
              <w:t>5</w:t>
            </w:r>
          </w:p>
        </w:tc>
        <w:tc>
          <w:tcPr>
            <w:tcW w:w="2409" w:type="dxa"/>
            <w:tcBorders>
              <w:top w:val="nil"/>
              <w:left w:val="nil"/>
              <w:bottom w:val="single" w:sz="4" w:space="0" w:color="auto"/>
              <w:right w:val="nil"/>
            </w:tcBorders>
            <w:shd w:val="clear" w:color="auto" w:fill="auto"/>
            <w:vAlign w:val="bottom"/>
          </w:tcPr>
          <w:p w14:paraId="2F378B9F" w14:textId="4598BA6D"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              12</w:t>
            </w:r>
            <w:r w:rsidR="00A731E0">
              <w:rPr>
                <w:rFonts w:ascii="Garamond" w:eastAsia="Garamond" w:hAnsi="Garamond" w:cs="Garamond"/>
                <w:color w:val="000000"/>
                <w:sz w:val="18"/>
                <w:szCs w:val="18"/>
              </w:rPr>
              <w:t>1</w:t>
            </w:r>
            <w:r>
              <w:rPr>
                <w:rFonts w:ascii="Garamond" w:eastAsia="Garamond" w:hAnsi="Garamond" w:cs="Garamond"/>
                <w:color w:val="000000"/>
                <w:sz w:val="18"/>
                <w:szCs w:val="18"/>
              </w:rPr>
              <w:t>,</w:t>
            </w:r>
            <w:r w:rsidR="00A731E0">
              <w:rPr>
                <w:rFonts w:ascii="Garamond" w:eastAsia="Garamond" w:hAnsi="Garamond" w:cs="Garamond"/>
                <w:color w:val="000000"/>
                <w:sz w:val="18"/>
                <w:szCs w:val="18"/>
              </w:rPr>
              <w:t>2</w:t>
            </w:r>
          </w:p>
        </w:tc>
      </w:tr>
    </w:tbl>
    <w:p w14:paraId="0C1AC5BF" w14:textId="77777777" w:rsidR="00EC4499" w:rsidRDefault="00EC4499">
      <w:pPr>
        <w:spacing w:after="0" w:line="360" w:lineRule="auto"/>
        <w:rPr>
          <w:rFonts w:ascii="Garamond" w:eastAsia="Garamond" w:hAnsi="Garamond" w:cs="Garamond"/>
          <w:color w:val="000000"/>
          <w:sz w:val="24"/>
          <w:szCs w:val="24"/>
        </w:rPr>
      </w:pPr>
    </w:p>
    <w:p w14:paraId="7A20F0BF" w14:textId="52075FDD" w:rsidR="00EC4499" w:rsidRDefault="00433EA7">
      <w:pPr>
        <w:spacing w:after="0" w:line="360" w:lineRule="auto"/>
        <w:ind w:firstLine="708"/>
        <w:jc w:val="both"/>
        <w:rPr>
          <w:rFonts w:ascii="Garamond" w:eastAsia="Garamond" w:hAnsi="Garamond" w:cs="Garamond"/>
          <w:color w:val="000000"/>
          <w:sz w:val="24"/>
          <w:szCs w:val="24"/>
        </w:rPr>
      </w:pPr>
      <w:r>
        <w:rPr>
          <w:rFonts w:ascii="Garamond" w:eastAsia="Garamond" w:hAnsi="Garamond" w:cs="Garamond"/>
          <w:color w:val="000000"/>
          <w:sz w:val="24"/>
          <w:szCs w:val="24"/>
        </w:rPr>
        <w:t>Os resultados acima reafirmam que os relatos de mais qualidade são aqueles elaborados por bancos privados, de capital aberto, com sede no Brasil e na modalidade “Integrado”. Aqui também pode-se verificar que os bancos públicos, embora em 2021 tenham ficado bem abaixo, em 2022 obtiveram nota bem próxima à dos bancos privados. Novamente o DQPI médio dos bancos de desenvolvimento foi pouco menor em 2021, mas t</w:t>
      </w:r>
      <w:r w:rsidR="00B222A5">
        <w:rPr>
          <w:rFonts w:ascii="Garamond" w:eastAsia="Garamond" w:hAnsi="Garamond" w:cs="Garamond"/>
          <w:color w:val="000000"/>
          <w:sz w:val="24"/>
          <w:szCs w:val="24"/>
        </w:rPr>
        <w:t>eve</w:t>
      </w:r>
      <w:r>
        <w:rPr>
          <w:rFonts w:ascii="Garamond" w:eastAsia="Garamond" w:hAnsi="Garamond" w:cs="Garamond"/>
          <w:color w:val="000000"/>
          <w:sz w:val="24"/>
          <w:szCs w:val="24"/>
        </w:rPr>
        <w:t xml:space="preserve"> um salto qualitativo em 2022, ficando bem acima da média dos demais bancos</w:t>
      </w:r>
      <w:r>
        <w:rPr>
          <w:rFonts w:ascii="Garamond" w:eastAsia="Garamond" w:hAnsi="Garamond" w:cs="Garamond"/>
          <w:sz w:val="24"/>
          <w:szCs w:val="24"/>
        </w:rPr>
        <w:t>.</w:t>
      </w:r>
    </w:p>
    <w:p w14:paraId="5CC0D0B6" w14:textId="1F2BE197" w:rsidR="00EC4499" w:rsidRDefault="00433EA7">
      <w:pPr>
        <w:pStyle w:val="Ttulo2"/>
        <w:spacing w:after="0" w:line="360" w:lineRule="auto"/>
        <w:rPr>
          <w:rFonts w:ascii="Garamond" w:eastAsia="Garamond" w:hAnsi="Garamond" w:cs="Garamond"/>
          <w:sz w:val="26"/>
          <w:szCs w:val="26"/>
        </w:rPr>
      </w:pPr>
      <w:bookmarkStart w:id="14" w:name="_heading=h.1fob9te" w:colFirst="0" w:colLast="0"/>
      <w:bookmarkEnd w:id="14"/>
      <w:r>
        <w:rPr>
          <w:rFonts w:ascii="Garamond" w:eastAsia="Garamond" w:hAnsi="Garamond" w:cs="Garamond"/>
          <w:sz w:val="26"/>
          <w:szCs w:val="26"/>
        </w:rPr>
        <w:t>4.3</w:t>
      </w:r>
      <w:r w:rsidR="00B34CBE">
        <w:rPr>
          <w:rFonts w:ascii="Garamond" w:eastAsia="Garamond" w:hAnsi="Garamond" w:cs="Garamond"/>
          <w:sz w:val="26"/>
          <w:szCs w:val="26"/>
        </w:rPr>
        <w:tab/>
      </w:r>
      <w:r>
        <w:rPr>
          <w:rFonts w:ascii="Garamond" w:eastAsia="Garamond" w:hAnsi="Garamond" w:cs="Garamond"/>
          <w:sz w:val="26"/>
          <w:szCs w:val="26"/>
        </w:rPr>
        <w:t xml:space="preserve">Quantidade de conteúdos divulgados x DQPI </w:t>
      </w:r>
    </w:p>
    <w:p w14:paraId="6C13C3BC" w14:textId="77777777" w:rsidR="00EC4499" w:rsidRDefault="00EC4499">
      <w:pPr>
        <w:spacing w:after="0" w:line="360" w:lineRule="auto"/>
        <w:rPr>
          <w:rFonts w:ascii="Garamond" w:eastAsia="Garamond" w:hAnsi="Garamond" w:cs="Garamond"/>
          <w:b/>
          <w:color w:val="000000"/>
          <w:sz w:val="24"/>
          <w:szCs w:val="24"/>
        </w:rPr>
      </w:pPr>
    </w:p>
    <w:p w14:paraId="4D48F989" w14:textId="34CDD1D3" w:rsidR="00EC4499" w:rsidRDefault="00433EA7">
      <w:pPr>
        <w:spacing w:after="0" w:line="360" w:lineRule="auto"/>
        <w:ind w:firstLine="708"/>
        <w:jc w:val="both"/>
        <w:rPr>
          <w:rFonts w:ascii="Garamond" w:eastAsia="Garamond" w:hAnsi="Garamond" w:cs="Garamond"/>
          <w:color w:val="000000"/>
          <w:sz w:val="24"/>
          <w:szCs w:val="24"/>
        </w:rPr>
      </w:pPr>
      <w:r>
        <w:rPr>
          <w:rFonts w:ascii="Garamond" w:eastAsia="Garamond" w:hAnsi="Garamond" w:cs="Garamond"/>
          <w:color w:val="000000"/>
          <w:sz w:val="24"/>
          <w:szCs w:val="24"/>
        </w:rPr>
        <w:t>Realizamos regressão linear para as análises efetuadas a fim de verificar a relação entre o número de conteúdos divulgados (variável independente) e o DQPI (variável dependente)</w:t>
      </w:r>
      <w:r w:rsidR="00E55532">
        <w:rPr>
          <w:rFonts w:ascii="Garamond" w:eastAsia="Garamond" w:hAnsi="Garamond" w:cs="Garamond"/>
          <w:color w:val="000000"/>
          <w:sz w:val="24"/>
          <w:szCs w:val="24"/>
        </w:rPr>
        <w:t>.</w:t>
      </w:r>
      <w:r w:rsidR="000124F6">
        <w:rPr>
          <w:rFonts w:ascii="Garamond" w:eastAsia="Garamond" w:hAnsi="Garamond" w:cs="Garamond"/>
          <w:color w:val="000000"/>
          <w:sz w:val="24"/>
          <w:szCs w:val="24"/>
        </w:rPr>
        <w:t xml:space="preserve"> </w:t>
      </w:r>
      <w:r w:rsidR="00921D59">
        <w:rPr>
          <w:rFonts w:ascii="Garamond" w:eastAsia="Garamond" w:hAnsi="Garamond" w:cs="Garamond"/>
          <w:color w:val="000000"/>
          <w:sz w:val="24"/>
          <w:szCs w:val="24"/>
        </w:rPr>
        <w:t xml:space="preserve">Nas Tabelas 13 e 14 são apresentados os resultados baseados na correlação entre ODS e </w:t>
      </w:r>
      <w:r w:rsidR="00376604">
        <w:rPr>
          <w:rFonts w:ascii="Garamond" w:eastAsia="Garamond" w:hAnsi="Garamond" w:cs="Garamond"/>
          <w:color w:val="000000"/>
          <w:sz w:val="24"/>
          <w:szCs w:val="24"/>
        </w:rPr>
        <w:lastRenderedPageBreak/>
        <w:t>conteúdos</w:t>
      </w:r>
      <w:r w:rsidR="00E241C1">
        <w:rPr>
          <w:rFonts w:ascii="Garamond" w:eastAsia="Garamond" w:hAnsi="Garamond" w:cs="Garamond"/>
          <w:color w:val="000000"/>
          <w:sz w:val="24"/>
          <w:szCs w:val="24"/>
        </w:rPr>
        <w:t xml:space="preserve"> temáticos</w:t>
      </w:r>
      <w:r w:rsidR="00376604">
        <w:rPr>
          <w:rFonts w:ascii="Garamond" w:eastAsia="Garamond" w:hAnsi="Garamond" w:cs="Garamond"/>
          <w:color w:val="000000"/>
          <w:sz w:val="24"/>
          <w:szCs w:val="24"/>
        </w:rPr>
        <w:t xml:space="preserve"> proposta por Tsalis </w:t>
      </w:r>
      <w:r w:rsidR="00376604" w:rsidRPr="00E241C1">
        <w:rPr>
          <w:rFonts w:ascii="Garamond" w:eastAsia="Garamond" w:hAnsi="Garamond" w:cs="Garamond"/>
          <w:i/>
          <w:iCs/>
          <w:color w:val="000000"/>
          <w:sz w:val="24"/>
          <w:szCs w:val="24"/>
        </w:rPr>
        <w:t>et al</w:t>
      </w:r>
      <w:r w:rsidR="00376604">
        <w:rPr>
          <w:rFonts w:ascii="Garamond" w:eastAsia="Garamond" w:hAnsi="Garamond" w:cs="Garamond"/>
          <w:color w:val="000000"/>
          <w:sz w:val="24"/>
          <w:szCs w:val="24"/>
        </w:rPr>
        <w:t>. (2020) e nas Tabelas 15 e 16 na correlação</w:t>
      </w:r>
      <w:r w:rsidR="00E55532">
        <w:rPr>
          <w:rFonts w:ascii="Garamond" w:eastAsia="Garamond" w:hAnsi="Garamond" w:cs="Garamond"/>
          <w:color w:val="000000"/>
          <w:sz w:val="24"/>
          <w:szCs w:val="24"/>
        </w:rPr>
        <w:t xml:space="preserve"> definida pela GRI.</w:t>
      </w:r>
    </w:p>
    <w:p w14:paraId="0399C887" w14:textId="77777777" w:rsidR="00EC4499" w:rsidRDefault="00EC4499">
      <w:pPr>
        <w:spacing w:after="0" w:line="360" w:lineRule="auto"/>
        <w:rPr>
          <w:rFonts w:ascii="Garamond" w:eastAsia="Garamond" w:hAnsi="Garamond" w:cs="Garamond"/>
          <w:color w:val="000000"/>
          <w:sz w:val="26"/>
          <w:szCs w:val="26"/>
        </w:rPr>
      </w:pPr>
    </w:p>
    <w:p w14:paraId="3DAE88A8" w14:textId="43CB1649" w:rsidR="00EC4499" w:rsidRDefault="00433EA7">
      <w:pPr>
        <w:spacing w:after="0" w:line="360" w:lineRule="auto"/>
        <w:jc w:val="center"/>
        <w:rPr>
          <w:rFonts w:ascii="Garamond" w:eastAsia="Garamond" w:hAnsi="Garamond" w:cs="Garamond"/>
          <w:i/>
          <w:color w:val="000000"/>
          <w:sz w:val="24"/>
          <w:szCs w:val="24"/>
        </w:rPr>
      </w:pPr>
      <w:r>
        <w:rPr>
          <w:rFonts w:ascii="Garamond" w:eastAsia="Garamond" w:hAnsi="Garamond" w:cs="Garamond"/>
          <w:color w:val="000000"/>
          <w:sz w:val="24"/>
          <w:szCs w:val="24"/>
        </w:rPr>
        <w:t xml:space="preserve">Tabela 13 - Resultado regressão linear para dados de 2021 </w:t>
      </w:r>
    </w:p>
    <w:tbl>
      <w:tblPr>
        <w:tblStyle w:val="ab"/>
        <w:tblW w:w="8627" w:type="dxa"/>
        <w:tblInd w:w="0" w:type="dxa"/>
        <w:tblLayout w:type="fixed"/>
        <w:tblLook w:val="0400" w:firstRow="0" w:lastRow="0" w:firstColumn="0" w:lastColumn="0" w:noHBand="0" w:noVBand="1"/>
      </w:tblPr>
      <w:tblGrid>
        <w:gridCol w:w="5249"/>
        <w:gridCol w:w="3378"/>
      </w:tblGrid>
      <w:tr w:rsidR="00EC4499" w14:paraId="5E616687" w14:textId="77777777">
        <w:trPr>
          <w:trHeight w:val="289"/>
        </w:trPr>
        <w:tc>
          <w:tcPr>
            <w:tcW w:w="8627" w:type="dxa"/>
            <w:gridSpan w:val="2"/>
            <w:tcBorders>
              <w:top w:val="single" w:sz="8" w:space="0" w:color="000000"/>
              <w:left w:val="nil"/>
              <w:bottom w:val="single" w:sz="4" w:space="0" w:color="000000"/>
              <w:right w:val="nil"/>
            </w:tcBorders>
            <w:shd w:val="clear" w:color="auto" w:fill="auto"/>
            <w:vAlign w:val="bottom"/>
          </w:tcPr>
          <w:p w14:paraId="6BBD75E9" w14:textId="77777777" w:rsidR="00EC4499" w:rsidRDefault="00433EA7">
            <w:pPr>
              <w:spacing w:after="0" w:line="240" w:lineRule="auto"/>
              <w:jc w:val="center"/>
              <w:rPr>
                <w:rFonts w:ascii="Garamond" w:eastAsia="Garamond" w:hAnsi="Garamond" w:cs="Garamond"/>
                <w:i/>
                <w:color w:val="000000"/>
                <w:sz w:val="18"/>
                <w:szCs w:val="18"/>
              </w:rPr>
            </w:pPr>
            <w:r>
              <w:rPr>
                <w:rFonts w:ascii="Garamond" w:eastAsia="Garamond" w:hAnsi="Garamond" w:cs="Garamond"/>
                <w:i/>
                <w:color w:val="000000"/>
                <w:sz w:val="18"/>
                <w:szCs w:val="18"/>
              </w:rPr>
              <w:t>Estatística de regressão</w:t>
            </w:r>
          </w:p>
        </w:tc>
      </w:tr>
      <w:tr w:rsidR="00EC4499" w14:paraId="7006A070" w14:textId="77777777">
        <w:trPr>
          <w:trHeight w:val="289"/>
        </w:trPr>
        <w:tc>
          <w:tcPr>
            <w:tcW w:w="5249" w:type="dxa"/>
            <w:tcBorders>
              <w:top w:val="nil"/>
              <w:left w:val="nil"/>
              <w:bottom w:val="nil"/>
              <w:right w:val="nil"/>
            </w:tcBorders>
            <w:shd w:val="clear" w:color="auto" w:fill="auto"/>
            <w:vAlign w:val="bottom"/>
          </w:tcPr>
          <w:p w14:paraId="59A71EAF"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R múltiplo</w:t>
            </w:r>
          </w:p>
        </w:tc>
        <w:tc>
          <w:tcPr>
            <w:tcW w:w="3378" w:type="dxa"/>
            <w:tcBorders>
              <w:top w:val="nil"/>
              <w:left w:val="nil"/>
              <w:bottom w:val="nil"/>
              <w:right w:val="nil"/>
            </w:tcBorders>
            <w:shd w:val="clear" w:color="auto" w:fill="auto"/>
            <w:vAlign w:val="bottom"/>
          </w:tcPr>
          <w:p w14:paraId="7B511103"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0,899148371</w:t>
            </w:r>
          </w:p>
        </w:tc>
      </w:tr>
      <w:tr w:rsidR="00EC4499" w14:paraId="4A3BDF3B" w14:textId="77777777">
        <w:trPr>
          <w:trHeight w:val="289"/>
        </w:trPr>
        <w:tc>
          <w:tcPr>
            <w:tcW w:w="5249" w:type="dxa"/>
            <w:tcBorders>
              <w:top w:val="nil"/>
              <w:left w:val="nil"/>
              <w:bottom w:val="nil"/>
              <w:right w:val="nil"/>
            </w:tcBorders>
            <w:shd w:val="clear" w:color="auto" w:fill="auto"/>
            <w:vAlign w:val="bottom"/>
          </w:tcPr>
          <w:p w14:paraId="4945EEBC"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R-Quadrado</w:t>
            </w:r>
          </w:p>
        </w:tc>
        <w:tc>
          <w:tcPr>
            <w:tcW w:w="3378" w:type="dxa"/>
            <w:tcBorders>
              <w:top w:val="nil"/>
              <w:left w:val="nil"/>
              <w:bottom w:val="nil"/>
              <w:right w:val="nil"/>
            </w:tcBorders>
            <w:shd w:val="clear" w:color="auto" w:fill="auto"/>
            <w:vAlign w:val="bottom"/>
          </w:tcPr>
          <w:p w14:paraId="1AE47A7D"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0,808467793</w:t>
            </w:r>
          </w:p>
        </w:tc>
      </w:tr>
      <w:tr w:rsidR="00EC4499" w14:paraId="4EDD3A4E" w14:textId="77777777">
        <w:trPr>
          <w:trHeight w:val="289"/>
        </w:trPr>
        <w:tc>
          <w:tcPr>
            <w:tcW w:w="5249" w:type="dxa"/>
            <w:tcBorders>
              <w:top w:val="nil"/>
              <w:left w:val="nil"/>
              <w:bottom w:val="nil"/>
              <w:right w:val="nil"/>
            </w:tcBorders>
            <w:shd w:val="clear" w:color="auto" w:fill="auto"/>
            <w:vAlign w:val="bottom"/>
          </w:tcPr>
          <w:p w14:paraId="75EFC1C2"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R-quadrado ajustado</w:t>
            </w:r>
          </w:p>
        </w:tc>
        <w:tc>
          <w:tcPr>
            <w:tcW w:w="3378" w:type="dxa"/>
            <w:tcBorders>
              <w:top w:val="nil"/>
              <w:left w:val="nil"/>
              <w:bottom w:val="nil"/>
              <w:right w:val="nil"/>
            </w:tcBorders>
            <w:shd w:val="clear" w:color="auto" w:fill="auto"/>
            <w:vAlign w:val="bottom"/>
          </w:tcPr>
          <w:p w14:paraId="09E91BD4"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0,789314573</w:t>
            </w:r>
          </w:p>
        </w:tc>
      </w:tr>
      <w:tr w:rsidR="00EC4499" w14:paraId="50BCED60" w14:textId="77777777">
        <w:trPr>
          <w:trHeight w:val="289"/>
        </w:trPr>
        <w:tc>
          <w:tcPr>
            <w:tcW w:w="5249" w:type="dxa"/>
            <w:tcBorders>
              <w:top w:val="nil"/>
              <w:left w:val="nil"/>
              <w:bottom w:val="nil"/>
              <w:right w:val="nil"/>
            </w:tcBorders>
            <w:shd w:val="clear" w:color="auto" w:fill="auto"/>
            <w:vAlign w:val="bottom"/>
          </w:tcPr>
          <w:p w14:paraId="18129536"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Erro padrão</w:t>
            </w:r>
          </w:p>
        </w:tc>
        <w:tc>
          <w:tcPr>
            <w:tcW w:w="3378" w:type="dxa"/>
            <w:tcBorders>
              <w:top w:val="nil"/>
              <w:left w:val="nil"/>
              <w:bottom w:val="nil"/>
              <w:right w:val="nil"/>
            </w:tcBorders>
            <w:shd w:val="clear" w:color="auto" w:fill="auto"/>
            <w:vAlign w:val="bottom"/>
          </w:tcPr>
          <w:p w14:paraId="1BF2E80D"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24,25125938</w:t>
            </w:r>
          </w:p>
        </w:tc>
      </w:tr>
      <w:tr w:rsidR="00EC4499" w14:paraId="17B74885" w14:textId="77777777">
        <w:trPr>
          <w:trHeight w:val="302"/>
        </w:trPr>
        <w:tc>
          <w:tcPr>
            <w:tcW w:w="5249" w:type="dxa"/>
            <w:tcBorders>
              <w:top w:val="nil"/>
              <w:left w:val="nil"/>
              <w:bottom w:val="single" w:sz="8" w:space="0" w:color="000000"/>
              <w:right w:val="nil"/>
            </w:tcBorders>
            <w:shd w:val="clear" w:color="auto" w:fill="auto"/>
            <w:vAlign w:val="bottom"/>
          </w:tcPr>
          <w:p w14:paraId="7AEB4D9E"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Observações</w:t>
            </w:r>
          </w:p>
        </w:tc>
        <w:tc>
          <w:tcPr>
            <w:tcW w:w="3378" w:type="dxa"/>
            <w:tcBorders>
              <w:top w:val="nil"/>
              <w:left w:val="nil"/>
              <w:bottom w:val="single" w:sz="8" w:space="0" w:color="000000"/>
              <w:right w:val="nil"/>
            </w:tcBorders>
            <w:shd w:val="clear" w:color="auto" w:fill="auto"/>
            <w:vAlign w:val="bottom"/>
          </w:tcPr>
          <w:p w14:paraId="300DAD1F"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12</w:t>
            </w:r>
          </w:p>
        </w:tc>
      </w:tr>
    </w:tbl>
    <w:p w14:paraId="601B9E00" w14:textId="77777777" w:rsidR="00F73D0C" w:rsidRDefault="00F73D0C">
      <w:pPr>
        <w:spacing w:after="0" w:line="360" w:lineRule="auto"/>
        <w:jc w:val="center"/>
        <w:rPr>
          <w:rFonts w:ascii="Garamond" w:eastAsia="Garamond" w:hAnsi="Garamond" w:cs="Garamond"/>
          <w:color w:val="000000"/>
          <w:sz w:val="24"/>
          <w:szCs w:val="24"/>
        </w:rPr>
      </w:pPr>
    </w:p>
    <w:p w14:paraId="5F09951E" w14:textId="72769AFC" w:rsidR="00EC4499" w:rsidRDefault="00433EA7">
      <w:pPr>
        <w:spacing w:after="0" w:line="360" w:lineRule="auto"/>
        <w:jc w:val="center"/>
        <w:rPr>
          <w:rFonts w:ascii="Garamond" w:eastAsia="Garamond" w:hAnsi="Garamond" w:cs="Garamond"/>
          <w:color w:val="000000"/>
          <w:sz w:val="24"/>
          <w:szCs w:val="24"/>
        </w:rPr>
      </w:pPr>
      <w:r>
        <w:rPr>
          <w:rFonts w:ascii="Garamond" w:eastAsia="Garamond" w:hAnsi="Garamond" w:cs="Garamond"/>
          <w:color w:val="000000"/>
          <w:sz w:val="24"/>
          <w:szCs w:val="24"/>
        </w:rPr>
        <w:t xml:space="preserve">Figura 3 - Gráfico regressão linear para dados de 2021 </w:t>
      </w:r>
    </w:p>
    <w:p w14:paraId="0DAA8A4D" w14:textId="77777777" w:rsidR="00EC4499" w:rsidRDefault="00433EA7">
      <w:pPr>
        <w:spacing w:after="0" w:line="360" w:lineRule="auto"/>
        <w:rPr>
          <w:rFonts w:ascii="Garamond" w:eastAsia="Garamond" w:hAnsi="Garamond" w:cs="Garamond"/>
          <w:color w:val="000000"/>
          <w:sz w:val="26"/>
          <w:szCs w:val="26"/>
        </w:rPr>
      </w:pPr>
      <w:r>
        <w:rPr>
          <w:noProof/>
        </w:rPr>
        <w:drawing>
          <wp:inline distT="0" distB="0" distL="0" distR="0" wp14:anchorId="3B77604B" wp14:editId="6DB5F25D">
            <wp:extent cx="5399405" cy="3047365"/>
            <wp:effectExtent l="0" t="0" r="0" b="0"/>
            <wp:docPr id="2133657961" name="Gráfico 21336579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2885CC0" w14:textId="77777777" w:rsidR="00EC4499" w:rsidRDefault="00EC4499">
      <w:pPr>
        <w:spacing w:after="0" w:line="360" w:lineRule="auto"/>
        <w:rPr>
          <w:rFonts w:ascii="Garamond" w:eastAsia="Garamond" w:hAnsi="Garamond" w:cs="Garamond"/>
          <w:color w:val="000000"/>
          <w:sz w:val="26"/>
          <w:szCs w:val="26"/>
        </w:rPr>
      </w:pPr>
    </w:p>
    <w:p w14:paraId="245B151B" w14:textId="0122E67E" w:rsidR="00EC4499" w:rsidRDefault="00433EA7">
      <w:pPr>
        <w:spacing w:after="0" w:line="360" w:lineRule="auto"/>
        <w:jc w:val="center"/>
        <w:rPr>
          <w:rFonts w:ascii="Garamond" w:eastAsia="Garamond" w:hAnsi="Garamond" w:cs="Garamond"/>
          <w:color w:val="000000"/>
          <w:sz w:val="24"/>
          <w:szCs w:val="24"/>
        </w:rPr>
      </w:pPr>
      <w:r>
        <w:rPr>
          <w:rFonts w:ascii="Garamond" w:eastAsia="Garamond" w:hAnsi="Garamond" w:cs="Garamond"/>
          <w:color w:val="000000"/>
          <w:sz w:val="24"/>
          <w:szCs w:val="24"/>
        </w:rPr>
        <w:t xml:space="preserve">Tabela 14 - Resultado regressão linear para dados de 2022 </w:t>
      </w:r>
    </w:p>
    <w:tbl>
      <w:tblPr>
        <w:tblStyle w:val="ac"/>
        <w:tblW w:w="8122" w:type="dxa"/>
        <w:tblInd w:w="0" w:type="dxa"/>
        <w:tblLayout w:type="fixed"/>
        <w:tblLook w:val="0400" w:firstRow="0" w:lastRow="0" w:firstColumn="0" w:lastColumn="0" w:noHBand="0" w:noVBand="1"/>
      </w:tblPr>
      <w:tblGrid>
        <w:gridCol w:w="4942"/>
        <w:gridCol w:w="3180"/>
      </w:tblGrid>
      <w:tr w:rsidR="00EC4499" w14:paraId="6676A98B" w14:textId="77777777">
        <w:trPr>
          <w:trHeight w:val="286"/>
        </w:trPr>
        <w:tc>
          <w:tcPr>
            <w:tcW w:w="8122" w:type="dxa"/>
            <w:gridSpan w:val="2"/>
            <w:tcBorders>
              <w:top w:val="single" w:sz="8" w:space="0" w:color="000000"/>
              <w:left w:val="nil"/>
              <w:bottom w:val="single" w:sz="4" w:space="0" w:color="000000"/>
              <w:right w:val="nil"/>
            </w:tcBorders>
            <w:shd w:val="clear" w:color="auto" w:fill="auto"/>
            <w:vAlign w:val="bottom"/>
          </w:tcPr>
          <w:p w14:paraId="5545811A" w14:textId="77777777" w:rsidR="00EC4499" w:rsidRDefault="00433EA7">
            <w:pPr>
              <w:spacing w:after="0" w:line="240" w:lineRule="auto"/>
              <w:jc w:val="center"/>
              <w:rPr>
                <w:rFonts w:ascii="Garamond" w:eastAsia="Garamond" w:hAnsi="Garamond" w:cs="Garamond"/>
                <w:i/>
                <w:color w:val="000000"/>
                <w:sz w:val="18"/>
                <w:szCs w:val="18"/>
              </w:rPr>
            </w:pPr>
            <w:r>
              <w:rPr>
                <w:rFonts w:ascii="Garamond" w:eastAsia="Garamond" w:hAnsi="Garamond" w:cs="Garamond"/>
                <w:i/>
                <w:color w:val="000000"/>
                <w:sz w:val="18"/>
                <w:szCs w:val="18"/>
              </w:rPr>
              <w:t>Estatística de regressão</w:t>
            </w:r>
          </w:p>
        </w:tc>
      </w:tr>
      <w:tr w:rsidR="00EC4499" w14:paraId="0485C512" w14:textId="77777777">
        <w:trPr>
          <w:trHeight w:val="286"/>
        </w:trPr>
        <w:tc>
          <w:tcPr>
            <w:tcW w:w="4942" w:type="dxa"/>
            <w:tcBorders>
              <w:top w:val="nil"/>
              <w:left w:val="nil"/>
              <w:bottom w:val="nil"/>
              <w:right w:val="nil"/>
            </w:tcBorders>
            <w:shd w:val="clear" w:color="auto" w:fill="auto"/>
            <w:vAlign w:val="bottom"/>
          </w:tcPr>
          <w:p w14:paraId="7153374C"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R múltiplo</w:t>
            </w:r>
          </w:p>
        </w:tc>
        <w:tc>
          <w:tcPr>
            <w:tcW w:w="3180" w:type="dxa"/>
            <w:tcBorders>
              <w:top w:val="nil"/>
              <w:left w:val="nil"/>
              <w:bottom w:val="nil"/>
              <w:right w:val="nil"/>
            </w:tcBorders>
            <w:shd w:val="clear" w:color="auto" w:fill="auto"/>
            <w:vAlign w:val="bottom"/>
          </w:tcPr>
          <w:p w14:paraId="207D5DD7"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0,890105663</w:t>
            </w:r>
          </w:p>
        </w:tc>
      </w:tr>
      <w:tr w:rsidR="00EC4499" w14:paraId="0A42171F" w14:textId="77777777">
        <w:trPr>
          <w:trHeight w:val="286"/>
        </w:trPr>
        <w:tc>
          <w:tcPr>
            <w:tcW w:w="4942" w:type="dxa"/>
            <w:tcBorders>
              <w:top w:val="nil"/>
              <w:left w:val="nil"/>
              <w:bottom w:val="nil"/>
              <w:right w:val="nil"/>
            </w:tcBorders>
            <w:shd w:val="clear" w:color="auto" w:fill="auto"/>
            <w:vAlign w:val="bottom"/>
          </w:tcPr>
          <w:p w14:paraId="1AE5ED5A"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R-Quadrado</w:t>
            </w:r>
          </w:p>
        </w:tc>
        <w:tc>
          <w:tcPr>
            <w:tcW w:w="3180" w:type="dxa"/>
            <w:tcBorders>
              <w:top w:val="nil"/>
              <w:left w:val="nil"/>
              <w:bottom w:val="nil"/>
              <w:right w:val="nil"/>
            </w:tcBorders>
            <w:shd w:val="clear" w:color="auto" w:fill="auto"/>
            <w:vAlign w:val="bottom"/>
          </w:tcPr>
          <w:p w14:paraId="01CF56D0"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0,792288091</w:t>
            </w:r>
          </w:p>
        </w:tc>
      </w:tr>
      <w:tr w:rsidR="00EC4499" w14:paraId="164AF91A" w14:textId="77777777">
        <w:trPr>
          <w:trHeight w:val="286"/>
        </w:trPr>
        <w:tc>
          <w:tcPr>
            <w:tcW w:w="4942" w:type="dxa"/>
            <w:tcBorders>
              <w:top w:val="nil"/>
              <w:left w:val="nil"/>
              <w:bottom w:val="nil"/>
              <w:right w:val="nil"/>
            </w:tcBorders>
            <w:shd w:val="clear" w:color="auto" w:fill="auto"/>
            <w:vAlign w:val="bottom"/>
          </w:tcPr>
          <w:p w14:paraId="247DC487"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R-quadrado ajustado</w:t>
            </w:r>
          </w:p>
        </w:tc>
        <w:tc>
          <w:tcPr>
            <w:tcW w:w="3180" w:type="dxa"/>
            <w:tcBorders>
              <w:top w:val="nil"/>
              <w:left w:val="nil"/>
              <w:bottom w:val="nil"/>
              <w:right w:val="nil"/>
            </w:tcBorders>
            <w:shd w:val="clear" w:color="auto" w:fill="auto"/>
            <w:vAlign w:val="bottom"/>
          </w:tcPr>
          <w:p w14:paraId="07E9255C"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0,7715169</w:t>
            </w:r>
          </w:p>
        </w:tc>
      </w:tr>
      <w:tr w:rsidR="00EC4499" w14:paraId="59226771" w14:textId="77777777">
        <w:trPr>
          <w:trHeight w:val="286"/>
        </w:trPr>
        <w:tc>
          <w:tcPr>
            <w:tcW w:w="4942" w:type="dxa"/>
            <w:tcBorders>
              <w:top w:val="nil"/>
              <w:left w:val="nil"/>
              <w:bottom w:val="nil"/>
              <w:right w:val="nil"/>
            </w:tcBorders>
            <w:shd w:val="clear" w:color="auto" w:fill="auto"/>
            <w:vAlign w:val="bottom"/>
          </w:tcPr>
          <w:p w14:paraId="55431EE4"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Erro padrão</w:t>
            </w:r>
          </w:p>
        </w:tc>
        <w:tc>
          <w:tcPr>
            <w:tcW w:w="3180" w:type="dxa"/>
            <w:tcBorders>
              <w:top w:val="nil"/>
              <w:left w:val="nil"/>
              <w:bottom w:val="nil"/>
              <w:right w:val="nil"/>
            </w:tcBorders>
            <w:shd w:val="clear" w:color="auto" w:fill="auto"/>
            <w:vAlign w:val="bottom"/>
          </w:tcPr>
          <w:p w14:paraId="0B04FB1E"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26,37855133</w:t>
            </w:r>
          </w:p>
        </w:tc>
      </w:tr>
      <w:tr w:rsidR="00EC4499" w14:paraId="3D3182E6" w14:textId="77777777">
        <w:trPr>
          <w:trHeight w:val="297"/>
        </w:trPr>
        <w:tc>
          <w:tcPr>
            <w:tcW w:w="4942" w:type="dxa"/>
            <w:tcBorders>
              <w:top w:val="nil"/>
              <w:left w:val="nil"/>
              <w:bottom w:val="single" w:sz="8" w:space="0" w:color="000000"/>
              <w:right w:val="nil"/>
            </w:tcBorders>
            <w:shd w:val="clear" w:color="auto" w:fill="auto"/>
            <w:vAlign w:val="bottom"/>
          </w:tcPr>
          <w:p w14:paraId="17E74713"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Observações</w:t>
            </w:r>
          </w:p>
        </w:tc>
        <w:tc>
          <w:tcPr>
            <w:tcW w:w="3180" w:type="dxa"/>
            <w:tcBorders>
              <w:top w:val="nil"/>
              <w:left w:val="nil"/>
              <w:bottom w:val="single" w:sz="8" w:space="0" w:color="000000"/>
              <w:right w:val="nil"/>
            </w:tcBorders>
            <w:shd w:val="clear" w:color="auto" w:fill="auto"/>
            <w:vAlign w:val="bottom"/>
          </w:tcPr>
          <w:p w14:paraId="1E9E6265"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12</w:t>
            </w:r>
          </w:p>
        </w:tc>
      </w:tr>
    </w:tbl>
    <w:p w14:paraId="1EF6797B" w14:textId="77777777" w:rsidR="00EC4499" w:rsidRDefault="00EC4499" w:rsidP="00F73D0C">
      <w:pPr>
        <w:spacing w:after="0" w:line="360" w:lineRule="auto"/>
        <w:rPr>
          <w:rFonts w:ascii="Garamond" w:eastAsia="Garamond" w:hAnsi="Garamond" w:cs="Garamond"/>
          <w:color w:val="000000"/>
          <w:sz w:val="24"/>
          <w:szCs w:val="24"/>
        </w:rPr>
      </w:pPr>
    </w:p>
    <w:p w14:paraId="6907D32F" w14:textId="77777777" w:rsidR="00D80C89" w:rsidRDefault="00D80C89">
      <w:pPr>
        <w:spacing w:after="0" w:line="360" w:lineRule="auto"/>
        <w:jc w:val="center"/>
        <w:rPr>
          <w:rFonts w:ascii="Garamond" w:eastAsia="Garamond" w:hAnsi="Garamond" w:cs="Garamond"/>
          <w:color w:val="000000"/>
          <w:sz w:val="24"/>
          <w:szCs w:val="24"/>
        </w:rPr>
      </w:pPr>
    </w:p>
    <w:p w14:paraId="6224EA22" w14:textId="77777777" w:rsidR="00D80C89" w:rsidRDefault="00D80C89">
      <w:pPr>
        <w:spacing w:after="0" w:line="360" w:lineRule="auto"/>
        <w:jc w:val="center"/>
        <w:rPr>
          <w:rFonts w:ascii="Garamond" w:eastAsia="Garamond" w:hAnsi="Garamond" w:cs="Garamond"/>
          <w:color w:val="000000"/>
          <w:sz w:val="24"/>
          <w:szCs w:val="24"/>
        </w:rPr>
      </w:pPr>
    </w:p>
    <w:p w14:paraId="709F2C70" w14:textId="30A918B0" w:rsidR="00EC4499" w:rsidRDefault="00433EA7">
      <w:pPr>
        <w:spacing w:after="0" w:line="360" w:lineRule="auto"/>
        <w:jc w:val="center"/>
        <w:rPr>
          <w:rFonts w:ascii="Garamond" w:eastAsia="Garamond" w:hAnsi="Garamond" w:cs="Garamond"/>
          <w:color w:val="000000"/>
          <w:sz w:val="24"/>
          <w:szCs w:val="24"/>
        </w:rPr>
      </w:pPr>
      <w:r>
        <w:rPr>
          <w:rFonts w:ascii="Garamond" w:eastAsia="Garamond" w:hAnsi="Garamond" w:cs="Garamond"/>
          <w:color w:val="000000"/>
          <w:sz w:val="24"/>
          <w:szCs w:val="24"/>
        </w:rPr>
        <w:lastRenderedPageBreak/>
        <w:t xml:space="preserve">Figura 4 - Gráfico regressão linear para dados de 2022 </w:t>
      </w:r>
    </w:p>
    <w:p w14:paraId="2578ACD7" w14:textId="77777777" w:rsidR="00EC4499" w:rsidRDefault="00433EA7">
      <w:pPr>
        <w:spacing w:after="0" w:line="360" w:lineRule="auto"/>
        <w:rPr>
          <w:rFonts w:ascii="Garamond" w:eastAsia="Garamond" w:hAnsi="Garamond" w:cs="Garamond"/>
          <w:color w:val="000000"/>
          <w:sz w:val="26"/>
          <w:szCs w:val="26"/>
        </w:rPr>
      </w:pPr>
      <w:r>
        <w:rPr>
          <w:noProof/>
        </w:rPr>
        <w:drawing>
          <wp:inline distT="0" distB="0" distL="0" distR="0" wp14:anchorId="781FC0CF" wp14:editId="7534BC1C">
            <wp:extent cx="5399405" cy="3032760"/>
            <wp:effectExtent l="0" t="0" r="0" b="0"/>
            <wp:docPr id="2133657960" name="Gráfico 21336579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18B7A2A" w14:textId="77777777" w:rsidR="00EC4499" w:rsidRDefault="00EC4499">
      <w:pPr>
        <w:spacing w:after="0" w:line="360" w:lineRule="auto"/>
        <w:rPr>
          <w:rFonts w:ascii="Garamond" w:eastAsia="Garamond" w:hAnsi="Garamond" w:cs="Garamond"/>
          <w:color w:val="000000"/>
          <w:sz w:val="26"/>
          <w:szCs w:val="26"/>
        </w:rPr>
      </w:pPr>
    </w:p>
    <w:p w14:paraId="7EDA70B9" w14:textId="06FFF6BD" w:rsidR="00EC4499" w:rsidRDefault="00433EA7">
      <w:pPr>
        <w:spacing w:after="0" w:line="360" w:lineRule="auto"/>
        <w:jc w:val="center"/>
        <w:rPr>
          <w:rFonts w:ascii="Garamond" w:eastAsia="Garamond" w:hAnsi="Garamond" w:cs="Garamond"/>
          <w:color w:val="000000"/>
          <w:sz w:val="24"/>
          <w:szCs w:val="24"/>
        </w:rPr>
      </w:pPr>
      <w:r>
        <w:rPr>
          <w:rFonts w:ascii="Garamond" w:eastAsia="Garamond" w:hAnsi="Garamond" w:cs="Garamond"/>
          <w:color w:val="000000"/>
          <w:sz w:val="24"/>
          <w:szCs w:val="24"/>
        </w:rPr>
        <w:t xml:space="preserve">Tabela 15 - Resultado regressão linear para dados de 2021 </w:t>
      </w:r>
    </w:p>
    <w:tbl>
      <w:tblPr>
        <w:tblStyle w:val="ad"/>
        <w:tblW w:w="8543" w:type="dxa"/>
        <w:tblInd w:w="0" w:type="dxa"/>
        <w:tblLayout w:type="fixed"/>
        <w:tblLook w:val="0400" w:firstRow="0" w:lastRow="0" w:firstColumn="0" w:lastColumn="0" w:noHBand="0" w:noVBand="1"/>
      </w:tblPr>
      <w:tblGrid>
        <w:gridCol w:w="5198"/>
        <w:gridCol w:w="3345"/>
      </w:tblGrid>
      <w:tr w:rsidR="00EC4499" w14:paraId="748F5BDE" w14:textId="77777777">
        <w:trPr>
          <w:trHeight w:val="289"/>
        </w:trPr>
        <w:tc>
          <w:tcPr>
            <w:tcW w:w="8543" w:type="dxa"/>
            <w:gridSpan w:val="2"/>
            <w:tcBorders>
              <w:top w:val="single" w:sz="8" w:space="0" w:color="000000"/>
              <w:left w:val="nil"/>
              <w:bottom w:val="single" w:sz="4" w:space="0" w:color="000000"/>
              <w:right w:val="nil"/>
            </w:tcBorders>
            <w:shd w:val="clear" w:color="auto" w:fill="auto"/>
            <w:vAlign w:val="bottom"/>
          </w:tcPr>
          <w:p w14:paraId="1D2376C0" w14:textId="77777777" w:rsidR="00EC4499" w:rsidRDefault="00433EA7">
            <w:pPr>
              <w:spacing w:after="0" w:line="240" w:lineRule="auto"/>
              <w:jc w:val="center"/>
              <w:rPr>
                <w:rFonts w:ascii="Garamond" w:eastAsia="Garamond" w:hAnsi="Garamond" w:cs="Garamond"/>
                <w:i/>
                <w:color w:val="000000"/>
                <w:sz w:val="18"/>
                <w:szCs w:val="18"/>
              </w:rPr>
            </w:pPr>
            <w:r>
              <w:rPr>
                <w:rFonts w:ascii="Garamond" w:eastAsia="Garamond" w:hAnsi="Garamond" w:cs="Garamond"/>
                <w:i/>
                <w:color w:val="000000"/>
                <w:sz w:val="18"/>
                <w:szCs w:val="18"/>
              </w:rPr>
              <w:t>Estatística de regressão</w:t>
            </w:r>
          </w:p>
        </w:tc>
      </w:tr>
      <w:tr w:rsidR="00EC4499" w14:paraId="0268AC4F" w14:textId="77777777">
        <w:trPr>
          <w:trHeight w:val="289"/>
        </w:trPr>
        <w:tc>
          <w:tcPr>
            <w:tcW w:w="5198" w:type="dxa"/>
            <w:tcBorders>
              <w:top w:val="nil"/>
              <w:left w:val="nil"/>
              <w:bottom w:val="nil"/>
              <w:right w:val="nil"/>
            </w:tcBorders>
            <w:shd w:val="clear" w:color="auto" w:fill="auto"/>
            <w:vAlign w:val="bottom"/>
          </w:tcPr>
          <w:p w14:paraId="3AC455B9"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R múltiplo</w:t>
            </w:r>
          </w:p>
        </w:tc>
        <w:tc>
          <w:tcPr>
            <w:tcW w:w="3345" w:type="dxa"/>
            <w:tcBorders>
              <w:top w:val="nil"/>
              <w:left w:val="nil"/>
              <w:bottom w:val="nil"/>
              <w:right w:val="nil"/>
            </w:tcBorders>
            <w:shd w:val="clear" w:color="auto" w:fill="auto"/>
            <w:vAlign w:val="bottom"/>
          </w:tcPr>
          <w:p w14:paraId="191980A3"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0,881657554</w:t>
            </w:r>
          </w:p>
        </w:tc>
      </w:tr>
      <w:tr w:rsidR="00EC4499" w14:paraId="5CDA4D7A" w14:textId="77777777">
        <w:trPr>
          <w:trHeight w:val="289"/>
        </w:trPr>
        <w:tc>
          <w:tcPr>
            <w:tcW w:w="5198" w:type="dxa"/>
            <w:tcBorders>
              <w:top w:val="nil"/>
              <w:left w:val="nil"/>
              <w:bottom w:val="nil"/>
              <w:right w:val="nil"/>
            </w:tcBorders>
            <w:shd w:val="clear" w:color="auto" w:fill="auto"/>
            <w:vAlign w:val="bottom"/>
          </w:tcPr>
          <w:p w14:paraId="04A703EE"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R-Quadrado</w:t>
            </w:r>
          </w:p>
        </w:tc>
        <w:tc>
          <w:tcPr>
            <w:tcW w:w="3345" w:type="dxa"/>
            <w:tcBorders>
              <w:top w:val="nil"/>
              <w:left w:val="nil"/>
              <w:bottom w:val="nil"/>
              <w:right w:val="nil"/>
            </w:tcBorders>
            <w:shd w:val="clear" w:color="auto" w:fill="auto"/>
            <w:vAlign w:val="bottom"/>
          </w:tcPr>
          <w:p w14:paraId="164E81E8"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0,777320043</w:t>
            </w:r>
          </w:p>
        </w:tc>
      </w:tr>
      <w:tr w:rsidR="00EC4499" w14:paraId="2A01E300" w14:textId="77777777">
        <w:trPr>
          <w:trHeight w:val="289"/>
        </w:trPr>
        <w:tc>
          <w:tcPr>
            <w:tcW w:w="5198" w:type="dxa"/>
            <w:tcBorders>
              <w:top w:val="nil"/>
              <w:left w:val="nil"/>
              <w:bottom w:val="nil"/>
              <w:right w:val="nil"/>
            </w:tcBorders>
            <w:shd w:val="clear" w:color="auto" w:fill="auto"/>
            <w:vAlign w:val="bottom"/>
          </w:tcPr>
          <w:p w14:paraId="3DDB38B8"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R-quadrado ajustado</w:t>
            </w:r>
          </w:p>
        </w:tc>
        <w:tc>
          <w:tcPr>
            <w:tcW w:w="3345" w:type="dxa"/>
            <w:tcBorders>
              <w:top w:val="nil"/>
              <w:left w:val="nil"/>
              <w:bottom w:val="nil"/>
              <w:right w:val="nil"/>
            </w:tcBorders>
            <w:shd w:val="clear" w:color="auto" w:fill="auto"/>
            <w:vAlign w:val="bottom"/>
          </w:tcPr>
          <w:p w14:paraId="1E1BC283"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0,755052047</w:t>
            </w:r>
          </w:p>
        </w:tc>
      </w:tr>
      <w:tr w:rsidR="00EC4499" w14:paraId="7649E4DD" w14:textId="77777777">
        <w:trPr>
          <w:trHeight w:val="289"/>
        </w:trPr>
        <w:tc>
          <w:tcPr>
            <w:tcW w:w="5198" w:type="dxa"/>
            <w:tcBorders>
              <w:top w:val="nil"/>
              <w:left w:val="nil"/>
              <w:bottom w:val="nil"/>
              <w:right w:val="nil"/>
            </w:tcBorders>
            <w:shd w:val="clear" w:color="auto" w:fill="auto"/>
            <w:vAlign w:val="bottom"/>
          </w:tcPr>
          <w:p w14:paraId="256E2E73"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Erro padrão</w:t>
            </w:r>
          </w:p>
        </w:tc>
        <w:tc>
          <w:tcPr>
            <w:tcW w:w="3345" w:type="dxa"/>
            <w:tcBorders>
              <w:top w:val="nil"/>
              <w:left w:val="nil"/>
              <w:bottom w:val="nil"/>
              <w:right w:val="nil"/>
            </w:tcBorders>
            <w:shd w:val="clear" w:color="auto" w:fill="auto"/>
            <w:vAlign w:val="bottom"/>
          </w:tcPr>
          <w:p w14:paraId="0EF8B524"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23,29609773</w:t>
            </w:r>
          </w:p>
        </w:tc>
      </w:tr>
      <w:tr w:rsidR="00EC4499" w14:paraId="41A599DD" w14:textId="77777777">
        <w:trPr>
          <w:trHeight w:val="302"/>
        </w:trPr>
        <w:tc>
          <w:tcPr>
            <w:tcW w:w="5198" w:type="dxa"/>
            <w:tcBorders>
              <w:top w:val="nil"/>
              <w:left w:val="nil"/>
              <w:bottom w:val="single" w:sz="8" w:space="0" w:color="000000"/>
              <w:right w:val="nil"/>
            </w:tcBorders>
            <w:shd w:val="clear" w:color="auto" w:fill="auto"/>
            <w:vAlign w:val="bottom"/>
          </w:tcPr>
          <w:p w14:paraId="0BDDFABC"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Observações</w:t>
            </w:r>
          </w:p>
        </w:tc>
        <w:tc>
          <w:tcPr>
            <w:tcW w:w="3345" w:type="dxa"/>
            <w:tcBorders>
              <w:top w:val="nil"/>
              <w:left w:val="nil"/>
              <w:bottom w:val="single" w:sz="8" w:space="0" w:color="000000"/>
              <w:right w:val="nil"/>
            </w:tcBorders>
            <w:shd w:val="clear" w:color="auto" w:fill="auto"/>
            <w:vAlign w:val="bottom"/>
          </w:tcPr>
          <w:p w14:paraId="5DE8A8EE"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12</w:t>
            </w:r>
          </w:p>
        </w:tc>
      </w:tr>
    </w:tbl>
    <w:p w14:paraId="1653DF63" w14:textId="609269F8" w:rsidR="00F73D0C" w:rsidRDefault="00F73D0C" w:rsidP="00F73D0C">
      <w:pPr>
        <w:spacing w:after="0" w:line="360" w:lineRule="auto"/>
        <w:rPr>
          <w:rFonts w:ascii="Garamond" w:eastAsia="Garamond" w:hAnsi="Garamond" w:cs="Garamond"/>
          <w:color w:val="000000"/>
          <w:sz w:val="24"/>
          <w:szCs w:val="24"/>
        </w:rPr>
      </w:pPr>
    </w:p>
    <w:p w14:paraId="568D1874" w14:textId="77777777" w:rsidR="00D80C89" w:rsidRDefault="00D80C89">
      <w:pPr>
        <w:spacing w:after="0" w:line="360" w:lineRule="auto"/>
        <w:jc w:val="center"/>
        <w:rPr>
          <w:rFonts w:ascii="Garamond" w:eastAsia="Garamond" w:hAnsi="Garamond" w:cs="Garamond"/>
          <w:color w:val="000000"/>
          <w:sz w:val="24"/>
          <w:szCs w:val="24"/>
        </w:rPr>
      </w:pPr>
    </w:p>
    <w:p w14:paraId="64F985CA" w14:textId="77777777" w:rsidR="00D80C89" w:rsidRDefault="00D80C89">
      <w:pPr>
        <w:spacing w:after="0" w:line="360" w:lineRule="auto"/>
        <w:jc w:val="center"/>
        <w:rPr>
          <w:rFonts w:ascii="Garamond" w:eastAsia="Garamond" w:hAnsi="Garamond" w:cs="Garamond"/>
          <w:color w:val="000000"/>
          <w:sz w:val="24"/>
          <w:szCs w:val="24"/>
        </w:rPr>
      </w:pPr>
    </w:p>
    <w:p w14:paraId="1D6AEA3D" w14:textId="77777777" w:rsidR="00D80C89" w:rsidRDefault="00D80C89">
      <w:pPr>
        <w:spacing w:after="0" w:line="360" w:lineRule="auto"/>
        <w:jc w:val="center"/>
        <w:rPr>
          <w:rFonts w:ascii="Garamond" w:eastAsia="Garamond" w:hAnsi="Garamond" w:cs="Garamond"/>
          <w:color w:val="000000"/>
          <w:sz w:val="24"/>
          <w:szCs w:val="24"/>
        </w:rPr>
      </w:pPr>
    </w:p>
    <w:p w14:paraId="31A2E593" w14:textId="77777777" w:rsidR="00D80C89" w:rsidRDefault="00D80C89">
      <w:pPr>
        <w:spacing w:after="0" w:line="360" w:lineRule="auto"/>
        <w:jc w:val="center"/>
        <w:rPr>
          <w:rFonts w:ascii="Garamond" w:eastAsia="Garamond" w:hAnsi="Garamond" w:cs="Garamond"/>
          <w:color w:val="000000"/>
          <w:sz w:val="24"/>
          <w:szCs w:val="24"/>
        </w:rPr>
      </w:pPr>
    </w:p>
    <w:p w14:paraId="35760860" w14:textId="77777777" w:rsidR="00D80C89" w:rsidRDefault="00D80C89">
      <w:pPr>
        <w:spacing w:after="0" w:line="360" w:lineRule="auto"/>
        <w:jc w:val="center"/>
        <w:rPr>
          <w:rFonts w:ascii="Garamond" w:eastAsia="Garamond" w:hAnsi="Garamond" w:cs="Garamond"/>
          <w:color w:val="000000"/>
          <w:sz w:val="24"/>
          <w:szCs w:val="24"/>
        </w:rPr>
      </w:pPr>
    </w:p>
    <w:p w14:paraId="27219B92" w14:textId="77777777" w:rsidR="00D80C89" w:rsidRDefault="00D80C89">
      <w:pPr>
        <w:spacing w:after="0" w:line="360" w:lineRule="auto"/>
        <w:jc w:val="center"/>
        <w:rPr>
          <w:rFonts w:ascii="Garamond" w:eastAsia="Garamond" w:hAnsi="Garamond" w:cs="Garamond"/>
          <w:color w:val="000000"/>
          <w:sz w:val="24"/>
          <w:szCs w:val="24"/>
        </w:rPr>
      </w:pPr>
    </w:p>
    <w:p w14:paraId="15490D40" w14:textId="77777777" w:rsidR="00D80C89" w:rsidRDefault="00D80C89">
      <w:pPr>
        <w:spacing w:after="0" w:line="360" w:lineRule="auto"/>
        <w:jc w:val="center"/>
        <w:rPr>
          <w:rFonts w:ascii="Garamond" w:eastAsia="Garamond" w:hAnsi="Garamond" w:cs="Garamond"/>
          <w:color w:val="000000"/>
          <w:sz w:val="24"/>
          <w:szCs w:val="24"/>
        </w:rPr>
      </w:pPr>
    </w:p>
    <w:p w14:paraId="7756EF9E" w14:textId="77777777" w:rsidR="00D80C89" w:rsidRDefault="00D80C89">
      <w:pPr>
        <w:spacing w:after="0" w:line="360" w:lineRule="auto"/>
        <w:jc w:val="center"/>
        <w:rPr>
          <w:rFonts w:ascii="Garamond" w:eastAsia="Garamond" w:hAnsi="Garamond" w:cs="Garamond"/>
          <w:color w:val="000000"/>
          <w:sz w:val="24"/>
          <w:szCs w:val="24"/>
        </w:rPr>
      </w:pPr>
    </w:p>
    <w:p w14:paraId="4CB8FDEB" w14:textId="77777777" w:rsidR="00D80C89" w:rsidRDefault="00D80C89">
      <w:pPr>
        <w:spacing w:after="0" w:line="360" w:lineRule="auto"/>
        <w:jc w:val="center"/>
        <w:rPr>
          <w:rFonts w:ascii="Garamond" w:eastAsia="Garamond" w:hAnsi="Garamond" w:cs="Garamond"/>
          <w:color w:val="000000"/>
          <w:sz w:val="24"/>
          <w:szCs w:val="24"/>
        </w:rPr>
      </w:pPr>
    </w:p>
    <w:p w14:paraId="76594595" w14:textId="77777777" w:rsidR="00D80C89" w:rsidRDefault="00D80C89">
      <w:pPr>
        <w:spacing w:after="0" w:line="360" w:lineRule="auto"/>
        <w:jc w:val="center"/>
        <w:rPr>
          <w:rFonts w:ascii="Garamond" w:eastAsia="Garamond" w:hAnsi="Garamond" w:cs="Garamond"/>
          <w:color w:val="000000"/>
          <w:sz w:val="24"/>
          <w:szCs w:val="24"/>
        </w:rPr>
      </w:pPr>
    </w:p>
    <w:p w14:paraId="10F3B838" w14:textId="77777777" w:rsidR="00D80C89" w:rsidRDefault="00D80C89">
      <w:pPr>
        <w:spacing w:after="0" w:line="360" w:lineRule="auto"/>
        <w:jc w:val="center"/>
        <w:rPr>
          <w:rFonts w:ascii="Garamond" w:eastAsia="Garamond" w:hAnsi="Garamond" w:cs="Garamond"/>
          <w:color w:val="000000"/>
          <w:sz w:val="24"/>
          <w:szCs w:val="24"/>
        </w:rPr>
      </w:pPr>
    </w:p>
    <w:p w14:paraId="4A2AF179" w14:textId="77777777" w:rsidR="00D80C89" w:rsidRDefault="00D80C89">
      <w:pPr>
        <w:spacing w:after="0" w:line="360" w:lineRule="auto"/>
        <w:jc w:val="center"/>
        <w:rPr>
          <w:rFonts w:ascii="Garamond" w:eastAsia="Garamond" w:hAnsi="Garamond" w:cs="Garamond"/>
          <w:color w:val="000000"/>
          <w:sz w:val="24"/>
          <w:szCs w:val="24"/>
        </w:rPr>
      </w:pPr>
    </w:p>
    <w:p w14:paraId="718F10A5" w14:textId="3473665E" w:rsidR="00EC4499" w:rsidRDefault="00433EA7">
      <w:pPr>
        <w:spacing w:after="0" w:line="360" w:lineRule="auto"/>
        <w:jc w:val="center"/>
        <w:rPr>
          <w:rFonts w:ascii="Garamond" w:eastAsia="Garamond" w:hAnsi="Garamond" w:cs="Garamond"/>
          <w:color w:val="000000"/>
          <w:sz w:val="24"/>
          <w:szCs w:val="24"/>
        </w:rPr>
      </w:pPr>
      <w:r>
        <w:rPr>
          <w:rFonts w:ascii="Garamond" w:eastAsia="Garamond" w:hAnsi="Garamond" w:cs="Garamond"/>
          <w:color w:val="000000"/>
          <w:sz w:val="24"/>
          <w:szCs w:val="24"/>
        </w:rPr>
        <w:lastRenderedPageBreak/>
        <w:t xml:space="preserve">Figura 5 - Gráfico regressão linear para dados de 2021 </w:t>
      </w:r>
    </w:p>
    <w:p w14:paraId="187E78C3" w14:textId="77777777" w:rsidR="00EC4499" w:rsidRDefault="00433EA7">
      <w:pPr>
        <w:spacing w:after="0" w:line="360" w:lineRule="auto"/>
        <w:rPr>
          <w:rFonts w:ascii="Garamond" w:eastAsia="Garamond" w:hAnsi="Garamond" w:cs="Garamond"/>
          <w:i/>
          <w:color w:val="000000"/>
          <w:sz w:val="26"/>
          <w:szCs w:val="26"/>
        </w:rPr>
      </w:pPr>
      <w:r>
        <w:rPr>
          <w:noProof/>
        </w:rPr>
        <w:drawing>
          <wp:inline distT="0" distB="0" distL="0" distR="0" wp14:anchorId="03216235" wp14:editId="32C12B40">
            <wp:extent cx="5399405" cy="3305810"/>
            <wp:effectExtent l="0" t="0" r="0" b="0"/>
            <wp:docPr id="2133657963" name="Gráfico 21336579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6EB9D31" w14:textId="77777777" w:rsidR="00EC4499" w:rsidRDefault="00EC4499">
      <w:pPr>
        <w:spacing w:after="0" w:line="360" w:lineRule="auto"/>
        <w:jc w:val="center"/>
        <w:rPr>
          <w:rFonts w:ascii="Garamond" w:eastAsia="Garamond" w:hAnsi="Garamond" w:cs="Garamond"/>
          <w:color w:val="000000"/>
          <w:sz w:val="26"/>
          <w:szCs w:val="26"/>
        </w:rPr>
      </w:pPr>
    </w:p>
    <w:p w14:paraId="57FA3E29" w14:textId="10C09DD7" w:rsidR="00EC4499" w:rsidRDefault="00433EA7">
      <w:pPr>
        <w:spacing w:after="0" w:line="360" w:lineRule="auto"/>
        <w:jc w:val="center"/>
        <w:rPr>
          <w:rFonts w:ascii="Garamond" w:eastAsia="Garamond" w:hAnsi="Garamond" w:cs="Garamond"/>
          <w:color w:val="000000"/>
          <w:sz w:val="24"/>
          <w:szCs w:val="24"/>
        </w:rPr>
      </w:pPr>
      <w:r>
        <w:rPr>
          <w:rFonts w:ascii="Garamond" w:eastAsia="Garamond" w:hAnsi="Garamond" w:cs="Garamond"/>
          <w:color w:val="000000"/>
          <w:sz w:val="24"/>
          <w:szCs w:val="24"/>
        </w:rPr>
        <w:t xml:space="preserve">Tabela 16 - Resultado regressão linear para dados de 2022 </w:t>
      </w:r>
    </w:p>
    <w:tbl>
      <w:tblPr>
        <w:tblStyle w:val="ae"/>
        <w:tblW w:w="8627" w:type="dxa"/>
        <w:tblInd w:w="0" w:type="dxa"/>
        <w:tblLayout w:type="fixed"/>
        <w:tblLook w:val="0400" w:firstRow="0" w:lastRow="0" w:firstColumn="0" w:lastColumn="0" w:noHBand="0" w:noVBand="1"/>
      </w:tblPr>
      <w:tblGrid>
        <w:gridCol w:w="5249"/>
        <w:gridCol w:w="3378"/>
      </w:tblGrid>
      <w:tr w:rsidR="00EC4499" w14:paraId="59E11C80" w14:textId="77777777">
        <w:trPr>
          <w:trHeight w:val="284"/>
        </w:trPr>
        <w:tc>
          <w:tcPr>
            <w:tcW w:w="8627" w:type="dxa"/>
            <w:gridSpan w:val="2"/>
            <w:tcBorders>
              <w:top w:val="single" w:sz="8" w:space="0" w:color="000000"/>
              <w:left w:val="nil"/>
              <w:bottom w:val="single" w:sz="4" w:space="0" w:color="000000"/>
              <w:right w:val="nil"/>
            </w:tcBorders>
            <w:shd w:val="clear" w:color="auto" w:fill="auto"/>
            <w:vAlign w:val="bottom"/>
          </w:tcPr>
          <w:p w14:paraId="362F912C" w14:textId="77777777" w:rsidR="00EC4499" w:rsidRDefault="00433EA7">
            <w:pPr>
              <w:spacing w:after="0" w:line="240" w:lineRule="auto"/>
              <w:jc w:val="center"/>
              <w:rPr>
                <w:rFonts w:ascii="Garamond" w:eastAsia="Garamond" w:hAnsi="Garamond" w:cs="Garamond"/>
                <w:i/>
                <w:color w:val="000000"/>
                <w:sz w:val="18"/>
                <w:szCs w:val="18"/>
              </w:rPr>
            </w:pPr>
            <w:r>
              <w:rPr>
                <w:rFonts w:ascii="Garamond" w:eastAsia="Garamond" w:hAnsi="Garamond" w:cs="Garamond"/>
                <w:i/>
                <w:color w:val="000000"/>
                <w:sz w:val="18"/>
                <w:szCs w:val="18"/>
              </w:rPr>
              <w:t>Estatística de regressão</w:t>
            </w:r>
          </w:p>
        </w:tc>
      </w:tr>
      <w:tr w:rsidR="00EC4499" w14:paraId="5D52F76F" w14:textId="77777777">
        <w:trPr>
          <w:trHeight w:val="284"/>
        </w:trPr>
        <w:tc>
          <w:tcPr>
            <w:tcW w:w="5249" w:type="dxa"/>
            <w:tcBorders>
              <w:top w:val="nil"/>
              <w:left w:val="nil"/>
              <w:bottom w:val="nil"/>
              <w:right w:val="nil"/>
            </w:tcBorders>
            <w:shd w:val="clear" w:color="auto" w:fill="auto"/>
            <w:vAlign w:val="bottom"/>
          </w:tcPr>
          <w:p w14:paraId="2C0F3A56"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R múltiplo</w:t>
            </w:r>
          </w:p>
        </w:tc>
        <w:tc>
          <w:tcPr>
            <w:tcW w:w="3378" w:type="dxa"/>
            <w:tcBorders>
              <w:top w:val="nil"/>
              <w:left w:val="nil"/>
              <w:bottom w:val="nil"/>
              <w:right w:val="nil"/>
            </w:tcBorders>
            <w:shd w:val="clear" w:color="auto" w:fill="auto"/>
            <w:vAlign w:val="bottom"/>
          </w:tcPr>
          <w:p w14:paraId="5F3DB4EE"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0,918977096</w:t>
            </w:r>
          </w:p>
        </w:tc>
      </w:tr>
      <w:tr w:rsidR="00EC4499" w14:paraId="1BF63611" w14:textId="77777777">
        <w:trPr>
          <w:trHeight w:val="284"/>
        </w:trPr>
        <w:tc>
          <w:tcPr>
            <w:tcW w:w="5249" w:type="dxa"/>
            <w:tcBorders>
              <w:top w:val="nil"/>
              <w:left w:val="nil"/>
              <w:bottom w:val="nil"/>
              <w:right w:val="nil"/>
            </w:tcBorders>
            <w:shd w:val="clear" w:color="auto" w:fill="auto"/>
            <w:vAlign w:val="bottom"/>
          </w:tcPr>
          <w:p w14:paraId="52EB4985"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R-Quadrado</w:t>
            </w:r>
          </w:p>
        </w:tc>
        <w:tc>
          <w:tcPr>
            <w:tcW w:w="3378" w:type="dxa"/>
            <w:tcBorders>
              <w:top w:val="nil"/>
              <w:left w:val="nil"/>
              <w:bottom w:val="nil"/>
              <w:right w:val="nil"/>
            </w:tcBorders>
            <w:shd w:val="clear" w:color="auto" w:fill="auto"/>
            <w:vAlign w:val="bottom"/>
          </w:tcPr>
          <w:p w14:paraId="2770583F"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0,844518903</w:t>
            </w:r>
          </w:p>
        </w:tc>
      </w:tr>
      <w:tr w:rsidR="00EC4499" w14:paraId="500AE6F7" w14:textId="77777777">
        <w:trPr>
          <w:trHeight w:val="284"/>
        </w:trPr>
        <w:tc>
          <w:tcPr>
            <w:tcW w:w="5249" w:type="dxa"/>
            <w:tcBorders>
              <w:top w:val="nil"/>
              <w:left w:val="nil"/>
              <w:bottom w:val="nil"/>
              <w:right w:val="nil"/>
            </w:tcBorders>
            <w:shd w:val="clear" w:color="auto" w:fill="auto"/>
            <w:vAlign w:val="bottom"/>
          </w:tcPr>
          <w:p w14:paraId="4F84E119"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R-quadrado ajustado</w:t>
            </w:r>
          </w:p>
        </w:tc>
        <w:tc>
          <w:tcPr>
            <w:tcW w:w="3378" w:type="dxa"/>
            <w:tcBorders>
              <w:top w:val="nil"/>
              <w:left w:val="nil"/>
              <w:bottom w:val="nil"/>
              <w:right w:val="nil"/>
            </w:tcBorders>
            <w:shd w:val="clear" w:color="auto" w:fill="auto"/>
            <w:vAlign w:val="bottom"/>
          </w:tcPr>
          <w:p w14:paraId="37BC5B64"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0,828970794</w:t>
            </w:r>
          </w:p>
        </w:tc>
      </w:tr>
      <w:tr w:rsidR="00EC4499" w14:paraId="1F05D24F" w14:textId="77777777">
        <w:trPr>
          <w:trHeight w:val="284"/>
        </w:trPr>
        <w:tc>
          <w:tcPr>
            <w:tcW w:w="5249" w:type="dxa"/>
            <w:tcBorders>
              <w:top w:val="nil"/>
              <w:left w:val="nil"/>
              <w:bottom w:val="nil"/>
              <w:right w:val="nil"/>
            </w:tcBorders>
            <w:shd w:val="clear" w:color="auto" w:fill="auto"/>
            <w:vAlign w:val="bottom"/>
          </w:tcPr>
          <w:p w14:paraId="4D4B7130"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Erro padrão</w:t>
            </w:r>
          </w:p>
        </w:tc>
        <w:tc>
          <w:tcPr>
            <w:tcW w:w="3378" w:type="dxa"/>
            <w:tcBorders>
              <w:top w:val="nil"/>
              <w:left w:val="nil"/>
              <w:bottom w:val="nil"/>
              <w:right w:val="nil"/>
            </w:tcBorders>
            <w:shd w:val="clear" w:color="auto" w:fill="auto"/>
            <w:vAlign w:val="bottom"/>
          </w:tcPr>
          <w:p w14:paraId="62422802"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24,13492036</w:t>
            </w:r>
          </w:p>
        </w:tc>
      </w:tr>
      <w:tr w:rsidR="00EC4499" w14:paraId="345F5D27" w14:textId="77777777">
        <w:trPr>
          <w:trHeight w:val="295"/>
        </w:trPr>
        <w:tc>
          <w:tcPr>
            <w:tcW w:w="5249" w:type="dxa"/>
            <w:tcBorders>
              <w:top w:val="nil"/>
              <w:left w:val="nil"/>
              <w:bottom w:val="single" w:sz="8" w:space="0" w:color="000000"/>
              <w:right w:val="nil"/>
            </w:tcBorders>
            <w:shd w:val="clear" w:color="auto" w:fill="auto"/>
            <w:vAlign w:val="bottom"/>
          </w:tcPr>
          <w:p w14:paraId="3D61E4A9"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Observações</w:t>
            </w:r>
          </w:p>
        </w:tc>
        <w:tc>
          <w:tcPr>
            <w:tcW w:w="3378" w:type="dxa"/>
            <w:tcBorders>
              <w:top w:val="nil"/>
              <w:left w:val="nil"/>
              <w:bottom w:val="single" w:sz="8" w:space="0" w:color="000000"/>
              <w:right w:val="nil"/>
            </w:tcBorders>
            <w:shd w:val="clear" w:color="auto" w:fill="auto"/>
            <w:vAlign w:val="bottom"/>
          </w:tcPr>
          <w:p w14:paraId="6F8DF791"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12</w:t>
            </w:r>
          </w:p>
        </w:tc>
      </w:tr>
    </w:tbl>
    <w:p w14:paraId="07123293" w14:textId="77777777" w:rsidR="00EC4499" w:rsidRDefault="00EC4499">
      <w:pPr>
        <w:spacing w:after="0" w:line="360" w:lineRule="auto"/>
        <w:rPr>
          <w:rFonts w:ascii="Garamond" w:eastAsia="Garamond" w:hAnsi="Garamond" w:cs="Garamond"/>
          <w:color w:val="000000"/>
          <w:sz w:val="24"/>
          <w:szCs w:val="24"/>
        </w:rPr>
      </w:pPr>
    </w:p>
    <w:p w14:paraId="2CA5AF36" w14:textId="77777777" w:rsidR="00F73D0C" w:rsidRDefault="00F73D0C">
      <w:pPr>
        <w:spacing w:after="0" w:line="360" w:lineRule="auto"/>
        <w:rPr>
          <w:rFonts w:ascii="Garamond" w:eastAsia="Garamond" w:hAnsi="Garamond" w:cs="Garamond"/>
          <w:color w:val="000000"/>
          <w:sz w:val="24"/>
          <w:szCs w:val="24"/>
        </w:rPr>
      </w:pPr>
    </w:p>
    <w:p w14:paraId="7AE6BAEB" w14:textId="77777777" w:rsidR="00F73D0C" w:rsidRDefault="00F73D0C">
      <w:pPr>
        <w:spacing w:after="0" w:line="360" w:lineRule="auto"/>
        <w:rPr>
          <w:rFonts w:ascii="Garamond" w:eastAsia="Garamond" w:hAnsi="Garamond" w:cs="Garamond"/>
          <w:color w:val="000000"/>
          <w:sz w:val="24"/>
          <w:szCs w:val="24"/>
        </w:rPr>
      </w:pPr>
    </w:p>
    <w:p w14:paraId="4130D3CE" w14:textId="77777777" w:rsidR="00F73D0C" w:rsidRDefault="00F73D0C">
      <w:pPr>
        <w:spacing w:after="0" w:line="360" w:lineRule="auto"/>
        <w:rPr>
          <w:rFonts w:ascii="Garamond" w:eastAsia="Garamond" w:hAnsi="Garamond" w:cs="Garamond"/>
          <w:color w:val="000000"/>
          <w:sz w:val="24"/>
          <w:szCs w:val="24"/>
        </w:rPr>
      </w:pPr>
    </w:p>
    <w:p w14:paraId="1D05890D" w14:textId="77777777" w:rsidR="00F73D0C" w:rsidRDefault="00F73D0C">
      <w:pPr>
        <w:spacing w:after="0" w:line="360" w:lineRule="auto"/>
        <w:rPr>
          <w:rFonts w:ascii="Garamond" w:eastAsia="Garamond" w:hAnsi="Garamond" w:cs="Garamond"/>
          <w:color w:val="000000"/>
          <w:sz w:val="24"/>
          <w:szCs w:val="24"/>
        </w:rPr>
      </w:pPr>
    </w:p>
    <w:p w14:paraId="330C8F40" w14:textId="77777777" w:rsidR="00F73D0C" w:rsidRDefault="00F73D0C">
      <w:pPr>
        <w:spacing w:after="0" w:line="360" w:lineRule="auto"/>
        <w:rPr>
          <w:rFonts w:ascii="Garamond" w:eastAsia="Garamond" w:hAnsi="Garamond" w:cs="Garamond"/>
          <w:color w:val="000000"/>
          <w:sz w:val="24"/>
          <w:szCs w:val="24"/>
        </w:rPr>
      </w:pPr>
    </w:p>
    <w:p w14:paraId="52B194EC" w14:textId="77777777" w:rsidR="00F73D0C" w:rsidRDefault="00F73D0C">
      <w:pPr>
        <w:spacing w:after="0" w:line="360" w:lineRule="auto"/>
        <w:rPr>
          <w:rFonts w:ascii="Garamond" w:eastAsia="Garamond" w:hAnsi="Garamond" w:cs="Garamond"/>
          <w:color w:val="000000"/>
          <w:sz w:val="24"/>
          <w:szCs w:val="24"/>
        </w:rPr>
      </w:pPr>
    </w:p>
    <w:p w14:paraId="19DDACEB" w14:textId="77777777" w:rsidR="00F73D0C" w:rsidRDefault="00F73D0C">
      <w:pPr>
        <w:spacing w:after="0" w:line="360" w:lineRule="auto"/>
        <w:rPr>
          <w:rFonts w:ascii="Garamond" w:eastAsia="Garamond" w:hAnsi="Garamond" w:cs="Garamond"/>
          <w:color w:val="000000"/>
          <w:sz w:val="24"/>
          <w:szCs w:val="24"/>
        </w:rPr>
      </w:pPr>
    </w:p>
    <w:p w14:paraId="65D1DF0E" w14:textId="77777777" w:rsidR="00F73D0C" w:rsidRDefault="00F73D0C">
      <w:pPr>
        <w:spacing w:after="0" w:line="360" w:lineRule="auto"/>
        <w:rPr>
          <w:rFonts w:ascii="Garamond" w:eastAsia="Garamond" w:hAnsi="Garamond" w:cs="Garamond"/>
          <w:color w:val="000000"/>
          <w:sz w:val="24"/>
          <w:szCs w:val="24"/>
        </w:rPr>
      </w:pPr>
    </w:p>
    <w:p w14:paraId="6CA4AEE1" w14:textId="77777777" w:rsidR="00F73D0C" w:rsidRDefault="00F73D0C">
      <w:pPr>
        <w:spacing w:after="0" w:line="360" w:lineRule="auto"/>
        <w:rPr>
          <w:rFonts w:ascii="Garamond" w:eastAsia="Garamond" w:hAnsi="Garamond" w:cs="Garamond"/>
          <w:color w:val="000000"/>
          <w:sz w:val="24"/>
          <w:szCs w:val="24"/>
        </w:rPr>
      </w:pPr>
    </w:p>
    <w:p w14:paraId="1AD74DC0" w14:textId="77777777" w:rsidR="00F73D0C" w:rsidRDefault="00F73D0C">
      <w:pPr>
        <w:spacing w:after="0" w:line="360" w:lineRule="auto"/>
        <w:rPr>
          <w:rFonts w:ascii="Garamond" w:eastAsia="Garamond" w:hAnsi="Garamond" w:cs="Garamond"/>
          <w:color w:val="000000"/>
          <w:sz w:val="24"/>
          <w:szCs w:val="24"/>
        </w:rPr>
      </w:pPr>
    </w:p>
    <w:p w14:paraId="1D48727E" w14:textId="77777777" w:rsidR="00F73D0C" w:rsidRDefault="00F73D0C">
      <w:pPr>
        <w:spacing w:after="0" w:line="360" w:lineRule="auto"/>
        <w:rPr>
          <w:rFonts w:ascii="Garamond" w:eastAsia="Garamond" w:hAnsi="Garamond" w:cs="Garamond"/>
          <w:color w:val="000000"/>
          <w:sz w:val="24"/>
          <w:szCs w:val="24"/>
        </w:rPr>
      </w:pPr>
    </w:p>
    <w:p w14:paraId="602AE374" w14:textId="1EFDD666" w:rsidR="00EC4499" w:rsidRDefault="00433EA7">
      <w:pPr>
        <w:spacing w:after="0" w:line="360" w:lineRule="auto"/>
        <w:jc w:val="center"/>
        <w:rPr>
          <w:rFonts w:ascii="Garamond" w:eastAsia="Garamond" w:hAnsi="Garamond" w:cs="Garamond"/>
          <w:color w:val="000000"/>
          <w:sz w:val="24"/>
          <w:szCs w:val="24"/>
        </w:rPr>
      </w:pPr>
      <w:r>
        <w:rPr>
          <w:rFonts w:ascii="Garamond" w:eastAsia="Garamond" w:hAnsi="Garamond" w:cs="Garamond"/>
          <w:color w:val="000000"/>
          <w:sz w:val="24"/>
          <w:szCs w:val="24"/>
        </w:rPr>
        <w:lastRenderedPageBreak/>
        <w:t xml:space="preserve">Figura 6 - Gráfico regressão linear para dados de 2022 </w:t>
      </w:r>
    </w:p>
    <w:p w14:paraId="6864BFDD" w14:textId="77777777" w:rsidR="00EC4499" w:rsidRDefault="00433EA7">
      <w:pPr>
        <w:spacing w:after="0" w:line="360" w:lineRule="auto"/>
        <w:rPr>
          <w:rFonts w:ascii="Garamond" w:eastAsia="Garamond" w:hAnsi="Garamond" w:cs="Garamond"/>
          <w:color w:val="000000"/>
          <w:sz w:val="26"/>
          <w:szCs w:val="26"/>
        </w:rPr>
      </w:pPr>
      <w:r>
        <w:rPr>
          <w:noProof/>
        </w:rPr>
        <w:drawing>
          <wp:inline distT="0" distB="0" distL="0" distR="0" wp14:anchorId="37A4FF3C" wp14:editId="4FE06821">
            <wp:extent cx="5516880" cy="2918460"/>
            <wp:effectExtent l="0" t="0" r="0" b="0"/>
            <wp:docPr id="2133657962" name="Gráfico 21336579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C21829C" w14:textId="77777777" w:rsidR="00EC4499" w:rsidRDefault="00EC4499">
      <w:pPr>
        <w:pBdr>
          <w:top w:val="nil"/>
          <w:left w:val="nil"/>
          <w:bottom w:val="nil"/>
          <w:right w:val="nil"/>
          <w:between w:val="nil"/>
        </w:pBdr>
        <w:spacing w:after="0" w:line="360" w:lineRule="auto"/>
        <w:ind w:left="720"/>
        <w:rPr>
          <w:rFonts w:ascii="Garamond" w:eastAsia="Garamond" w:hAnsi="Garamond" w:cs="Garamond"/>
          <w:b/>
          <w:color w:val="000000"/>
          <w:sz w:val="26"/>
          <w:szCs w:val="26"/>
        </w:rPr>
      </w:pPr>
    </w:p>
    <w:p w14:paraId="2C9C8825"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sz w:val="24"/>
          <w:szCs w:val="24"/>
        </w:rPr>
        <w:t>Todos os modelos apresentam uma forte correlação e um alto R-Quadrado, indicando que uma alta porcentagem da variabilidade na variável dependente é explicada pelas variáveis independentes em ambos os casos.</w:t>
      </w:r>
    </w:p>
    <w:p w14:paraId="0C1FB575"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Isso também foi identificado em Chagas </w:t>
      </w:r>
      <w:r>
        <w:rPr>
          <w:rFonts w:ascii="Garamond" w:eastAsia="Garamond" w:hAnsi="Garamond" w:cs="Garamond"/>
          <w:i/>
          <w:color w:val="000000"/>
          <w:sz w:val="24"/>
          <w:szCs w:val="24"/>
        </w:rPr>
        <w:t>et al</w:t>
      </w:r>
      <w:r>
        <w:rPr>
          <w:rFonts w:ascii="Garamond" w:eastAsia="Garamond" w:hAnsi="Garamond" w:cs="Garamond"/>
          <w:color w:val="000000"/>
          <w:sz w:val="24"/>
          <w:szCs w:val="24"/>
        </w:rPr>
        <w:t>. (2022), onde observou-se um coeficiente de determinação (R2) de 0,864, demonstrando que o número de conteúdos divulgados explica a maior parte da variabilidade do DQPI apurado.</w:t>
      </w:r>
    </w:p>
    <w:p w14:paraId="3780FDF4"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No entanto, diferente em parte do verificado naquela investigação, os bancos que menos reportaram ODS não necessariamente ficaram com os piores índices DQPI, como é o exemplo do banco Itaú em 2021 (Tabela 7), ocupando a sexta posição mesmo não tendo pontuado nos ODS 9 e 11 ficando na frente de bancos como BNDES e Santander que cobriram todos os ODS em seus relatos do mesmo ano.</w:t>
      </w:r>
    </w:p>
    <w:p w14:paraId="23175724" w14:textId="77777777" w:rsidR="00EC4499" w:rsidRDefault="00EC4499" w:rsidP="00F73D0C">
      <w:pPr>
        <w:spacing w:after="0" w:line="360" w:lineRule="auto"/>
        <w:jc w:val="both"/>
        <w:rPr>
          <w:rFonts w:ascii="Garamond" w:eastAsia="Garamond" w:hAnsi="Garamond" w:cs="Garamond"/>
          <w:sz w:val="24"/>
          <w:szCs w:val="24"/>
        </w:rPr>
      </w:pPr>
    </w:p>
    <w:p w14:paraId="5176C469" w14:textId="77777777" w:rsidR="00EC4499" w:rsidRDefault="00433EA7">
      <w:pPr>
        <w:pStyle w:val="Ttulo2"/>
        <w:spacing w:after="0" w:line="360" w:lineRule="auto"/>
        <w:rPr>
          <w:rFonts w:ascii="Garamond" w:eastAsia="Garamond" w:hAnsi="Garamond" w:cs="Garamond"/>
          <w:sz w:val="26"/>
          <w:szCs w:val="26"/>
        </w:rPr>
      </w:pPr>
      <w:bookmarkStart w:id="15" w:name="_heading=h.ckd9ws873d8g" w:colFirst="0" w:colLast="0"/>
      <w:bookmarkEnd w:id="15"/>
      <w:r>
        <w:rPr>
          <w:rFonts w:ascii="Garamond" w:eastAsia="Garamond" w:hAnsi="Garamond" w:cs="Garamond"/>
          <w:sz w:val="26"/>
          <w:szCs w:val="26"/>
        </w:rPr>
        <w:t xml:space="preserve">4.4 </w:t>
      </w:r>
      <w:r>
        <w:rPr>
          <w:rFonts w:ascii="Garamond" w:eastAsia="Garamond" w:hAnsi="Garamond" w:cs="Garamond"/>
          <w:sz w:val="26"/>
          <w:szCs w:val="26"/>
        </w:rPr>
        <w:tab/>
        <w:t>Análise da qualidade sem vinculação com os ODS</w:t>
      </w:r>
    </w:p>
    <w:p w14:paraId="5459E329" w14:textId="77777777" w:rsidR="00EC4499" w:rsidRDefault="00EC4499">
      <w:pPr>
        <w:spacing w:after="0" w:line="360" w:lineRule="auto"/>
        <w:rPr>
          <w:rFonts w:ascii="Garamond" w:eastAsia="Garamond" w:hAnsi="Garamond" w:cs="Garamond"/>
          <w:color w:val="000000"/>
          <w:sz w:val="24"/>
          <w:szCs w:val="24"/>
        </w:rPr>
      </w:pPr>
    </w:p>
    <w:p w14:paraId="176C6EC5"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Nas tabelas a seguir apresentaremos a pontuação total do Indicador de Responsabilidade (AI) sem fazer a vinculação com os ODS, bem como a nota média obtida a partir da sua divisão pelo número de conteúdos divulgados.</w:t>
      </w:r>
    </w:p>
    <w:p w14:paraId="35E22AFF" w14:textId="77777777" w:rsidR="00EC4499" w:rsidRDefault="00EC4499">
      <w:pPr>
        <w:spacing w:after="0" w:line="360" w:lineRule="auto"/>
        <w:ind w:firstLine="708"/>
        <w:jc w:val="both"/>
        <w:rPr>
          <w:rFonts w:ascii="Garamond" w:eastAsia="Garamond" w:hAnsi="Garamond" w:cs="Garamond"/>
          <w:sz w:val="24"/>
          <w:szCs w:val="24"/>
        </w:rPr>
      </w:pPr>
    </w:p>
    <w:p w14:paraId="409851A7" w14:textId="77777777" w:rsidR="00EC4499" w:rsidRDefault="00433EA7">
      <w:pPr>
        <w:spacing w:after="0" w:line="360" w:lineRule="auto"/>
        <w:jc w:val="center"/>
        <w:rPr>
          <w:rFonts w:ascii="Garamond" w:eastAsia="Garamond" w:hAnsi="Garamond" w:cs="Garamond"/>
          <w:color w:val="000000"/>
          <w:sz w:val="24"/>
          <w:szCs w:val="24"/>
        </w:rPr>
      </w:pPr>
      <w:r>
        <w:rPr>
          <w:rFonts w:ascii="Garamond" w:eastAsia="Garamond" w:hAnsi="Garamond" w:cs="Garamond"/>
          <w:color w:val="000000"/>
          <w:sz w:val="24"/>
          <w:szCs w:val="24"/>
        </w:rPr>
        <w:lastRenderedPageBreak/>
        <w:t>Tabela 17 - Resultados Conteúdos 2021</w:t>
      </w:r>
    </w:p>
    <w:tbl>
      <w:tblPr>
        <w:tblStyle w:val="af0"/>
        <w:tblW w:w="8503" w:type="dxa"/>
        <w:tblInd w:w="0" w:type="dxa"/>
        <w:tblLayout w:type="fixed"/>
        <w:tblLook w:val="0400" w:firstRow="0" w:lastRow="0" w:firstColumn="0" w:lastColumn="0" w:noHBand="0" w:noVBand="1"/>
      </w:tblPr>
      <w:tblGrid>
        <w:gridCol w:w="1691"/>
        <w:gridCol w:w="2407"/>
        <w:gridCol w:w="1714"/>
        <w:gridCol w:w="2691"/>
      </w:tblGrid>
      <w:tr w:rsidR="00C571C6" w14:paraId="05F3EACE" w14:textId="77777777" w:rsidTr="00AF114F">
        <w:trPr>
          <w:trHeight w:val="288"/>
        </w:trPr>
        <w:tc>
          <w:tcPr>
            <w:tcW w:w="1691" w:type="dxa"/>
            <w:tcBorders>
              <w:top w:val="nil"/>
              <w:left w:val="nil"/>
              <w:bottom w:val="single" w:sz="4" w:space="0" w:color="000000"/>
              <w:right w:val="nil"/>
            </w:tcBorders>
            <w:shd w:val="clear" w:color="auto" w:fill="auto"/>
            <w:vAlign w:val="bottom"/>
          </w:tcPr>
          <w:p w14:paraId="5A10C9A0" w14:textId="77777777" w:rsidR="00C571C6" w:rsidRDefault="00C571C6" w:rsidP="00AF114F">
            <w:pPr>
              <w:spacing w:after="0" w:line="240" w:lineRule="auto"/>
              <w:rPr>
                <w:rFonts w:ascii="Garamond" w:eastAsia="Garamond" w:hAnsi="Garamond" w:cs="Garamond"/>
                <w:b/>
                <w:color w:val="000000"/>
                <w:sz w:val="18"/>
                <w:szCs w:val="18"/>
              </w:rPr>
            </w:pPr>
            <w:r>
              <w:rPr>
                <w:rFonts w:ascii="Garamond" w:eastAsia="Garamond" w:hAnsi="Garamond" w:cs="Garamond"/>
                <w:b/>
                <w:color w:val="000000"/>
                <w:sz w:val="18"/>
                <w:szCs w:val="18"/>
              </w:rPr>
              <w:t>Bancos</w:t>
            </w:r>
          </w:p>
        </w:tc>
        <w:tc>
          <w:tcPr>
            <w:tcW w:w="2407" w:type="dxa"/>
            <w:tcBorders>
              <w:top w:val="nil"/>
              <w:left w:val="nil"/>
              <w:bottom w:val="single" w:sz="4" w:space="0" w:color="000000"/>
              <w:right w:val="nil"/>
            </w:tcBorders>
            <w:shd w:val="clear" w:color="auto" w:fill="auto"/>
            <w:vAlign w:val="bottom"/>
          </w:tcPr>
          <w:p w14:paraId="5113E8A0" w14:textId="77777777" w:rsidR="00C571C6" w:rsidRDefault="00C571C6" w:rsidP="00AF114F">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Pontuação AI</w:t>
            </w:r>
          </w:p>
        </w:tc>
        <w:tc>
          <w:tcPr>
            <w:tcW w:w="1714" w:type="dxa"/>
            <w:tcBorders>
              <w:top w:val="nil"/>
              <w:left w:val="nil"/>
              <w:bottom w:val="single" w:sz="4" w:space="0" w:color="000000"/>
              <w:right w:val="nil"/>
            </w:tcBorders>
            <w:shd w:val="clear" w:color="auto" w:fill="auto"/>
            <w:vAlign w:val="bottom"/>
          </w:tcPr>
          <w:p w14:paraId="03D01261" w14:textId="77777777" w:rsidR="00C571C6" w:rsidRDefault="00C571C6" w:rsidP="00AF114F">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 xml:space="preserve">Conteúdos    </w:t>
            </w:r>
          </w:p>
        </w:tc>
        <w:tc>
          <w:tcPr>
            <w:tcW w:w="2691" w:type="dxa"/>
            <w:tcBorders>
              <w:top w:val="nil"/>
              <w:left w:val="nil"/>
              <w:bottom w:val="single" w:sz="4" w:space="0" w:color="000000"/>
              <w:right w:val="nil"/>
            </w:tcBorders>
            <w:shd w:val="clear" w:color="auto" w:fill="auto"/>
            <w:vAlign w:val="bottom"/>
          </w:tcPr>
          <w:p w14:paraId="605DB4F4" w14:textId="77777777" w:rsidR="00C571C6" w:rsidRDefault="00C571C6" w:rsidP="00AF114F">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Nota média por conteúdo</w:t>
            </w:r>
          </w:p>
        </w:tc>
      </w:tr>
      <w:tr w:rsidR="00C571C6" w14:paraId="5393A566" w14:textId="77777777" w:rsidTr="00AF114F">
        <w:trPr>
          <w:trHeight w:val="288"/>
        </w:trPr>
        <w:tc>
          <w:tcPr>
            <w:tcW w:w="1691" w:type="dxa"/>
            <w:tcBorders>
              <w:top w:val="single" w:sz="4" w:space="0" w:color="000000"/>
              <w:left w:val="nil"/>
              <w:bottom w:val="nil"/>
              <w:right w:val="nil"/>
            </w:tcBorders>
            <w:shd w:val="clear" w:color="auto" w:fill="auto"/>
            <w:vAlign w:val="bottom"/>
          </w:tcPr>
          <w:p w14:paraId="7983A578" w14:textId="77777777" w:rsidR="00C571C6" w:rsidRDefault="00C571C6" w:rsidP="00AF114F">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Bradesco</w:t>
            </w:r>
          </w:p>
        </w:tc>
        <w:tc>
          <w:tcPr>
            <w:tcW w:w="2407" w:type="dxa"/>
            <w:tcBorders>
              <w:top w:val="single" w:sz="4" w:space="0" w:color="000000"/>
              <w:left w:val="nil"/>
              <w:bottom w:val="nil"/>
              <w:right w:val="nil"/>
            </w:tcBorders>
            <w:shd w:val="clear" w:color="auto" w:fill="auto"/>
            <w:vAlign w:val="bottom"/>
          </w:tcPr>
          <w:p w14:paraId="4A6FD51E" w14:textId="56E896D3" w:rsidR="00C571C6" w:rsidRDefault="00C571C6" w:rsidP="00AF114F">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98</w:t>
            </w:r>
          </w:p>
        </w:tc>
        <w:tc>
          <w:tcPr>
            <w:tcW w:w="1714" w:type="dxa"/>
            <w:tcBorders>
              <w:top w:val="single" w:sz="4" w:space="0" w:color="000000"/>
              <w:left w:val="nil"/>
              <w:bottom w:val="nil"/>
              <w:right w:val="nil"/>
            </w:tcBorders>
            <w:shd w:val="clear" w:color="auto" w:fill="auto"/>
            <w:vAlign w:val="bottom"/>
          </w:tcPr>
          <w:p w14:paraId="3F4FC8B9" w14:textId="225325A9" w:rsidR="00C571C6" w:rsidRDefault="00A40813" w:rsidP="00AF114F">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57</w:t>
            </w:r>
          </w:p>
        </w:tc>
        <w:tc>
          <w:tcPr>
            <w:tcW w:w="2691" w:type="dxa"/>
            <w:tcBorders>
              <w:top w:val="single" w:sz="4" w:space="0" w:color="000000"/>
              <w:left w:val="nil"/>
              <w:bottom w:val="nil"/>
              <w:right w:val="nil"/>
            </w:tcBorders>
            <w:shd w:val="clear" w:color="auto" w:fill="auto"/>
            <w:vAlign w:val="bottom"/>
          </w:tcPr>
          <w:p w14:paraId="72D43F77" w14:textId="0451C09D" w:rsidR="00C571C6" w:rsidRDefault="00C571C6" w:rsidP="00AF114F">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1,7</w:t>
            </w:r>
            <w:r w:rsidR="00A40813">
              <w:rPr>
                <w:rFonts w:ascii="Garamond" w:eastAsia="Garamond" w:hAnsi="Garamond" w:cs="Garamond"/>
                <w:color w:val="000000"/>
                <w:sz w:val="18"/>
                <w:szCs w:val="18"/>
              </w:rPr>
              <w:t>2</w:t>
            </w:r>
          </w:p>
        </w:tc>
      </w:tr>
      <w:tr w:rsidR="00C571C6" w14:paraId="742BACE6" w14:textId="77777777" w:rsidTr="00AF114F">
        <w:trPr>
          <w:trHeight w:val="288"/>
        </w:trPr>
        <w:tc>
          <w:tcPr>
            <w:tcW w:w="1691" w:type="dxa"/>
            <w:tcBorders>
              <w:top w:val="nil"/>
              <w:left w:val="nil"/>
              <w:bottom w:val="nil"/>
              <w:right w:val="nil"/>
            </w:tcBorders>
            <w:shd w:val="clear" w:color="auto" w:fill="auto"/>
            <w:vAlign w:val="bottom"/>
          </w:tcPr>
          <w:p w14:paraId="623D2CEB" w14:textId="40E8C88A" w:rsidR="00C571C6" w:rsidRDefault="00C571C6" w:rsidP="00AF114F">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Itaú</w:t>
            </w:r>
          </w:p>
        </w:tc>
        <w:tc>
          <w:tcPr>
            <w:tcW w:w="2407" w:type="dxa"/>
            <w:tcBorders>
              <w:top w:val="nil"/>
              <w:left w:val="nil"/>
              <w:bottom w:val="nil"/>
              <w:right w:val="nil"/>
            </w:tcBorders>
            <w:shd w:val="clear" w:color="auto" w:fill="auto"/>
            <w:vAlign w:val="bottom"/>
          </w:tcPr>
          <w:p w14:paraId="5FF11EAB" w14:textId="005F7ADB" w:rsidR="00C571C6" w:rsidRDefault="00C571C6" w:rsidP="00AF114F">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72</w:t>
            </w:r>
          </w:p>
        </w:tc>
        <w:tc>
          <w:tcPr>
            <w:tcW w:w="1714" w:type="dxa"/>
            <w:tcBorders>
              <w:top w:val="nil"/>
              <w:left w:val="nil"/>
              <w:bottom w:val="nil"/>
              <w:right w:val="nil"/>
            </w:tcBorders>
            <w:shd w:val="clear" w:color="auto" w:fill="auto"/>
            <w:vAlign w:val="bottom"/>
          </w:tcPr>
          <w:p w14:paraId="40326428" w14:textId="1A9D3B89" w:rsidR="00C571C6" w:rsidRDefault="00A40813" w:rsidP="00AF114F">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40</w:t>
            </w:r>
          </w:p>
        </w:tc>
        <w:tc>
          <w:tcPr>
            <w:tcW w:w="2691" w:type="dxa"/>
            <w:tcBorders>
              <w:top w:val="nil"/>
              <w:left w:val="nil"/>
              <w:bottom w:val="nil"/>
              <w:right w:val="nil"/>
            </w:tcBorders>
            <w:shd w:val="clear" w:color="auto" w:fill="auto"/>
            <w:vAlign w:val="bottom"/>
          </w:tcPr>
          <w:p w14:paraId="68392ACB" w14:textId="095B5D5D" w:rsidR="00C571C6" w:rsidRDefault="00C571C6" w:rsidP="00AF114F">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r w:rsidR="00A40813">
              <w:rPr>
                <w:rFonts w:ascii="Garamond" w:eastAsia="Garamond" w:hAnsi="Garamond" w:cs="Garamond"/>
                <w:color w:val="000000"/>
                <w:sz w:val="18"/>
                <w:szCs w:val="18"/>
              </w:rPr>
              <w:t>8</w:t>
            </w:r>
          </w:p>
        </w:tc>
      </w:tr>
      <w:tr w:rsidR="00C571C6" w14:paraId="761CCA47" w14:textId="77777777" w:rsidTr="00AF114F">
        <w:trPr>
          <w:trHeight w:val="288"/>
        </w:trPr>
        <w:tc>
          <w:tcPr>
            <w:tcW w:w="1691" w:type="dxa"/>
            <w:tcBorders>
              <w:top w:val="nil"/>
              <w:left w:val="nil"/>
              <w:bottom w:val="nil"/>
              <w:right w:val="nil"/>
            </w:tcBorders>
            <w:shd w:val="clear" w:color="auto" w:fill="auto"/>
            <w:vAlign w:val="bottom"/>
          </w:tcPr>
          <w:p w14:paraId="4A94D6C2" w14:textId="77777777" w:rsidR="00C571C6" w:rsidRDefault="00C571C6" w:rsidP="00AF114F">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BNDES</w:t>
            </w:r>
          </w:p>
        </w:tc>
        <w:tc>
          <w:tcPr>
            <w:tcW w:w="2407" w:type="dxa"/>
            <w:tcBorders>
              <w:top w:val="nil"/>
              <w:left w:val="nil"/>
              <w:bottom w:val="nil"/>
              <w:right w:val="nil"/>
            </w:tcBorders>
            <w:shd w:val="clear" w:color="auto" w:fill="auto"/>
            <w:vAlign w:val="bottom"/>
          </w:tcPr>
          <w:p w14:paraId="4AFFBD32" w14:textId="2C3E17D3" w:rsidR="00C571C6" w:rsidRDefault="00C571C6" w:rsidP="00AF114F">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71</w:t>
            </w:r>
          </w:p>
        </w:tc>
        <w:tc>
          <w:tcPr>
            <w:tcW w:w="1714" w:type="dxa"/>
            <w:tcBorders>
              <w:top w:val="nil"/>
              <w:left w:val="nil"/>
              <w:bottom w:val="nil"/>
              <w:right w:val="nil"/>
            </w:tcBorders>
            <w:shd w:val="clear" w:color="auto" w:fill="auto"/>
            <w:vAlign w:val="bottom"/>
          </w:tcPr>
          <w:p w14:paraId="500A1682" w14:textId="1339A4D2" w:rsidR="00C571C6" w:rsidRDefault="00A40813" w:rsidP="00AF114F">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45</w:t>
            </w:r>
          </w:p>
        </w:tc>
        <w:tc>
          <w:tcPr>
            <w:tcW w:w="2691" w:type="dxa"/>
            <w:tcBorders>
              <w:top w:val="nil"/>
              <w:left w:val="nil"/>
              <w:bottom w:val="nil"/>
              <w:right w:val="nil"/>
            </w:tcBorders>
            <w:shd w:val="clear" w:color="auto" w:fill="auto"/>
            <w:vAlign w:val="bottom"/>
          </w:tcPr>
          <w:p w14:paraId="2E0E4FEC" w14:textId="5B87817B" w:rsidR="00C571C6" w:rsidRDefault="00C571C6" w:rsidP="00AF114F">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r w:rsidR="00C126A4">
              <w:rPr>
                <w:rFonts w:ascii="Garamond" w:eastAsia="Garamond" w:hAnsi="Garamond" w:cs="Garamond"/>
                <w:color w:val="000000"/>
                <w:sz w:val="18"/>
                <w:szCs w:val="18"/>
              </w:rPr>
              <w:t>58</w:t>
            </w:r>
          </w:p>
        </w:tc>
      </w:tr>
      <w:tr w:rsidR="00C571C6" w14:paraId="5470BE9F" w14:textId="77777777" w:rsidTr="00AF114F">
        <w:trPr>
          <w:trHeight w:val="288"/>
        </w:trPr>
        <w:tc>
          <w:tcPr>
            <w:tcW w:w="1691" w:type="dxa"/>
            <w:tcBorders>
              <w:top w:val="nil"/>
              <w:left w:val="nil"/>
              <w:bottom w:val="nil"/>
              <w:right w:val="nil"/>
            </w:tcBorders>
            <w:shd w:val="clear" w:color="auto" w:fill="auto"/>
            <w:vAlign w:val="bottom"/>
          </w:tcPr>
          <w:p w14:paraId="4988F2D0" w14:textId="28795702" w:rsidR="00C571C6" w:rsidRDefault="00C571C6" w:rsidP="00AF114F">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BTG Pactual</w:t>
            </w:r>
          </w:p>
        </w:tc>
        <w:tc>
          <w:tcPr>
            <w:tcW w:w="2407" w:type="dxa"/>
            <w:tcBorders>
              <w:top w:val="nil"/>
              <w:left w:val="nil"/>
              <w:bottom w:val="nil"/>
              <w:right w:val="nil"/>
            </w:tcBorders>
            <w:shd w:val="clear" w:color="auto" w:fill="auto"/>
            <w:vAlign w:val="bottom"/>
          </w:tcPr>
          <w:p w14:paraId="25D7FA7E" w14:textId="727848DD" w:rsidR="00C571C6" w:rsidRDefault="00C571C6" w:rsidP="00AF114F">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70</w:t>
            </w:r>
          </w:p>
        </w:tc>
        <w:tc>
          <w:tcPr>
            <w:tcW w:w="1714" w:type="dxa"/>
            <w:tcBorders>
              <w:top w:val="nil"/>
              <w:left w:val="nil"/>
              <w:bottom w:val="nil"/>
              <w:right w:val="nil"/>
            </w:tcBorders>
            <w:shd w:val="clear" w:color="auto" w:fill="auto"/>
            <w:vAlign w:val="bottom"/>
          </w:tcPr>
          <w:p w14:paraId="69B180F3" w14:textId="23EFE8A3" w:rsidR="00C571C6" w:rsidRDefault="00A40813" w:rsidP="00AF114F">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41</w:t>
            </w:r>
          </w:p>
        </w:tc>
        <w:tc>
          <w:tcPr>
            <w:tcW w:w="2691" w:type="dxa"/>
            <w:tcBorders>
              <w:top w:val="nil"/>
              <w:left w:val="nil"/>
              <w:bottom w:val="nil"/>
              <w:right w:val="nil"/>
            </w:tcBorders>
            <w:shd w:val="clear" w:color="auto" w:fill="auto"/>
            <w:vAlign w:val="bottom"/>
          </w:tcPr>
          <w:p w14:paraId="59ACC790" w14:textId="544AD68C" w:rsidR="00C571C6" w:rsidRDefault="00C571C6" w:rsidP="00AF114F">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r w:rsidR="00C126A4">
              <w:rPr>
                <w:rFonts w:ascii="Garamond" w:eastAsia="Garamond" w:hAnsi="Garamond" w:cs="Garamond"/>
                <w:color w:val="000000"/>
                <w:sz w:val="18"/>
                <w:szCs w:val="18"/>
              </w:rPr>
              <w:t>71</w:t>
            </w:r>
          </w:p>
        </w:tc>
      </w:tr>
      <w:tr w:rsidR="00C571C6" w14:paraId="365B1648" w14:textId="77777777" w:rsidTr="00AF114F">
        <w:trPr>
          <w:trHeight w:val="288"/>
        </w:trPr>
        <w:tc>
          <w:tcPr>
            <w:tcW w:w="1691" w:type="dxa"/>
            <w:tcBorders>
              <w:top w:val="nil"/>
              <w:left w:val="nil"/>
              <w:bottom w:val="nil"/>
              <w:right w:val="nil"/>
            </w:tcBorders>
            <w:shd w:val="clear" w:color="auto" w:fill="auto"/>
            <w:vAlign w:val="bottom"/>
          </w:tcPr>
          <w:p w14:paraId="044DB567" w14:textId="2DCA6BCF" w:rsidR="00C571C6" w:rsidRDefault="00C571C6" w:rsidP="00AF114F">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Banco do Brasil</w:t>
            </w:r>
          </w:p>
        </w:tc>
        <w:tc>
          <w:tcPr>
            <w:tcW w:w="2407" w:type="dxa"/>
            <w:tcBorders>
              <w:top w:val="nil"/>
              <w:left w:val="nil"/>
              <w:bottom w:val="nil"/>
              <w:right w:val="nil"/>
            </w:tcBorders>
            <w:shd w:val="clear" w:color="auto" w:fill="auto"/>
            <w:vAlign w:val="bottom"/>
          </w:tcPr>
          <w:p w14:paraId="3434E984" w14:textId="64B20C46" w:rsidR="00C571C6" w:rsidRDefault="00C571C6" w:rsidP="00AF114F">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70</w:t>
            </w:r>
          </w:p>
        </w:tc>
        <w:tc>
          <w:tcPr>
            <w:tcW w:w="1714" w:type="dxa"/>
            <w:tcBorders>
              <w:top w:val="nil"/>
              <w:left w:val="nil"/>
              <w:bottom w:val="nil"/>
              <w:right w:val="nil"/>
            </w:tcBorders>
            <w:shd w:val="clear" w:color="auto" w:fill="auto"/>
            <w:vAlign w:val="bottom"/>
          </w:tcPr>
          <w:p w14:paraId="6CEF3029" w14:textId="0936D30B" w:rsidR="00C571C6" w:rsidRDefault="00A40813" w:rsidP="00AF114F">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39</w:t>
            </w:r>
          </w:p>
        </w:tc>
        <w:tc>
          <w:tcPr>
            <w:tcW w:w="2691" w:type="dxa"/>
            <w:tcBorders>
              <w:top w:val="nil"/>
              <w:left w:val="nil"/>
              <w:bottom w:val="nil"/>
              <w:right w:val="nil"/>
            </w:tcBorders>
            <w:shd w:val="clear" w:color="auto" w:fill="auto"/>
            <w:vAlign w:val="bottom"/>
          </w:tcPr>
          <w:p w14:paraId="2F17927A" w14:textId="54442667" w:rsidR="00C571C6" w:rsidRDefault="00C571C6" w:rsidP="00AF114F">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1,7</w:t>
            </w:r>
            <w:r w:rsidR="00C126A4">
              <w:rPr>
                <w:rFonts w:ascii="Garamond" w:eastAsia="Garamond" w:hAnsi="Garamond" w:cs="Garamond"/>
                <w:color w:val="000000"/>
                <w:sz w:val="18"/>
                <w:szCs w:val="18"/>
              </w:rPr>
              <w:t>9</w:t>
            </w:r>
          </w:p>
        </w:tc>
      </w:tr>
      <w:tr w:rsidR="00C571C6" w14:paraId="7C6BA247" w14:textId="77777777" w:rsidTr="00AF114F">
        <w:trPr>
          <w:trHeight w:val="288"/>
        </w:trPr>
        <w:tc>
          <w:tcPr>
            <w:tcW w:w="1691" w:type="dxa"/>
            <w:tcBorders>
              <w:top w:val="nil"/>
              <w:left w:val="nil"/>
              <w:bottom w:val="nil"/>
              <w:right w:val="nil"/>
            </w:tcBorders>
            <w:shd w:val="clear" w:color="auto" w:fill="auto"/>
            <w:vAlign w:val="bottom"/>
          </w:tcPr>
          <w:p w14:paraId="5F729854" w14:textId="77EF72A0" w:rsidR="00C571C6" w:rsidRDefault="00C571C6" w:rsidP="00AF114F">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Citibank</w:t>
            </w:r>
          </w:p>
        </w:tc>
        <w:tc>
          <w:tcPr>
            <w:tcW w:w="2407" w:type="dxa"/>
            <w:tcBorders>
              <w:top w:val="nil"/>
              <w:left w:val="nil"/>
              <w:bottom w:val="nil"/>
              <w:right w:val="nil"/>
            </w:tcBorders>
            <w:shd w:val="clear" w:color="auto" w:fill="auto"/>
            <w:vAlign w:val="bottom"/>
          </w:tcPr>
          <w:p w14:paraId="4A4AB5FE" w14:textId="5C624AF1" w:rsidR="00C571C6" w:rsidRDefault="00C571C6" w:rsidP="00AF114F">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60</w:t>
            </w:r>
          </w:p>
        </w:tc>
        <w:tc>
          <w:tcPr>
            <w:tcW w:w="1714" w:type="dxa"/>
            <w:tcBorders>
              <w:top w:val="nil"/>
              <w:left w:val="nil"/>
              <w:bottom w:val="nil"/>
              <w:right w:val="nil"/>
            </w:tcBorders>
            <w:shd w:val="clear" w:color="auto" w:fill="auto"/>
            <w:vAlign w:val="bottom"/>
          </w:tcPr>
          <w:p w14:paraId="2F34A532" w14:textId="726E4D3A" w:rsidR="00C571C6" w:rsidRDefault="00A40813" w:rsidP="00AF114F">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39</w:t>
            </w:r>
          </w:p>
        </w:tc>
        <w:tc>
          <w:tcPr>
            <w:tcW w:w="2691" w:type="dxa"/>
            <w:tcBorders>
              <w:top w:val="nil"/>
              <w:left w:val="nil"/>
              <w:bottom w:val="nil"/>
              <w:right w:val="nil"/>
            </w:tcBorders>
            <w:shd w:val="clear" w:color="auto" w:fill="auto"/>
            <w:vAlign w:val="bottom"/>
          </w:tcPr>
          <w:p w14:paraId="11B2336D" w14:textId="4A4F0AC9" w:rsidR="00C571C6" w:rsidRDefault="00C571C6" w:rsidP="00AF114F">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r w:rsidR="00C126A4">
              <w:rPr>
                <w:rFonts w:ascii="Garamond" w:eastAsia="Garamond" w:hAnsi="Garamond" w:cs="Garamond"/>
                <w:color w:val="000000"/>
                <w:sz w:val="18"/>
                <w:szCs w:val="18"/>
              </w:rPr>
              <w:t>54</w:t>
            </w:r>
          </w:p>
        </w:tc>
      </w:tr>
      <w:tr w:rsidR="00C571C6" w14:paraId="07061D11" w14:textId="77777777" w:rsidTr="00AF114F">
        <w:trPr>
          <w:trHeight w:val="288"/>
        </w:trPr>
        <w:tc>
          <w:tcPr>
            <w:tcW w:w="1691" w:type="dxa"/>
            <w:tcBorders>
              <w:top w:val="nil"/>
              <w:left w:val="nil"/>
              <w:bottom w:val="nil"/>
              <w:right w:val="nil"/>
            </w:tcBorders>
            <w:shd w:val="clear" w:color="auto" w:fill="auto"/>
            <w:vAlign w:val="bottom"/>
          </w:tcPr>
          <w:p w14:paraId="483D7B26" w14:textId="4DD635F1" w:rsidR="00C571C6" w:rsidRDefault="00C571C6" w:rsidP="00AF114F">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Inter</w:t>
            </w:r>
          </w:p>
        </w:tc>
        <w:tc>
          <w:tcPr>
            <w:tcW w:w="2407" w:type="dxa"/>
            <w:tcBorders>
              <w:top w:val="nil"/>
              <w:left w:val="nil"/>
              <w:bottom w:val="nil"/>
              <w:right w:val="nil"/>
            </w:tcBorders>
            <w:shd w:val="clear" w:color="auto" w:fill="auto"/>
            <w:vAlign w:val="bottom"/>
          </w:tcPr>
          <w:p w14:paraId="79AA364B" w14:textId="4C77CAAA" w:rsidR="00C571C6" w:rsidRDefault="00C571C6" w:rsidP="00AF114F">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56</w:t>
            </w:r>
          </w:p>
        </w:tc>
        <w:tc>
          <w:tcPr>
            <w:tcW w:w="1714" w:type="dxa"/>
            <w:tcBorders>
              <w:top w:val="nil"/>
              <w:left w:val="nil"/>
              <w:bottom w:val="nil"/>
              <w:right w:val="nil"/>
            </w:tcBorders>
            <w:shd w:val="clear" w:color="auto" w:fill="auto"/>
            <w:vAlign w:val="bottom"/>
          </w:tcPr>
          <w:p w14:paraId="11F1E51E" w14:textId="63D4E0D8" w:rsidR="00C571C6" w:rsidRDefault="00A83F9D" w:rsidP="00AF114F">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29</w:t>
            </w:r>
          </w:p>
        </w:tc>
        <w:tc>
          <w:tcPr>
            <w:tcW w:w="2691" w:type="dxa"/>
            <w:tcBorders>
              <w:top w:val="nil"/>
              <w:left w:val="nil"/>
              <w:bottom w:val="nil"/>
              <w:right w:val="nil"/>
            </w:tcBorders>
            <w:shd w:val="clear" w:color="auto" w:fill="auto"/>
            <w:vAlign w:val="bottom"/>
          </w:tcPr>
          <w:p w14:paraId="07EF6BC5" w14:textId="12BBE981" w:rsidR="00C571C6" w:rsidRDefault="00C571C6" w:rsidP="00AF114F">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r w:rsidR="00C126A4">
              <w:rPr>
                <w:rFonts w:ascii="Garamond" w:eastAsia="Garamond" w:hAnsi="Garamond" w:cs="Garamond"/>
                <w:color w:val="000000"/>
                <w:sz w:val="18"/>
                <w:szCs w:val="18"/>
              </w:rPr>
              <w:t>93</w:t>
            </w:r>
          </w:p>
        </w:tc>
      </w:tr>
      <w:tr w:rsidR="00C571C6" w14:paraId="6CE5CE11" w14:textId="77777777" w:rsidTr="00AF114F">
        <w:trPr>
          <w:trHeight w:val="288"/>
        </w:trPr>
        <w:tc>
          <w:tcPr>
            <w:tcW w:w="1691" w:type="dxa"/>
            <w:tcBorders>
              <w:top w:val="nil"/>
              <w:left w:val="nil"/>
              <w:bottom w:val="nil"/>
              <w:right w:val="nil"/>
            </w:tcBorders>
            <w:shd w:val="clear" w:color="auto" w:fill="auto"/>
            <w:vAlign w:val="bottom"/>
          </w:tcPr>
          <w:p w14:paraId="1095C702" w14:textId="76CB8651" w:rsidR="00C571C6" w:rsidRDefault="00C571C6" w:rsidP="00AF114F">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Santander</w:t>
            </w:r>
          </w:p>
        </w:tc>
        <w:tc>
          <w:tcPr>
            <w:tcW w:w="2407" w:type="dxa"/>
            <w:tcBorders>
              <w:top w:val="nil"/>
              <w:left w:val="nil"/>
              <w:bottom w:val="nil"/>
              <w:right w:val="nil"/>
            </w:tcBorders>
            <w:shd w:val="clear" w:color="auto" w:fill="auto"/>
            <w:vAlign w:val="bottom"/>
          </w:tcPr>
          <w:p w14:paraId="5D00432F" w14:textId="2E321DCF" w:rsidR="00C571C6" w:rsidRDefault="00C571C6" w:rsidP="00AF114F">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54</w:t>
            </w:r>
          </w:p>
        </w:tc>
        <w:tc>
          <w:tcPr>
            <w:tcW w:w="1714" w:type="dxa"/>
            <w:tcBorders>
              <w:top w:val="nil"/>
              <w:left w:val="nil"/>
              <w:bottom w:val="nil"/>
              <w:right w:val="nil"/>
            </w:tcBorders>
            <w:shd w:val="clear" w:color="auto" w:fill="auto"/>
            <w:vAlign w:val="bottom"/>
          </w:tcPr>
          <w:p w14:paraId="6E1E4966" w14:textId="6C001F1C" w:rsidR="00C571C6" w:rsidRDefault="00A83F9D" w:rsidP="00AF114F">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31</w:t>
            </w:r>
          </w:p>
        </w:tc>
        <w:tc>
          <w:tcPr>
            <w:tcW w:w="2691" w:type="dxa"/>
            <w:tcBorders>
              <w:top w:val="nil"/>
              <w:left w:val="nil"/>
              <w:bottom w:val="nil"/>
              <w:right w:val="nil"/>
            </w:tcBorders>
            <w:shd w:val="clear" w:color="auto" w:fill="auto"/>
            <w:vAlign w:val="bottom"/>
          </w:tcPr>
          <w:p w14:paraId="1AF2BA67" w14:textId="3DA86D0C" w:rsidR="00C571C6" w:rsidRDefault="00C571C6" w:rsidP="00AF114F">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r w:rsidR="00C126A4">
              <w:rPr>
                <w:rFonts w:ascii="Garamond" w:eastAsia="Garamond" w:hAnsi="Garamond" w:cs="Garamond"/>
                <w:color w:val="000000"/>
                <w:sz w:val="18"/>
                <w:szCs w:val="18"/>
              </w:rPr>
              <w:t>74</w:t>
            </w:r>
          </w:p>
        </w:tc>
      </w:tr>
      <w:tr w:rsidR="00C571C6" w14:paraId="045309FB" w14:textId="77777777" w:rsidTr="00AF114F">
        <w:trPr>
          <w:trHeight w:val="288"/>
        </w:trPr>
        <w:tc>
          <w:tcPr>
            <w:tcW w:w="1691" w:type="dxa"/>
            <w:tcBorders>
              <w:top w:val="nil"/>
              <w:left w:val="nil"/>
              <w:bottom w:val="nil"/>
              <w:right w:val="nil"/>
            </w:tcBorders>
            <w:shd w:val="clear" w:color="auto" w:fill="auto"/>
            <w:vAlign w:val="bottom"/>
          </w:tcPr>
          <w:p w14:paraId="471F5B69" w14:textId="77777777" w:rsidR="00C571C6" w:rsidRDefault="00C571C6" w:rsidP="00AF114F">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Sicredi</w:t>
            </w:r>
          </w:p>
        </w:tc>
        <w:tc>
          <w:tcPr>
            <w:tcW w:w="2407" w:type="dxa"/>
            <w:tcBorders>
              <w:top w:val="nil"/>
              <w:left w:val="nil"/>
              <w:bottom w:val="nil"/>
              <w:right w:val="nil"/>
            </w:tcBorders>
            <w:shd w:val="clear" w:color="auto" w:fill="auto"/>
            <w:vAlign w:val="bottom"/>
          </w:tcPr>
          <w:p w14:paraId="1902A117" w14:textId="77777777" w:rsidR="00C571C6" w:rsidRDefault="00C571C6" w:rsidP="00AF114F">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50</w:t>
            </w:r>
          </w:p>
        </w:tc>
        <w:tc>
          <w:tcPr>
            <w:tcW w:w="1714" w:type="dxa"/>
            <w:tcBorders>
              <w:top w:val="nil"/>
              <w:left w:val="nil"/>
              <w:bottom w:val="nil"/>
              <w:right w:val="nil"/>
            </w:tcBorders>
            <w:shd w:val="clear" w:color="auto" w:fill="auto"/>
            <w:vAlign w:val="bottom"/>
          </w:tcPr>
          <w:p w14:paraId="14EAAFF2" w14:textId="77777777" w:rsidR="00C571C6" w:rsidRDefault="00C571C6" w:rsidP="00AF114F">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27</w:t>
            </w:r>
          </w:p>
        </w:tc>
        <w:tc>
          <w:tcPr>
            <w:tcW w:w="2691" w:type="dxa"/>
            <w:tcBorders>
              <w:top w:val="nil"/>
              <w:left w:val="nil"/>
              <w:bottom w:val="nil"/>
              <w:right w:val="nil"/>
            </w:tcBorders>
            <w:shd w:val="clear" w:color="auto" w:fill="auto"/>
            <w:vAlign w:val="bottom"/>
          </w:tcPr>
          <w:p w14:paraId="0A6CA06C" w14:textId="5E50CF23" w:rsidR="00C571C6" w:rsidRDefault="00C571C6" w:rsidP="00AF114F">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r w:rsidR="00C126A4">
              <w:rPr>
                <w:rFonts w:ascii="Garamond" w:eastAsia="Garamond" w:hAnsi="Garamond" w:cs="Garamond"/>
                <w:color w:val="000000"/>
                <w:sz w:val="18"/>
                <w:szCs w:val="18"/>
              </w:rPr>
              <w:t>85</w:t>
            </w:r>
          </w:p>
        </w:tc>
      </w:tr>
      <w:tr w:rsidR="00C571C6" w14:paraId="525E45A2" w14:textId="77777777" w:rsidTr="00AF114F">
        <w:trPr>
          <w:trHeight w:val="288"/>
        </w:trPr>
        <w:tc>
          <w:tcPr>
            <w:tcW w:w="1691" w:type="dxa"/>
            <w:tcBorders>
              <w:top w:val="nil"/>
              <w:left w:val="nil"/>
              <w:bottom w:val="nil"/>
              <w:right w:val="nil"/>
            </w:tcBorders>
            <w:shd w:val="clear" w:color="auto" w:fill="auto"/>
            <w:vAlign w:val="bottom"/>
          </w:tcPr>
          <w:p w14:paraId="00B2A540" w14:textId="322104CE" w:rsidR="00C571C6" w:rsidRDefault="00C571C6" w:rsidP="00AF114F">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Banco do Nordeste</w:t>
            </w:r>
          </w:p>
        </w:tc>
        <w:tc>
          <w:tcPr>
            <w:tcW w:w="2407" w:type="dxa"/>
            <w:tcBorders>
              <w:top w:val="nil"/>
              <w:left w:val="nil"/>
              <w:bottom w:val="nil"/>
              <w:right w:val="nil"/>
            </w:tcBorders>
            <w:shd w:val="clear" w:color="auto" w:fill="auto"/>
            <w:vAlign w:val="bottom"/>
          </w:tcPr>
          <w:p w14:paraId="607A2B2A" w14:textId="546FCAA8" w:rsidR="00C571C6" w:rsidRDefault="00A83F9D" w:rsidP="00AF114F">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42</w:t>
            </w:r>
          </w:p>
        </w:tc>
        <w:tc>
          <w:tcPr>
            <w:tcW w:w="1714" w:type="dxa"/>
            <w:tcBorders>
              <w:top w:val="nil"/>
              <w:left w:val="nil"/>
              <w:bottom w:val="nil"/>
              <w:right w:val="nil"/>
            </w:tcBorders>
            <w:shd w:val="clear" w:color="auto" w:fill="auto"/>
            <w:vAlign w:val="bottom"/>
          </w:tcPr>
          <w:p w14:paraId="49D6DCD3" w14:textId="4EF2C39B" w:rsidR="00C571C6" w:rsidRDefault="00C571C6" w:rsidP="00AF114F">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r w:rsidR="00A83F9D">
              <w:rPr>
                <w:rFonts w:ascii="Garamond" w:eastAsia="Garamond" w:hAnsi="Garamond" w:cs="Garamond"/>
                <w:color w:val="000000"/>
                <w:sz w:val="18"/>
                <w:szCs w:val="18"/>
              </w:rPr>
              <w:t>4</w:t>
            </w:r>
          </w:p>
        </w:tc>
        <w:tc>
          <w:tcPr>
            <w:tcW w:w="2691" w:type="dxa"/>
            <w:tcBorders>
              <w:top w:val="nil"/>
              <w:left w:val="nil"/>
              <w:bottom w:val="nil"/>
              <w:right w:val="nil"/>
            </w:tcBorders>
            <w:shd w:val="clear" w:color="auto" w:fill="auto"/>
            <w:vAlign w:val="bottom"/>
          </w:tcPr>
          <w:p w14:paraId="52E2658A" w14:textId="6E14EFDA" w:rsidR="00C571C6" w:rsidRDefault="00C571C6" w:rsidP="00AF114F">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r w:rsidR="00C126A4">
              <w:rPr>
                <w:rFonts w:ascii="Garamond" w:eastAsia="Garamond" w:hAnsi="Garamond" w:cs="Garamond"/>
                <w:color w:val="000000"/>
                <w:sz w:val="18"/>
                <w:szCs w:val="18"/>
              </w:rPr>
              <w:t>75</w:t>
            </w:r>
          </w:p>
        </w:tc>
      </w:tr>
      <w:tr w:rsidR="00C571C6" w14:paraId="0E2DBAB7" w14:textId="77777777" w:rsidTr="00AF114F">
        <w:trPr>
          <w:trHeight w:val="288"/>
        </w:trPr>
        <w:tc>
          <w:tcPr>
            <w:tcW w:w="1691" w:type="dxa"/>
            <w:tcBorders>
              <w:top w:val="nil"/>
              <w:left w:val="nil"/>
              <w:right w:val="nil"/>
            </w:tcBorders>
            <w:shd w:val="clear" w:color="auto" w:fill="auto"/>
            <w:vAlign w:val="bottom"/>
          </w:tcPr>
          <w:p w14:paraId="05A24447" w14:textId="77777777" w:rsidR="00C571C6" w:rsidRDefault="00C571C6" w:rsidP="00AF114F">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Caixa</w:t>
            </w:r>
          </w:p>
        </w:tc>
        <w:tc>
          <w:tcPr>
            <w:tcW w:w="2407" w:type="dxa"/>
            <w:tcBorders>
              <w:top w:val="nil"/>
              <w:left w:val="nil"/>
              <w:right w:val="nil"/>
            </w:tcBorders>
            <w:shd w:val="clear" w:color="auto" w:fill="auto"/>
            <w:vAlign w:val="bottom"/>
          </w:tcPr>
          <w:p w14:paraId="3D2204E6" w14:textId="12BEAE37" w:rsidR="00C571C6" w:rsidRDefault="00A83F9D" w:rsidP="00AF114F">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26</w:t>
            </w:r>
          </w:p>
        </w:tc>
        <w:tc>
          <w:tcPr>
            <w:tcW w:w="1714" w:type="dxa"/>
            <w:tcBorders>
              <w:top w:val="nil"/>
              <w:left w:val="nil"/>
              <w:right w:val="nil"/>
            </w:tcBorders>
            <w:shd w:val="clear" w:color="auto" w:fill="auto"/>
            <w:vAlign w:val="bottom"/>
          </w:tcPr>
          <w:p w14:paraId="5D22D2BB" w14:textId="1BE267D1" w:rsidR="00C571C6" w:rsidRDefault="00A83F9D" w:rsidP="00AF114F">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14</w:t>
            </w:r>
          </w:p>
        </w:tc>
        <w:tc>
          <w:tcPr>
            <w:tcW w:w="2691" w:type="dxa"/>
            <w:tcBorders>
              <w:top w:val="nil"/>
              <w:left w:val="nil"/>
              <w:right w:val="nil"/>
            </w:tcBorders>
            <w:shd w:val="clear" w:color="auto" w:fill="auto"/>
            <w:vAlign w:val="bottom"/>
          </w:tcPr>
          <w:p w14:paraId="1BFB2E59" w14:textId="384F20D2" w:rsidR="00C571C6" w:rsidRDefault="00C571C6" w:rsidP="00AF114F">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r w:rsidR="00C126A4">
              <w:rPr>
                <w:rFonts w:ascii="Garamond" w:eastAsia="Garamond" w:hAnsi="Garamond" w:cs="Garamond"/>
                <w:color w:val="000000"/>
                <w:sz w:val="18"/>
                <w:szCs w:val="18"/>
              </w:rPr>
              <w:t>86</w:t>
            </w:r>
          </w:p>
        </w:tc>
      </w:tr>
      <w:tr w:rsidR="00C571C6" w14:paraId="491AC601" w14:textId="77777777" w:rsidTr="00AF114F">
        <w:trPr>
          <w:trHeight w:val="288"/>
        </w:trPr>
        <w:tc>
          <w:tcPr>
            <w:tcW w:w="1691" w:type="dxa"/>
            <w:tcBorders>
              <w:top w:val="nil"/>
              <w:left w:val="nil"/>
              <w:bottom w:val="single" w:sz="4" w:space="0" w:color="000000"/>
              <w:right w:val="nil"/>
            </w:tcBorders>
            <w:shd w:val="clear" w:color="auto" w:fill="auto"/>
            <w:vAlign w:val="bottom"/>
          </w:tcPr>
          <w:p w14:paraId="0B60C2AB" w14:textId="77777777" w:rsidR="00C571C6" w:rsidRDefault="00C571C6" w:rsidP="00AF114F">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J.P. Morgan</w:t>
            </w:r>
          </w:p>
        </w:tc>
        <w:tc>
          <w:tcPr>
            <w:tcW w:w="2407" w:type="dxa"/>
            <w:tcBorders>
              <w:top w:val="nil"/>
              <w:left w:val="nil"/>
              <w:bottom w:val="single" w:sz="4" w:space="0" w:color="000000"/>
              <w:right w:val="nil"/>
            </w:tcBorders>
            <w:shd w:val="clear" w:color="auto" w:fill="auto"/>
            <w:vAlign w:val="bottom"/>
          </w:tcPr>
          <w:p w14:paraId="1A18D8D7" w14:textId="2F8F73D9" w:rsidR="00C571C6" w:rsidRDefault="00C571C6" w:rsidP="00AF114F">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r w:rsidR="00A83F9D">
              <w:rPr>
                <w:rFonts w:ascii="Garamond" w:eastAsia="Garamond" w:hAnsi="Garamond" w:cs="Garamond"/>
                <w:color w:val="000000"/>
                <w:sz w:val="18"/>
                <w:szCs w:val="18"/>
              </w:rPr>
              <w:t>2</w:t>
            </w:r>
          </w:p>
        </w:tc>
        <w:tc>
          <w:tcPr>
            <w:tcW w:w="1714" w:type="dxa"/>
            <w:tcBorders>
              <w:top w:val="nil"/>
              <w:left w:val="nil"/>
              <w:bottom w:val="single" w:sz="4" w:space="0" w:color="000000"/>
              <w:right w:val="nil"/>
            </w:tcBorders>
            <w:shd w:val="clear" w:color="auto" w:fill="auto"/>
            <w:vAlign w:val="bottom"/>
          </w:tcPr>
          <w:p w14:paraId="464364DB" w14:textId="77777777" w:rsidR="00C571C6" w:rsidRDefault="00C571C6" w:rsidP="00AF114F">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14</w:t>
            </w:r>
          </w:p>
        </w:tc>
        <w:tc>
          <w:tcPr>
            <w:tcW w:w="2691" w:type="dxa"/>
            <w:tcBorders>
              <w:top w:val="nil"/>
              <w:left w:val="nil"/>
              <w:bottom w:val="single" w:sz="4" w:space="0" w:color="000000"/>
              <w:right w:val="nil"/>
            </w:tcBorders>
            <w:shd w:val="clear" w:color="auto" w:fill="auto"/>
            <w:vAlign w:val="bottom"/>
          </w:tcPr>
          <w:p w14:paraId="2280FA9B" w14:textId="655EFD2B" w:rsidR="00C571C6" w:rsidRDefault="00C571C6" w:rsidP="00AF114F">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1,5</w:t>
            </w:r>
            <w:r w:rsidR="00C126A4">
              <w:rPr>
                <w:rFonts w:ascii="Garamond" w:eastAsia="Garamond" w:hAnsi="Garamond" w:cs="Garamond"/>
                <w:color w:val="000000"/>
                <w:sz w:val="18"/>
                <w:szCs w:val="18"/>
              </w:rPr>
              <w:t>7</w:t>
            </w:r>
          </w:p>
        </w:tc>
      </w:tr>
    </w:tbl>
    <w:p w14:paraId="232AE8F6" w14:textId="7A995DD2" w:rsidR="00C571C6" w:rsidRDefault="00C571C6" w:rsidP="00C571C6">
      <w:pPr>
        <w:spacing w:after="0" w:line="360" w:lineRule="auto"/>
        <w:rPr>
          <w:rFonts w:ascii="Garamond" w:eastAsia="Garamond" w:hAnsi="Garamond" w:cs="Garamond"/>
          <w:b/>
          <w:color w:val="000000"/>
          <w:sz w:val="18"/>
          <w:szCs w:val="18"/>
        </w:rPr>
      </w:pPr>
      <w:r>
        <w:rPr>
          <w:rFonts w:ascii="Garamond" w:eastAsia="Garamond" w:hAnsi="Garamond" w:cs="Garamond"/>
          <w:b/>
          <w:color w:val="000000"/>
          <w:sz w:val="18"/>
          <w:szCs w:val="18"/>
        </w:rPr>
        <w:t xml:space="preserve">  Média                                                 </w:t>
      </w:r>
      <w:r w:rsidR="00A83F9D">
        <w:rPr>
          <w:rFonts w:ascii="Garamond" w:eastAsia="Garamond" w:hAnsi="Garamond" w:cs="Garamond"/>
          <w:b/>
          <w:color w:val="000000"/>
          <w:sz w:val="18"/>
          <w:szCs w:val="18"/>
        </w:rPr>
        <w:t>57,6</w:t>
      </w:r>
    </w:p>
    <w:p w14:paraId="4460A62A" w14:textId="77777777" w:rsidR="00C571C6" w:rsidRDefault="00C571C6">
      <w:pPr>
        <w:spacing w:after="0" w:line="360" w:lineRule="auto"/>
        <w:jc w:val="center"/>
        <w:rPr>
          <w:rFonts w:ascii="Garamond" w:eastAsia="Garamond" w:hAnsi="Garamond" w:cs="Garamond"/>
          <w:i/>
          <w:color w:val="000000"/>
          <w:sz w:val="24"/>
          <w:szCs w:val="24"/>
        </w:rPr>
      </w:pPr>
    </w:p>
    <w:p w14:paraId="7AA166EC" w14:textId="77777777" w:rsidR="00EC4499" w:rsidRDefault="00433EA7">
      <w:pPr>
        <w:spacing w:after="0" w:line="360" w:lineRule="auto"/>
        <w:jc w:val="center"/>
        <w:rPr>
          <w:rFonts w:ascii="Garamond" w:eastAsia="Garamond" w:hAnsi="Garamond" w:cs="Garamond"/>
          <w:color w:val="000000"/>
          <w:sz w:val="24"/>
          <w:szCs w:val="24"/>
        </w:rPr>
      </w:pPr>
      <w:r>
        <w:rPr>
          <w:rFonts w:ascii="Garamond" w:eastAsia="Garamond" w:hAnsi="Garamond" w:cs="Garamond"/>
          <w:color w:val="000000"/>
          <w:sz w:val="24"/>
          <w:szCs w:val="24"/>
        </w:rPr>
        <w:t>Tabela 18 - Resultados Conteúdos 2022</w:t>
      </w:r>
    </w:p>
    <w:tbl>
      <w:tblPr>
        <w:tblStyle w:val="af0"/>
        <w:tblW w:w="8503" w:type="dxa"/>
        <w:tblInd w:w="0" w:type="dxa"/>
        <w:tblLayout w:type="fixed"/>
        <w:tblLook w:val="0400" w:firstRow="0" w:lastRow="0" w:firstColumn="0" w:lastColumn="0" w:noHBand="0" w:noVBand="1"/>
      </w:tblPr>
      <w:tblGrid>
        <w:gridCol w:w="1691"/>
        <w:gridCol w:w="2407"/>
        <w:gridCol w:w="1714"/>
        <w:gridCol w:w="2691"/>
      </w:tblGrid>
      <w:tr w:rsidR="00EC4499" w14:paraId="772F5E1C" w14:textId="77777777">
        <w:trPr>
          <w:trHeight w:val="288"/>
        </w:trPr>
        <w:tc>
          <w:tcPr>
            <w:tcW w:w="1691" w:type="dxa"/>
            <w:tcBorders>
              <w:top w:val="nil"/>
              <w:left w:val="nil"/>
              <w:bottom w:val="single" w:sz="4" w:space="0" w:color="000000"/>
              <w:right w:val="nil"/>
            </w:tcBorders>
            <w:shd w:val="clear" w:color="auto" w:fill="auto"/>
            <w:vAlign w:val="bottom"/>
          </w:tcPr>
          <w:p w14:paraId="1CF657EF" w14:textId="77777777" w:rsidR="00EC4499" w:rsidRDefault="00433EA7">
            <w:pPr>
              <w:spacing w:after="0" w:line="240" w:lineRule="auto"/>
              <w:rPr>
                <w:rFonts w:ascii="Garamond" w:eastAsia="Garamond" w:hAnsi="Garamond" w:cs="Garamond"/>
                <w:b/>
                <w:color w:val="000000"/>
                <w:sz w:val="18"/>
                <w:szCs w:val="18"/>
              </w:rPr>
            </w:pPr>
            <w:bookmarkStart w:id="16" w:name="_Hlk175776358"/>
            <w:r>
              <w:rPr>
                <w:rFonts w:ascii="Garamond" w:eastAsia="Garamond" w:hAnsi="Garamond" w:cs="Garamond"/>
                <w:b/>
                <w:color w:val="000000"/>
                <w:sz w:val="18"/>
                <w:szCs w:val="18"/>
              </w:rPr>
              <w:t>Bancos</w:t>
            </w:r>
          </w:p>
        </w:tc>
        <w:tc>
          <w:tcPr>
            <w:tcW w:w="2407" w:type="dxa"/>
            <w:tcBorders>
              <w:top w:val="nil"/>
              <w:left w:val="nil"/>
              <w:bottom w:val="single" w:sz="4" w:space="0" w:color="000000"/>
              <w:right w:val="nil"/>
            </w:tcBorders>
            <w:shd w:val="clear" w:color="auto" w:fill="auto"/>
            <w:vAlign w:val="bottom"/>
          </w:tcPr>
          <w:p w14:paraId="31982A64"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Pontuação AI</w:t>
            </w:r>
          </w:p>
        </w:tc>
        <w:tc>
          <w:tcPr>
            <w:tcW w:w="1714" w:type="dxa"/>
            <w:tcBorders>
              <w:top w:val="nil"/>
              <w:left w:val="nil"/>
              <w:bottom w:val="single" w:sz="4" w:space="0" w:color="000000"/>
              <w:right w:val="nil"/>
            </w:tcBorders>
            <w:shd w:val="clear" w:color="auto" w:fill="auto"/>
            <w:vAlign w:val="bottom"/>
          </w:tcPr>
          <w:p w14:paraId="359F0B81"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 xml:space="preserve">Conteúdos    </w:t>
            </w:r>
          </w:p>
        </w:tc>
        <w:tc>
          <w:tcPr>
            <w:tcW w:w="2691" w:type="dxa"/>
            <w:tcBorders>
              <w:top w:val="nil"/>
              <w:left w:val="nil"/>
              <w:bottom w:val="single" w:sz="4" w:space="0" w:color="000000"/>
              <w:right w:val="nil"/>
            </w:tcBorders>
            <w:shd w:val="clear" w:color="auto" w:fill="auto"/>
            <w:vAlign w:val="bottom"/>
          </w:tcPr>
          <w:p w14:paraId="31893126"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Nota média por conteúdo</w:t>
            </w:r>
          </w:p>
        </w:tc>
      </w:tr>
      <w:tr w:rsidR="00EC4499" w14:paraId="352C0006" w14:textId="77777777">
        <w:trPr>
          <w:trHeight w:val="288"/>
        </w:trPr>
        <w:tc>
          <w:tcPr>
            <w:tcW w:w="1691" w:type="dxa"/>
            <w:tcBorders>
              <w:top w:val="single" w:sz="4" w:space="0" w:color="000000"/>
              <w:left w:val="nil"/>
              <w:bottom w:val="nil"/>
              <w:right w:val="nil"/>
            </w:tcBorders>
            <w:shd w:val="clear" w:color="auto" w:fill="auto"/>
            <w:vAlign w:val="bottom"/>
          </w:tcPr>
          <w:p w14:paraId="6F3A5A2B"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Bradesco</w:t>
            </w:r>
          </w:p>
        </w:tc>
        <w:tc>
          <w:tcPr>
            <w:tcW w:w="2407" w:type="dxa"/>
            <w:tcBorders>
              <w:top w:val="single" w:sz="4" w:space="0" w:color="000000"/>
              <w:left w:val="nil"/>
              <w:bottom w:val="nil"/>
              <w:right w:val="nil"/>
            </w:tcBorders>
            <w:shd w:val="clear" w:color="auto" w:fill="auto"/>
            <w:vAlign w:val="bottom"/>
          </w:tcPr>
          <w:p w14:paraId="2CA22985"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109</w:t>
            </w:r>
          </w:p>
        </w:tc>
        <w:tc>
          <w:tcPr>
            <w:tcW w:w="1714" w:type="dxa"/>
            <w:tcBorders>
              <w:top w:val="single" w:sz="4" w:space="0" w:color="000000"/>
              <w:left w:val="nil"/>
              <w:bottom w:val="nil"/>
              <w:right w:val="nil"/>
            </w:tcBorders>
            <w:shd w:val="clear" w:color="auto" w:fill="auto"/>
            <w:vAlign w:val="bottom"/>
          </w:tcPr>
          <w:p w14:paraId="641F9D92"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63</w:t>
            </w:r>
          </w:p>
        </w:tc>
        <w:tc>
          <w:tcPr>
            <w:tcW w:w="2691" w:type="dxa"/>
            <w:tcBorders>
              <w:top w:val="single" w:sz="4" w:space="0" w:color="000000"/>
              <w:left w:val="nil"/>
              <w:bottom w:val="nil"/>
              <w:right w:val="nil"/>
            </w:tcBorders>
            <w:shd w:val="clear" w:color="auto" w:fill="auto"/>
            <w:vAlign w:val="bottom"/>
          </w:tcPr>
          <w:p w14:paraId="2BECC41B"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1,73</w:t>
            </w:r>
          </w:p>
        </w:tc>
      </w:tr>
      <w:tr w:rsidR="00EC4499" w14:paraId="4482A393" w14:textId="77777777">
        <w:trPr>
          <w:trHeight w:val="288"/>
        </w:trPr>
        <w:tc>
          <w:tcPr>
            <w:tcW w:w="1691" w:type="dxa"/>
            <w:tcBorders>
              <w:top w:val="nil"/>
              <w:left w:val="nil"/>
              <w:bottom w:val="nil"/>
              <w:right w:val="nil"/>
            </w:tcBorders>
            <w:shd w:val="clear" w:color="auto" w:fill="auto"/>
            <w:vAlign w:val="bottom"/>
          </w:tcPr>
          <w:p w14:paraId="7409B334"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BTG Pactual</w:t>
            </w:r>
          </w:p>
        </w:tc>
        <w:tc>
          <w:tcPr>
            <w:tcW w:w="2407" w:type="dxa"/>
            <w:tcBorders>
              <w:top w:val="nil"/>
              <w:left w:val="nil"/>
              <w:bottom w:val="nil"/>
              <w:right w:val="nil"/>
            </w:tcBorders>
            <w:shd w:val="clear" w:color="auto" w:fill="auto"/>
            <w:vAlign w:val="bottom"/>
          </w:tcPr>
          <w:p w14:paraId="332CC79B"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83</w:t>
            </w:r>
          </w:p>
        </w:tc>
        <w:tc>
          <w:tcPr>
            <w:tcW w:w="1714" w:type="dxa"/>
            <w:tcBorders>
              <w:top w:val="nil"/>
              <w:left w:val="nil"/>
              <w:bottom w:val="nil"/>
              <w:right w:val="nil"/>
            </w:tcBorders>
            <w:shd w:val="clear" w:color="auto" w:fill="auto"/>
            <w:vAlign w:val="bottom"/>
          </w:tcPr>
          <w:p w14:paraId="57F24692"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51</w:t>
            </w:r>
          </w:p>
        </w:tc>
        <w:tc>
          <w:tcPr>
            <w:tcW w:w="2691" w:type="dxa"/>
            <w:tcBorders>
              <w:top w:val="nil"/>
              <w:left w:val="nil"/>
              <w:bottom w:val="nil"/>
              <w:right w:val="nil"/>
            </w:tcBorders>
            <w:shd w:val="clear" w:color="auto" w:fill="auto"/>
            <w:vAlign w:val="bottom"/>
          </w:tcPr>
          <w:p w14:paraId="048A30E6"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1,63</w:t>
            </w:r>
          </w:p>
        </w:tc>
      </w:tr>
      <w:tr w:rsidR="00EC4499" w14:paraId="591EE67C" w14:textId="77777777">
        <w:trPr>
          <w:trHeight w:val="288"/>
        </w:trPr>
        <w:tc>
          <w:tcPr>
            <w:tcW w:w="1691" w:type="dxa"/>
            <w:tcBorders>
              <w:top w:val="nil"/>
              <w:left w:val="nil"/>
              <w:bottom w:val="nil"/>
              <w:right w:val="nil"/>
            </w:tcBorders>
            <w:shd w:val="clear" w:color="auto" w:fill="auto"/>
            <w:vAlign w:val="bottom"/>
          </w:tcPr>
          <w:p w14:paraId="62CA04D5"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BNDES</w:t>
            </w:r>
          </w:p>
        </w:tc>
        <w:tc>
          <w:tcPr>
            <w:tcW w:w="2407" w:type="dxa"/>
            <w:tcBorders>
              <w:top w:val="nil"/>
              <w:left w:val="nil"/>
              <w:bottom w:val="nil"/>
              <w:right w:val="nil"/>
            </w:tcBorders>
            <w:shd w:val="clear" w:color="auto" w:fill="auto"/>
            <w:vAlign w:val="bottom"/>
          </w:tcPr>
          <w:p w14:paraId="7B2855B0"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83</w:t>
            </w:r>
          </w:p>
        </w:tc>
        <w:tc>
          <w:tcPr>
            <w:tcW w:w="1714" w:type="dxa"/>
            <w:tcBorders>
              <w:top w:val="nil"/>
              <w:left w:val="nil"/>
              <w:bottom w:val="nil"/>
              <w:right w:val="nil"/>
            </w:tcBorders>
            <w:shd w:val="clear" w:color="auto" w:fill="auto"/>
            <w:vAlign w:val="bottom"/>
          </w:tcPr>
          <w:p w14:paraId="556C39DF"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49</w:t>
            </w:r>
          </w:p>
        </w:tc>
        <w:tc>
          <w:tcPr>
            <w:tcW w:w="2691" w:type="dxa"/>
            <w:tcBorders>
              <w:top w:val="nil"/>
              <w:left w:val="nil"/>
              <w:bottom w:val="nil"/>
              <w:right w:val="nil"/>
            </w:tcBorders>
            <w:shd w:val="clear" w:color="auto" w:fill="auto"/>
            <w:vAlign w:val="bottom"/>
          </w:tcPr>
          <w:p w14:paraId="33F50072"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1,69</w:t>
            </w:r>
          </w:p>
        </w:tc>
      </w:tr>
      <w:tr w:rsidR="00EC4499" w14:paraId="1F249C47" w14:textId="77777777">
        <w:trPr>
          <w:trHeight w:val="288"/>
        </w:trPr>
        <w:tc>
          <w:tcPr>
            <w:tcW w:w="1691" w:type="dxa"/>
            <w:tcBorders>
              <w:top w:val="nil"/>
              <w:left w:val="nil"/>
              <w:bottom w:val="nil"/>
              <w:right w:val="nil"/>
            </w:tcBorders>
            <w:shd w:val="clear" w:color="auto" w:fill="auto"/>
            <w:vAlign w:val="bottom"/>
          </w:tcPr>
          <w:p w14:paraId="117D116B"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Itaú</w:t>
            </w:r>
          </w:p>
        </w:tc>
        <w:tc>
          <w:tcPr>
            <w:tcW w:w="2407" w:type="dxa"/>
            <w:tcBorders>
              <w:top w:val="nil"/>
              <w:left w:val="nil"/>
              <w:bottom w:val="nil"/>
              <w:right w:val="nil"/>
            </w:tcBorders>
            <w:shd w:val="clear" w:color="auto" w:fill="auto"/>
            <w:vAlign w:val="bottom"/>
          </w:tcPr>
          <w:p w14:paraId="0611FEB5"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80</w:t>
            </w:r>
          </w:p>
        </w:tc>
        <w:tc>
          <w:tcPr>
            <w:tcW w:w="1714" w:type="dxa"/>
            <w:tcBorders>
              <w:top w:val="nil"/>
              <w:left w:val="nil"/>
              <w:bottom w:val="nil"/>
              <w:right w:val="nil"/>
            </w:tcBorders>
            <w:shd w:val="clear" w:color="auto" w:fill="auto"/>
            <w:vAlign w:val="bottom"/>
          </w:tcPr>
          <w:p w14:paraId="7B650825"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48</w:t>
            </w:r>
          </w:p>
        </w:tc>
        <w:tc>
          <w:tcPr>
            <w:tcW w:w="2691" w:type="dxa"/>
            <w:tcBorders>
              <w:top w:val="nil"/>
              <w:left w:val="nil"/>
              <w:bottom w:val="nil"/>
              <w:right w:val="nil"/>
            </w:tcBorders>
            <w:shd w:val="clear" w:color="auto" w:fill="auto"/>
            <w:vAlign w:val="bottom"/>
          </w:tcPr>
          <w:p w14:paraId="6DF65B97"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1,67</w:t>
            </w:r>
          </w:p>
        </w:tc>
      </w:tr>
      <w:tr w:rsidR="00EC4499" w14:paraId="79FBCEF5" w14:textId="77777777">
        <w:trPr>
          <w:trHeight w:val="288"/>
        </w:trPr>
        <w:tc>
          <w:tcPr>
            <w:tcW w:w="1691" w:type="dxa"/>
            <w:tcBorders>
              <w:top w:val="nil"/>
              <w:left w:val="nil"/>
              <w:bottom w:val="nil"/>
              <w:right w:val="nil"/>
            </w:tcBorders>
            <w:shd w:val="clear" w:color="auto" w:fill="auto"/>
            <w:vAlign w:val="bottom"/>
          </w:tcPr>
          <w:p w14:paraId="5A8C2356"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Banco do Nordeste</w:t>
            </w:r>
          </w:p>
        </w:tc>
        <w:tc>
          <w:tcPr>
            <w:tcW w:w="2407" w:type="dxa"/>
            <w:tcBorders>
              <w:top w:val="nil"/>
              <w:left w:val="nil"/>
              <w:bottom w:val="nil"/>
              <w:right w:val="nil"/>
            </w:tcBorders>
            <w:shd w:val="clear" w:color="auto" w:fill="auto"/>
            <w:vAlign w:val="bottom"/>
          </w:tcPr>
          <w:p w14:paraId="4D34886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60</w:t>
            </w:r>
          </w:p>
        </w:tc>
        <w:tc>
          <w:tcPr>
            <w:tcW w:w="1714" w:type="dxa"/>
            <w:tcBorders>
              <w:top w:val="nil"/>
              <w:left w:val="nil"/>
              <w:bottom w:val="nil"/>
              <w:right w:val="nil"/>
            </w:tcBorders>
            <w:shd w:val="clear" w:color="auto" w:fill="auto"/>
            <w:vAlign w:val="bottom"/>
          </w:tcPr>
          <w:p w14:paraId="73611840"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35</w:t>
            </w:r>
          </w:p>
        </w:tc>
        <w:tc>
          <w:tcPr>
            <w:tcW w:w="2691" w:type="dxa"/>
            <w:tcBorders>
              <w:top w:val="nil"/>
              <w:left w:val="nil"/>
              <w:bottom w:val="nil"/>
              <w:right w:val="nil"/>
            </w:tcBorders>
            <w:shd w:val="clear" w:color="auto" w:fill="auto"/>
            <w:vAlign w:val="bottom"/>
          </w:tcPr>
          <w:p w14:paraId="6EEC4ABB"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1,71</w:t>
            </w:r>
          </w:p>
        </w:tc>
      </w:tr>
      <w:tr w:rsidR="00EC4499" w14:paraId="788AE869" w14:textId="77777777">
        <w:trPr>
          <w:trHeight w:val="288"/>
        </w:trPr>
        <w:tc>
          <w:tcPr>
            <w:tcW w:w="1691" w:type="dxa"/>
            <w:tcBorders>
              <w:top w:val="nil"/>
              <w:left w:val="nil"/>
              <w:bottom w:val="nil"/>
              <w:right w:val="nil"/>
            </w:tcBorders>
            <w:shd w:val="clear" w:color="auto" w:fill="auto"/>
            <w:vAlign w:val="bottom"/>
          </w:tcPr>
          <w:p w14:paraId="4C3F83EA"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Banco do Brasil</w:t>
            </w:r>
          </w:p>
        </w:tc>
        <w:tc>
          <w:tcPr>
            <w:tcW w:w="2407" w:type="dxa"/>
            <w:tcBorders>
              <w:top w:val="nil"/>
              <w:left w:val="nil"/>
              <w:bottom w:val="nil"/>
              <w:right w:val="nil"/>
            </w:tcBorders>
            <w:shd w:val="clear" w:color="auto" w:fill="auto"/>
            <w:vAlign w:val="bottom"/>
          </w:tcPr>
          <w:p w14:paraId="3BB48C0A"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58</w:t>
            </w:r>
          </w:p>
        </w:tc>
        <w:tc>
          <w:tcPr>
            <w:tcW w:w="1714" w:type="dxa"/>
            <w:tcBorders>
              <w:top w:val="nil"/>
              <w:left w:val="nil"/>
              <w:bottom w:val="nil"/>
              <w:right w:val="nil"/>
            </w:tcBorders>
            <w:shd w:val="clear" w:color="auto" w:fill="auto"/>
            <w:vAlign w:val="bottom"/>
          </w:tcPr>
          <w:p w14:paraId="186D21EB"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34</w:t>
            </w:r>
          </w:p>
        </w:tc>
        <w:tc>
          <w:tcPr>
            <w:tcW w:w="2691" w:type="dxa"/>
            <w:tcBorders>
              <w:top w:val="nil"/>
              <w:left w:val="nil"/>
              <w:bottom w:val="nil"/>
              <w:right w:val="nil"/>
            </w:tcBorders>
            <w:shd w:val="clear" w:color="auto" w:fill="auto"/>
            <w:vAlign w:val="bottom"/>
          </w:tcPr>
          <w:p w14:paraId="2DBAF662"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1,71</w:t>
            </w:r>
          </w:p>
        </w:tc>
      </w:tr>
      <w:tr w:rsidR="00EC4499" w14:paraId="2836EAAE" w14:textId="77777777">
        <w:trPr>
          <w:trHeight w:val="288"/>
        </w:trPr>
        <w:tc>
          <w:tcPr>
            <w:tcW w:w="1691" w:type="dxa"/>
            <w:tcBorders>
              <w:top w:val="nil"/>
              <w:left w:val="nil"/>
              <w:bottom w:val="nil"/>
              <w:right w:val="nil"/>
            </w:tcBorders>
            <w:shd w:val="clear" w:color="auto" w:fill="auto"/>
            <w:vAlign w:val="bottom"/>
          </w:tcPr>
          <w:p w14:paraId="04030A0C"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Citibank</w:t>
            </w:r>
          </w:p>
        </w:tc>
        <w:tc>
          <w:tcPr>
            <w:tcW w:w="2407" w:type="dxa"/>
            <w:tcBorders>
              <w:top w:val="nil"/>
              <w:left w:val="nil"/>
              <w:bottom w:val="nil"/>
              <w:right w:val="nil"/>
            </w:tcBorders>
            <w:shd w:val="clear" w:color="auto" w:fill="auto"/>
            <w:vAlign w:val="bottom"/>
          </w:tcPr>
          <w:p w14:paraId="03A5124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51</w:t>
            </w:r>
          </w:p>
        </w:tc>
        <w:tc>
          <w:tcPr>
            <w:tcW w:w="1714" w:type="dxa"/>
            <w:tcBorders>
              <w:top w:val="nil"/>
              <w:left w:val="nil"/>
              <w:bottom w:val="nil"/>
              <w:right w:val="nil"/>
            </w:tcBorders>
            <w:shd w:val="clear" w:color="auto" w:fill="auto"/>
            <w:vAlign w:val="bottom"/>
          </w:tcPr>
          <w:p w14:paraId="6EB9FB50"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34</w:t>
            </w:r>
          </w:p>
        </w:tc>
        <w:tc>
          <w:tcPr>
            <w:tcW w:w="2691" w:type="dxa"/>
            <w:tcBorders>
              <w:top w:val="nil"/>
              <w:left w:val="nil"/>
              <w:bottom w:val="nil"/>
              <w:right w:val="nil"/>
            </w:tcBorders>
            <w:shd w:val="clear" w:color="auto" w:fill="auto"/>
            <w:vAlign w:val="bottom"/>
          </w:tcPr>
          <w:p w14:paraId="6FEB12A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1,5</w:t>
            </w:r>
          </w:p>
        </w:tc>
      </w:tr>
      <w:tr w:rsidR="00EC4499" w14:paraId="3E66E035" w14:textId="77777777">
        <w:trPr>
          <w:trHeight w:val="288"/>
        </w:trPr>
        <w:tc>
          <w:tcPr>
            <w:tcW w:w="1691" w:type="dxa"/>
            <w:tcBorders>
              <w:top w:val="nil"/>
              <w:left w:val="nil"/>
              <w:bottom w:val="nil"/>
              <w:right w:val="nil"/>
            </w:tcBorders>
            <w:shd w:val="clear" w:color="auto" w:fill="auto"/>
            <w:vAlign w:val="bottom"/>
          </w:tcPr>
          <w:p w14:paraId="5DD5EB9A"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Inter</w:t>
            </w:r>
          </w:p>
        </w:tc>
        <w:tc>
          <w:tcPr>
            <w:tcW w:w="2407" w:type="dxa"/>
            <w:tcBorders>
              <w:top w:val="nil"/>
              <w:left w:val="nil"/>
              <w:bottom w:val="nil"/>
              <w:right w:val="nil"/>
            </w:tcBorders>
            <w:shd w:val="clear" w:color="auto" w:fill="auto"/>
            <w:vAlign w:val="bottom"/>
          </w:tcPr>
          <w:p w14:paraId="72BC5D57"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50</w:t>
            </w:r>
          </w:p>
        </w:tc>
        <w:tc>
          <w:tcPr>
            <w:tcW w:w="1714" w:type="dxa"/>
            <w:tcBorders>
              <w:top w:val="nil"/>
              <w:left w:val="nil"/>
              <w:bottom w:val="nil"/>
              <w:right w:val="nil"/>
            </w:tcBorders>
            <w:shd w:val="clear" w:color="auto" w:fill="auto"/>
            <w:vAlign w:val="bottom"/>
          </w:tcPr>
          <w:p w14:paraId="3F55D01C"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27</w:t>
            </w:r>
          </w:p>
        </w:tc>
        <w:tc>
          <w:tcPr>
            <w:tcW w:w="2691" w:type="dxa"/>
            <w:tcBorders>
              <w:top w:val="nil"/>
              <w:left w:val="nil"/>
              <w:bottom w:val="nil"/>
              <w:right w:val="nil"/>
            </w:tcBorders>
            <w:shd w:val="clear" w:color="auto" w:fill="auto"/>
            <w:vAlign w:val="bottom"/>
          </w:tcPr>
          <w:p w14:paraId="5A1DA59A"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1,85</w:t>
            </w:r>
          </w:p>
        </w:tc>
      </w:tr>
      <w:tr w:rsidR="00EC4499" w14:paraId="0368C850" w14:textId="77777777">
        <w:trPr>
          <w:trHeight w:val="288"/>
        </w:trPr>
        <w:tc>
          <w:tcPr>
            <w:tcW w:w="1691" w:type="dxa"/>
            <w:tcBorders>
              <w:top w:val="nil"/>
              <w:left w:val="nil"/>
              <w:bottom w:val="nil"/>
              <w:right w:val="nil"/>
            </w:tcBorders>
            <w:shd w:val="clear" w:color="auto" w:fill="auto"/>
            <w:vAlign w:val="bottom"/>
          </w:tcPr>
          <w:p w14:paraId="0BB4343D"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Sicredi</w:t>
            </w:r>
          </w:p>
        </w:tc>
        <w:tc>
          <w:tcPr>
            <w:tcW w:w="2407" w:type="dxa"/>
            <w:tcBorders>
              <w:top w:val="nil"/>
              <w:left w:val="nil"/>
              <w:bottom w:val="nil"/>
              <w:right w:val="nil"/>
            </w:tcBorders>
            <w:shd w:val="clear" w:color="auto" w:fill="auto"/>
            <w:vAlign w:val="bottom"/>
          </w:tcPr>
          <w:p w14:paraId="1B44B99E"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50</w:t>
            </w:r>
          </w:p>
        </w:tc>
        <w:tc>
          <w:tcPr>
            <w:tcW w:w="1714" w:type="dxa"/>
            <w:tcBorders>
              <w:top w:val="nil"/>
              <w:left w:val="nil"/>
              <w:bottom w:val="nil"/>
              <w:right w:val="nil"/>
            </w:tcBorders>
            <w:shd w:val="clear" w:color="auto" w:fill="auto"/>
            <w:vAlign w:val="bottom"/>
          </w:tcPr>
          <w:p w14:paraId="3691916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27</w:t>
            </w:r>
          </w:p>
        </w:tc>
        <w:tc>
          <w:tcPr>
            <w:tcW w:w="2691" w:type="dxa"/>
            <w:tcBorders>
              <w:top w:val="nil"/>
              <w:left w:val="nil"/>
              <w:bottom w:val="nil"/>
              <w:right w:val="nil"/>
            </w:tcBorders>
            <w:shd w:val="clear" w:color="auto" w:fill="auto"/>
            <w:vAlign w:val="bottom"/>
          </w:tcPr>
          <w:p w14:paraId="09830BCF"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1,85</w:t>
            </w:r>
          </w:p>
        </w:tc>
      </w:tr>
      <w:tr w:rsidR="00EC4499" w14:paraId="79751164" w14:textId="77777777">
        <w:trPr>
          <w:trHeight w:val="288"/>
        </w:trPr>
        <w:tc>
          <w:tcPr>
            <w:tcW w:w="1691" w:type="dxa"/>
            <w:tcBorders>
              <w:top w:val="nil"/>
              <w:left w:val="nil"/>
              <w:bottom w:val="nil"/>
              <w:right w:val="nil"/>
            </w:tcBorders>
            <w:shd w:val="clear" w:color="auto" w:fill="auto"/>
            <w:vAlign w:val="bottom"/>
          </w:tcPr>
          <w:p w14:paraId="65D95CCF"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Santander</w:t>
            </w:r>
          </w:p>
        </w:tc>
        <w:tc>
          <w:tcPr>
            <w:tcW w:w="2407" w:type="dxa"/>
            <w:tcBorders>
              <w:top w:val="nil"/>
              <w:left w:val="nil"/>
              <w:bottom w:val="nil"/>
              <w:right w:val="nil"/>
            </w:tcBorders>
            <w:shd w:val="clear" w:color="auto" w:fill="auto"/>
            <w:vAlign w:val="bottom"/>
          </w:tcPr>
          <w:p w14:paraId="5ECA506E"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44</w:t>
            </w:r>
          </w:p>
        </w:tc>
        <w:tc>
          <w:tcPr>
            <w:tcW w:w="1714" w:type="dxa"/>
            <w:tcBorders>
              <w:top w:val="nil"/>
              <w:left w:val="nil"/>
              <w:bottom w:val="nil"/>
              <w:right w:val="nil"/>
            </w:tcBorders>
            <w:shd w:val="clear" w:color="auto" w:fill="auto"/>
            <w:vAlign w:val="bottom"/>
          </w:tcPr>
          <w:p w14:paraId="127C86FF"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25</w:t>
            </w:r>
          </w:p>
        </w:tc>
        <w:tc>
          <w:tcPr>
            <w:tcW w:w="2691" w:type="dxa"/>
            <w:tcBorders>
              <w:top w:val="nil"/>
              <w:left w:val="nil"/>
              <w:bottom w:val="nil"/>
              <w:right w:val="nil"/>
            </w:tcBorders>
            <w:shd w:val="clear" w:color="auto" w:fill="auto"/>
            <w:vAlign w:val="bottom"/>
          </w:tcPr>
          <w:p w14:paraId="4E53A1DA"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1,76</w:t>
            </w:r>
          </w:p>
        </w:tc>
      </w:tr>
      <w:tr w:rsidR="00EC4499" w14:paraId="647B575C" w14:textId="77777777">
        <w:trPr>
          <w:trHeight w:val="288"/>
        </w:trPr>
        <w:tc>
          <w:tcPr>
            <w:tcW w:w="1691" w:type="dxa"/>
            <w:tcBorders>
              <w:top w:val="nil"/>
              <w:left w:val="nil"/>
              <w:right w:val="nil"/>
            </w:tcBorders>
            <w:shd w:val="clear" w:color="auto" w:fill="auto"/>
            <w:vAlign w:val="bottom"/>
          </w:tcPr>
          <w:p w14:paraId="1B292A6F"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Caixa</w:t>
            </w:r>
          </w:p>
        </w:tc>
        <w:tc>
          <w:tcPr>
            <w:tcW w:w="2407" w:type="dxa"/>
            <w:tcBorders>
              <w:top w:val="nil"/>
              <w:left w:val="nil"/>
              <w:right w:val="nil"/>
            </w:tcBorders>
            <w:shd w:val="clear" w:color="auto" w:fill="auto"/>
            <w:vAlign w:val="bottom"/>
          </w:tcPr>
          <w:p w14:paraId="154D969B"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43</w:t>
            </w:r>
          </w:p>
        </w:tc>
        <w:tc>
          <w:tcPr>
            <w:tcW w:w="1714" w:type="dxa"/>
            <w:tcBorders>
              <w:top w:val="nil"/>
              <w:left w:val="nil"/>
              <w:right w:val="nil"/>
            </w:tcBorders>
            <w:shd w:val="clear" w:color="auto" w:fill="auto"/>
            <w:vAlign w:val="bottom"/>
          </w:tcPr>
          <w:p w14:paraId="5C976736"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27</w:t>
            </w:r>
          </w:p>
        </w:tc>
        <w:tc>
          <w:tcPr>
            <w:tcW w:w="2691" w:type="dxa"/>
            <w:tcBorders>
              <w:top w:val="nil"/>
              <w:left w:val="nil"/>
              <w:right w:val="nil"/>
            </w:tcBorders>
            <w:shd w:val="clear" w:color="auto" w:fill="auto"/>
            <w:vAlign w:val="bottom"/>
          </w:tcPr>
          <w:p w14:paraId="375F7795"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1,59</w:t>
            </w:r>
          </w:p>
        </w:tc>
      </w:tr>
      <w:tr w:rsidR="00EC4499" w14:paraId="3BEFAB5E" w14:textId="77777777">
        <w:trPr>
          <w:trHeight w:val="288"/>
        </w:trPr>
        <w:tc>
          <w:tcPr>
            <w:tcW w:w="1691" w:type="dxa"/>
            <w:tcBorders>
              <w:top w:val="nil"/>
              <w:left w:val="nil"/>
              <w:bottom w:val="single" w:sz="4" w:space="0" w:color="000000"/>
              <w:right w:val="nil"/>
            </w:tcBorders>
            <w:shd w:val="clear" w:color="auto" w:fill="auto"/>
            <w:vAlign w:val="bottom"/>
          </w:tcPr>
          <w:p w14:paraId="6AD34228"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J.P. Morgan</w:t>
            </w:r>
          </w:p>
        </w:tc>
        <w:tc>
          <w:tcPr>
            <w:tcW w:w="2407" w:type="dxa"/>
            <w:tcBorders>
              <w:top w:val="nil"/>
              <w:left w:val="nil"/>
              <w:bottom w:val="single" w:sz="4" w:space="0" w:color="000000"/>
              <w:right w:val="nil"/>
            </w:tcBorders>
            <w:shd w:val="clear" w:color="auto" w:fill="auto"/>
            <w:vAlign w:val="bottom"/>
          </w:tcPr>
          <w:p w14:paraId="459DDB49"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21</w:t>
            </w:r>
          </w:p>
        </w:tc>
        <w:tc>
          <w:tcPr>
            <w:tcW w:w="1714" w:type="dxa"/>
            <w:tcBorders>
              <w:top w:val="nil"/>
              <w:left w:val="nil"/>
              <w:bottom w:val="single" w:sz="4" w:space="0" w:color="000000"/>
              <w:right w:val="nil"/>
            </w:tcBorders>
            <w:shd w:val="clear" w:color="auto" w:fill="auto"/>
            <w:vAlign w:val="bottom"/>
          </w:tcPr>
          <w:p w14:paraId="53F268F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14</w:t>
            </w:r>
          </w:p>
        </w:tc>
        <w:tc>
          <w:tcPr>
            <w:tcW w:w="2691" w:type="dxa"/>
            <w:tcBorders>
              <w:top w:val="nil"/>
              <w:left w:val="nil"/>
              <w:bottom w:val="single" w:sz="4" w:space="0" w:color="000000"/>
              <w:right w:val="nil"/>
            </w:tcBorders>
            <w:shd w:val="clear" w:color="auto" w:fill="auto"/>
            <w:vAlign w:val="bottom"/>
          </w:tcPr>
          <w:p w14:paraId="15B0D532"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1,5</w:t>
            </w:r>
          </w:p>
        </w:tc>
      </w:tr>
    </w:tbl>
    <w:p w14:paraId="748E0492" w14:textId="77777777" w:rsidR="00EC4499" w:rsidRDefault="00433EA7">
      <w:pPr>
        <w:spacing w:after="0" w:line="360" w:lineRule="auto"/>
        <w:rPr>
          <w:rFonts w:ascii="Garamond" w:eastAsia="Garamond" w:hAnsi="Garamond" w:cs="Garamond"/>
          <w:b/>
          <w:color w:val="000000"/>
          <w:sz w:val="18"/>
          <w:szCs w:val="18"/>
        </w:rPr>
      </w:pPr>
      <w:r>
        <w:rPr>
          <w:rFonts w:ascii="Garamond" w:eastAsia="Garamond" w:hAnsi="Garamond" w:cs="Garamond"/>
          <w:b/>
          <w:color w:val="000000"/>
          <w:sz w:val="18"/>
          <w:szCs w:val="18"/>
        </w:rPr>
        <w:t xml:space="preserve">  Média                                                  61</w:t>
      </w:r>
    </w:p>
    <w:bookmarkEnd w:id="16"/>
    <w:p w14:paraId="07524390" w14:textId="77777777" w:rsidR="00EC4499" w:rsidRDefault="00EC4499">
      <w:pPr>
        <w:spacing w:after="0" w:line="360" w:lineRule="auto"/>
        <w:ind w:firstLine="708"/>
        <w:rPr>
          <w:rFonts w:ascii="Garamond" w:eastAsia="Garamond" w:hAnsi="Garamond" w:cs="Garamond"/>
          <w:color w:val="000000"/>
          <w:sz w:val="24"/>
          <w:szCs w:val="24"/>
        </w:rPr>
      </w:pPr>
    </w:p>
    <w:p w14:paraId="79F69BCA"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Os resultados reforçam o melhor resultado do Bradesco, assim como as piores pontuações para Caixa e J.P. Morgan. O Banco do Nordeste saiu da terceira pior posição em 2021 com 42 pontos para a quinta melhor em 2022 com 60 pontos, sendo aquele que mais ganhou posições de um ano para o outro.</w:t>
      </w:r>
    </w:p>
    <w:p w14:paraId="04C3823B"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No âmbito geral o ano de 2022 obteve melhor média do que o de 2021, saindo de 57,6 para 61 pontos; com relação às notas médias por conteúdo, o Inter teve as melhores notas nos dois anos, 1,93 e 1,85, seguido da Caixa em 2021 com 1,86 e empatando com o </w:t>
      </w:r>
      <w:r>
        <w:rPr>
          <w:rFonts w:ascii="Garamond" w:eastAsia="Garamond" w:hAnsi="Garamond" w:cs="Garamond"/>
          <w:color w:val="000000"/>
          <w:sz w:val="24"/>
          <w:szCs w:val="24"/>
        </w:rPr>
        <w:lastRenderedPageBreak/>
        <w:t>Sicredi em 2022. Já as piores notas médias tanto em 2021 quanto em 2022 foram do Citibank e J.P. Morgan.</w:t>
      </w:r>
    </w:p>
    <w:p w14:paraId="5B67CFFF"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Os bancos com melhores médias foram aqueles que, independentemente de relatarem muitos ou poucos conteúdos, utilizam mais informações quantitativas do que aqueles com médias mais baixas.</w:t>
      </w:r>
    </w:p>
    <w:p w14:paraId="38A35D2D" w14:textId="77777777" w:rsidR="00EC4499" w:rsidRDefault="00433EA7">
      <w:pPr>
        <w:spacing w:after="0" w:line="360" w:lineRule="auto"/>
        <w:ind w:firstLine="708"/>
        <w:jc w:val="both"/>
        <w:rPr>
          <w:rFonts w:ascii="Garamond" w:eastAsia="Garamond" w:hAnsi="Garamond" w:cs="Garamond"/>
          <w:color w:val="000000"/>
          <w:sz w:val="24"/>
          <w:szCs w:val="24"/>
        </w:rPr>
      </w:pPr>
      <w:r>
        <w:rPr>
          <w:rFonts w:ascii="Garamond" w:eastAsia="Garamond" w:hAnsi="Garamond" w:cs="Garamond"/>
          <w:color w:val="000000"/>
          <w:sz w:val="24"/>
          <w:szCs w:val="24"/>
        </w:rPr>
        <w:t>Apresentamos abaixo os resultados médios dos AI de acordo com o controle, capital, sede, atuação e tipo de relato.</w:t>
      </w:r>
    </w:p>
    <w:p w14:paraId="6E3A64A2" w14:textId="77777777" w:rsidR="00EC4499" w:rsidRDefault="00EC4499">
      <w:pPr>
        <w:spacing w:after="0" w:line="360" w:lineRule="auto"/>
        <w:rPr>
          <w:rFonts w:ascii="Garamond" w:eastAsia="Garamond" w:hAnsi="Garamond" w:cs="Garamond"/>
          <w:color w:val="000000"/>
          <w:sz w:val="24"/>
          <w:szCs w:val="24"/>
        </w:rPr>
      </w:pPr>
    </w:p>
    <w:p w14:paraId="51337A29" w14:textId="77777777" w:rsidR="00EC4499" w:rsidRDefault="00433EA7">
      <w:pPr>
        <w:spacing w:after="0" w:line="360" w:lineRule="auto"/>
        <w:jc w:val="center"/>
        <w:rPr>
          <w:rFonts w:ascii="Garamond" w:eastAsia="Garamond" w:hAnsi="Garamond" w:cs="Garamond"/>
          <w:i/>
          <w:color w:val="000000"/>
          <w:sz w:val="24"/>
          <w:szCs w:val="24"/>
        </w:rPr>
      </w:pPr>
      <w:r>
        <w:rPr>
          <w:rFonts w:ascii="Garamond" w:eastAsia="Garamond" w:hAnsi="Garamond" w:cs="Garamond"/>
          <w:color w:val="000000"/>
          <w:sz w:val="24"/>
          <w:szCs w:val="24"/>
        </w:rPr>
        <w:t>Tabela 19 - AIs médios por grupo</w:t>
      </w:r>
    </w:p>
    <w:tbl>
      <w:tblPr>
        <w:tblStyle w:val="af1"/>
        <w:tblW w:w="8364" w:type="dxa"/>
        <w:tblInd w:w="0" w:type="dxa"/>
        <w:tblLayout w:type="fixed"/>
        <w:tblLook w:val="0400" w:firstRow="0" w:lastRow="0" w:firstColumn="0" w:lastColumn="0" w:noHBand="0" w:noVBand="1"/>
      </w:tblPr>
      <w:tblGrid>
        <w:gridCol w:w="3828"/>
        <w:gridCol w:w="2268"/>
        <w:gridCol w:w="2268"/>
      </w:tblGrid>
      <w:tr w:rsidR="00EC4499" w14:paraId="09C73424" w14:textId="77777777" w:rsidTr="00F73D0C">
        <w:trPr>
          <w:trHeight w:val="312"/>
        </w:trPr>
        <w:tc>
          <w:tcPr>
            <w:tcW w:w="3828" w:type="dxa"/>
            <w:tcBorders>
              <w:top w:val="nil"/>
              <w:left w:val="nil"/>
              <w:bottom w:val="single" w:sz="4" w:space="0" w:color="000000"/>
              <w:right w:val="nil"/>
            </w:tcBorders>
            <w:shd w:val="clear" w:color="auto" w:fill="auto"/>
            <w:vAlign w:val="bottom"/>
          </w:tcPr>
          <w:p w14:paraId="3EE25288"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Características</w:t>
            </w:r>
          </w:p>
        </w:tc>
        <w:tc>
          <w:tcPr>
            <w:tcW w:w="2268" w:type="dxa"/>
            <w:tcBorders>
              <w:top w:val="nil"/>
              <w:left w:val="nil"/>
              <w:bottom w:val="single" w:sz="4" w:space="0" w:color="000000"/>
              <w:right w:val="nil"/>
            </w:tcBorders>
            <w:shd w:val="clear" w:color="auto" w:fill="auto"/>
            <w:vAlign w:val="bottom"/>
          </w:tcPr>
          <w:p w14:paraId="0B850ADE"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AI médio 2021</w:t>
            </w:r>
          </w:p>
        </w:tc>
        <w:tc>
          <w:tcPr>
            <w:tcW w:w="2268" w:type="dxa"/>
            <w:tcBorders>
              <w:top w:val="nil"/>
              <w:left w:val="nil"/>
              <w:bottom w:val="single" w:sz="4" w:space="0" w:color="000000"/>
              <w:right w:val="nil"/>
            </w:tcBorders>
            <w:shd w:val="clear" w:color="auto" w:fill="auto"/>
            <w:vAlign w:val="bottom"/>
          </w:tcPr>
          <w:p w14:paraId="09FEA9DD" w14:textId="77777777" w:rsidR="00EC4499" w:rsidRDefault="00433EA7">
            <w:pPr>
              <w:spacing w:after="0" w:line="240" w:lineRule="auto"/>
              <w:rPr>
                <w:rFonts w:ascii="Garamond" w:eastAsia="Garamond" w:hAnsi="Garamond" w:cs="Garamond"/>
                <w:b/>
                <w:color w:val="000000"/>
                <w:sz w:val="18"/>
                <w:szCs w:val="18"/>
              </w:rPr>
            </w:pPr>
            <w:r>
              <w:rPr>
                <w:rFonts w:ascii="Garamond" w:eastAsia="Garamond" w:hAnsi="Garamond" w:cs="Garamond"/>
                <w:b/>
                <w:color w:val="000000"/>
                <w:sz w:val="18"/>
                <w:szCs w:val="18"/>
              </w:rPr>
              <w:t xml:space="preserve">     AI médio 2022</w:t>
            </w:r>
          </w:p>
        </w:tc>
      </w:tr>
      <w:tr w:rsidR="00EC4499" w14:paraId="5CE306FB" w14:textId="77777777" w:rsidTr="00F73D0C">
        <w:trPr>
          <w:trHeight w:val="312"/>
        </w:trPr>
        <w:tc>
          <w:tcPr>
            <w:tcW w:w="3828" w:type="dxa"/>
            <w:tcBorders>
              <w:top w:val="single" w:sz="4" w:space="0" w:color="000000"/>
              <w:left w:val="nil"/>
              <w:bottom w:val="nil"/>
              <w:right w:val="nil"/>
            </w:tcBorders>
            <w:shd w:val="clear" w:color="auto" w:fill="auto"/>
            <w:vAlign w:val="bottom"/>
          </w:tcPr>
          <w:p w14:paraId="3A280D0A"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Privado</w:t>
            </w:r>
          </w:p>
        </w:tc>
        <w:tc>
          <w:tcPr>
            <w:tcW w:w="2268" w:type="dxa"/>
            <w:tcBorders>
              <w:top w:val="single" w:sz="4" w:space="0" w:color="000000"/>
              <w:left w:val="nil"/>
              <w:bottom w:val="nil"/>
              <w:right w:val="nil"/>
            </w:tcBorders>
            <w:shd w:val="clear" w:color="auto" w:fill="auto"/>
            <w:vAlign w:val="bottom"/>
          </w:tcPr>
          <w:p w14:paraId="2D8908CF"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60,3</w:t>
            </w:r>
          </w:p>
        </w:tc>
        <w:tc>
          <w:tcPr>
            <w:tcW w:w="2268" w:type="dxa"/>
            <w:tcBorders>
              <w:top w:val="single" w:sz="4" w:space="0" w:color="000000"/>
              <w:left w:val="nil"/>
              <w:bottom w:val="nil"/>
              <w:right w:val="nil"/>
            </w:tcBorders>
            <w:shd w:val="clear" w:color="auto" w:fill="auto"/>
            <w:vAlign w:val="bottom"/>
          </w:tcPr>
          <w:p w14:paraId="7D23AE4F"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b/>
                <w:color w:val="000000"/>
                <w:sz w:val="18"/>
                <w:szCs w:val="18"/>
              </w:rPr>
              <w:t xml:space="preserve">            </w:t>
            </w:r>
            <w:r>
              <w:rPr>
                <w:rFonts w:ascii="Garamond" w:eastAsia="Garamond" w:hAnsi="Garamond" w:cs="Garamond"/>
                <w:color w:val="000000"/>
                <w:sz w:val="18"/>
                <w:szCs w:val="18"/>
              </w:rPr>
              <w:t>61,0</w:t>
            </w:r>
          </w:p>
        </w:tc>
      </w:tr>
      <w:tr w:rsidR="00EC4499" w14:paraId="7CA05223" w14:textId="77777777" w:rsidTr="00F73D0C">
        <w:trPr>
          <w:trHeight w:val="312"/>
        </w:trPr>
        <w:tc>
          <w:tcPr>
            <w:tcW w:w="3828" w:type="dxa"/>
            <w:tcBorders>
              <w:top w:val="nil"/>
              <w:left w:val="nil"/>
              <w:bottom w:val="nil"/>
              <w:right w:val="nil"/>
            </w:tcBorders>
            <w:shd w:val="clear" w:color="auto" w:fill="auto"/>
            <w:vAlign w:val="bottom"/>
          </w:tcPr>
          <w:p w14:paraId="0C8FB5CF"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Público</w:t>
            </w:r>
          </w:p>
        </w:tc>
        <w:tc>
          <w:tcPr>
            <w:tcW w:w="2268" w:type="dxa"/>
            <w:tcBorders>
              <w:top w:val="nil"/>
              <w:left w:val="nil"/>
              <w:bottom w:val="nil"/>
              <w:right w:val="nil"/>
            </w:tcBorders>
            <w:shd w:val="clear" w:color="auto" w:fill="auto"/>
            <w:vAlign w:val="bottom"/>
          </w:tcPr>
          <w:p w14:paraId="003E8BE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52,3</w:t>
            </w:r>
          </w:p>
        </w:tc>
        <w:tc>
          <w:tcPr>
            <w:tcW w:w="2268" w:type="dxa"/>
            <w:tcBorders>
              <w:top w:val="nil"/>
              <w:left w:val="nil"/>
              <w:bottom w:val="nil"/>
              <w:right w:val="nil"/>
            </w:tcBorders>
            <w:shd w:val="clear" w:color="auto" w:fill="auto"/>
            <w:vAlign w:val="bottom"/>
          </w:tcPr>
          <w:p w14:paraId="7A893417"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            61,0</w:t>
            </w:r>
          </w:p>
        </w:tc>
      </w:tr>
      <w:tr w:rsidR="00EC4499" w14:paraId="43DF707F" w14:textId="77777777" w:rsidTr="00F73D0C">
        <w:trPr>
          <w:trHeight w:val="312"/>
        </w:trPr>
        <w:tc>
          <w:tcPr>
            <w:tcW w:w="3828" w:type="dxa"/>
            <w:tcBorders>
              <w:top w:val="nil"/>
              <w:left w:val="nil"/>
              <w:bottom w:val="nil"/>
              <w:right w:val="nil"/>
            </w:tcBorders>
            <w:shd w:val="clear" w:color="auto" w:fill="auto"/>
            <w:vAlign w:val="bottom"/>
          </w:tcPr>
          <w:p w14:paraId="2D7BF3A4"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Capital aberto</w:t>
            </w:r>
          </w:p>
        </w:tc>
        <w:tc>
          <w:tcPr>
            <w:tcW w:w="2268" w:type="dxa"/>
            <w:tcBorders>
              <w:top w:val="nil"/>
              <w:left w:val="nil"/>
              <w:bottom w:val="nil"/>
              <w:right w:val="nil"/>
            </w:tcBorders>
            <w:shd w:val="clear" w:color="auto" w:fill="auto"/>
            <w:vAlign w:val="bottom"/>
          </w:tcPr>
          <w:p w14:paraId="073E95DA"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60,4</w:t>
            </w:r>
          </w:p>
        </w:tc>
        <w:tc>
          <w:tcPr>
            <w:tcW w:w="2268" w:type="dxa"/>
            <w:tcBorders>
              <w:top w:val="nil"/>
              <w:left w:val="nil"/>
              <w:bottom w:val="nil"/>
              <w:right w:val="nil"/>
            </w:tcBorders>
            <w:shd w:val="clear" w:color="auto" w:fill="auto"/>
            <w:vAlign w:val="bottom"/>
          </w:tcPr>
          <w:p w14:paraId="07077350" w14:textId="77777777" w:rsidR="00EC4499" w:rsidRDefault="00433EA7">
            <w:pPr>
              <w:spacing w:after="0" w:line="240" w:lineRule="auto"/>
              <w:rPr>
                <w:rFonts w:ascii="Garamond" w:eastAsia="Garamond" w:hAnsi="Garamond" w:cs="Garamond"/>
                <w:b/>
                <w:color w:val="000000"/>
                <w:sz w:val="18"/>
                <w:szCs w:val="18"/>
              </w:rPr>
            </w:pPr>
            <w:r>
              <w:rPr>
                <w:rFonts w:ascii="Garamond" w:eastAsia="Garamond" w:hAnsi="Garamond" w:cs="Garamond"/>
                <w:b/>
                <w:color w:val="000000"/>
                <w:sz w:val="18"/>
                <w:szCs w:val="18"/>
              </w:rPr>
              <w:t xml:space="preserve">            61,8</w:t>
            </w:r>
          </w:p>
        </w:tc>
      </w:tr>
      <w:tr w:rsidR="00EC4499" w14:paraId="2A1137A0" w14:textId="77777777" w:rsidTr="00F73D0C">
        <w:trPr>
          <w:trHeight w:val="312"/>
        </w:trPr>
        <w:tc>
          <w:tcPr>
            <w:tcW w:w="3828" w:type="dxa"/>
            <w:tcBorders>
              <w:top w:val="nil"/>
              <w:left w:val="nil"/>
              <w:bottom w:val="nil"/>
              <w:right w:val="nil"/>
            </w:tcBorders>
            <w:shd w:val="clear" w:color="auto" w:fill="auto"/>
            <w:vAlign w:val="bottom"/>
          </w:tcPr>
          <w:p w14:paraId="6DEB86F5"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Capital fechado</w:t>
            </w:r>
          </w:p>
        </w:tc>
        <w:tc>
          <w:tcPr>
            <w:tcW w:w="2268" w:type="dxa"/>
            <w:tcBorders>
              <w:top w:val="nil"/>
              <w:left w:val="nil"/>
              <w:bottom w:val="nil"/>
              <w:right w:val="nil"/>
            </w:tcBorders>
            <w:shd w:val="clear" w:color="auto" w:fill="auto"/>
            <w:vAlign w:val="bottom"/>
          </w:tcPr>
          <w:p w14:paraId="7FA56880"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49,0</w:t>
            </w:r>
          </w:p>
        </w:tc>
        <w:tc>
          <w:tcPr>
            <w:tcW w:w="2268" w:type="dxa"/>
            <w:tcBorders>
              <w:top w:val="nil"/>
              <w:left w:val="nil"/>
              <w:bottom w:val="nil"/>
              <w:right w:val="nil"/>
            </w:tcBorders>
            <w:shd w:val="clear" w:color="auto" w:fill="auto"/>
            <w:vAlign w:val="bottom"/>
          </w:tcPr>
          <w:p w14:paraId="07A6EE50"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            58,7</w:t>
            </w:r>
          </w:p>
        </w:tc>
      </w:tr>
      <w:tr w:rsidR="00EC4499" w14:paraId="4C58FB5D" w14:textId="77777777" w:rsidTr="00F73D0C">
        <w:trPr>
          <w:trHeight w:val="312"/>
        </w:trPr>
        <w:tc>
          <w:tcPr>
            <w:tcW w:w="3828" w:type="dxa"/>
            <w:tcBorders>
              <w:top w:val="nil"/>
              <w:left w:val="nil"/>
              <w:bottom w:val="nil"/>
              <w:right w:val="nil"/>
            </w:tcBorders>
            <w:shd w:val="clear" w:color="auto" w:fill="auto"/>
            <w:vAlign w:val="bottom"/>
          </w:tcPr>
          <w:p w14:paraId="718FB05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Sede no Brasil</w:t>
            </w:r>
          </w:p>
        </w:tc>
        <w:tc>
          <w:tcPr>
            <w:tcW w:w="2268" w:type="dxa"/>
            <w:tcBorders>
              <w:top w:val="nil"/>
              <w:left w:val="nil"/>
              <w:bottom w:val="nil"/>
              <w:right w:val="nil"/>
            </w:tcBorders>
            <w:shd w:val="clear" w:color="auto" w:fill="auto"/>
            <w:vAlign w:val="bottom"/>
          </w:tcPr>
          <w:p w14:paraId="306C004C"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61,7</w:t>
            </w:r>
          </w:p>
        </w:tc>
        <w:tc>
          <w:tcPr>
            <w:tcW w:w="2268" w:type="dxa"/>
            <w:tcBorders>
              <w:top w:val="nil"/>
              <w:left w:val="nil"/>
              <w:bottom w:val="nil"/>
              <w:right w:val="nil"/>
            </w:tcBorders>
            <w:shd w:val="clear" w:color="auto" w:fill="auto"/>
            <w:vAlign w:val="bottom"/>
          </w:tcPr>
          <w:p w14:paraId="3A543A9A" w14:textId="77777777" w:rsidR="00EC4499" w:rsidRDefault="00433EA7">
            <w:pPr>
              <w:spacing w:after="0" w:line="240" w:lineRule="auto"/>
              <w:rPr>
                <w:rFonts w:ascii="Garamond" w:eastAsia="Garamond" w:hAnsi="Garamond" w:cs="Garamond"/>
                <w:b/>
                <w:color w:val="000000"/>
                <w:sz w:val="18"/>
                <w:szCs w:val="18"/>
              </w:rPr>
            </w:pPr>
            <w:r>
              <w:rPr>
                <w:rFonts w:ascii="Garamond" w:eastAsia="Garamond" w:hAnsi="Garamond" w:cs="Garamond"/>
                <w:b/>
                <w:color w:val="000000"/>
                <w:sz w:val="18"/>
                <w:szCs w:val="18"/>
              </w:rPr>
              <w:t xml:space="preserve">            68,4</w:t>
            </w:r>
          </w:p>
        </w:tc>
      </w:tr>
      <w:tr w:rsidR="00EC4499" w14:paraId="72755E06" w14:textId="77777777" w:rsidTr="00F73D0C">
        <w:trPr>
          <w:trHeight w:val="312"/>
        </w:trPr>
        <w:tc>
          <w:tcPr>
            <w:tcW w:w="3828" w:type="dxa"/>
            <w:tcBorders>
              <w:top w:val="nil"/>
              <w:left w:val="nil"/>
              <w:bottom w:val="nil"/>
              <w:right w:val="nil"/>
            </w:tcBorders>
            <w:shd w:val="clear" w:color="auto" w:fill="auto"/>
            <w:vAlign w:val="bottom"/>
          </w:tcPr>
          <w:p w14:paraId="0CAFFB5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Sede no exterior</w:t>
            </w:r>
          </w:p>
        </w:tc>
        <w:tc>
          <w:tcPr>
            <w:tcW w:w="2268" w:type="dxa"/>
            <w:tcBorders>
              <w:top w:val="nil"/>
              <w:left w:val="nil"/>
              <w:bottom w:val="nil"/>
              <w:right w:val="nil"/>
            </w:tcBorders>
            <w:shd w:val="clear" w:color="auto" w:fill="auto"/>
            <w:vAlign w:val="bottom"/>
          </w:tcPr>
          <w:p w14:paraId="56495F24"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45,3</w:t>
            </w:r>
          </w:p>
        </w:tc>
        <w:tc>
          <w:tcPr>
            <w:tcW w:w="2268" w:type="dxa"/>
            <w:tcBorders>
              <w:top w:val="nil"/>
              <w:left w:val="nil"/>
              <w:bottom w:val="nil"/>
              <w:right w:val="nil"/>
            </w:tcBorders>
            <w:shd w:val="clear" w:color="auto" w:fill="auto"/>
            <w:vAlign w:val="bottom"/>
          </w:tcPr>
          <w:p w14:paraId="57D3C690"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            38,7</w:t>
            </w:r>
          </w:p>
        </w:tc>
      </w:tr>
      <w:tr w:rsidR="00EC4499" w14:paraId="1E93ADA8" w14:textId="77777777" w:rsidTr="00F73D0C">
        <w:trPr>
          <w:trHeight w:val="312"/>
        </w:trPr>
        <w:tc>
          <w:tcPr>
            <w:tcW w:w="3828" w:type="dxa"/>
            <w:tcBorders>
              <w:top w:val="nil"/>
              <w:left w:val="nil"/>
              <w:bottom w:val="nil"/>
              <w:right w:val="nil"/>
            </w:tcBorders>
            <w:shd w:val="clear" w:color="auto" w:fill="auto"/>
            <w:vAlign w:val="bottom"/>
          </w:tcPr>
          <w:p w14:paraId="1BA4F29C"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Desenvolvimento</w:t>
            </w:r>
          </w:p>
        </w:tc>
        <w:tc>
          <w:tcPr>
            <w:tcW w:w="2268" w:type="dxa"/>
            <w:tcBorders>
              <w:top w:val="nil"/>
              <w:left w:val="nil"/>
              <w:bottom w:val="nil"/>
              <w:right w:val="nil"/>
            </w:tcBorders>
            <w:shd w:val="clear" w:color="auto" w:fill="auto"/>
            <w:vAlign w:val="bottom"/>
          </w:tcPr>
          <w:p w14:paraId="21FC09D7"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56,5</w:t>
            </w:r>
          </w:p>
        </w:tc>
        <w:tc>
          <w:tcPr>
            <w:tcW w:w="2268" w:type="dxa"/>
            <w:tcBorders>
              <w:top w:val="nil"/>
              <w:left w:val="nil"/>
              <w:bottom w:val="nil"/>
              <w:right w:val="nil"/>
            </w:tcBorders>
            <w:shd w:val="clear" w:color="auto" w:fill="auto"/>
            <w:vAlign w:val="bottom"/>
          </w:tcPr>
          <w:p w14:paraId="5D12354D" w14:textId="77777777" w:rsidR="00EC4499" w:rsidRDefault="00433EA7">
            <w:pPr>
              <w:spacing w:after="0" w:line="240" w:lineRule="auto"/>
              <w:rPr>
                <w:rFonts w:ascii="Garamond" w:eastAsia="Garamond" w:hAnsi="Garamond" w:cs="Garamond"/>
                <w:b/>
                <w:color w:val="000000"/>
                <w:sz w:val="18"/>
                <w:szCs w:val="18"/>
              </w:rPr>
            </w:pPr>
            <w:r>
              <w:rPr>
                <w:rFonts w:ascii="Garamond" w:eastAsia="Garamond" w:hAnsi="Garamond" w:cs="Garamond"/>
                <w:b/>
                <w:color w:val="000000"/>
                <w:sz w:val="18"/>
                <w:szCs w:val="18"/>
              </w:rPr>
              <w:t xml:space="preserve">            71,5</w:t>
            </w:r>
          </w:p>
        </w:tc>
      </w:tr>
      <w:tr w:rsidR="00EC4499" w14:paraId="0E50D20E" w14:textId="77777777" w:rsidTr="00F73D0C">
        <w:trPr>
          <w:trHeight w:val="312"/>
        </w:trPr>
        <w:tc>
          <w:tcPr>
            <w:tcW w:w="3828" w:type="dxa"/>
            <w:tcBorders>
              <w:top w:val="nil"/>
              <w:left w:val="nil"/>
              <w:bottom w:val="nil"/>
              <w:right w:val="nil"/>
            </w:tcBorders>
            <w:shd w:val="clear" w:color="auto" w:fill="auto"/>
            <w:vAlign w:val="bottom"/>
          </w:tcPr>
          <w:p w14:paraId="2279C1FA"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Múltiplo</w:t>
            </w:r>
          </w:p>
        </w:tc>
        <w:tc>
          <w:tcPr>
            <w:tcW w:w="2268" w:type="dxa"/>
            <w:tcBorders>
              <w:top w:val="nil"/>
              <w:left w:val="nil"/>
              <w:bottom w:val="nil"/>
              <w:right w:val="nil"/>
            </w:tcBorders>
            <w:shd w:val="clear" w:color="auto" w:fill="auto"/>
            <w:vAlign w:val="bottom"/>
          </w:tcPr>
          <w:p w14:paraId="34135349"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57,8</w:t>
            </w:r>
          </w:p>
        </w:tc>
        <w:tc>
          <w:tcPr>
            <w:tcW w:w="2268" w:type="dxa"/>
            <w:tcBorders>
              <w:top w:val="nil"/>
              <w:left w:val="nil"/>
              <w:bottom w:val="nil"/>
              <w:right w:val="nil"/>
            </w:tcBorders>
            <w:shd w:val="clear" w:color="auto" w:fill="auto"/>
            <w:vAlign w:val="bottom"/>
          </w:tcPr>
          <w:p w14:paraId="646EEB96"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            58,9</w:t>
            </w:r>
          </w:p>
        </w:tc>
      </w:tr>
      <w:tr w:rsidR="00EC4499" w14:paraId="7316D761" w14:textId="77777777" w:rsidTr="000C5900">
        <w:trPr>
          <w:trHeight w:val="312"/>
        </w:trPr>
        <w:tc>
          <w:tcPr>
            <w:tcW w:w="3828" w:type="dxa"/>
            <w:tcBorders>
              <w:top w:val="nil"/>
              <w:left w:val="nil"/>
              <w:right w:val="nil"/>
            </w:tcBorders>
            <w:shd w:val="clear" w:color="auto" w:fill="auto"/>
            <w:vAlign w:val="bottom"/>
          </w:tcPr>
          <w:p w14:paraId="4D972087"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Relato Integrado</w:t>
            </w:r>
          </w:p>
        </w:tc>
        <w:tc>
          <w:tcPr>
            <w:tcW w:w="2268" w:type="dxa"/>
            <w:tcBorders>
              <w:top w:val="nil"/>
              <w:left w:val="nil"/>
              <w:right w:val="nil"/>
            </w:tcBorders>
            <w:shd w:val="clear" w:color="auto" w:fill="auto"/>
            <w:vAlign w:val="bottom"/>
          </w:tcPr>
          <w:p w14:paraId="39C7B2C9"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65,2</w:t>
            </w:r>
          </w:p>
        </w:tc>
        <w:tc>
          <w:tcPr>
            <w:tcW w:w="2268" w:type="dxa"/>
            <w:tcBorders>
              <w:top w:val="nil"/>
              <w:left w:val="nil"/>
              <w:right w:val="nil"/>
            </w:tcBorders>
            <w:shd w:val="clear" w:color="auto" w:fill="auto"/>
            <w:vAlign w:val="bottom"/>
          </w:tcPr>
          <w:p w14:paraId="3D229765" w14:textId="77777777" w:rsidR="00EC4499" w:rsidRDefault="00433EA7">
            <w:pPr>
              <w:spacing w:after="0" w:line="240" w:lineRule="auto"/>
              <w:rPr>
                <w:rFonts w:ascii="Garamond" w:eastAsia="Garamond" w:hAnsi="Garamond" w:cs="Garamond"/>
                <w:b/>
                <w:color w:val="000000"/>
                <w:sz w:val="18"/>
                <w:szCs w:val="18"/>
              </w:rPr>
            </w:pPr>
            <w:r>
              <w:rPr>
                <w:rFonts w:ascii="Garamond" w:eastAsia="Garamond" w:hAnsi="Garamond" w:cs="Garamond"/>
                <w:b/>
                <w:color w:val="000000"/>
                <w:sz w:val="18"/>
                <w:szCs w:val="18"/>
              </w:rPr>
              <w:t xml:space="preserve">            71,2</w:t>
            </w:r>
          </w:p>
        </w:tc>
      </w:tr>
      <w:tr w:rsidR="00EC4499" w14:paraId="2E704DFE" w14:textId="77777777" w:rsidTr="000C5900">
        <w:trPr>
          <w:trHeight w:val="312"/>
        </w:trPr>
        <w:tc>
          <w:tcPr>
            <w:tcW w:w="3828" w:type="dxa"/>
            <w:tcBorders>
              <w:top w:val="nil"/>
              <w:left w:val="nil"/>
              <w:bottom w:val="single" w:sz="4" w:space="0" w:color="auto"/>
              <w:right w:val="nil"/>
            </w:tcBorders>
            <w:shd w:val="clear" w:color="auto" w:fill="auto"/>
            <w:vAlign w:val="bottom"/>
          </w:tcPr>
          <w:p w14:paraId="4E518E56" w14:textId="6BA37C5C"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Relato ESG</w:t>
            </w:r>
            <w:r w:rsidR="000C5900">
              <w:rPr>
                <w:rFonts w:ascii="Garamond" w:eastAsia="Garamond" w:hAnsi="Garamond" w:cs="Garamond"/>
                <w:color w:val="000000"/>
                <w:sz w:val="18"/>
                <w:szCs w:val="18"/>
              </w:rPr>
              <w:t>/Sustentabilidade</w:t>
            </w:r>
          </w:p>
        </w:tc>
        <w:tc>
          <w:tcPr>
            <w:tcW w:w="2268" w:type="dxa"/>
            <w:tcBorders>
              <w:top w:val="nil"/>
              <w:left w:val="nil"/>
              <w:bottom w:val="single" w:sz="4" w:space="0" w:color="auto"/>
              <w:right w:val="nil"/>
            </w:tcBorders>
            <w:shd w:val="clear" w:color="auto" w:fill="auto"/>
            <w:vAlign w:val="bottom"/>
          </w:tcPr>
          <w:p w14:paraId="29CE5AE0" w14:textId="79C23EDD"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5</w:t>
            </w:r>
            <w:r w:rsidR="006D24E5">
              <w:rPr>
                <w:rFonts w:ascii="Garamond" w:eastAsia="Garamond" w:hAnsi="Garamond" w:cs="Garamond"/>
                <w:color w:val="000000"/>
                <w:sz w:val="18"/>
                <w:szCs w:val="18"/>
              </w:rPr>
              <w:t>0,0</w:t>
            </w:r>
          </w:p>
        </w:tc>
        <w:tc>
          <w:tcPr>
            <w:tcW w:w="2268" w:type="dxa"/>
            <w:tcBorders>
              <w:top w:val="nil"/>
              <w:left w:val="nil"/>
              <w:bottom w:val="single" w:sz="4" w:space="0" w:color="auto"/>
              <w:right w:val="nil"/>
            </w:tcBorders>
            <w:shd w:val="clear" w:color="auto" w:fill="auto"/>
            <w:vAlign w:val="bottom"/>
          </w:tcPr>
          <w:p w14:paraId="6C8110D9" w14:textId="1D24B19C"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            50,</w:t>
            </w:r>
            <w:r w:rsidR="006D24E5">
              <w:rPr>
                <w:rFonts w:ascii="Garamond" w:eastAsia="Garamond" w:hAnsi="Garamond" w:cs="Garamond"/>
                <w:color w:val="000000"/>
                <w:sz w:val="18"/>
                <w:szCs w:val="18"/>
              </w:rPr>
              <w:t>8</w:t>
            </w:r>
          </w:p>
        </w:tc>
      </w:tr>
    </w:tbl>
    <w:p w14:paraId="5FFF9080" w14:textId="77777777" w:rsidR="00EC4499" w:rsidRDefault="00EC4499">
      <w:pPr>
        <w:spacing w:after="0" w:line="360" w:lineRule="auto"/>
        <w:rPr>
          <w:rFonts w:ascii="Garamond" w:eastAsia="Garamond" w:hAnsi="Garamond" w:cs="Garamond"/>
          <w:b/>
          <w:color w:val="000000"/>
          <w:sz w:val="26"/>
          <w:szCs w:val="26"/>
        </w:rPr>
      </w:pPr>
    </w:p>
    <w:p w14:paraId="6A575A82" w14:textId="57294880" w:rsidR="00EC4499" w:rsidRDefault="00433EA7">
      <w:pPr>
        <w:spacing w:after="0" w:line="360" w:lineRule="auto"/>
        <w:ind w:firstLine="708"/>
        <w:jc w:val="both"/>
        <w:rPr>
          <w:rFonts w:ascii="Garamond" w:eastAsia="Garamond" w:hAnsi="Garamond" w:cs="Garamond"/>
          <w:b/>
          <w:color w:val="000000"/>
          <w:sz w:val="26"/>
          <w:szCs w:val="26"/>
        </w:rPr>
      </w:pPr>
      <w:r>
        <w:rPr>
          <w:rFonts w:ascii="Garamond" w:eastAsia="Garamond" w:hAnsi="Garamond" w:cs="Garamond"/>
          <w:color w:val="000000"/>
          <w:sz w:val="24"/>
          <w:szCs w:val="24"/>
        </w:rPr>
        <w:t xml:space="preserve">Os resultados confirmam que os relatos de mais qualidade são aqueles elaborados por bancos de capital aberto, com sede no Brasil e na modalidade “Integrado”. Também pode-se verificar que os bancos públicos obtiveram a mesma nota dos privados em 2022, embora no somatório dos dois anos analisados ainda fiquem atrás. O AI médio dos bancos de desenvolvimento foi pouco menor em 2021, mas </w:t>
      </w:r>
      <w:r w:rsidR="005668B3">
        <w:rPr>
          <w:rFonts w:ascii="Garamond" w:eastAsia="Garamond" w:hAnsi="Garamond" w:cs="Garamond"/>
          <w:color w:val="000000"/>
          <w:sz w:val="24"/>
          <w:szCs w:val="24"/>
        </w:rPr>
        <w:t>ficaram</w:t>
      </w:r>
      <w:r>
        <w:rPr>
          <w:rFonts w:ascii="Garamond" w:eastAsia="Garamond" w:hAnsi="Garamond" w:cs="Garamond"/>
          <w:color w:val="000000"/>
          <w:sz w:val="24"/>
          <w:szCs w:val="24"/>
        </w:rPr>
        <w:t xml:space="preserve"> bem acima da média dos bancos múltiplos.</w:t>
      </w:r>
      <w:r>
        <w:rPr>
          <w:rFonts w:ascii="Garamond" w:eastAsia="Garamond" w:hAnsi="Garamond" w:cs="Garamond"/>
          <w:color w:val="000000"/>
          <w:sz w:val="24"/>
          <w:szCs w:val="24"/>
        </w:rPr>
        <w:tab/>
      </w:r>
    </w:p>
    <w:p w14:paraId="34382F87" w14:textId="1D658A99" w:rsidR="00EC4499" w:rsidRDefault="00433EA7">
      <w:pPr>
        <w:pStyle w:val="Ttulo2"/>
        <w:spacing w:after="0" w:line="360" w:lineRule="auto"/>
        <w:rPr>
          <w:rFonts w:ascii="Garamond" w:eastAsia="Garamond" w:hAnsi="Garamond" w:cs="Garamond"/>
          <w:color w:val="000000"/>
          <w:sz w:val="24"/>
          <w:szCs w:val="24"/>
        </w:rPr>
      </w:pPr>
      <w:bookmarkStart w:id="17" w:name="_heading=h.ap7e543i6c43" w:colFirst="0" w:colLast="0"/>
      <w:bookmarkEnd w:id="17"/>
      <w:r>
        <w:rPr>
          <w:rFonts w:ascii="Garamond" w:eastAsia="Garamond" w:hAnsi="Garamond" w:cs="Garamond"/>
          <w:sz w:val="26"/>
          <w:szCs w:val="26"/>
        </w:rPr>
        <w:t>4.5</w:t>
      </w:r>
      <w:r w:rsidR="00993DEB">
        <w:rPr>
          <w:rFonts w:ascii="Garamond" w:eastAsia="Garamond" w:hAnsi="Garamond" w:cs="Garamond"/>
          <w:sz w:val="26"/>
          <w:szCs w:val="26"/>
        </w:rPr>
        <w:tab/>
      </w:r>
      <w:r>
        <w:rPr>
          <w:rFonts w:ascii="Garamond" w:eastAsia="Garamond" w:hAnsi="Garamond" w:cs="Garamond"/>
          <w:sz w:val="26"/>
          <w:szCs w:val="26"/>
        </w:rPr>
        <w:t>Avaliação dos princípios de relato</w:t>
      </w:r>
    </w:p>
    <w:p w14:paraId="6A842302" w14:textId="45282AB1" w:rsidR="00EC4499" w:rsidRDefault="00433EA7">
      <w:pPr>
        <w:pStyle w:val="Ttulo3"/>
        <w:spacing w:after="0" w:line="360" w:lineRule="auto"/>
        <w:rPr>
          <w:rFonts w:ascii="Garamond" w:eastAsia="Garamond" w:hAnsi="Garamond" w:cs="Garamond"/>
          <w:sz w:val="24"/>
          <w:szCs w:val="24"/>
        </w:rPr>
      </w:pPr>
      <w:bookmarkStart w:id="18" w:name="_heading=h.eer0qh5ja210" w:colFirst="0" w:colLast="0"/>
      <w:bookmarkEnd w:id="18"/>
      <w:r>
        <w:rPr>
          <w:rFonts w:ascii="Garamond" w:eastAsia="Garamond" w:hAnsi="Garamond" w:cs="Garamond"/>
          <w:sz w:val="24"/>
          <w:szCs w:val="24"/>
        </w:rPr>
        <w:t>4.5.1</w:t>
      </w:r>
      <w:r w:rsidR="007B56BC">
        <w:rPr>
          <w:rFonts w:ascii="Garamond" w:eastAsia="Garamond" w:hAnsi="Garamond" w:cs="Garamond"/>
          <w:sz w:val="24"/>
          <w:szCs w:val="24"/>
        </w:rPr>
        <w:tab/>
      </w:r>
      <w:r>
        <w:rPr>
          <w:rFonts w:ascii="Garamond" w:eastAsia="Garamond" w:hAnsi="Garamond" w:cs="Garamond"/>
          <w:sz w:val="24"/>
          <w:szCs w:val="24"/>
        </w:rPr>
        <w:t>Princípio do Equilíbrio</w:t>
      </w:r>
    </w:p>
    <w:p w14:paraId="6A40032D" w14:textId="77777777" w:rsidR="00EC4499" w:rsidRDefault="00EC4499">
      <w:pPr>
        <w:spacing w:after="0" w:line="360" w:lineRule="auto"/>
        <w:rPr>
          <w:rFonts w:ascii="Garamond" w:eastAsia="Garamond" w:hAnsi="Garamond" w:cs="Garamond"/>
          <w:color w:val="000000"/>
          <w:sz w:val="24"/>
          <w:szCs w:val="24"/>
        </w:rPr>
      </w:pPr>
    </w:p>
    <w:p w14:paraId="34C6D46D" w14:textId="77777777" w:rsidR="00EC4499" w:rsidRDefault="00433EA7">
      <w:pPr>
        <w:spacing w:after="0" w:line="360" w:lineRule="auto"/>
        <w:ind w:firstLine="708"/>
        <w:jc w:val="both"/>
        <w:rPr>
          <w:rFonts w:ascii="Garamond" w:eastAsia="Garamond" w:hAnsi="Garamond" w:cs="Garamond"/>
          <w:color w:val="000000"/>
          <w:sz w:val="24"/>
          <w:szCs w:val="24"/>
        </w:rPr>
      </w:pPr>
      <w:r>
        <w:rPr>
          <w:rFonts w:ascii="Garamond" w:eastAsia="Garamond" w:hAnsi="Garamond" w:cs="Garamond"/>
          <w:color w:val="000000"/>
          <w:sz w:val="24"/>
          <w:szCs w:val="24"/>
        </w:rPr>
        <w:t>Apresentamos a seguir os resultados obtidos a partir da análise dos relatórios com relação ao Princípio do Equilíbrio.</w:t>
      </w:r>
    </w:p>
    <w:p w14:paraId="4AD035D6" w14:textId="77777777" w:rsidR="00EC4499" w:rsidRDefault="00EC4499">
      <w:pPr>
        <w:spacing w:after="0" w:line="360" w:lineRule="auto"/>
        <w:rPr>
          <w:rFonts w:ascii="Garamond" w:eastAsia="Garamond" w:hAnsi="Garamond" w:cs="Garamond"/>
          <w:color w:val="000000"/>
          <w:sz w:val="24"/>
          <w:szCs w:val="24"/>
        </w:rPr>
      </w:pPr>
    </w:p>
    <w:p w14:paraId="30AE1D39" w14:textId="77777777" w:rsidR="00EC4499" w:rsidRDefault="00433EA7">
      <w:pPr>
        <w:spacing w:after="0" w:line="360" w:lineRule="auto"/>
        <w:jc w:val="center"/>
        <w:rPr>
          <w:rFonts w:ascii="Garamond" w:eastAsia="Garamond" w:hAnsi="Garamond" w:cs="Garamond"/>
          <w:i/>
          <w:color w:val="000000"/>
          <w:sz w:val="24"/>
          <w:szCs w:val="24"/>
        </w:rPr>
      </w:pPr>
      <w:r>
        <w:rPr>
          <w:rFonts w:ascii="Garamond" w:eastAsia="Garamond" w:hAnsi="Garamond" w:cs="Garamond"/>
          <w:color w:val="000000"/>
          <w:sz w:val="24"/>
          <w:szCs w:val="24"/>
        </w:rPr>
        <w:lastRenderedPageBreak/>
        <w:t>Tabela 20 - Princípio do Equilíbrio</w:t>
      </w:r>
    </w:p>
    <w:tbl>
      <w:tblPr>
        <w:tblStyle w:val="af2"/>
        <w:tblW w:w="8104" w:type="dxa"/>
        <w:tblInd w:w="284" w:type="dxa"/>
        <w:tblLayout w:type="fixed"/>
        <w:tblLook w:val="0400" w:firstRow="0" w:lastRow="0" w:firstColumn="0" w:lastColumn="0" w:noHBand="0" w:noVBand="1"/>
      </w:tblPr>
      <w:tblGrid>
        <w:gridCol w:w="2410"/>
        <w:gridCol w:w="478"/>
        <w:gridCol w:w="1790"/>
        <w:gridCol w:w="1146"/>
        <w:gridCol w:w="2280"/>
      </w:tblGrid>
      <w:tr w:rsidR="00EC4499" w14:paraId="4A4EEB60" w14:textId="77777777">
        <w:trPr>
          <w:trHeight w:val="288"/>
        </w:trPr>
        <w:tc>
          <w:tcPr>
            <w:tcW w:w="2410" w:type="dxa"/>
            <w:tcBorders>
              <w:top w:val="nil"/>
              <w:left w:val="nil"/>
              <w:bottom w:val="single" w:sz="4" w:space="0" w:color="000000"/>
              <w:right w:val="nil"/>
            </w:tcBorders>
            <w:shd w:val="clear" w:color="auto" w:fill="auto"/>
            <w:vAlign w:val="bottom"/>
          </w:tcPr>
          <w:p w14:paraId="22A3DC51" w14:textId="77777777" w:rsidR="00EC4499" w:rsidRDefault="00433EA7">
            <w:pPr>
              <w:spacing w:after="0" w:line="240" w:lineRule="auto"/>
              <w:rPr>
                <w:rFonts w:ascii="Garamond" w:eastAsia="Garamond" w:hAnsi="Garamond" w:cs="Garamond"/>
                <w:b/>
                <w:color w:val="000000"/>
                <w:sz w:val="18"/>
                <w:szCs w:val="18"/>
              </w:rPr>
            </w:pPr>
            <w:r>
              <w:rPr>
                <w:rFonts w:ascii="Garamond" w:eastAsia="Garamond" w:hAnsi="Garamond" w:cs="Garamond"/>
                <w:b/>
                <w:color w:val="000000"/>
                <w:sz w:val="18"/>
                <w:szCs w:val="18"/>
              </w:rPr>
              <w:t>Empresa</w:t>
            </w:r>
          </w:p>
        </w:tc>
        <w:tc>
          <w:tcPr>
            <w:tcW w:w="478" w:type="dxa"/>
            <w:tcBorders>
              <w:top w:val="nil"/>
              <w:left w:val="nil"/>
              <w:bottom w:val="single" w:sz="4" w:space="0" w:color="000000"/>
              <w:right w:val="nil"/>
            </w:tcBorders>
            <w:shd w:val="clear" w:color="auto" w:fill="auto"/>
            <w:vAlign w:val="bottom"/>
          </w:tcPr>
          <w:p w14:paraId="0347C348"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Ano</w:t>
            </w:r>
          </w:p>
        </w:tc>
        <w:tc>
          <w:tcPr>
            <w:tcW w:w="1790" w:type="dxa"/>
            <w:tcBorders>
              <w:top w:val="nil"/>
              <w:left w:val="nil"/>
              <w:bottom w:val="single" w:sz="4" w:space="0" w:color="000000"/>
              <w:right w:val="nil"/>
            </w:tcBorders>
            <w:shd w:val="clear" w:color="auto" w:fill="auto"/>
            <w:vAlign w:val="bottom"/>
          </w:tcPr>
          <w:p w14:paraId="731B48F1" w14:textId="77777777" w:rsidR="00EC4499" w:rsidRDefault="00433EA7">
            <w:pPr>
              <w:spacing w:after="0" w:line="240" w:lineRule="auto"/>
              <w:ind w:left="141"/>
              <w:jc w:val="center"/>
              <w:rPr>
                <w:rFonts w:ascii="Garamond" w:eastAsia="Garamond" w:hAnsi="Garamond" w:cs="Garamond"/>
                <w:b/>
                <w:color w:val="000000"/>
                <w:sz w:val="18"/>
                <w:szCs w:val="18"/>
              </w:rPr>
            </w:pPr>
            <w:r>
              <w:rPr>
                <w:rFonts w:ascii="Garamond" w:eastAsia="Garamond" w:hAnsi="Garamond" w:cs="Garamond"/>
                <w:b/>
                <w:color w:val="000000"/>
                <w:sz w:val="18"/>
                <w:szCs w:val="18"/>
              </w:rPr>
              <w:t xml:space="preserve">                              Pontuação P1</w:t>
            </w:r>
          </w:p>
        </w:tc>
        <w:tc>
          <w:tcPr>
            <w:tcW w:w="1146" w:type="dxa"/>
            <w:tcBorders>
              <w:top w:val="nil"/>
              <w:left w:val="nil"/>
              <w:bottom w:val="single" w:sz="4" w:space="0" w:color="000000"/>
              <w:right w:val="nil"/>
            </w:tcBorders>
            <w:shd w:val="clear" w:color="auto" w:fill="auto"/>
            <w:vAlign w:val="bottom"/>
          </w:tcPr>
          <w:p w14:paraId="78CA30B3" w14:textId="7E538438"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 xml:space="preserve">      Pontuação</w:t>
            </w:r>
            <w:r w:rsidR="00E958A3">
              <w:rPr>
                <w:rFonts w:ascii="Garamond" w:eastAsia="Garamond" w:hAnsi="Garamond" w:cs="Garamond"/>
                <w:b/>
                <w:color w:val="000000"/>
                <w:sz w:val="18"/>
                <w:szCs w:val="18"/>
              </w:rPr>
              <w:t xml:space="preserve"> </w:t>
            </w:r>
            <w:r>
              <w:rPr>
                <w:rFonts w:ascii="Garamond" w:eastAsia="Garamond" w:hAnsi="Garamond" w:cs="Garamond"/>
                <w:b/>
                <w:color w:val="000000"/>
                <w:sz w:val="18"/>
                <w:szCs w:val="18"/>
              </w:rPr>
              <w:t>P2</w:t>
            </w:r>
          </w:p>
        </w:tc>
        <w:tc>
          <w:tcPr>
            <w:tcW w:w="2280" w:type="dxa"/>
            <w:tcBorders>
              <w:top w:val="nil"/>
              <w:left w:val="nil"/>
              <w:bottom w:val="single" w:sz="4" w:space="0" w:color="000000"/>
              <w:right w:val="nil"/>
            </w:tcBorders>
            <w:shd w:val="clear" w:color="auto" w:fill="auto"/>
            <w:vAlign w:val="bottom"/>
          </w:tcPr>
          <w:p w14:paraId="7FBB2A33"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 xml:space="preserve">                                      Total</w:t>
            </w:r>
          </w:p>
        </w:tc>
      </w:tr>
      <w:tr w:rsidR="00EC4499" w14:paraId="71D9B6E1" w14:textId="77777777">
        <w:trPr>
          <w:trHeight w:val="288"/>
        </w:trPr>
        <w:tc>
          <w:tcPr>
            <w:tcW w:w="2410" w:type="dxa"/>
            <w:vMerge w:val="restart"/>
            <w:tcBorders>
              <w:top w:val="single" w:sz="4" w:space="0" w:color="000000"/>
              <w:left w:val="nil"/>
              <w:bottom w:val="nil"/>
              <w:right w:val="nil"/>
            </w:tcBorders>
            <w:shd w:val="clear" w:color="auto" w:fill="auto"/>
            <w:vAlign w:val="bottom"/>
          </w:tcPr>
          <w:p w14:paraId="50A89DA9"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Banco do Brasil </w:t>
            </w:r>
          </w:p>
        </w:tc>
        <w:tc>
          <w:tcPr>
            <w:tcW w:w="478" w:type="dxa"/>
            <w:tcBorders>
              <w:top w:val="single" w:sz="4" w:space="0" w:color="000000"/>
              <w:left w:val="nil"/>
              <w:bottom w:val="nil"/>
              <w:right w:val="nil"/>
            </w:tcBorders>
            <w:shd w:val="clear" w:color="auto" w:fill="auto"/>
            <w:vAlign w:val="bottom"/>
          </w:tcPr>
          <w:p w14:paraId="6FB549CA" w14:textId="77777777" w:rsidR="00EC4499" w:rsidRDefault="00433EA7">
            <w:pPr>
              <w:spacing w:after="0" w:line="240" w:lineRule="auto"/>
              <w:ind w:left="-70"/>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1790" w:type="dxa"/>
            <w:tcBorders>
              <w:top w:val="single" w:sz="4" w:space="0" w:color="000000"/>
              <w:left w:val="nil"/>
              <w:bottom w:val="nil"/>
              <w:right w:val="nil"/>
            </w:tcBorders>
            <w:shd w:val="clear" w:color="auto" w:fill="auto"/>
            <w:vAlign w:val="bottom"/>
          </w:tcPr>
          <w:p w14:paraId="18DCABB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146" w:type="dxa"/>
            <w:tcBorders>
              <w:top w:val="single" w:sz="4" w:space="0" w:color="000000"/>
              <w:left w:val="nil"/>
              <w:bottom w:val="nil"/>
              <w:right w:val="nil"/>
            </w:tcBorders>
            <w:shd w:val="clear" w:color="auto" w:fill="auto"/>
            <w:vAlign w:val="bottom"/>
          </w:tcPr>
          <w:p w14:paraId="64B46385"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2280" w:type="dxa"/>
            <w:tcBorders>
              <w:top w:val="single" w:sz="4" w:space="0" w:color="000000"/>
              <w:left w:val="nil"/>
              <w:bottom w:val="nil"/>
              <w:right w:val="nil"/>
            </w:tcBorders>
            <w:shd w:val="clear" w:color="auto" w:fill="auto"/>
            <w:vAlign w:val="bottom"/>
          </w:tcPr>
          <w:p w14:paraId="775ACF90"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26CF3C46" w14:textId="77777777">
        <w:trPr>
          <w:trHeight w:val="288"/>
        </w:trPr>
        <w:tc>
          <w:tcPr>
            <w:tcW w:w="2410" w:type="dxa"/>
            <w:vMerge/>
            <w:tcBorders>
              <w:top w:val="single" w:sz="4" w:space="0" w:color="000000"/>
              <w:left w:val="nil"/>
              <w:bottom w:val="nil"/>
              <w:right w:val="nil"/>
            </w:tcBorders>
            <w:shd w:val="clear" w:color="auto" w:fill="auto"/>
            <w:vAlign w:val="bottom"/>
          </w:tcPr>
          <w:p w14:paraId="4849C169"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508DB3BB" w14:textId="77777777" w:rsidR="00EC4499" w:rsidRDefault="00433EA7">
            <w:pPr>
              <w:spacing w:after="0" w:line="240" w:lineRule="auto"/>
              <w:ind w:left="-70"/>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1790" w:type="dxa"/>
            <w:tcBorders>
              <w:top w:val="nil"/>
              <w:left w:val="nil"/>
              <w:bottom w:val="single" w:sz="4" w:space="0" w:color="000000"/>
              <w:right w:val="nil"/>
            </w:tcBorders>
            <w:shd w:val="clear" w:color="auto" w:fill="auto"/>
            <w:vAlign w:val="bottom"/>
          </w:tcPr>
          <w:p w14:paraId="6734FDEC"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146" w:type="dxa"/>
            <w:tcBorders>
              <w:top w:val="nil"/>
              <w:left w:val="nil"/>
              <w:bottom w:val="single" w:sz="4" w:space="0" w:color="000000"/>
              <w:right w:val="nil"/>
            </w:tcBorders>
            <w:shd w:val="clear" w:color="auto" w:fill="auto"/>
            <w:vAlign w:val="bottom"/>
          </w:tcPr>
          <w:p w14:paraId="76FE43A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2280" w:type="dxa"/>
            <w:tcBorders>
              <w:top w:val="nil"/>
              <w:left w:val="nil"/>
              <w:bottom w:val="single" w:sz="4" w:space="0" w:color="000000"/>
              <w:right w:val="nil"/>
            </w:tcBorders>
            <w:shd w:val="clear" w:color="auto" w:fill="auto"/>
            <w:vAlign w:val="bottom"/>
          </w:tcPr>
          <w:p w14:paraId="1375BC8E"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52BE32C5" w14:textId="77777777">
        <w:trPr>
          <w:trHeight w:val="288"/>
        </w:trPr>
        <w:tc>
          <w:tcPr>
            <w:tcW w:w="2410" w:type="dxa"/>
            <w:vMerge w:val="restart"/>
            <w:tcBorders>
              <w:top w:val="nil"/>
              <w:left w:val="nil"/>
              <w:bottom w:val="nil"/>
              <w:right w:val="nil"/>
            </w:tcBorders>
            <w:shd w:val="clear" w:color="auto" w:fill="auto"/>
            <w:vAlign w:val="bottom"/>
          </w:tcPr>
          <w:p w14:paraId="7748151B"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Banco do Nordeste </w:t>
            </w:r>
          </w:p>
        </w:tc>
        <w:tc>
          <w:tcPr>
            <w:tcW w:w="478" w:type="dxa"/>
            <w:tcBorders>
              <w:top w:val="single" w:sz="4" w:space="0" w:color="000000"/>
              <w:left w:val="nil"/>
              <w:bottom w:val="nil"/>
              <w:right w:val="nil"/>
            </w:tcBorders>
            <w:shd w:val="clear" w:color="auto" w:fill="auto"/>
            <w:vAlign w:val="bottom"/>
          </w:tcPr>
          <w:p w14:paraId="235E982F" w14:textId="77777777" w:rsidR="00EC4499" w:rsidRDefault="00433EA7">
            <w:pPr>
              <w:spacing w:after="0" w:line="240" w:lineRule="auto"/>
              <w:ind w:left="-70"/>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1790" w:type="dxa"/>
            <w:tcBorders>
              <w:top w:val="single" w:sz="4" w:space="0" w:color="000000"/>
              <w:left w:val="nil"/>
              <w:bottom w:val="nil"/>
              <w:right w:val="nil"/>
            </w:tcBorders>
            <w:shd w:val="clear" w:color="auto" w:fill="auto"/>
            <w:vAlign w:val="bottom"/>
          </w:tcPr>
          <w:p w14:paraId="7F0101C9"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146" w:type="dxa"/>
            <w:tcBorders>
              <w:top w:val="single" w:sz="4" w:space="0" w:color="000000"/>
              <w:left w:val="nil"/>
              <w:bottom w:val="nil"/>
              <w:right w:val="nil"/>
            </w:tcBorders>
            <w:shd w:val="clear" w:color="auto" w:fill="auto"/>
            <w:vAlign w:val="bottom"/>
          </w:tcPr>
          <w:p w14:paraId="64AE7D7E"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2280" w:type="dxa"/>
            <w:tcBorders>
              <w:top w:val="single" w:sz="4" w:space="0" w:color="000000"/>
              <w:left w:val="nil"/>
              <w:bottom w:val="nil"/>
              <w:right w:val="nil"/>
            </w:tcBorders>
            <w:shd w:val="clear" w:color="auto" w:fill="auto"/>
            <w:vAlign w:val="bottom"/>
          </w:tcPr>
          <w:p w14:paraId="1511462F"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1BDC8899" w14:textId="77777777">
        <w:trPr>
          <w:trHeight w:val="288"/>
        </w:trPr>
        <w:tc>
          <w:tcPr>
            <w:tcW w:w="2410" w:type="dxa"/>
            <w:vMerge/>
            <w:tcBorders>
              <w:top w:val="nil"/>
              <w:left w:val="nil"/>
              <w:bottom w:val="nil"/>
              <w:right w:val="nil"/>
            </w:tcBorders>
            <w:shd w:val="clear" w:color="auto" w:fill="auto"/>
            <w:vAlign w:val="bottom"/>
          </w:tcPr>
          <w:p w14:paraId="65AE8429"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7310F581" w14:textId="77777777" w:rsidR="00EC4499" w:rsidRDefault="00433EA7">
            <w:pPr>
              <w:spacing w:after="0" w:line="240" w:lineRule="auto"/>
              <w:ind w:left="-70"/>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1790" w:type="dxa"/>
            <w:tcBorders>
              <w:top w:val="nil"/>
              <w:left w:val="nil"/>
              <w:bottom w:val="single" w:sz="4" w:space="0" w:color="000000"/>
              <w:right w:val="nil"/>
            </w:tcBorders>
            <w:shd w:val="clear" w:color="auto" w:fill="auto"/>
            <w:vAlign w:val="bottom"/>
          </w:tcPr>
          <w:p w14:paraId="6CA7432E"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146" w:type="dxa"/>
            <w:tcBorders>
              <w:top w:val="nil"/>
              <w:left w:val="nil"/>
              <w:bottom w:val="single" w:sz="4" w:space="0" w:color="000000"/>
              <w:right w:val="nil"/>
            </w:tcBorders>
            <w:shd w:val="clear" w:color="auto" w:fill="auto"/>
            <w:vAlign w:val="bottom"/>
          </w:tcPr>
          <w:p w14:paraId="67C93C8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2280" w:type="dxa"/>
            <w:tcBorders>
              <w:top w:val="nil"/>
              <w:left w:val="nil"/>
              <w:bottom w:val="single" w:sz="4" w:space="0" w:color="000000"/>
              <w:right w:val="nil"/>
            </w:tcBorders>
            <w:shd w:val="clear" w:color="auto" w:fill="auto"/>
            <w:vAlign w:val="bottom"/>
          </w:tcPr>
          <w:p w14:paraId="2E2350B9"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24BE27C9" w14:textId="77777777">
        <w:trPr>
          <w:trHeight w:val="288"/>
        </w:trPr>
        <w:tc>
          <w:tcPr>
            <w:tcW w:w="2410" w:type="dxa"/>
            <w:vMerge w:val="restart"/>
            <w:tcBorders>
              <w:top w:val="nil"/>
              <w:left w:val="nil"/>
              <w:bottom w:val="nil"/>
              <w:right w:val="nil"/>
            </w:tcBorders>
            <w:shd w:val="clear" w:color="auto" w:fill="auto"/>
            <w:vAlign w:val="bottom"/>
          </w:tcPr>
          <w:p w14:paraId="767122AE"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BNDES</w:t>
            </w:r>
          </w:p>
        </w:tc>
        <w:tc>
          <w:tcPr>
            <w:tcW w:w="478" w:type="dxa"/>
            <w:tcBorders>
              <w:top w:val="single" w:sz="4" w:space="0" w:color="000000"/>
              <w:left w:val="nil"/>
              <w:bottom w:val="nil"/>
              <w:right w:val="nil"/>
            </w:tcBorders>
            <w:shd w:val="clear" w:color="auto" w:fill="auto"/>
            <w:vAlign w:val="bottom"/>
          </w:tcPr>
          <w:p w14:paraId="6D4C69E4" w14:textId="77777777" w:rsidR="00EC4499" w:rsidRDefault="00433EA7">
            <w:pPr>
              <w:spacing w:after="0" w:line="240" w:lineRule="auto"/>
              <w:ind w:left="-70"/>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1790" w:type="dxa"/>
            <w:tcBorders>
              <w:top w:val="single" w:sz="4" w:space="0" w:color="000000"/>
              <w:left w:val="nil"/>
              <w:bottom w:val="nil"/>
              <w:right w:val="nil"/>
            </w:tcBorders>
            <w:shd w:val="clear" w:color="auto" w:fill="auto"/>
            <w:vAlign w:val="bottom"/>
          </w:tcPr>
          <w:p w14:paraId="2787334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146" w:type="dxa"/>
            <w:tcBorders>
              <w:top w:val="single" w:sz="4" w:space="0" w:color="000000"/>
              <w:left w:val="nil"/>
              <w:bottom w:val="nil"/>
              <w:right w:val="nil"/>
            </w:tcBorders>
            <w:shd w:val="clear" w:color="auto" w:fill="auto"/>
            <w:vAlign w:val="bottom"/>
          </w:tcPr>
          <w:p w14:paraId="08C6465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2280" w:type="dxa"/>
            <w:tcBorders>
              <w:top w:val="single" w:sz="4" w:space="0" w:color="000000"/>
              <w:left w:val="nil"/>
              <w:bottom w:val="nil"/>
              <w:right w:val="nil"/>
            </w:tcBorders>
            <w:shd w:val="clear" w:color="auto" w:fill="auto"/>
            <w:vAlign w:val="bottom"/>
          </w:tcPr>
          <w:p w14:paraId="39845503"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5FB757D2" w14:textId="77777777">
        <w:trPr>
          <w:trHeight w:val="288"/>
        </w:trPr>
        <w:tc>
          <w:tcPr>
            <w:tcW w:w="2410" w:type="dxa"/>
            <w:vMerge/>
            <w:tcBorders>
              <w:top w:val="nil"/>
              <w:left w:val="nil"/>
              <w:bottom w:val="nil"/>
              <w:right w:val="nil"/>
            </w:tcBorders>
            <w:shd w:val="clear" w:color="auto" w:fill="auto"/>
            <w:vAlign w:val="bottom"/>
          </w:tcPr>
          <w:p w14:paraId="2E091FBD"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2F1367B5" w14:textId="77777777" w:rsidR="00EC4499" w:rsidRDefault="00433EA7">
            <w:pPr>
              <w:spacing w:after="0" w:line="240" w:lineRule="auto"/>
              <w:ind w:left="-70"/>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1790" w:type="dxa"/>
            <w:tcBorders>
              <w:top w:val="nil"/>
              <w:left w:val="nil"/>
              <w:bottom w:val="single" w:sz="4" w:space="0" w:color="000000"/>
              <w:right w:val="nil"/>
            </w:tcBorders>
            <w:shd w:val="clear" w:color="auto" w:fill="auto"/>
            <w:vAlign w:val="bottom"/>
          </w:tcPr>
          <w:p w14:paraId="167E60A0"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146" w:type="dxa"/>
            <w:tcBorders>
              <w:top w:val="nil"/>
              <w:left w:val="nil"/>
              <w:bottom w:val="single" w:sz="4" w:space="0" w:color="000000"/>
              <w:right w:val="nil"/>
            </w:tcBorders>
            <w:shd w:val="clear" w:color="auto" w:fill="auto"/>
            <w:vAlign w:val="bottom"/>
          </w:tcPr>
          <w:p w14:paraId="094D93C0"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2280" w:type="dxa"/>
            <w:tcBorders>
              <w:top w:val="nil"/>
              <w:left w:val="nil"/>
              <w:bottom w:val="single" w:sz="4" w:space="0" w:color="000000"/>
              <w:right w:val="nil"/>
            </w:tcBorders>
            <w:shd w:val="clear" w:color="auto" w:fill="auto"/>
            <w:vAlign w:val="bottom"/>
          </w:tcPr>
          <w:p w14:paraId="0029D404"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5E3AC46B" w14:textId="77777777">
        <w:trPr>
          <w:trHeight w:val="288"/>
        </w:trPr>
        <w:tc>
          <w:tcPr>
            <w:tcW w:w="2410" w:type="dxa"/>
            <w:vMerge w:val="restart"/>
            <w:tcBorders>
              <w:top w:val="nil"/>
              <w:left w:val="nil"/>
              <w:bottom w:val="nil"/>
              <w:right w:val="nil"/>
            </w:tcBorders>
            <w:shd w:val="clear" w:color="auto" w:fill="auto"/>
            <w:vAlign w:val="bottom"/>
          </w:tcPr>
          <w:p w14:paraId="17B1003D"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Bradesco</w:t>
            </w:r>
          </w:p>
        </w:tc>
        <w:tc>
          <w:tcPr>
            <w:tcW w:w="478" w:type="dxa"/>
            <w:tcBorders>
              <w:top w:val="single" w:sz="4" w:space="0" w:color="000000"/>
              <w:left w:val="nil"/>
              <w:bottom w:val="nil"/>
              <w:right w:val="nil"/>
            </w:tcBorders>
            <w:shd w:val="clear" w:color="auto" w:fill="auto"/>
            <w:vAlign w:val="bottom"/>
          </w:tcPr>
          <w:p w14:paraId="7C62EA11" w14:textId="77777777" w:rsidR="00EC4499" w:rsidRDefault="00433EA7">
            <w:pPr>
              <w:spacing w:after="0" w:line="240" w:lineRule="auto"/>
              <w:ind w:left="-70"/>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1790" w:type="dxa"/>
            <w:tcBorders>
              <w:top w:val="single" w:sz="4" w:space="0" w:color="000000"/>
              <w:left w:val="nil"/>
              <w:bottom w:val="nil"/>
              <w:right w:val="nil"/>
            </w:tcBorders>
            <w:shd w:val="clear" w:color="auto" w:fill="auto"/>
            <w:vAlign w:val="bottom"/>
          </w:tcPr>
          <w:p w14:paraId="79BA7A12"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146" w:type="dxa"/>
            <w:tcBorders>
              <w:top w:val="single" w:sz="4" w:space="0" w:color="000000"/>
              <w:left w:val="nil"/>
              <w:bottom w:val="nil"/>
              <w:right w:val="nil"/>
            </w:tcBorders>
            <w:shd w:val="clear" w:color="auto" w:fill="auto"/>
            <w:vAlign w:val="bottom"/>
          </w:tcPr>
          <w:p w14:paraId="01E9F3F6"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280" w:type="dxa"/>
            <w:tcBorders>
              <w:top w:val="single" w:sz="4" w:space="0" w:color="000000"/>
              <w:left w:val="nil"/>
              <w:bottom w:val="nil"/>
              <w:right w:val="nil"/>
            </w:tcBorders>
            <w:shd w:val="clear" w:color="auto" w:fill="auto"/>
            <w:vAlign w:val="bottom"/>
          </w:tcPr>
          <w:p w14:paraId="0740DBBE"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3</w:t>
            </w:r>
          </w:p>
        </w:tc>
      </w:tr>
      <w:tr w:rsidR="00EC4499" w14:paraId="3F25CD47" w14:textId="77777777">
        <w:trPr>
          <w:trHeight w:val="288"/>
        </w:trPr>
        <w:tc>
          <w:tcPr>
            <w:tcW w:w="2410" w:type="dxa"/>
            <w:vMerge/>
            <w:tcBorders>
              <w:top w:val="nil"/>
              <w:left w:val="nil"/>
              <w:bottom w:val="nil"/>
              <w:right w:val="nil"/>
            </w:tcBorders>
            <w:shd w:val="clear" w:color="auto" w:fill="auto"/>
            <w:vAlign w:val="bottom"/>
          </w:tcPr>
          <w:p w14:paraId="0F8E16C7"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590C99A6" w14:textId="77777777" w:rsidR="00EC4499" w:rsidRDefault="00433EA7">
            <w:pPr>
              <w:spacing w:after="0" w:line="240" w:lineRule="auto"/>
              <w:ind w:left="-70"/>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1790" w:type="dxa"/>
            <w:tcBorders>
              <w:top w:val="nil"/>
              <w:left w:val="nil"/>
              <w:bottom w:val="single" w:sz="4" w:space="0" w:color="000000"/>
              <w:right w:val="nil"/>
            </w:tcBorders>
            <w:shd w:val="clear" w:color="auto" w:fill="auto"/>
            <w:vAlign w:val="bottom"/>
          </w:tcPr>
          <w:p w14:paraId="536F4879"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146" w:type="dxa"/>
            <w:tcBorders>
              <w:top w:val="nil"/>
              <w:left w:val="nil"/>
              <w:bottom w:val="single" w:sz="4" w:space="0" w:color="000000"/>
              <w:right w:val="nil"/>
            </w:tcBorders>
            <w:shd w:val="clear" w:color="auto" w:fill="auto"/>
            <w:vAlign w:val="bottom"/>
          </w:tcPr>
          <w:p w14:paraId="6F3C3B9F"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280" w:type="dxa"/>
            <w:tcBorders>
              <w:top w:val="nil"/>
              <w:left w:val="nil"/>
              <w:bottom w:val="single" w:sz="4" w:space="0" w:color="000000"/>
              <w:right w:val="nil"/>
            </w:tcBorders>
            <w:shd w:val="clear" w:color="auto" w:fill="auto"/>
            <w:vAlign w:val="bottom"/>
          </w:tcPr>
          <w:p w14:paraId="74C831A7"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3</w:t>
            </w:r>
          </w:p>
        </w:tc>
      </w:tr>
      <w:tr w:rsidR="00EC4499" w14:paraId="52C92CCC" w14:textId="77777777">
        <w:trPr>
          <w:trHeight w:val="288"/>
        </w:trPr>
        <w:tc>
          <w:tcPr>
            <w:tcW w:w="2410" w:type="dxa"/>
            <w:vMerge w:val="restart"/>
            <w:tcBorders>
              <w:top w:val="nil"/>
              <w:left w:val="nil"/>
              <w:bottom w:val="nil"/>
              <w:right w:val="nil"/>
            </w:tcBorders>
            <w:shd w:val="clear" w:color="auto" w:fill="auto"/>
            <w:vAlign w:val="bottom"/>
          </w:tcPr>
          <w:p w14:paraId="2840EF24"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BTG Pactual</w:t>
            </w:r>
          </w:p>
        </w:tc>
        <w:tc>
          <w:tcPr>
            <w:tcW w:w="478" w:type="dxa"/>
            <w:tcBorders>
              <w:top w:val="single" w:sz="4" w:space="0" w:color="000000"/>
              <w:left w:val="nil"/>
              <w:bottom w:val="nil"/>
              <w:right w:val="nil"/>
            </w:tcBorders>
            <w:shd w:val="clear" w:color="auto" w:fill="auto"/>
            <w:vAlign w:val="bottom"/>
          </w:tcPr>
          <w:p w14:paraId="5E230374" w14:textId="77777777" w:rsidR="00EC4499" w:rsidRDefault="00433EA7">
            <w:pPr>
              <w:spacing w:after="0" w:line="240" w:lineRule="auto"/>
              <w:ind w:left="-70"/>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1790" w:type="dxa"/>
            <w:tcBorders>
              <w:top w:val="single" w:sz="4" w:space="0" w:color="000000"/>
              <w:left w:val="nil"/>
              <w:bottom w:val="nil"/>
              <w:right w:val="nil"/>
            </w:tcBorders>
            <w:shd w:val="clear" w:color="auto" w:fill="auto"/>
            <w:vAlign w:val="bottom"/>
          </w:tcPr>
          <w:p w14:paraId="00486F02"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146" w:type="dxa"/>
            <w:tcBorders>
              <w:top w:val="single" w:sz="4" w:space="0" w:color="000000"/>
              <w:left w:val="nil"/>
              <w:bottom w:val="nil"/>
              <w:right w:val="nil"/>
            </w:tcBorders>
            <w:shd w:val="clear" w:color="auto" w:fill="auto"/>
            <w:vAlign w:val="bottom"/>
          </w:tcPr>
          <w:p w14:paraId="75D7487C"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2280" w:type="dxa"/>
            <w:tcBorders>
              <w:top w:val="single" w:sz="4" w:space="0" w:color="000000"/>
              <w:left w:val="nil"/>
              <w:bottom w:val="nil"/>
              <w:right w:val="nil"/>
            </w:tcBorders>
            <w:shd w:val="clear" w:color="auto" w:fill="auto"/>
            <w:vAlign w:val="bottom"/>
          </w:tcPr>
          <w:p w14:paraId="5F04B60E"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207E78DA" w14:textId="77777777">
        <w:trPr>
          <w:trHeight w:val="288"/>
        </w:trPr>
        <w:tc>
          <w:tcPr>
            <w:tcW w:w="2410" w:type="dxa"/>
            <w:vMerge/>
            <w:tcBorders>
              <w:top w:val="nil"/>
              <w:left w:val="nil"/>
              <w:bottom w:val="nil"/>
              <w:right w:val="nil"/>
            </w:tcBorders>
            <w:shd w:val="clear" w:color="auto" w:fill="auto"/>
            <w:vAlign w:val="bottom"/>
          </w:tcPr>
          <w:p w14:paraId="0AC875AA"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4756AF48" w14:textId="77777777" w:rsidR="00EC4499" w:rsidRDefault="00433EA7">
            <w:pPr>
              <w:spacing w:after="0" w:line="240" w:lineRule="auto"/>
              <w:ind w:left="-70"/>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1790" w:type="dxa"/>
            <w:tcBorders>
              <w:top w:val="nil"/>
              <w:left w:val="nil"/>
              <w:bottom w:val="single" w:sz="4" w:space="0" w:color="000000"/>
              <w:right w:val="nil"/>
            </w:tcBorders>
            <w:shd w:val="clear" w:color="auto" w:fill="auto"/>
            <w:vAlign w:val="bottom"/>
          </w:tcPr>
          <w:p w14:paraId="638F43A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146" w:type="dxa"/>
            <w:tcBorders>
              <w:top w:val="nil"/>
              <w:left w:val="nil"/>
              <w:bottom w:val="single" w:sz="4" w:space="0" w:color="000000"/>
              <w:right w:val="nil"/>
            </w:tcBorders>
            <w:shd w:val="clear" w:color="auto" w:fill="auto"/>
            <w:vAlign w:val="bottom"/>
          </w:tcPr>
          <w:p w14:paraId="0A237075"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2280" w:type="dxa"/>
            <w:tcBorders>
              <w:top w:val="nil"/>
              <w:left w:val="nil"/>
              <w:bottom w:val="single" w:sz="4" w:space="0" w:color="000000"/>
              <w:right w:val="nil"/>
            </w:tcBorders>
            <w:shd w:val="clear" w:color="auto" w:fill="auto"/>
            <w:vAlign w:val="bottom"/>
          </w:tcPr>
          <w:p w14:paraId="0C9DE59D"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63029388" w14:textId="77777777">
        <w:trPr>
          <w:trHeight w:val="288"/>
        </w:trPr>
        <w:tc>
          <w:tcPr>
            <w:tcW w:w="2410" w:type="dxa"/>
            <w:vMerge w:val="restart"/>
            <w:tcBorders>
              <w:top w:val="nil"/>
              <w:left w:val="nil"/>
              <w:bottom w:val="nil"/>
              <w:right w:val="nil"/>
            </w:tcBorders>
            <w:shd w:val="clear" w:color="auto" w:fill="auto"/>
            <w:vAlign w:val="bottom"/>
          </w:tcPr>
          <w:p w14:paraId="2EEEFB3E"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Caixa Econômica Federal </w:t>
            </w:r>
          </w:p>
        </w:tc>
        <w:tc>
          <w:tcPr>
            <w:tcW w:w="478" w:type="dxa"/>
            <w:tcBorders>
              <w:top w:val="single" w:sz="4" w:space="0" w:color="000000"/>
              <w:left w:val="nil"/>
              <w:bottom w:val="nil"/>
              <w:right w:val="nil"/>
            </w:tcBorders>
            <w:shd w:val="clear" w:color="auto" w:fill="auto"/>
            <w:vAlign w:val="bottom"/>
          </w:tcPr>
          <w:p w14:paraId="21294E45" w14:textId="77777777" w:rsidR="00EC4499" w:rsidRDefault="00433EA7">
            <w:pPr>
              <w:spacing w:after="0" w:line="240" w:lineRule="auto"/>
              <w:ind w:left="-70"/>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1790" w:type="dxa"/>
            <w:tcBorders>
              <w:top w:val="single" w:sz="4" w:space="0" w:color="000000"/>
              <w:left w:val="nil"/>
              <w:bottom w:val="nil"/>
              <w:right w:val="nil"/>
            </w:tcBorders>
            <w:shd w:val="clear" w:color="auto" w:fill="auto"/>
            <w:vAlign w:val="bottom"/>
          </w:tcPr>
          <w:p w14:paraId="48AC7140"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146" w:type="dxa"/>
            <w:tcBorders>
              <w:top w:val="single" w:sz="4" w:space="0" w:color="000000"/>
              <w:left w:val="nil"/>
              <w:bottom w:val="nil"/>
              <w:right w:val="nil"/>
            </w:tcBorders>
            <w:shd w:val="clear" w:color="auto" w:fill="auto"/>
            <w:vAlign w:val="bottom"/>
          </w:tcPr>
          <w:p w14:paraId="1A818955"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0</w:t>
            </w:r>
          </w:p>
        </w:tc>
        <w:tc>
          <w:tcPr>
            <w:tcW w:w="2280" w:type="dxa"/>
            <w:tcBorders>
              <w:top w:val="single" w:sz="4" w:space="0" w:color="000000"/>
              <w:left w:val="nil"/>
              <w:bottom w:val="nil"/>
              <w:right w:val="nil"/>
            </w:tcBorders>
            <w:shd w:val="clear" w:color="auto" w:fill="auto"/>
            <w:vAlign w:val="bottom"/>
          </w:tcPr>
          <w:p w14:paraId="767E36A0"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1</w:t>
            </w:r>
          </w:p>
        </w:tc>
      </w:tr>
      <w:tr w:rsidR="00EC4499" w14:paraId="104B01F4" w14:textId="77777777">
        <w:trPr>
          <w:trHeight w:val="288"/>
        </w:trPr>
        <w:tc>
          <w:tcPr>
            <w:tcW w:w="2410" w:type="dxa"/>
            <w:vMerge/>
            <w:tcBorders>
              <w:top w:val="nil"/>
              <w:left w:val="nil"/>
              <w:bottom w:val="nil"/>
              <w:right w:val="nil"/>
            </w:tcBorders>
            <w:shd w:val="clear" w:color="auto" w:fill="auto"/>
            <w:vAlign w:val="bottom"/>
          </w:tcPr>
          <w:p w14:paraId="74E2A889"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366891B2" w14:textId="77777777" w:rsidR="00EC4499" w:rsidRDefault="00433EA7">
            <w:pPr>
              <w:spacing w:after="0" w:line="240" w:lineRule="auto"/>
              <w:ind w:left="-70"/>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1790" w:type="dxa"/>
            <w:tcBorders>
              <w:top w:val="nil"/>
              <w:left w:val="nil"/>
              <w:bottom w:val="single" w:sz="4" w:space="0" w:color="000000"/>
              <w:right w:val="nil"/>
            </w:tcBorders>
            <w:shd w:val="clear" w:color="auto" w:fill="auto"/>
            <w:vAlign w:val="bottom"/>
          </w:tcPr>
          <w:p w14:paraId="64AA324D"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146" w:type="dxa"/>
            <w:tcBorders>
              <w:top w:val="nil"/>
              <w:left w:val="nil"/>
              <w:bottom w:val="single" w:sz="4" w:space="0" w:color="000000"/>
              <w:right w:val="nil"/>
            </w:tcBorders>
            <w:shd w:val="clear" w:color="auto" w:fill="auto"/>
            <w:vAlign w:val="bottom"/>
          </w:tcPr>
          <w:p w14:paraId="7058AF9A"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0</w:t>
            </w:r>
          </w:p>
        </w:tc>
        <w:tc>
          <w:tcPr>
            <w:tcW w:w="2280" w:type="dxa"/>
            <w:tcBorders>
              <w:top w:val="nil"/>
              <w:left w:val="nil"/>
              <w:bottom w:val="single" w:sz="4" w:space="0" w:color="000000"/>
              <w:right w:val="nil"/>
            </w:tcBorders>
            <w:shd w:val="clear" w:color="auto" w:fill="auto"/>
            <w:vAlign w:val="bottom"/>
          </w:tcPr>
          <w:p w14:paraId="15559BE9"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1</w:t>
            </w:r>
          </w:p>
        </w:tc>
      </w:tr>
      <w:tr w:rsidR="00EC4499" w14:paraId="31710B37" w14:textId="77777777">
        <w:trPr>
          <w:trHeight w:val="288"/>
        </w:trPr>
        <w:tc>
          <w:tcPr>
            <w:tcW w:w="2410" w:type="dxa"/>
            <w:vMerge w:val="restart"/>
            <w:tcBorders>
              <w:top w:val="nil"/>
              <w:left w:val="nil"/>
              <w:bottom w:val="nil"/>
              <w:right w:val="nil"/>
            </w:tcBorders>
            <w:shd w:val="clear" w:color="auto" w:fill="auto"/>
            <w:vAlign w:val="bottom"/>
          </w:tcPr>
          <w:p w14:paraId="2896ABFC"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Citibank</w:t>
            </w:r>
          </w:p>
        </w:tc>
        <w:tc>
          <w:tcPr>
            <w:tcW w:w="478" w:type="dxa"/>
            <w:tcBorders>
              <w:top w:val="single" w:sz="4" w:space="0" w:color="000000"/>
              <w:left w:val="nil"/>
              <w:bottom w:val="nil"/>
              <w:right w:val="nil"/>
            </w:tcBorders>
            <w:shd w:val="clear" w:color="auto" w:fill="auto"/>
            <w:vAlign w:val="bottom"/>
          </w:tcPr>
          <w:p w14:paraId="37509AD2" w14:textId="77777777" w:rsidR="00EC4499" w:rsidRDefault="00433EA7">
            <w:pPr>
              <w:spacing w:after="0" w:line="240" w:lineRule="auto"/>
              <w:ind w:left="-70"/>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1790" w:type="dxa"/>
            <w:tcBorders>
              <w:top w:val="single" w:sz="4" w:space="0" w:color="000000"/>
              <w:left w:val="nil"/>
              <w:bottom w:val="nil"/>
              <w:right w:val="nil"/>
            </w:tcBorders>
            <w:shd w:val="clear" w:color="auto" w:fill="auto"/>
            <w:vAlign w:val="bottom"/>
          </w:tcPr>
          <w:p w14:paraId="2A502D94"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146" w:type="dxa"/>
            <w:tcBorders>
              <w:top w:val="single" w:sz="4" w:space="0" w:color="000000"/>
              <w:left w:val="nil"/>
              <w:bottom w:val="nil"/>
              <w:right w:val="nil"/>
            </w:tcBorders>
            <w:shd w:val="clear" w:color="auto" w:fill="auto"/>
            <w:vAlign w:val="bottom"/>
          </w:tcPr>
          <w:p w14:paraId="60F13E96"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280" w:type="dxa"/>
            <w:tcBorders>
              <w:top w:val="single" w:sz="4" w:space="0" w:color="000000"/>
              <w:left w:val="nil"/>
              <w:bottom w:val="nil"/>
              <w:right w:val="nil"/>
            </w:tcBorders>
            <w:shd w:val="clear" w:color="auto" w:fill="auto"/>
            <w:vAlign w:val="bottom"/>
          </w:tcPr>
          <w:p w14:paraId="21FAE6B2"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3</w:t>
            </w:r>
          </w:p>
        </w:tc>
      </w:tr>
      <w:tr w:rsidR="00EC4499" w14:paraId="3581A590" w14:textId="77777777">
        <w:trPr>
          <w:trHeight w:val="288"/>
        </w:trPr>
        <w:tc>
          <w:tcPr>
            <w:tcW w:w="2410" w:type="dxa"/>
            <w:vMerge/>
            <w:tcBorders>
              <w:top w:val="nil"/>
              <w:left w:val="nil"/>
              <w:bottom w:val="nil"/>
              <w:right w:val="nil"/>
            </w:tcBorders>
            <w:shd w:val="clear" w:color="auto" w:fill="auto"/>
            <w:vAlign w:val="bottom"/>
          </w:tcPr>
          <w:p w14:paraId="58C7FA92"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0AE498B8" w14:textId="77777777" w:rsidR="00EC4499" w:rsidRDefault="00433EA7">
            <w:pPr>
              <w:spacing w:after="0" w:line="240" w:lineRule="auto"/>
              <w:ind w:left="-70"/>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1790" w:type="dxa"/>
            <w:tcBorders>
              <w:top w:val="nil"/>
              <w:left w:val="nil"/>
              <w:bottom w:val="single" w:sz="4" w:space="0" w:color="000000"/>
              <w:right w:val="nil"/>
            </w:tcBorders>
            <w:shd w:val="clear" w:color="auto" w:fill="auto"/>
            <w:vAlign w:val="bottom"/>
          </w:tcPr>
          <w:p w14:paraId="7EC390F9"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146" w:type="dxa"/>
            <w:tcBorders>
              <w:top w:val="nil"/>
              <w:left w:val="nil"/>
              <w:bottom w:val="single" w:sz="4" w:space="0" w:color="000000"/>
              <w:right w:val="nil"/>
            </w:tcBorders>
            <w:shd w:val="clear" w:color="auto" w:fill="auto"/>
            <w:vAlign w:val="bottom"/>
          </w:tcPr>
          <w:p w14:paraId="2F9DA14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280" w:type="dxa"/>
            <w:tcBorders>
              <w:top w:val="nil"/>
              <w:left w:val="nil"/>
              <w:bottom w:val="single" w:sz="4" w:space="0" w:color="000000"/>
              <w:right w:val="nil"/>
            </w:tcBorders>
            <w:shd w:val="clear" w:color="auto" w:fill="auto"/>
            <w:vAlign w:val="bottom"/>
          </w:tcPr>
          <w:p w14:paraId="4D40441B"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3</w:t>
            </w:r>
          </w:p>
        </w:tc>
      </w:tr>
      <w:tr w:rsidR="00EC4499" w14:paraId="3F734204" w14:textId="77777777">
        <w:trPr>
          <w:trHeight w:val="288"/>
        </w:trPr>
        <w:tc>
          <w:tcPr>
            <w:tcW w:w="2410" w:type="dxa"/>
            <w:vMerge w:val="restart"/>
            <w:tcBorders>
              <w:top w:val="nil"/>
              <w:left w:val="nil"/>
              <w:bottom w:val="nil"/>
              <w:right w:val="nil"/>
            </w:tcBorders>
            <w:shd w:val="clear" w:color="auto" w:fill="auto"/>
            <w:vAlign w:val="bottom"/>
          </w:tcPr>
          <w:p w14:paraId="49B9526A"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Inter</w:t>
            </w:r>
          </w:p>
        </w:tc>
        <w:tc>
          <w:tcPr>
            <w:tcW w:w="478" w:type="dxa"/>
            <w:tcBorders>
              <w:top w:val="single" w:sz="4" w:space="0" w:color="000000"/>
              <w:left w:val="nil"/>
              <w:bottom w:val="nil"/>
              <w:right w:val="nil"/>
            </w:tcBorders>
            <w:shd w:val="clear" w:color="auto" w:fill="auto"/>
            <w:vAlign w:val="bottom"/>
          </w:tcPr>
          <w:p w14:paraId="659B82D3" w14:textId="77777777" w:rsidR="00EC4499" w:rsidRDefault="00433EA7">
            <w:pPr>
              <w:spacing w:after="0" w:line="240" w:lineRule="auto"/>
              <w:ind w:left="-70"/>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1790" w:type="dxa"/>
            <w:tcBorders>
              <w:top w:val="single" w:sz="4" w:space="0" w:color="000000"/>
              <w:left w:val="nil"/>
              <w:bottom w:val="nil"/>
              <w:right w:val="nil"/>
            </w:tcBorders>
            <w:shd w:val="clear" w:color="auto" w:fill="auto"/>
            <w:vAlign w:val="bottom"/>
          </w:tcPr>
          <w:p w14:paraId="19F6BC16"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146" w:type="dxa"/>
            <w:tcBorders>
              <w:top w:val="single" w:sz="4" w:space="0" w:color="000000"/>
              <w:left w:val="nil"/>
              <w:bottom w:val="nil"/>
              <w:right w:val="nil"/>
            </w:tcBorders>
            <w:shd w:val="clear" w:color="auto" w:fill="auto"/>
            <w:vAlign w:val="bottom"/>
          </w:tcPr>
          <w:p w14:paraId="299A4CE5"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0</w:t>
            </w:r>
          </w:p>
        </w:tc>
        <w:tc>
          <w:tcPr>
            <w:tcW w:w="2280" w:type="dxa"/>
            <w:tcBorders>
              <w:top w:val="single" w:sz="4" w:space="0" w:color="000000"/>
              <w:left w:val="nil"/>
              <w:bottom w:val="nil"/>
              <w:right w:val="nil"/>
            </w:tcBorders>
            <w:shd w:val="clear" w:color="auto" w:fill="auto"/>
            <w:vAlign w:val="bottom"/>
          </w:tcPr>
          <w:p w14:paraId="1F84A9D0"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1</w:t>
            </w:r>
          </w:p>
        </w:tc>
      </w:tr>
      <w:tr w:rsidR="00EC4499" w14:paraId="5B5E890D" w14:textId="77777777">
        <w:trPr>
          <w:trHeight w:val="288"/>
        </w:trPr>
        <w:tc>
          <w:tcPr>
            <w:tcW w:w="2410" w:type="dxa"/>
            <w:vMerge/>
            <w:tcBorders>
              <w:top w:val="nil"/>
              <w:left w:val="nil"/>
              <w:bottom w:val="nil"/>
              <w:right w:val="nil"/>
            </w:tcBorders>
            <w:shd w:val="clear" w:color="auto" w:fill="auto"/>
            <w:vAlign w:val="bottom"/>
          </w:tcPr>
          <w:p w14:paraId="43B868CC"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14992FAE" w14:textId="77777777" w:rsidR="00EC4499" w:rsidRDefault="00433EA7">
            <w:pPr>
              <w:spacing w:after="0" w:line="240" w:lineRule="auto"/>
              <w:ind w:left="-70"/>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1790" w:type="dxa"/>
            <w:tcBorders>
              <w:top w:val="nil"/>
              <w:left w:val="nil"/>
              <w:bottom w:val="single" w:sz="4" w:space="0" w:color="000000"/>
              <w:right w:val="nil"/>
            </w:tcBorders>
            <w:shd w:val="clear" w:color="auto" w:fill="auto"/>
            <w:vAlign w:val="bottom"/>
          </w:tcPr>
          <w:p w14:paraId="53C6EA52"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146" w:type="dxa"/>
            <w:tcBorders>
              <w:top w:val="nil"/>
              <w:left w:val="nil"/>
              <w:bottom w:val="single" w:sz="4" w:space="0" w:color="000000"/>
              <w:right w:val="nil"/>
            </w:tcBorders>
            <w:shd w:val="clear" w:color="auto" w:fill="auto"/>
            <w:vAlign w:val="bottom"/>
          </w:tcPr>
          <w:p w14:paraId="111829E7"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0</w:t>
            </w:r>
          </w:p>
        </w:tc>
        <w:tc>
          <w:tcPr>
            <w:tcW w:w="2280" w:type="dxa"/>
            <w:tcBorders>
              <w:top w:val="nil"/>
              <w:left w:val="nil"/>
              <w:bottom w:val="single" w:sz="4" w:space="0" w:color="000000"/>
              <w:right w:val="nil"/>
            </w:tcBorders>
            <w:shd w:val="clear" w:color="auto" w:fill="auto"/>
            <w:vAlign w:val="bottom"/>
          </w:tcPr>
          <w:p w14:paraId="670C3BC9"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1</w:t>
            </w:r>
          </w:p>
        </w:tc>
      </w:tr>
      <w:tr w:rsidR="00EC4499" w14:paraId="0EA830E6" w14:textId="77777777">
        <w:trPr>
          <w:trHeight w:val="288"/>
        </w:trPr>
        <w:tc>
          <w:tcPr>
            <w:tcW w:w="2410" w:type="dxa"/>
            <w:vMerge w:val="restart"/>
            <w:tcBorders>
              <w:top w:val="nil"/>
              <w:left w:val="nil"/>
              <w:bottom w:val="nil"/>
              <w:right w:val="nil"/>
            </w:tcBorders>
            <w:shd w:val="clear" w:color="auto" w:fill="auto"/>
            <w:vAlign w:val="bottom"/>
          </w:tcPr>
          <w:p w14:paraId="54BC9B4D"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Itaú</w:t>
            </w:r>
          </w:p>
        </w:tc>
        <w:tc>
          <w:tcPr>
            <w:tcW w:w="478" w:type="dxa"/>
            <w:tcBorders>
              <w:top w:val="single" w:sz="4" w:space="0" w:color="000000"/>
              <w:left w:val="nil"/>
              <w:bottom w:val="nil"/>
              <w:right w:val="nil"/>
            </w:tcBorders>
            <w:shd w:val="clear" w:color="auto" w:fill="auto"/>
            <w:vAlign w:val="bottom"/>
          </w:tcPr>
          <w:p w14:paraId="629EC22C" w14:textId="77777777" w:rsidR="00EC4499" w:rsidRDefault="00433EA7">
            <w:pPr>
              <w:spacing w:after="0" w:line="240" w:lineRule="auto"/>
              <w:ind w:left="-70"/>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1790" w:type="dxa"/>
            <w:tcBorders>
              <w:top w:val="single" w:sz="4" w:space="0" w:color="000000"/>
              <w:left w:val="nil"/>
              <w:bottom w:val="nil"/>
              <w:right w:val="nil"/>
            </w:tcBorders>
            <w:shd w:val="clear" w:color="auto" w:fill="auto"/>
            <w:vAlign w:val="bottom"/>
          </w:tcPr>
          <w:p w14:paraId="7F8BECB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146" w:type="dxa"/>
            <w:tcBorders>
              <w:top w:val="single" w:sz="4" w:space="0" w:color="000000"/>
              <w:left w:val="nil"/>
              <w:bottom w:val="nil"/>
              <w:right w:val="nil"/>
            </w:tcBorders>
            <w:shd w:val="clear" w:color="auto" w:fill="auto"/>
            <w:vAlign w:val="bottom"/>
          </w:tcPr>
          <w:p w14:paraId="36054DC6"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280" w:type="dxa"/>
            <w:tcBorders>
              <w:top w:val="single" w:sz="4" w:space="0" w:color="000000"/>
              <w:left w:val="nil"/>
              <w:bottom w:val="nil"/>
              <w:right w:val="nil"/>
            </w:tcBorders>
            <w:shd w:val="clear" w:color="auto" w:fill="auto"/>
            <w:vAlign w:val="bottom"/>
          </w:tcPr>
          <w:p w14:paraId="04857362"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3</w:t>
            </w:r>
          </w:p>
        </w:tc>
      </w:tr>
      <w:tr w:rsidR="00EC4499" w14:paraId="377A1C25" w14:textId="77777777">
        <w:trPr>
          <w:trHeight w:val="288"/>
        </w:trPr>
        <w:tc>
          <w:tcPr>
            <w:tcW w:w="2410" w:type="dxa"/>
            <w:vMerge/>
            <w:tcBorders>
              <w:top w:val="nil"/>
              <w:left w:val="nil"/>
              <w:bottom w:val="nil"/>
              <w:right w:val="nil"/>
            </w:tcBorders>
            <w:shd w:val="clear" w:color="auto" w:fill="auto"/>
            <w:vAlign w:val="bottom"/>
          </w:tcPr>
          <w:p w14:paraId="6568A72B"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7AE1FEA0" w14:textId="77777777" w:rsidR="00EC4499" w:rsidRDefault="00433EA7">
            <w:pPr>
              <w:spacing w:after="0" w:line="240" w:lineRule="auto"/>
              <w:ind w:left="-70"/>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1790" w:type="dxa"/>
            <w:tcBorders>
              <w:top w:val="nil"/>
              <w:left w:val="nil"/>
              <w:bottom w:val="single" w:sz="4" w:space="0" w:color="000000"/>
              <w:right w:val="nil"/>
            </w:tcBorders>
            <w:shd w:val="clear" w:color="auto" w:fill="auto"/>
            <w:vAlign w:val="bottom"/>
          </w:tcPr>
          <w:p w14:paraId="4AF2307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146" w:type="dxa"/>
            <w:tcBorders>
              <w:top w:val="nil"/>
              <w:left w:val="nil"/>
              <w:bottom w:val="single" w:sz="4" w:space="0" w:color="000000"/>
              <w:right w:val="nil"/>
            </w:tcBorders>
            <w:shd w:val="clear" w:color="auto" w:fill="auto"/>
            <w:vAlign w:val="bottom"/>
          </w:tcPr>
          <w:p w14:paraId="483943AE"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280" w:type="dxa"/>
            <w:tcBorders>
              <w:top w:val="nil"/>
              <w:left w:val="nil"/>
              <w:bottom w:val="single" w:sz="4" w:space="0" w:color="000000"/>
              <w:right w:val="nil"/>
            </w:tcBorders>
            <w:shd w:val="clear" w:color="auto" w:fill="auto"/>
            <w:vAlign w:val="bottom"/>
          </w:tcPr>
          <w:p w14:paraId="57E641E0"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3</w:t>
            </w:r>
          </w:p>
        </w:tc>
      </w:tr>
      <w:tr w:rsidR="00EC4499" w14:paraId="398D2EB4" w14:textId="77777777">
        <w:trPr>
          <w:trHeight w:val="288"/>
        </w:trPr>
        <w:tc>
          <w:tcPr>
            <w:tcW w:w="2410" w:type="dxa"/>
            <w:vMerge w:val="restart"/>
            <w:tcBorders>
              <w:top w:val="nil"/>
              <w:left w:val="nil"/>
              <w:bottom w:val="nil"/>
              <w:right w:val="nil"/>
            </w:tcBorders>
            <w:shd w:val="clear" w:color="auto" w:fill="auto"/>
            <w:vAlign w:val="bottom"/>
          </w:tcPr>
          <w:p w14:paraId="62969540"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J.P. Morgan </w:t>
            </w:r>
          </w:p>
        </w:tc>
        <w:tc>
          <w:tcPr>
            <w:tcW w:w="478" w:type="dxa"/>
            <w:tcBorders>
              <w:top w:val="single" w:sz="4" w:space="0" w:color="000000"/>
              <w:left w:val="nil"/>
              <w:bottom w:val="nil"/>
              <w:right w:val="nil"/>
            </w:tcBorders>
            <w:shd w:val="clear" w:color="auto" w:fill="auto"/>
            <w:vAlign w:val="bottom"/>
          </w:tcPr>
          <w:p w14:paraId="45E8A1F9" w14:textId="77777777" w:rsidR="00EC4499" w:rsidRDefault="00433EA7">
            <w:pPr>
              <w:spacing w:after="0" w:line="240" w:lineRule="auto"/>
              <w:ind w:left="-70"/>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1790" w:type="dxa"/>
            <w:tcBorders>
              <w:top w:val="single" w:sz="4" w:space="0" w:color="000000"/>
              <w:left w:val="nil"/>
              <w:bottom w:val="nil"/>
              <w:right w:val="nil"/>
            </w:tcBorders>
            <w:shd w:val="clear" w:color="auto" w:fill="auto"/>
            <w:vAlign w:val="bottom"/>
          </w:tcPr>
          <w:p w14:paraId="089AB29D"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146" w:type="dxa"/>
            <w:tcBorders>
              <w:top w:val="single" w:sz="4" w:space="0" w:color="000000"/>
              <w:left w:val="nil"/>
              <w:bottom w:val="nil"/>
              <w:right w:val="nil"/>
            </w:tcBorders>
            <w:shd w:val="clear" w:color="auto" w:fill="auto"/>
            <w:vAlign w:val="bottom"/>
          </w:tcPr>
          <w:p w14:paraId="31C2ECC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2280" w:type="dxa"/>
            <w:tcBorders>
              <w:top w:val="single" w:sz="4" w:space="0" w:color="000000"/>
              <w:left w:val="nil"/>
              <w:bottom w:val="nil"/>
              <w:right w:val="nil"/>
            </w:tcBorders>
            <w:shd w:val="clear" w:color="auto" w:fill="auto"/>
            <w:vAlign w:val="bottom"/>
          </w:tcPr>
          <w:p w14:paraId="1E01790A"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742D10C6" w14:textId="77777777">
        <w:trPr>
          <w:trHeight w:val="288"/>
        </w:trPr>
        <w:tc>
          <w:tcPr>
            <w:tcW w:w="2410" w:type="dxa"/>
            <w:vMerge/>
            <w:tcBorders>
              <w:top w:val="nil"/>
              <w:left w:val="nil"/>
              <w:bottom w:val="nil"/>
              <w:right w:val="nil"/>
            </w:tcBorders>
            <w:shd w:val="clear" w:color="auto" w:fill="auto"/>
            <w:vAlign w:val="bottom"/>
          </w:tcPr>
          <w:p w14:paraId="78458076"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1D5E1D3D" w14:textId="77777777" w:rsidR="00EC4499" w:rsidRDefault="00433EA7">
            <w:pPr>
              <w:spacing w:after="0" w:line="240" w:lineRule="auto"/>
              <w:ind w:left="-70"/>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1790" w:type="dxa"/>
            <w:tcBorders>
              <w:top w:val="nil"/>
              <w:left w:val="nil"/>
              <w:bottom w:val="single" w:sz="4" w:space="0" w:color="000000"/>
              <w:right w:val="nil"/>
            </w:tcBorders>
            <w:shd w:val="clear" w:color="auto" w:fill="auto"/>
            <w:vAlign w:val="bottom"/>
          </w:tcPr>
          <w:p w14:paraId="3E94761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146" w:type="dxa"/>
            <w:tcBorders>
              <w:top w:val="nil"/>
              <w:left w:val="nil"/>
              <w:bottom w:val="single" w:sz="4" w:space="0" w:color="000000"/>
              <w:right w:val="nil"/>
            </w:tcBorders>
            <w:shd w:val="clear" w:color="auto" w:fill="auto"/>
            <w:vAlign w:val="bottom"/>
          </w:tcPr>
          <w:p w14:paraId="608239E6"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2280" w:type="dxa"/>
            <w:tcBorders>
              <w:top w:val="nil"/>
              <w:left w:val="nil"/>
              <w:bottom w:val="single" w:sz="4" w:space="0" w:color="000000"/>
              <w:right w:val="nil"/>
            </w:tcBorders>
            <w:shd w:val="clear" w:color="auto" w:fill="auto"/>
            <w:vAlign w:val="bottom"/>
          </w:tcPr>
          <w:p w14:paraId="7EF41095"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6C7B699E" w14:textId="77777777">
        <w:trPr>
          <w:trHeight w:val="288"/>
        </w:trPr>
        <w:tc>
          <w:tcPr>
            <w:tcW w:w="2410" w:type="dxa"/>
            <w:vMerge w:val="restart"/>
            <w:tcBorders>
              <w:top w:val="nil"/>
              <w:left w:val="nil"/>
              <w:bottom w:val="nil"/>
              <w:right w:val="nil"/>
            </w:tcBorders>
            <w:shd w:val="clear" w:color="auto" w:fill="auto"/>
            <w:vAlign w:val="bottom"/>
          </w:tcPr>
          <w:p w14:paraId="7FE96473"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Santander</w:t>
            </w:r>
          </w:p>
        </w:tc>
        <w:tc>
          <w:tcPr>
            <w:tcW w:w="478" w:type="dxa"/>
            <w:tcBorders>
              <w:top w:val="single" w:sz="4" w:space="0" w:color="000000"/>
              <w:left w:val="nil"/>
              <w:bottom w:val="nil"/>
              <w:right w:val="nil"/>
            </w:tcBorders>
            <w:shd w:val="clear" w:color="auto" w:fill="auto"/>
            <w:vAlign w:val="bottom"/>
          </w:tcPr>
          <w:p w14:paraId="37BF9EF7" w14:textId="77777777" w:rsidR="00EC4499" w:rsidRDefault="00433EA7">
            <w:pPr>
              <w:spacing w:after="0" w:line="240" w:lineRule="auto"/>
              <w:ind w:left="-70"/>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1790" w:type="dxa"/>
            <w:tcBorders>
              <w:top w:val="single" w:sz="4" w:space="0" w:color="000000"/>
              <w:left w:val="nil"/>
              <w:bottom w:val="nil"/>
              <w:right w:val="nil"/>
            </w:tcBorders>
            <w:shd w:val="clear" w:color="auto" w:fill="auto"/>
            <w:vAlign w:val="bottom"/>
          </w:tcPr>
          <w:p w14:paraId="4D42481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146" w:type="dxa"/>
            <w:tcBorders>
              <w:top w:val="single" w:sz="4" w:space="0" w:color="000000"/>
              <w:left w:val="nil"/>
              <w:bottom w:val="nil"/>
              <w:right w:val="nil"/>
            </w:tcBorders>
            <w:shd w:val="clear" w:color="auto" w:fill="auto"/>
            <w:vAlign w:val="bottom"/>
          </w:tcPr>
          <w:p w14:paraId="02D381F5"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2280" w:type="dxa"/>
            <w:tcBorders>
              <w:top w:val="single" w:sz="4" w:space="0" w:color="000000"/>
              <w:left w:val="nil"/>
              <w:bottom w:val="nil"/>
              <w:right w:val="nil"/>
            </w:tcBorders>
            <w:shd w:val="clear" w:color="auto" w:fill="auto"/>
            <w:vAlign w:val="bottom"/>
          </w:tcPr>
          <w:p w14:paraId="072D35F3"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523CC161" w14:textId="77777777">
        <w:trPr>
          <w:trHeight w:val="288"/>
        </w:trPr>
        <w:tc>
          <w:tcPr>
            <w:tcW w:w="2410" w:type="dxa"/>
            <w:vMerge/>
            <w:tcBorders>
              <w:top w:val="nil"/>
              <w:left w:val="nil"/>
              <w:bottom w:val="nil"/>
              <w:right w:val="nil"/>
            </w:tcBorders>
            <w:shd w:val="clear" w:color="auto" w:fill="auto"/>
            <w:vAlign w:val="bottom"/>
          </w:tcPr>
          <w:p w14:paraId="558FC807"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07F985FE" w14:textId="77777777" w:rsidR="00EC4499" w:rsidRDefault="00433EA7">
            <w:pPr>
              <w:spacing w:after="0" w:line="240" w:lineRule="auto"/>
              <w:ind w:left="-70"/>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1790" w:type="dxa"/>
            <w:tcBorders>
              <w:top w:val="nil"/>
              <w:left w:val="nil"/>
              <w:bottom w:val="single" w:sz="4" w:space="0" w:color="000000"/>
              <w:right w:val="nil"/>
            </w:tcBorders>
            <w:shd w:val="clear" w:color="auto" w:fill="auto"/>
            <w:vAlign w:val="bottom"/>
          </w:tcPr>
          <w:p w14:paraId="0A9625C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146" w:type="dxa"/>
            <w:tcBorders>
              <w:top w:val="nil"/>
              <w:left w:val="nil"/>
              <w:bottom w:val="single" w:sz="4" w:space="0" w:color="000000"/>
              <w:right w:val="nil"/>
            </w:tcBorders>
            <w:shd w:val="clear" w:color="auto" w:fill="auto"/>
            <w:vAlign w:val="bottom"/>
          </w:tcPr>
          <w:p w14:paraId="3D335E1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280" w:type="dxa"/>
            <w:tcBorders>
              <w:top w:val="nil"/>
              <w:left w:val="nil"/>
              <w:bottom w:val="single" w:sz="4" w:space="0" w:color="000000"/>
              <w:right w:val="nil"/>
            </w:tcBorders>
            <w:shd w:val="clear" w:color="auto" w:fill="auto"/>
            <w:vAlign w:val="bottom"/>
          </w:tcPr>
          <w:p w14:paraId="76AC7CCD"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3</w:t>
            </w:r>
          </w:p>
        </w:tc>
      </w:tr>
      <w:tr w:rsidR="00EC4499" w14:paraId="3326F36B" w14:textId="77777777">
        <w:trPr>
          <w:trHeight w:val="288"/>
        </w:trPr>
        <w:tc>
          <w:tcPr>
            <w:tcW w:w="2410" w:type="dxa"/>
            <w:vMerge w:val="restart"/>
            <w:tcBorders>
              <w:top w:val="nil"/>
              <w:left w:val="nil"/>
              <w:bottom w:val="nil"/>
              <w:right w:val="nil"/>
            </w:tcBorders>
            <w:shd w:val="clear" w:color="auto" w:fill="auto"/>
            <w:vAlign w:val="bottom"/>
          </w:tcPr>
          <w:p w14:paraId="7FD37848"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Sicredi</w:t>
            </w:r>
          </w:p>
        </w:tc>
        <w:tc>
          <w:tcPr>
            <w:tcW w:w="478" w:type="dxa"/>
            <w:tcBorders>
              <w:top w:val="single" w:sz="4" w:space="0" w:color="000000"/>
              <w:left w:val="nil"/>
              <w:bottom w:val="nil"/>
              <w:right w:val="nil"/>
            </w:tcBorders>
            <w:shd w:val="clear" w:color="auto" w:fill="auto"/>
            <w:vAlign w:val="bottom"/>
          </w:tcPr>
          <w:p w14:paraId="6EBA5E63" w14:textId="77777777" w:rsidR="00EC4499" w:rsidRDefault="00433EA7">
            <w:pPr>
              <w:spacing w:after="0" w:line="240" w:lineRule="auto"/>
              <w:ind w:left="-70"/>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1790" w:type="dxa"/>
            <w:tcBorders>
              <w:top w:val="single" w:sz="4" w:space="0" w:color="000000"/>
              <w:left w:val="nil"/>
              <w:bottom w:val="nil"/>
              <w:right w:val="nil"/>
            </w:tcBorders>
            <w:shd w:val="clear" w:color="auto" w:fill="auto"/>
            <w:vAlign w:val="bottom"/>
          </w:tcPr>
          <w:p w14:paraId="7EC3DC1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146" w:type="dxa"/>
            <w:tcBorders>
              <w:top w:val="single" w:sz="4" w:space="0" w:color="000000"/>
              <w:left w:val="nil"/>
              <w:bottom w:val="nil"/>
              <w:right w:val="nil"/>
            </w:tcBorders>
            <w:shd w:val="clear" w:color="auto" w:fill="auto"/>
            <w:vAlign w:val="bottom"/>
          </w:tcPr>
          <w:p w14:paraId="3ADF86B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0</w:t>
            </w:r>
          </w:p>
        </w:tc>
        <w:tc>
          <w:tcPr>
            <w:tcW w:w="2280" w:type="dxa"/>
            <w:tcBorders>
              <w:top w:val="single" w:sz="4" w:space="0" w:color="000000"/>
              <w:left w:val="nil"/>
              <w:bottom w:val="nil"/>
              <w:right w:val="nil"/>
            </w:tcBorders>
            <w:shd w:val="clear" w:color="auto" w:fill="auto"/>
            <w:vAlign w:val="bottom"/>
          </w:tcPr>
          <w:p w14:paraId="2C402061"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1</w:t>
            </w:r>
          </w:p>
        </w:tc>
      </w:tr>
      <w:tr w:rsidR="00EC4499" w14:paraId="58DC1EF5" w14:textId="77777777">
        <w:trPr>
          <w:trHeight w:val="288"/>
        </w:trPr>
        <w:tc>
          <w:tcPr>
            <w:tcW w:w="2410" w:type="dxa"/>
            <w:vMerge/>
            <w:tcBorders>
              <w:top w:val="nil"/>
              <w:left w:val="nil"/>
              <w:bottom w:val="nil"/>
              <w:right w:val="nil"/>
            </w:tcBorders>
            <w:shd w:val="clear" w:color="auto" w:fill="auto"/>
            <w:vAlign w:val="bottom"/>
          </w:tcPr>
          <w:p w14:paraId="785522F7"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752B486D" w14:textId="77777777" w:rsidR="00EC4499" w:rsidRDefault="00433EA7">
            <w:pPr>
              <w:spacing w:after="0" w:line="240" w:lineRule="auto"/>
              <w:ind w:left="-70"/>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1790" w:type="dxa"/>
            <w:tcBorders>
              <w:top w:val="nil"/>
              <w:left w:val="nil"/>
              <w:bottom w:val="single" w:sz="4" w:space="0" w:color="000000"/>
              <w:right w:val="nil"/>
            </w:tcBorders>
            <w:shd w:val="clear" w:color="auto" w:fill="auto"/>
            <w:vAlign w:val="bottom"/>
          </w:tcPr>
          <w:p w14:paraId="1886709E"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146" w:type="dxa"/>
            <w:tcBorders>
              <w:top w:val="nil"/>
              <w:left w:val="nil"/>
              <w:bottom w:val="single" w:sz="4" w:space="0" w:color="000000"/>
              <w:right w:val="nil"/>
            </w:tcBorders>
            <w:shd w:val="clear" w:color="auto" w:fill="auto"/>
            <w:vAlign w:val="bottom"/>
          </w:tcPr>
          <w:p w14:paraId="789B09FA"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2280" w:type="dxa"/>
            <w:tcBorders>
              <w:top w:val="nil"/>
              <w:left w:val="nil"/>
              <w:bottom w:val="single" w:sz="4" w:space="0" w:color="000000"/>
              <w:right w:val="nil"/>
            </w:tcBorders>
            <w:shd w:val="clear" w:color="auto" w:fill="auto"/>
            <w:vAlign w:val="bottom"/>
          </w:tcPr>
          <w:p w14:paraId="6EDABEF1"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bl>
    <w:p w14:paraId="0F9C7D24" w14:textId="77777777" w:rsidR="00EC4499" w:rsidRDefault="00EC4499">
      <w:pPr>
        <w:spacing w:after="0" w:line="360" w:lineRule="auto"/>
        <w:ind w:left="360"/>
        <w:rPr>
          <w:rFonts w:ascii="Garamond" w:eastAsia="Garamond" w:hAnsi="Garamond" w:cs="Garamond"/>
          <w:color w:val="000000"/>
          <w:sz w:val="24"/>
          <w:szCs w:val="24"/>
        </w:rPr>
      </w:pPr>
    </w:p>
    <w:p w14:paraId="01798348" w14:textId="77777777" w:rsidR="00EC4499" w:rsidRDefault="00433EA7">
      <w:pPr>
        <w:spacing w:after="0" w:line="360" w:lineRule="auto"/>
        <w:ind w:firstLine="708"/>
        <w:jc w:val="both"/>
        <w:rPr>
          <w:rFonts w:ascii="Garamond" w:eastAsia="Garamond" w:hAnsi="Garamond" w:cs="Garamond"/>
          <w:color w:val="000000"/>
          <w:sz w:val="24"/>
          <w:szCs w:val="24"/>
        </w:rPr>
      </w:pPr>
      <w:r>
        <w:rPr>
          <w:rFonts w:ascii="Garamond" w:eastAsia="Garamond" w:hAnsi="Garamond" w:cs="Garamond"/>
          <w:color w:val="000000"/>
          <w:sz w:val="24"/>
          <w:szCs w:val="24"/>
        </w:rPr>
        <w:t>Os bancos que se destacaram com as melhores pontuações foram Bradesco, Citibank, Itaú e Santander, sendo o último o único que teve a nota melhorada de um ano para o outro.</w:t>
      </w:r>
    </w:p>
    <w:p w14:paraId="2DAE1349" w14:textId="77777777" w:rsidR="00EC4499" w:rsidRDefault="00EC4499">
      <w:pPr>
        <w:spacing w:after="0" w:line="360" w:lineRule="auto"/>
        <w:ind w:left="360" w:firstLine="348"/>
        <w:rPr>
          <w:rFonts w:ascii="Garamond" w:eastAsia="Garamond" w:hAnsi="Garamond" w:cs="Garamond"/>
          <w:b/>
          <w:color w:val="000000"/>
          <w:sz w:val="24"/>
          <w:szCs w:val="24"/>
        </w:rPr>
      </w:pPr>
    </w:p>
    <w:p w14:paraId="0A269EDB" w14:textId="77777777" w:rsidR="00EC4499" w:rsidRDefault="00433EA7">
      <w:pPr>
        <w:spacing w:after="0" w:line="360" w:lineRule="auto"/>
        <w:jc w:val="both"/>
        <w:rPr>
          <w:rFonts w:ascii="Garamond" w:eastAsia="Garamond" w:hAnsi="Garamond" w:cs="Garamond"/>
          <w:b/>
          <w:color w:val="000000"/>
          <w:sz w:val="24"/>
          <w:szCs w:val="24"/>
        </w:rPr>
      </w:pPr>
      <w:r>
        <w:rPr>
          <w:rFonts w:ascii="Garamond" w:eastAsia="Garamond" w:hAnsi="Garamond" w:cs="Garamond"/>
          <w:b/>
          <w:color w:val="000000"/>
          <w:sz w:val="24"/>
          <w:szCs w:val="24"/>
        </w:rPr>
        <w:t>P1: Até que ponto a organização destaca tanto os eventos/impactos positivos quanto os negativos?</w:t>
      </w:r>
    </w:p>
    <w:p w14:paraId="06A8F38B" w14:textId="77777777" w:rsidR="00EC4499" w:rsidRDefault="00EC4499">
      <w:pPr>
        <w:spacing w:after="0" w:line="360" w:lineRule="auto"/>
        <w:ind w:left="360"/>
        <w:rPr>
          <w:rFonts w:ascii="Garamond" w:eastAsia="Garamond" w:hAnsi="Garamond" w:cs="Garamond"/>
          <w:color w:val="000000"/>
          <w:sz w:val="24"/>
          <w:szCs w:val="24"/>
        </w:rPr>
      </w:pPr>
    </w:p>
    <w:p w14:paraId="1A93CB44"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Todos os relatórios analisados obtiveram a pontuação 1, já que foi possível identificar menções que podem ser consideradas “negativas”, tais como: indicadores ambientais ou sociais cujo desempenho no ano referência tenha sido inferior aos anos anteriores ou à meta </w:t>
      </w:r>
      <w:r>
        <w:rPr>
          <w:rFonts w:ascii="Garamond" w:eastAsia="Garamond" w:hAnsi="Garamond" w:cs="Garamond"/>
          <w:color w:val="000000"/>
          <w:sz w:val="24"/>
          <w:szCs w:val="24"/>
        </w:rPr>
        <w:lastRenderedPageBreak/>
        <w:t>estabelecida, denúncias de discriminação, corrupção, assédio moral e sexual, multas por inconformidades com leis e regulamentos e ações judiciais relevantes em que sejam réus.</w:t>
      </w:r>
    </w:p>
    <w:p w14:paraId="32E9AE88"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A análise realizada pela IA Gemini/Google, resultou na média percentual de 85% de menções positivas e 15% negativas, tendo o maior percentual de notícias negativas atingido 21%.</w:t>
      </w:r>
    </w:p>
    <w:p w14:paraId="49D969CA" w14:textId="1EE1A10D" w:rsidR="00EC4499" w:rsidRPr="00271CBC" w:rsidRDefault="009E67AB">
      <w:pPr>
        <w:spacing w:after="0" w:line="360" w:lineRule="auto"/>
        <w:ind w:firstLine="708"/>
        <w:jc w:val="both"/>
        <w:rPr>
          <w:rFonts w:ascii="Garamond" w:eastAsia="Garamond" w:hAnsi="Garamond" w:cs="Garamond"/>
          <w:sz w:val="24"/>
          <w:szCs w:val="24"/>
        </w:rPr>
      </w:pPr>
      <w:r>
        <w:rPr>
          <w:rFonts w:ascii="Garamond" w:eastAsia="Garamond" w:hAnsi="Garamond" w:cs="Garamond"/>
          <w:sz w:val="24"/>
          <w:szCs w:val="24"/>
        </w:rPr>
        <w:t>Foi utilizada também a</w:t>
      </w:r>
      <w:r w:rsidR="00433EA7" w:rsidRPr="00271CBC">
        <w:rPr>
          <w:rFonts w:ascii="Garamond" w:eastAsia="Garamond" w:hAnsi="Garamond" w:cs="Garamond"/>
          <w:sz w:val="24"/>
          <w:szCs w:val="24"/>
        </w:rPr>
        <w:t xml:space="preserve"> ferramenta de IA Malena</w:t>
      </w:r>
      <w:r>
        <w:rPr>
          <w:rFonts w:ascii="Garamond" w:eastAsia="Garamond" w:hAnsi="Garamond" w:cs="Garamond"/>
          <w:sz w:val="24"/>
          <w:szCs w:val="24"/>
        </w:rPr>
        <w:t xml:space="preserve"> que</w:t>
      </w:r>
      <w:r w:rsidR="00433EA7" w:rsidRPr="00271CBC">
        <w:rPr>
          <w:rFonts w:ascii="Garamond" w:eastAsia="Garamond" w:hAnsi="Garamond" w:cs="Garamond"/>
          <w:sz w:val="24"/>
          <w:szCs w:val="24"/>
        </w:rPr>
        <w:t xml:space="preserve"> é capaz de identificar mais de 1.000 termos de risco ESG no texto e atribui sentimentos positivos, negativos ou neutros com base no contexto em que esses termos são encontrados em uma frase (</w:t>
      </w:r>
      <w:r w:rsidR="00433EA7" w:rsidRPr="00271CBC">
        <w:rPr>
          <w:rFonts w:ascii="Garamond" w:eastAsia="Garamond" w:hAnsi="Garamond" w:cs="Garamond"/>
          <w:i/>
          <w:sz w:val="24"/>
          <w:szCs w:val="24"/>
        </w:rPr>
        <w:t>International Finance Corporation</w:t>
      </w:r>
      <w:r w:rsidR="00433EA7" w:rsidRPr="00271CBC">
        <w:rPr>
          <w:rFonts w:ascii="Garamond" w:eastAsia="Garamond" w:hAnsi="Garamond" w:cs="Garamond"/>
          <w:sz w:val="24"/>
          <w:szCs w:val="24"/>
        </w:rPr>
        <w:t xml:space="preserve">, 2024). </w:t>
      </w:r>
    </w:p>
    <w:p w14:paraId="65F6E8C9" w14:textId="77777777" w:rsidR="00F8063E" w:rsidRDefault="00433EA7" w:rsidP="00696C68">
      <w:pPr>
        <w:spacing w:after="0" w:line="360" w:lineRule="auto"/>
        <w:ind w:firstLine="708"/>
        <w:jc w:val="both"/>
        <w:rPr>
          <w:rFonts w:ascii="Garamond" w:eastAsia="Garamond" w:hAnsi="Garamond" w:cs="Garamond"/>
          <w:color w:val="161616"/>
          <w:sz w:val="24"/>
          <w:szCs w:val="24"/>
        </w:rPr>
      </w:pPr>
      <w:r>
        <w:rPr>
          <w:rFonts w:ascii="Garamond" w:eastAsia="Garamond" w:hAnsi="Garamond" w:cs="Garamond"/>
          <w:sz w:val="24"/>
          <w:szCs w:val="24"/>
        </w:rPr>
        <w:t>Conforme definição da IBM (IBM, n.d.), “</w:t>
      </w:r>
      <w:r>
        <w:rPr>
          <w:rFonts w:ascii="Garamond" w:eastAsia="Garamond" w:hAnsi="Garamond" w:cs="Garamond"/>
          <w:color w:val="161616"/>
          <w:sz w:val="24"/>
          <w:szCs w:val="24"/>
          <w:highlight w:val="white"/>
        </w:rPr>
        <w:t>análise de sentimento, ou mineração de opinião, é o processo de análise de grandes volumes de texto para determinar se expressa sentimento positivo, negativo ou neutro.</w:t>
      </w:r>
      <w:r w:rsidR="00EF3810" w:rsidDel="00EF3810">
        <w:rPr>
          <w:rFonts w:ascii="Garamond" w:eastAsia="Garamond" w:hAnsi="Garamond" w:cs="Garamond"/>
          <w:color w:val="161616"/>
          <w:sz w:val="24"/>
          <w:szCs w:val="24"/>
          <w:highlight w:val="white"/>
        </w:rPr>
        <w:t>”</w:t>
      </w:r>
      <w:r w:rsidR="00EF3810">
        <w:rPr>
          <w:rFonts w:ascii="Garamond" w:eastAsia="Garamond" w:hAnsi="Garamond" w:cs="Garamond"/>
          <w:color w:val="161616"/>
          <w:sz w:val="24"/>
          <w:szCs w:val="24"/>
          <w:highlight w:val="white"/>
        </w:rPr>
        <w:t xml:space="preserve"> </w:t>
      </w:r>
    </w:p>
    <w:p w14:paraId="36CCD242" w14:textId="17565490" w:rsidR="00EC4499" w:rsidRDefault="00433EA7" w:rsidP="00696C68">
      <w:pPr>
        <w:spacing w:after="0" w:line="360" w:lineRule="auto"/>
        <w:ind w:firstLine="708"/>
        <w:jc w:val="both"/>
        <w:rPr>
          <w:rFonts w:ascii="Garamond" w:eastAsia="Garamond" w:hAnsi="Garamond" w:cs="Garamond"/>
          <w:sz w:val="24"/>
          <w:szCs w:val="24"/>
        </w:rPr>
      </w:pPr>
      <w:r>
        <w:rPr>
          <w:rFonts w:ascii="Garamond" w:eastAsia="Garamond" w:hAnsi="Garamond" w:cs="Garamond"/>
          <w:sz w:val="24"/>
          <w:szCs w:val="24"/>
        </w:rPr>
        <w:t>Na metodologia utilizada, os eventos têm mais peso quando são negativos e quanto mais recentes forem.</w:t>
      </w:r>
    </w:p>
    <w:p w14:paraId="6AAAED97" w14:textId="1BC59366"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sz w:val="24"/>
          <w:szCs w:val="24"/>
        </w:rPr>
        <w:t>Como só são suportados documentos em inglês e com</w:t>
      </w:r>
      <w:r w:rsidR="001E5DB4">
        <w:rPr>
          <w:rFonts w:ascii="Garamond" w:eastAsia="Garamond" w:hAnsi="Garamond" w:cs="Garamond"/>
          <w:sz w:val="24"/>
          <w:szCs w:val="24"/>
        </w:rPr>
        <w:t xml:space="preserve"> tamanho de</w:t>
      </w:r>
      <w:r>
        <w:rPr>
          <w:rFonts w:ascii="Garamond" w:eastAsia="Garamond" w:hAnsi="Garamond" w:cs="Garamond"/>
          <w:sz w:val="24"/>
          <w:szCs w:val="24"/>
        </w:rPr>
        <w:t xml:space="preserve"> até 10 Megabytes, submetemos os relatórios relacionados na</w:t>
      </w:r>
      <w:r w:rsidR="002B2FC7">
        <w:rPr>
          <w:rFonts w:ascii="Garamond" w:eastAsia="Garamond" w:hAnsi="Garamond" w:cs="Garamond"/>
          <w:sz w:val="24"/>
          <w:szCs w:val="24"/>
        </w:rPr>
        <w:t xml:space="preserve"> Tabela</w:t>
      </w:r>
      <w:r w:rsidR="00CB17E7">
        <w:rPr>
          <w:rFonts w:ascii="Garamond" w:eastAsia="Garamond" w:hAnsi="Garamond" w:cs="Garamond"/>
          <w:sz w:val="24"/>
          <w:szCs w:val="24"/>
        </w:rPr>
        <w:t xml:space="preserve"> 21</w:t>
      </w:r>
      <w:r w:rsidR="003E6D47">
        <w:rPr>
          <w:rFonts w:ascii="Garamond" w:eastAsia="Garamond" w:hAnsi="Garamond" w:cs="Garamond"/>
          <w:sz w:val="24"/>
          <w:szCs w:val="24"/>
        </w:rPr>
        <w:t>,</w:t>
      </w:r>
      <w:r>
        <w:rPr>
          <w:rFonts w:ascii="Garamond" w:eastAsia="Garamond" w:hAnsi="Garamond" w:cs="Garamond"/>
          <w:sz w:val="24"/>
          <w:szCs w:val="24"/>
        </w:rPr>
        <w:t xml:space="preserve"> cujo resultado da “análise de sentimento” para as questões sociais e ambientais corrobora a falta de equilíbrio. </w:t>
      </w:r>
    </w:p>
    <w:p w14:paraId="008D373E" w14:textId="77777777" w:rsidR="00EC4499" w:rsidRDefault="00EC4499">
      <w:pPr>
        <w:spacing w:after="0" w:line="360" w:lineRule="auto"/>
        <w:rPr>
          <w:rFonts w:ascii="Garamond" w:eastAsia="Garamond" w:hAnsi="Garamond" w:cs="Garamond"/>
          <w:sz w:val="24"/>
          <w:szCs w:val="24"/>
        </w:rPr>
      </w:pPr>
    </w:p>
    <w:p w14:paraId="448D03B7" w14:textId="4035F53B" w:rsidR="00EC4499" w:rsidRDefault="002B2FC7">
      <w:pPr>
        <w:spacing w:after="0" w:line="360" w:lineRule="auto"/>
        <w:ind w:left="360"/>
        <w:jc w:val="center"/>
        <w:rPr>
          <w:rFonts w:ascii="Garamond" w:eastAsia="Garamond" w:hAnsi="Garamond" w:cs="Garamond"/>
          <w:sz w:val="24"/>
          <w:szCs w:val="24"/>
        </w:rPr>
      </w:pPr>
      <w:r>
        <w:rPr>
          <w:rFonts w:ascii="Garamond" w:eastAsia="Garamond" w:hAnsi="Garamond" w:cs="Garamond"/>
          <w:sz w:val="24"/>
          <w:szCs w:val="24"/>
        </w:rPr>
        <w:t>Tabela</w:t>
      </w:r>
      <w:r w:rsidR="003E6D47">
        <w:rPr>
          <w:rFonts w:ascii="Garamond" w:eastAsia="Garamond" w:hAnsi="Garamond" w:cs="Garamond"/>
          <w:sz w:val="24"/>
          <w:szCs w:val="24"/>
        </w:rPr>
        <w:t xml:space="preserve"> 21</w:t>
      </w:r>
      <w:r w:rsidR="00433EA7">
        <w:rPr>
          <w:rFonts w:ascii="Garamond" w:eastAsia="Garamond" w:hAnsi="Garamond" w:cs="Garamond"/>
          <w:sz w:val="24"/>
          <w:szCs w:val="24"/>
        </w:rPr>
        <w:t xml:space="preserve"> – Análise</w:t>
      </w:r>
      <w:r>
        <w:rPr>
          <w:rFonts w:ascii="Garamond" w:eastAsia="Garamond" w:hAnsi="Garamond" w:cs="Garamond"/>
          <w:sz w:val="24"/>
          <w:szCs w:val="24"/>
        </w:rPr>
        <w:t>s</w:t>
      </w:r>
      <w:r w:rsidR="00433EA7">
        <w:rPr>
          <w:rFonts w:ascii="Garamond" w:eastAsia="Garamond" w:hAnsi="Garamond" w:cs="Garamond"/>
          <w:sz w:val="24"/>
          <w:szCs w:val="24"/>
        </w:rPr>
        <w:t xml:space="preserve"> de Sentimento</w:t>
      </w:r>
    </w:p>
    <w:p w14:paraId="06A8F7ED" w14:textId="77777777" w:rsidR="00E958A3" w:rsidRDefault="00E958A3">
      <w:pPr>
        <w:spacing w:after="0" w:line="360" w:lineRule="auto"/>
        <w:ind w:left="360"/>
        <w:jc w:val="center"/>
        <w:rPr>
          <w:rFonts w:ascii="Garamond" w:eastAsia="Garamond" w:hAnsi="Garamond" w:cs="Garamond"/>
          <w:sz w:val="24"/>
          <w:szCs w:val="24"/>
        </w:rPr>
      </w:pPr>
    </w:p>
    <w:tbl>
      <w:tblPr>
        <w:tblStyle w:val="af1"/>
        <w:tblW w:w="8364" w:type="dxa"/>
        <w:tblInd w:w="0" w:type="dxa"/>
        <w:tblLayout w:type="fixed"/>
        <w:tblLook w:val="0400" w:firstRow="0" w:lastRow="0" w:firstColumn="0" w:lastColumn="0" w:noHBand="0" w:noVBand="1"/>
      </w:tblPr>
      <w:tblGrid>
        <w:gridCol w:w="3828"/>
        <w:gridCol w:w="2268"/>
        <w:gridCol w:w="2268"/>
      </w:tblGrid>
      <w:tr w:rsidR="002B1824" w14:paraId="135F8096" w14:textId="77777777" w:rsidTr="007A7E38">
        <w:trPr>
          <w:trHeight w:val="312"/>
        </w:trPr>
        <w:tc>
          <w:tcPr>
            <w:tcW w:w="3828" w:type="dxa"/>
            <w:tcBorders>
              <w:top w:val="nil"/>
              <w:left w:val="nil"/>
              <w:bottom w:val="single" w:sz="4" w:space="0" w:color="000000"/>
              <w:right w:val="nil"/>
            </w:tcBorders>
            <w:shd w:val="clear" w:color="auto" w:fill="auto"/>
            <w:vAlign w:val="bottom"/>
          </w:tcPr>
          <w:p w14:paraId="5B7BCA59" w14:textId="776473F4" w:rsidR="002B1824" w:rsidRDefault="00266AC2" w:rsidP="00D30DB6">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Banco</w:t>
            </w:r>
            <w:r w:rsidR="00AE6158">
              <w:rPr>
                <w:rFonts w:ascii="Garamond" w:eastAsia="Garamond" w:hAnsi="Garamond" w:cs="Garamond"/>
                <w:b/>
                <w:color w:val="000000"/>
                <w:sz w:val="18"/>
                <w:szCs w:val="18"/>
              </w:rPr>
              <w:t>/ano</w:t>
            </w:r>
          </w:p>
        </w:tc>
        <w:tc>
          <w:tcPr>
            <w:tcW w:w="2268" w:type="dxa"/>
            <w:tcBorders>
              <w:top w:val="nil"/>
              <w:left w:val="nil"/>
              <w:bottom w:val="single" w:sz="4" w:space="0" w:color="000000"/>
              <w:right w:val="nil"/>
            </w:tcBorders>
            <w:shd w:val="clear" w:color="auto" w:fill="auto"/>
            <w:vAlign w:val="bottom"/>
          </w:tcPr>
          <w:p w14:paraId="370E9DB6" w14:textId="536BE6B8" w:rsidR="002B1824" w:rsidRDefault="00F5190C" w:rsidP="00D30DB6">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Eventos Positivos</w:t>
            </w:r>
          </w:p>
        </w:tc>
        <w:tc>
          <w:tcPr>
            <w:tcW w:w="2268" w:type="dxa"/>
            <w:tcBorders>
              <w:top w:val="nil"/>
              <w:left w:val="nil"/>
              <w:bottom w:val="single" w:sz="4" w:space="0" w:color="000000"/>
              <w:right w:val="nil"/>
            </w:tcBorders>
            <w:shd w:val="clear" w:color="auto" w:fill="auto"/>
            <w:vAlign w:val="bottom"/>
          </w:tcPr>
          <w:p w14:paraId="46C51FBD" w14:textId="5DDAA214" w:rsidR="002B1824" w:rsidRDefault="002B1824" w:rsidP="00D30DB6">
            <w:pPr>
              <w:spacing w:after="0" w:line="240" w:lineRule="auto"/>
              <w:rPr>
                <w:rFonts w:ascii="Garamond" w:eastAsia="Garamond" w:hAnsi="Garamond" w:cs="Garamond"/>
                <w:b/>
                <w:color w:val="000000"/>
                <w:sz w:val="18"/>
                <w:szCs w:val="18"/>
              </w:rPr>
            </w:pPr>
            <w:r>
              <w:rPr>
                <w:rFonts w:ascii="Garamond" w:eastAsia="Garamond" w:hAnsi="Garamond" w:cs="Garamond"/>
                <w:b/>
                <w:color w:val="000000"/>
                <w:sz w:val="18"/>
                <w:szCs w:val="18"/>
              </w:rPr>
              <w:t xml:space="preserve">     </w:t>
            </w:r>
            <w:r w:rsidR="00F5190C">
              <w:rPr>
                <w:rFonts w:ascii="Garamond" w:eastAsia="Garamond" w:hAnsi="Garamond" w:cs="Garamond"/>
                <w:b/>
                <w:color w:val="000000"/>
                <w:sz w:val="18"/>
                <w:szCs w:val="18"/>
              </w:rPr>
              <w:t>Eventos Negativos</w:t>
            </w:r>
          </w:p>
        </w:tc>
      </w:tr>
      <w:tr w:rsidR="002B1824" w14:paraId="6E5AA654" w14:textId="77777777" w:rsidTr="00D30DB6">
        <w:trPr>
          <w:trHeight w:val="312"/>
        </w:trPr>
        <w:tc>
          <w:tcPr>
            <w:tcW w:w="3828" w:type="dxa"/>
            <w:tcBorders>
              <w:top w:val="single" w:sz="4" w:space="0" w:color="000000"/>
              <w:left w:val="nil"/>
              <w:bottom w:val="nil"/>
              <w:right w:val="nil"/>
            </w:tcBorders>
            <w:shd w:val="clear" w:color="auto" w:fill="auto"/>
            <w:vAlign w:val="bottom"/>
          </w:tcPr>
          <w:p w14:paraId="51D4B5AF" w14:textId="212D7CE9" w:rsidR="002B1824" w:rsidRDefault="00A46109" w:rsidP="00D30DB6">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BNDES</w:t>
            </w:r>
            <w:r w:rsidR="007C2AFD">
              <w:rPr>
                <w:rFonts w:ascii="Garamond" w:eastAsia="Garamond" w:hAnsi="Garamond" w:cs="Garamond"/>
                <w:color w:val="000000"/>
                <w:sz w:val="18"/>
                <w:szCs w:val="18"/>
              </w:rPr>
              <w:t>/2021</w:t>
            </w:r>
          </w:p>
        </w:tc>
        <w:tc>
          <w:tcPr>
            <w:tcW w:w="2268" w:type="dxa"/>
            <w:tcBorders>
              <w:top w:val="single" w:sz="4" w:space="0" w:color="000000"/>
              <w:left w:val="nil"/>
              <w:bottom w:val="nil"/>
              <w:right w:val="nil"/>
            </w:tcBorders>
            <w:shd w:val="clear" w:color="auto" w:fill="auto"/>
            <w:vAlign w:val="bottom"/>
          </w:tcPr>
          <w:p w14:paraId="684AE771" w14:textId="152C48BF" w:rsidR="002B1824" w:rsidRPr="007A7E38" w:rsidRDefault="007C2AFD" w:rsidP="00D30DB6">
            <w:pPr>
              <w:spacing w:after="0" w:line="240" w:lineRule="auto"/>
              <w:jc w:val="center"/>
              <w:rPr>
                <w:rFonts w:ascii="Garamond" w:eastAsia="Garamond" w:hAnsi="Garamond" w:cs="Garamond"/>
                <w:bCs/>
                <w:color w:val="000000"/>
                <w:sz w:val="18"/>
                <w:szCs w:val="18"/>
              </w:rPr>
            </w:pPr>
            <w:r w:rsidRPr="007A7E38">
              <w:rPr>
                <w:rFonts w:ascii="Garamond" w:eastAsia="Garamond" w:hAnsi="Garamond" w:cs="Garamond"/>
                <w:bCs/>
                <w:color w:val="000000"/>
                <w:sz w:val="18"/>
                <w:szCs w:val="18"/>
              </w:rPr>
              <w:t>126</w:t>
            </w:r>
          </w:p>
        </w:tc>
        <w:tc>
          <w:tcPr>
            <w:tcW w:w="2268" w:type="dxa"/>
            <w:tcBorders>
              <w:top w:val="single" w:sz="4" w:space="0" w:color="000000"/>
              <w:left w:val="nil"/>
              <w:bottom w:val="nil"/>
              <w:right w:val="nil"/>
            </w:tcBorders>
            <w:shd w:val="clear" w:color="auto" w:fill="auto"/>
            <w:vAlign w:val="bottom"/>
          </w:tcPr>
          <w:p w14:paraId="1C9DD755" w14:textId="01B326B2" w:rsidR="002B1824" w:rsidRPr="001A6A59" w:rsidRDefault="002B1824" w:rsidP="00D30DB6">
            <w:pPr>
              <w:spacing w:after="0" w:line="240" w:lineRule="auto"/>
              <w:rPr>
                <w:rFonts w:ascii="Garamond" w:eastAsia="Garamond" w:hAnsi="Garamond" w:cs="Garamond"/>
                <w:bCs/>
                <w:color w:val="000000"/>
                <w:sz w:val="18"/>
                <w:szCs w:val="18"/>
              </w:rPr>
            </w:pPr>
            <w:r w:rsidRPr="007A7E38">
              <w:rPr>
                <w:rFonts w:ascii="Garamond" w:eastAsia="Garamond" w:hAnsi="Garamond" w:cs="Garamond"/>
                <w:bCs/>
                <w:color w:val="000000"/>
                <w:sz w:val="18"/>
                <w:szCs w:val="18"/>
              </w:rPr>
              <w:t xml:space="preserve">            </w:t>
            </w:r>
            <w:r w:rsidR="00D204FC">
              <w:rPr>
                <w:rFonts w:ascii="Garamond" w:eastAsia="Garamond" w:hAnsi="Garamond" w:cs="Garamond"/>
                <w:bCs/>
                <w:color w:val="000000"/>
                <w:sz w:val="18"/>
                <w:szCs w:val="18"/>
              </w:rPr>
              <w:t xml:space="preserve">    </w:t>
            </w:r>
            <w:r w:rsidR="007C2AFD" w:rsidRPr="007A7E38">
              <w:rPr>
                <w:rFonts w:ascii="Garamond" w:eastAsia="Garamond" w:hAnsi="Garamond" w:cs="Garamond"/>
                <w:bCs/>
                <w:color w:val="000000"/>
                <w:sz w:val="18"/>
                <w:szCs w:val="18"/>
              </w:rPr>
              <w:t>14</w:t>
            </w:r>
          </w:p>
        </w:tc>
      </w:tr>
      <w:tr w:rsidR="002B1824" w14:paraId="75ED619C" w14:textId="77777777" w:rsidTr="00D30DB6">
        <w:trPr>
          <w:trHeight w:val="312"/>
        </w:trPr>
        <w:tc>
          <w:tcPr>
            <w:tcW w:w="3828" w:type="dxa"/>
            <w:tcBorders>
              <w:top w:val="nil"/>
              <w:left w:val="nil"/>
              <w:bottom w:val="nil"/>
              <w:right w:val="nil"/>
            </w:tcBorders>
            <w:shd w:val="clear" w:color="auto" w:fill="auto"/>
            <w:vAlign w:val="bottom"/>
          </w:tcPr>
          <w:p w14:paraId="26ABC52D" w14:textId="151B8EED" w:rsidR="002B1824" w:rsidRDefault="00736551" w:rsidP="00D30DB6">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Citibank/2021</w:t>
            </w:r>
          </w:p>
        </w:tc>
        <w:tc>
          <w:tcPr>
            <w:tcW w:w="2268" w:type="dxa"/>
            <w:tcBorders>
              <w:top w:val="nil"/>
              <w:left w:val="nil"/>
              <w:bottom w:val="nil"/>
              <w:right w:val="nil"/>
            </w:tcBorders>
            <w:shd w:val="clear" w:color="auto" w:fill="auto"/>
            <w:vAlign w:val="bottom"/>
          </w:tcPr>
          <w:p w14:paraId="26B80F1D" w14:textId="28D95468" w:rsidR="002B1824" w:rsidRPr="001A6A59" w:rsidRDefault="00736551" w:rsidP="00D30DB6">
            <w:pPr>
              <w:spacing w:after="0" w:line="240" w:lineRule="auto"/>
              <w:jc w:val="center"/>
              <w:rPr>
                <w:rFonts w:ascii="Garamond" w:eastAsia="Garamond" w:hAnsi="Garamond" w:cs="Garamond"/>
                <w:bCs/>
                <w:color w:val="000000"/>
                <w:sz w:val="18"/>
                <w:szCs w:val="18"/>
              </w:rPr>
            </w:pPr>
            <w:r w:rsidRPr="001A6A59">
              <w:rPr>
                <w:rFonts w:ascii="Garamond" w:eastAsia="Garamond" w:hAnsi="Garamond" w:cs="Garamond"/>
                <w:bCs/>
                <w:color w:val="000000"/>
                <w:sz w:val="18"/>
                <w:szCs w:val="18"/>
              </w:rPr>
              <w:t>337</w:t>
            </w:r>
          </w:p>
        </w:tc>
        <w:tc>
          <w:tcPr>
            <w:tcW w:w="2268" w:type="dxa"/>
            <w:tcBorders>
              <w:top w:val="nil"/>
              <w:left w:val="nil"/>
              <w:bottom w:val="nil"/>
              <w:right w:val="nil"/>
            </w:tcBorders>
            <w:shd w:val="clear" w:color="auto" w:fill="auto"/>
            <w:vAlign w:val="bottom"/>
          </w:tcPr>
          <w:p w14:paraId="7E28951C" w14:textId="5D829602" w:rsidR="002B1824" w:rsidRPr="001A6A59" w:rsidRDefault="002B1824" w:rsidP="00D30DB6">
            <w:pPr>
              <w:spacing w:after="0" w:line="240" w:lineRule="auto"/>
              <w:rPr>
                <w:rFonts w:ascii="Garamond" w:eastAsia="Garamond" w:hAnsi="Garamond" w:cs="Garamond"/>
                <w:bCs/>
                <w:color w:val="000000"/>
                <w:sz w:val="18"/>
                <w:szCs w:val="18"/>
              </w:rPr>
            </w:pPr>
            <w:r w:rsidRPr="001A6A59">
              <w:rPr>
                <w:rFonts w:ascii="Garamond" w:eastAsia="Garamond" w:hAnsi="Garamond" w:cs="Garamond"/>
                <w:bCs/>
                <w:color w:val="000000"/>
                <w:sz w:val="18"/>
                <w:szCs w:val="18"/>
              </w:rPr>
              <w:t xml:space="preserve">            </w:t>
            </w:r>
            <w:r w:rsidR="00D204FC">
              <w:rPr>
                <w:rFonts w:ascii="Garamond" w:eastAsia="Garamond" w:hAnsi="Garamond" w:cs="Garamond"/>
                <w:bCs/>
                <w:color w:val="000000"/>
                <w:sz w:val="18"/>
                <w:szCs w:val="18"/>
              </w:rPr>
              <w:t xml:space="preserve">    </w:t>
            </w:r>
            <w:r w:rsidRPr="001A6A59">
              <w:rPr>
                <w:rFonts w:ascii="Garamond" w:eastAsia="Garamond" w:hAnsi="Garamond" w:cs="Garamond"/>
                <w:bCs/>
                <w:color w:val="000000"/>
                <w:sz w:val="18"/>
                <w:szCs w:val="18"/>
              </w:rPr>
              <w:t>6</w:t>
            </w:r>
            <w:r w:rsidR="00736551" w:rsidRPr="001A6A59">
              <w:rPr>
                <w:rFonts w:ascii="Garamond" w:eastAsia="Garamond" w:hAnsi="Garamond" w:cs="Garamond"/>
                <w:bCs/>
                <w:color w:val="000000"/>
                <w:sz w:val="18"/>
                <w:szCs w:val="18"/>
              </w:rPr>
              <w:t>4</w:t>
            </w:r>
          </w:p>
        </w:tc>
      </w:tr>
      <w:tr w:rsidR="002B1824" w14:paraId="5C939246" w14:textId="77777777" w:rsidTr="00D30DB6">
        <w:trPr>
          <w:trHeight w:val="312"/>
        </w:trPr>
        <w:tc>
          <w:tcPr>
            <w:tcW w:w="3828" w:type="dxa"/>
            <w:tcBorders>
              <w:top w:val="nil"/>
              <w:left w:val="nil"/>
              <w:bottom w:val="nil"/>
              <w:right w:val="nil"/>
            </w:tcBorders>
            <w:shd w:val="clear" w:color="auto" w:fill="auto"/>
            <w:vAlign w:val="bottom"/>
          </w:tcPr>
          <w:p w14:paraId="2EC6830D" w14:textId="460EA186" w:rsidR="002B1824" w:rsidRDefault="008C0511" w:rsidP="00D30DB6">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J.P. Morgan/2021</w:t>
            </w:r>
          </w:p>
        </w:tc>
        <w:tc>
          <w:tcPr>
            <w:tcW w:w="2268" w:type="dxa"/>
            <w:tcBorders>
              <w:top w:val="nil"/>
              <w:left w:val="nil"/>
              <w:bottom w:val="nil"/>
              <w:right w:val="nil"/>
            </w:tcBorders>
            <w:shd w:val="clear" w:color="auto" w:fill="auto"/>
            <w:vAlign w:val="bottom"/>
          </w:tcPr>
          <w:p w14:paraId="109E5A6C" w14:textId="7CC01A96" w:rsidR="002B1824" w:rsidRPr="007A7E38" w:rsidRDefault="008C0511" w:rsidP="00D30DB6">
            <w:pPr>
              <w:spacing w:after="0" w:line="240" w:lineRule="auto"/>
              <w:jc w:val="center"/>
              <w:rPr>
                <w:rFonts w:ascii="Garamond" w:eastAsia="Garamond" w:hAnsi="Garamond" w:cs="Garamond"/>
                <w:bCs/>
                <w:color w:val="000000"/>
                <w:sz w:val="18"/>
                <w:szCs w:val="18"/>
              </w:rPr>
            </w:pPr>
            <w:r w:rsidRPr="007A7E38">
              <w:rPr>
                <w:rFonts w:ascii="Garamond" w:eastAsia="Garamond" w:hAnsi="Garamond" w:cs="Garamond"/>
                <w:bCs/>
                <w:color w:val="000000"/>
                <w:sz w:val="18"/>
                <w:szCs w:val="18"/>
              </w:rPr>
              <w:t>175</w:t>
            </w:r>
          </w:p>
        </w:tc>
        <w:tc>
          <w:tcPr>
            <w:tcW w:w="2268" w:type="dxa"/>
            <w:tcBorders>
              <w:top w:val="nil"/>
              <w:left w:val="nil"/>
              <w:bottom w:val="nil"/>
              <w:right w:val="nil"/>
            </w:tcBorders>
            <w:shd w:val="clear" w:color="auto" w:fill="auto"/>
            <w:vAlign w:val="bottom"/>
          </w:tcPr>
          <w:p w14:paraId="25FFACC4" w14:textId="63826A4C" w:rsidR="002B1824" w:rsidRPr="007A7E38" w:rsidRDefault="002B1824" w:rsidP="00D30DB6">
            <w:pPr>
              <w:spacing w:after="0" w:line="240" w:lineRule="auto"/>
              <w:rPr>
                <w:rFonts w:ascii="Garamond" w:eastAsia="Garamond" w:hAnsi="Garamond" w:cs="Garamond"/>
                <w:bCs/>
                <w:color w:val="000000"/>
                <w:sz w:val="18"/>
                <w:szCs w:val="18"/>
              </w:rPr>
            </w:pPr>
            <w:r w:rsidRPr="007A7E38">
              <w:rPr>
                <w:rFonts w:ascii="Garamond" w:eastAsia="Garamond" w:hAnsi="Garamond" w:cs="Garamond"/>
                <w:bCs/>
                <w:color w:val="000000"/>
                <w:sz w:val="18"/>
                <w:szCs w:val="18"/>
              </w:rPr>
              <w:t xml:space="preserve">            </w:t>
            </w:r>
            <w:r w:rsidR="00D204FC">
              <w:rPr>
                <w:rFonts w:ascii="Garamond" w:eastAsia="Garamond" w:hAnsi="Garamond" w:cs="Garamond"/>
                <w:bCs/>
                <w:color w:val="000000"/>
                <w:sz w:val="18"/>
                <w:szCs w:val="18"/>
              </w:rPr>
              <w:t xml:space="preserve">    </w:t>
            </w:r>
            <w:r w:rsidR="008C0511" w:rsidRPr="007A7E38">
              <w:rPr>
                <w:rFonts w:ascii="Garamond" w:eastAsia="Garamond" w:hAnsi="Garamond" w:cs="Garamond"/>
                <w:bCs/>
                <w:color w:val="000000"/>
                <w:sz w:val="18"/>
                <w:szCs w:val="18"/>
              </w:rPr>
              <w:t>15</w:t>
            </w:r>
          </w:p>
        </w:tc>
      </w:tr>
      <w:tr w:rsidR="002B1824" w14:paraId="4E1C2E77" w14:textId="77777777" w:rsidTr="00D30DB6">
        <w:trPr>
          <w:trHeight w:val="312"/>
        </w:trPr>
        <w:tc>
          <w:tcPr>
            <w:tcW w:w="3828" w:type="dxa"/>
            <w:tcBorders>
              <w:top w:val="nil"/>
              <w:left w:val="nil"/>
              <w:bottom w:val="nil"/>
              <w:right w:val="nil"/>
            </w:tcBorders>
            <w:shd w:val="clear" w:color="auto" w:fill="auto"/>
            <w:vAlign w:val="bottom"/>
          </w:tcPr>
          <w:p w14:paraId="245F74AD" w14:textId="7EB06371" w:rsidR="002B1824" w:rsidRDefault="001A6A59" w:rsidP="00D30DB6">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BTG Pactual/2022</w:t>
            </w:r>
          </w:p>
        </w:tc>
        <w:tc>
          <w:tcPr>
            <w:tcW w:w="2268" w:type="dxa"/>
            <w:tcBorders>
              <w:top w:val="nil"/>
              <w:left w:val="nil"/>
              <w:bottom w:val="nil"/>
              <w:right w:val="nil"/>
            </w:tcBorders>
            <w:shd w:val="clear" w:color="auto" w:fill="auto"/>
            <w:vAlign w:val="bottom"/>
          </w:tcPr>
          <w:p w14:paraId="7D0BE43D" w14:textId="2BD9D235" w:rsidR="002B1824" w:rsidRPr="001A6A59" w:rsidRDefault="001A6A59" w:rsidP="00D30DB6">
            <w:pPr>
              <w:spacing w:after="0" w:line="240" w:lineRule="auto"/>
              <w:jc w:val="center"/>
              <w:rPr>
                <w:rFonts w:ascii="Garamond" w:eastAsia="Garamond" w:hAnsi="Garamond" w:cs="Garamond"/>
                <w:bCs/>
                <w:color w:val="000000"/>
                <w:sz w:val="18"/>
                <w:szCs w:val="18"/>
              </w:rPr>
            </w:pPr>
            <w:r w:rsidRPr="001A6A59">
              <w:rPr>
                <w:rFonts w:ascii="Garamond" w:eastAsia="Garamond" w:hAnsi="Garamond" w:cs="Garamond"/>
                <w:bCs/>
                <w:color w:val="000000"/>
                <w:sz w:val="18"/>
                <w:szCs w:val="18"/>
              </w:rPr>
              <w:t>162</w:t>
            </w:r>
          </w:p>
        </w:tc>
        <w:tc>
          <w:tcPr>
            <w:tcW w:w="2268" w:type="dxa"/>
            <w:tcBorders>
              <w:top w:val="nil"/>
              <w:left w:val="nil"/>
              <w:bottom w:val="nil"/>
              <w:right w:val="nil"/>
            </w:tcBorders>
            <w:shd w:val="clear" w:color="auto" w:fill="auto"/>
            <w:vAlign w:val="bottom"/>
          </w:tcPr>
          <w:p w14:paraId="4C3FFEBB" w14:textId="1775B3E2" w:rsidR="002B1824" w:rsidRPr="001A6A59" w:rsidRDefault="002B1824" w:rsidP="00D30DB6">
            <w:pPr>
              <w:spacing w:after="0" w:line="240" w:lineRule="auto"/>
              <w:rPr>
                <w:rFonts w:ascii="Garamond" w:eastAsia="Garamond" w:hAnsi="Garamond" w:cs="Garamond"/>
                <w:bCs/>
                <w:color w:val="000000"/>
                <w:sz w:val="18"/>
                <w:szCs w:val="18"/>
              </w:rPr>
            </w:pPr>
            <w:r w:rsidRPr="001A6A59">
              <w:rPr>
                <w:rFonts w:ascii="Garamond" w:eastAsia="Garamond" w:hAnsi="Garamond" w:cs="Garamond"/>
                <w:bCs/>
                <w:color w:val="000000"/>
                <w:sz w:val="18"/>
                <w:szCs w:val="18"/>
              </w:rPr>
              <w:t xml:space="preserve">            </w:t>
            </w:r>
            <w:r w:rsidR="00D204FC">
              <w:rPr>
                <w:rFonts w:ascii="Garamond" w:eastAsia="Garamond" w:hAnsi="Garamond" w:cs="Garamond"/>
                <w:bCs/>
                <w:color w:val="000000"/>
                <w:sz w:val="18"/>
                <w:szCs w:val="18"/>
              </w:rPr>
              <w:t xml:space="preserve">    </w:t>
            </w:r>
            <w:r w:rsidR="001A6A59" w:rsidRPr="001A6A59">
              <w:rPr>
                <w:rFonts w:ascii="Garamond" w:eastAsia="Garamond" w:hAnsi="Garamond" w:cs="Garamond"/>
                <w:bCs/>
                <w:color w:val="000000"/>
                <w:sz w:val="18"/>
                <w:szCs w:val="18"/>
              </w:rPr>
              <w:t>2</w:t>
            </w:r>
            <w:r w:rsidRPr="001A6A59">
              <w:rPr>
                <w:rFonts w:ascii="Garamond" w:eastAsia="Garamond" w:hAnsi="Garamond" w:cs="Garamond"/>
                <w:bCs/>
                <w:color w:val="000000"/>
                <w:sz w:val="18"/>
                <w:szCs w:val="18"/>
              </w:rPr>
              <w:t>7</w:t>
            </w:r>
          </w:p>
        </w:tc>
      </w:tr>
      <w:tr w:rsidR="002B1824" w14:paraId="65236626" w14:textId="77777777" w:rsidTr="00D30DB6">
        <w:trPr>
          <w:trHeight w:val="312"/>
        </w:trPr>
        <w:tc>
          <w:tcPr>
            <w:tcW w:w="3828" w:type="dxa"/>
            <w:tcBorders>
              <w:top w:val="nil"/>
              <w:left w:val="nil"/>
              <w:bottom w:val="nil"/>
              <w:right w:val="nil"/>
            </w:tcBorders>
            <w:shd w:val="clear" w:color="auto" w:fill="auto"/>
            <w:vAlign w:val="bottom"/>
          </w:tcPr>
          <w:p w14:paraId="2A2F5F9A" w14:textId="7D423829" w:rsidR="002B1824" w:rsidRDefault="001A6A59" w:rsidP="00D30DB6">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Citibank/2022</w:t>
            </w:r>
          </w:p>
        </w:tc>
        <w:tc>
          <w:tcPr>
            <w:tcW w:w="2268" w:type="dxa"/>
            <w:tcBorders>
              <w:top w:val="nil"/>
              <w:left w:val="nil"/>
              <w:bottom w:val="nil"/>
              <w:right w:val="nil"/>
            </w:tcBorders>
            <w:shd w:val="clear" w:color="auto" w:fill="auto"/>
            <w:vAlign w:val="bottom"/>
          </w:tcPr>
          <w:p w14:paraId="76735EA6" w14:textId="49ED40AD" w:rsidR="002B1824" w:rsidRPr="00CF2350" w:rsidRDefault="00112D80" w:rsidP="00D30DB6">
            <w:pPr>
              <w:spacing w:after="0" w:line="240" w:lineRule="auto"/>
              <w:jc w:val="center"/>
              <w:rPr>
                <w:rFonts w:ascii="Garamond" w:eastAsia="Garamond" w:hAnsi="Garamond" w:cs="Garamond"/>
                <w:bCs/>
                <w:color w:val="000000"/>
                <w:sz w:val="18"/>
                <w:szCs w:val="18"/>
              </w:rPr>
            </w:pPr>
            <w:r>
              <w:rPr>
                <w:rFonts w:ascii="Garamond" w:eastAsia="Garamond" w:hAnsi="Garamond" w:cs="Garamond"/>
                <w:bCs/>
                <w:color w:val="000000"/>
                <w:sz w:val="18"/>
                <w:szCs w:val="18"/>
              </w:rPr>
              <w:t>221</w:t>
            </w:r>
          </w:p>
        </w:tc>
        <w:tc>
          <w:tcPr>
            <w:tcW w:w="2268" w:type="dxa"/>
            <w:tcBorders>
              <w:top w:val="nil"/>
              <w:left w:val="nil"/>
              <w:bottom w:val="nil"/>
              <w:right w:val="nil"/>
            </w:tcBorders>
            <w:shd w:val="clear" w:color="auto" w:fill="auto"/>
            <w:vAlign w:val="bottom"/>
          </w:tcPr>
          <w:p w14:paraId="4302FFFD" w14:textId="75AD977D" w:rsidR="002B1824" w:rsidRPr="00CF2350" w:rsidRDefault="002B1824" w:rsidP="00D30DB6">
            <w:pPr>
              <w:spacing w:after="0" w:line="240" w:lineRule="auto"/>
              <w:rPr>
                <w:rFonts w:ascii="Garamond" w:eastAsia="Garamond" w:hAnsi="Garamond" w:cs="Garamond"/>
                <w:bCs/>
                <w:color w:val="000000"/>
                <w:sz w:val="18"/>
                <w:szCs w:val="18"/>
              </w:rPr>
            </w:pPr>
            <w:r w:rsidRPr="00CF2350">
              <w:rPr>
                <w:rFonts w:ascii="Garamond" w:eastAsia="Garamond" w:hAnsi="Garamond" w:cs="Garamond"/>
                <w:bCs/>
                <w:color w:val="000000"/>
                <w:sz w:val="18"/>
                <w:szCs w:val="18"/>
              </w:rPr>
              <w:t xml:space="preserve">            </w:t>
            </w:r>
            <w:r w:rsidR="00D204FC">
              <w:rPr>
                <w:rFonts w:ascii="Garamond" w:eastAsia="Garamond" w:hAnsi="Garamond" w:cs="Garamond"/>
                <w:bCs/>
                <w:color w:val="000000"/>
                <w:sz w:val="18"/>
                <w:szCs w:val="18"/>
              </w:rPr>
              <w:t xml:space="preserve">    </w:t>
            </w:r>
            <w:r w:rsidR="00112D80">
              <w:rPr>
                <w:rFonts w:ascii="Garamond" w:eastAsia="Garamond" w:hAnsi="Garamond" w:cs="Garamond"/>
                <w:bCs/>
                <w:color w:val="000000"/>
                <w:sz w:val="18"/>
                <w:szCs w:val="18"/>
              </w:rPr>
              <w:t>40</w:t>
            </w:r>
          </w:p>
        </w:tc>
      </w:tr>
      <w:tr w:rsidR="002B1824" w14:paraId="738BB67E" w14:textId="77777777" w:rsidTr="00D30DB6">
        <w:trPr>
          <w:trHeight w:val="312"/>
        </w:trPr>
        <w:tc>
          <w:tcPr>
            <w:tcW w:w="3828" w:type="dxa"/>
            <w:tcBorders>
              <w:top w:val="nil"/>
              <w:left w:val="nil"/>
              <w:bottom w:val="nil"/>
              <w:right w:val="nil"/>
            </w:tcBorders>
            <w:shd w:val="clear" w:color="auto" w:fill="auto"/>
            <w:vAlign w:val="bottom"/>
          </w:tcPr>
          <w:p w14:paraId="1A12A676" w14:textId="5F168605" w:rsidR="002B1824" w:rsidRDefault="005F22A1" w:rsidP="00D30DB6">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Inter/2022</w:t>
            </w:r>
          </w:p>
        </w:tc>
        <w:tc>
          <w:tcPr>
            <w:tcW w:w="2268" w:type="dxa"/>
            <w:tcBorders>
              <w:top w:val="nil"/>
              <w:left w:val="nil"/>
              <w:bottom w:val="nil"/>
              <w:right w:val="nil"/>
            </w:tcBorders>
            <w:shd w:val="clear" w:color="auto" w:fill="auto"/>
            <w:vAlign w:val="bottom"/>
          </w:tcPr>
          <w:p w14:paraId="5888AA7F" w14:textId="532EB555" w:rsidR="002B1824" w:rsidRPr="001A6A59" w:rsidRDefault="005F22A1" w:rsidP="00D30DB6">
            <w:pPr>
              <w:spacing w:after="0" w:line="240" w:lineRule="auto"/>
              <w:jc w:val="center"/>
              <w:rPr>
                <w:rFonts w:ascii="Garamond" w:eastAsia="Garamond" w:hAnsi="Garamond" w:cs="Garamond"/>
                <w:bCs/>
                <w:color w:val="000000"/>
                <w:sz w:val="18"/>
                <w:szCs w:val="18"/>
              </w:rPr>
            </w:pPr>
            <w:r>
              <w:rPr>
                <w:rFonts w:ascii="Garamond" w:eastAsia="Garamond" w:hAnsi="Garamond" w:cs="Garamond"/>
                <w:bCs/>
                <w:color w:val="000000"/>
                <w:sz w:val="18"/>
                <w:szCs w:val="18"/>
              </w:rPr>
              <w:t>90</w:t>
            </w:r>
          </w:p>
        </w:tc>
        <w:tc>
          <w:tcPr>
            <w:tcW w:w="2268" w:type="dxa"/>
            <w:tcBorders>
              <w:top w:val="nil"/>
              <w:left w:val="nil"/>
              <w:bottom w:val="nil"/>
              <w:right w:val="nil"/>
            </w:tcBorders>
            <w:shd w:val="clear" w:color="auto" w:fill="auto"/>
            <w:vAlign w:val="bottom"/>
          </w:tcPr>
          <w:p w14:paraId="0E01BBBB" w14:textId="0D7EFA05" w:rsidR="002B1824" w:rsidRPr="001A6A59" w:rsidRDefault="002B1824" w:rsidP="00D30DB6">
            <w:pPr>
              <w:spacing w:after="0" w:line="240" w:lineRule="auto"/>
              <w:rPr>
                <w:rFonts w:ascii="Garamond" w:eastAsia="Garamond" w:hAnsi="Garamond" w:cs="Garamond"/>
                <w:bCs/>
                <w:color w:val="000000"/>
                <w:sz w:val="18"/>
                <w:szCs w:val="18"/>
              </w:rPr>
            </w:pPr>
            <w:r w:rsidRPr="001A6A59">
              <w:rPr>
                <w:rFonts w:ascii="Garamond" w:eastAsia="Garamond" w:hAnsi="Garamond" w:cs="Garamond"/>
                <w:bCs/>
                <w:color w:val="000000"/>
                <w:sz w:val="18"/>
                <w:szCs w:val="18"/>
              </w:rPr>
              <w:t xml:space="preserve">            </w:t>
            </w:r>
            <w:r w:rsidR="00D204FC">
              <w:rPr>
                <w:rFonts w:ascii="Garamond" w:eastAsia="Garamond" w:hAnsi="Garamond" w:cs="Garamond"/>
                <w:bCs/>
                <w:color w:val="000000"/>
                <w:sz w:val="18"/>
                <w:szCs w:val="18"/>
              </w:rPr>
              <w:t xml:space="preserve">    </w:t>
            </w:r>
            <w:r w:rsidR="005F22A1">
              <w:rPr>
                <w:rFonts w:ascii="Garamond" w:eastAsia="Garamond" w:hAnsi="Garamond" w:cs="Garamond"/>
                <w:bCs/>
                <w:color w:val="000000"/>
                <w:sz w:val="18"/>
                <w:szCs w:val="18"/>
              </w:rPr>
              <w:t>13</w:t>
            </w:r>
          </w:p>
        </w:tc>
      </w:tr>
      <w:tr w:rsidR="002B1824" w14:paraId="7A660892" w14:textId="77777777" w:rsidTr="00CF2350">
        <w:trPr>
          <w:trHeight w:val="312"/>
        </w:trPr>
        <w:tc>
          <w:tcPr>
            <w:tcW w:w="3828" w:type="dxa"/>
            <w:tcBorders>
              <w:top w:val="nil"/>
              <w:left w:val="nil"/>
              <w:bottom w:val="single" w:sz="4" w:space="0" w:color="auto"/>
              <w:right w:val="nil"/>
            </w:tcBorders>
            <w:shd w:val="clear" w:color="auto" w:fill="auto"/>
            <w:vAlign w:val="bottom"/>
          </w:tcPr>
          <w:p w14:paraId="51E4FD81" w14:textId="600551D8" w:rsidR="002B1824" w:rsidRDefault="000E71B5" w:rsidP="00D30DB6">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J.P. Morgan/2022</w:t>
            </w:r>
          </w:p>
        </w:tc>
        <w:tc>
          <w:tcPr>
            <w:tcW w:w="2268" w:type="dxa"/>
            <w:tcBorders>
              <w:top w:val="nil"/>
              <w:left w:val="nil"/>
              <w:bottom w:val="single" w:sz="4" w:space="0" w:color="auto"/>
              <w:right w:val="nil"/>
            </w:tcBorders>
            <w:shd w:val="clear" w:color="auto" w:fill="auto"/>
            <w:vAlign w:val="bottom"/>
          </w:tcPr>
          <w:p w14:paraId="58DE0FE9" w14:textId="7ACAE074" w:rsidR="002B1824" w:rsidRPr="001A6A59" w:rsidRDefault="000E71B5" w:rsidP="00D30DB6">
            <w:pPr>
              <w:spacing w:after="0" w:line="240" w:lineRule="auto"/>
              <w:jc w:val="center"/>
              <w:rPr>
                <w:rFonts w:ascii="Garamond" w:eastAsia="Garamond" w:hAnsi="Garamond" w:cs="Garamond"/>
                <w:bCs/>
                <w:color w:val="000000"/>
                <w:sz w:val="18"/>
                <w:szCs w:val="18"/>
              </w:rPr>
            </w:pPr>
            <w:r>
              <w:rPr>
                <w:rFonts w:ascii="Garamond" w:eastAsia="Garamond" w:hAnsi="Garamond" w:cs="Garamond"/>
                <w:bCs/>
                <w:color w:val="000000"/>
                <w:sz w:val="18"/>
                <w:szCs w:val="18"/>
              </w:rPr>
              <w:t>209</w:t>
            </w:r>
          </w:p>
        </w:tc>
        <w:tc>
          <w:tcPr>
            <w:tcW w:w="2268" w:type="dxa"/>
            <w:tcBorders>
              <w:top w:val="nil"/>
              <w:left w:val="nil"/>
              <w:bottom w:val="single" w:sz="4" w:space="0" w:color="auto"/>
              <w:right w:val="nil"/>
            </w:tcBorders>
            <w:shd w:val="clear" w:color="auto" w:fill="auto"/>
            <w:vAlign w:val="bottom"/>
          </w:tcPr>
          <w:p w14:paraId="5A153383" w14:textId="422166C6" w:rsidR="002B1824" w:rsidRPr="00CF2350" w:rsidRDefault="002B1824" w:rsidP="00D30DB6">
            <w:pPr>
              <w:spacing w:after="0" w:line="240" w:lineRule="auto"/>
              <w:rPr>
                <w:rFonts w:ascii="Garamond" w:eastAsia="Garamond" w:hAnsi="Garamond" w:cs="Garamond"/>
                <w:bCs/>
                <w:color w:val="000000"/>
                <w:sz w:val="18"/>
                <w:szCs w:val="18"/>
              </w:rPr>
            </w:pPr>
            <w:r w:rsidRPr="00CF2350">
              <w:rPr>
                <w:rFonts w:ascii="Garamond" w:eastAsia="Garamond" w:hAnsi="Garamond" w:cs="Garamond"/>
                <w:bCs/>
                <w:color w:val="000000"/>
                <w:sz w:val="18"/>
                <w:szCs w:val="18"/>
              </w:rPr>
              <w:t xml:space="preserve">            </w:t>
            </w:r>
            <w:r w:rsidR="00D204FC">
              <w:rPr>
                <w:rFonts w:ascii="Garamond" w:eastAsia="Garamond" w:hAnsi="Garamond" w:cs="Garamond"/>
                <w:bCs/>
                <w:color w:val="000000"/>
                <w:sz w:val="18"/>
                <w:szCs w:val="18"/>
              </w:rPr>
              <w:t xml:space="preserve">    </w:t>
            </w:r>
            <w:r w:rsidR="000E71B5">
              <w:rPr>
                <w:rFonts w:ascii="Garamond" w:eastAsia="Garamond" w:hAnsi="Garamond" w:cs="Garamond"/>
                <w:bCs/>
                <w:color w:val="000000"/>
                <w:sz w:val="18"/>
                <w:szCs w:val="18"/>
              </w:rPr>
              <w:t>22</w:t>
            </w:r>
          </w:p>
        </w:tc>
      </w:tr>
    </w:tbl>
    <w:p w14:paraId="122F769E" w14:textId="15B5112A" w:rsidR="00EC4499" w:rsidRPr="00627D02" w:rsidRDefault="00417B35" w:rsidP="00B3746C">
      <w:pPr>
        <w:spacing w:after="0" w:line="360" w:lineRule="auto"/>
        <w:ind w:left="1080" w:firstLine="360"/>
        <w:rPr>
          <w:rFonts w:ascii="Garamond" w:eastAsia="Garamond" w:hAnsi="Garamond" w:cs="Garamond"/>
          <w:b/>
          <w:bCs/>
          <w:color w:val="000000"/>
          <w:sz w:val="18"/>
          <w:szCs w:val="18"/>
        </w:rPr>
      </w:pPr>
      <w:r w:rsidRPr="00B3746C">
        <w:rPr>
          <w:rFonts w:ascii="Garamond" w:eastAsia="Garamond" w:hAnsi="Garamond" w:cs="Garamond"/>
          <w:b/>
          <w:bCs/>
          <w:sz w:val="18"/>
          <w:szCs w:val="18"/>
        </w:rPr>
        <w:t>Média</w:t>
      </w:r>
      <w:r w:rsidR="00BC73E7" w:rsidRPr="00B3746C">
        <w:rPr>
          <w:rFonts w:ascii="Garamond" w:eastAsia="Garamond" w:hAnsi="Garamond" w:cs="Garamond"/>
          <w:b/>
          <w:bCs/>
          <w:sz w:val="18"/>
          <w:szCs w:val="18"/>
        </w:rPr>
        <w:tab/>
      </w:r>
      <w:r w:rsidR="00BC73E7" w:rsidRPr="00B3746C">
        <w:rPr>
          <w:rFonts w:ascii="Garamond" w:eastAsia="Garamond" w:hAnsi="Garamond" w:cs="Garamond"/>
          <w:b/>
          <w:bCs/>
          <w:sz w:val="18"/>
          <w:szCs w:val="18"/>
        </w:rPr>
        <w:tab/>
      </w:r>
      <w:r w:rsidR="00BC73E7" w:rsidRPr="00B3746C">
        <w:rPr>
          <w:rFonts w:ascii="Garamond" w:eastAsia="Garamond" w:hAnsi="Garamond" w:cs="Garamond"/>
          <w:b/>
          <w:bCs/>
          <w:sz w:val="18"/>
          <w:szCs w:val="18"/>
        </w:rPr>
        <w:tab/>
      </w:r>
      <w:r w:rsidR="0054623E" w:rsidRPr="00B3746C">
        <w:rPr>
          <w:rFonts w:ascii="Garamond" w:eastAsia="Garamond" w:hAnsi="Garamond" w:cs="Garamond"/>
          <w:b/>
          <w:bCs/>
          <w:sz w:val="18"/>
          <w:szCs w:val="18"/>
        </w:rPr>
        <w:tab/>
      </w:r>
      <w:r w:rsidR="00B47E33" w:rsidRPr="00B3746C">
        <w:rPr>
          <w:rFonts w:ascii="Garamond" w:eastAsia="Garamond" w:hAnsi="Garamond" w:cs="Garamond"/>
          <w:b/>
          <w:bCs/>
          <w:sz w:val="18"/>
          <w:szCs w:val="18"/>
        </w:rPr>
        <w:t xml:space="preserve">       </w:t>
      </w:r>
      <w:r w:rsidR="00B3746C">
        <w:rPr>
          <w:rFonts w:ascii="Garamond" w:eastAsia="Garamond" w:hAnsi="Garamond" w:cs="Garamond"/>
          <w:b/>
          <w:bCs/>
          <w:sz w:val="18"/>
          <w:szCs w:val="18"/>
        </w:rPr>
        <w:t xml:space="preserve">   </w:t>
      </w:r>
      <w:r w:rsidR="00B47E33" w:rsidRPr="00B3746C">
        <w:rPr>
          <w:rFonts w:ascii="Garamond" w:eastAsia="Garamond" w:hAnsi="Garamond" w:cs="Garamond"/>
          <w:b/>
          <w:bCs/>
          <w:sz w:val="18"/>
          <w:szCs w:val="18"/>
        </w:rPr>
        <w:t xml:space="preserve"> 189                          </w:t>
      </w:r>
      <w:r w:rsidR="00780FE2" w:rsidRPr="00B3746C">
        <w:rPr>
          <w:rFonts w:ascii="Garamond" w:eastAsia="Garamond" w:hAnsi="Garamond" w:cs="Garamond"/>
          <w:b/>
          <w:bCs/>
          <w:sz w:val="18"/>
          <w:szCs w:val="18"/>
        </w:rPr>
        <w:t xml:space="preserve"> </w:t>
      </w:r>
      <w:r w:rsidR="00B3746C">
        <w:rPr>
          <w:rFonts w:ascii="Garamond" w:eastAsia="Garamond" w:hAnsi="Garamond" w:cs="Garamond"/>
          <w:b/>
          <w:bCs/>
          <w:sz w:val="18"/>
          <w:szCs w:val="18"/>
        </w:rPr>
        <w:t xml:space="preserve">            </w:t>
      </w:r>
      <w:r w:rsidR="00780FE2" w:rsidRPr="00B3746C">
        <w:rPr>
          <w:rFonts w:ascii="Garamond" w:eastAsia="Garamond" w:hAnsi="Garamond" w:cs="Garamond"/>
          <w:b/>
          <w:bCs/>
          <w:sz w:val="18"/>
          <w:szCs w:val="18"/>
        </w:rPr>
        <w:t xml:space="preserve">  28</w:t>
      </w:r>
      <w:r w:rsidR="00B47E33" w:rsidRPr="00627D02">
        <w:rPr>
          <w:rFonts w:ascii="Garamond" w:eastAsia="Garamond" w:hAnsi="Garamond" w:cs="Garamond"/>
          <w:b/>
          <w:bCs/>
          <w:color w:val="000000"/>
          <w:sz w:val="18"/>
          <w:szCs w:val="18"/>
        </w:rPr>
        <w:t xml:space="preserve">   </w:t>
      </w:r>
    </w:p>
    <w:p w14:paraId="0BD11895" w14:textId="77777777" w:rsidR="00B3746C" w:rsidRDefault="00B3746C">
      <w:pPr>
        <w:spacing w:after="0" w:line="360" w:lineRule="auto"/>
        <w:ind w:firstLine="708"/>
        <w:jc w:val="both"/>
        <w:rPr>
          <w:rFonts w:ascii="Garamond" w:eastAsia="Garamond" w:hAnsi="Garamond" w:cs="Garamond"/>
          <w:color w:val="000000"/>
          <w:sz w:val="24"/>
          <w:szCs w:val="24"/>
        </w:rPr>
      </w:pPr>
    </w:p>
    <w:p w14:paraId="41E63535" w14:textId="0CBEB923" w:rsidR="00EC4499" w:rsidRDefault="00433EA7">
      <w:pPr>
        <w:spacing w:after="0" w:line="360" w:lineRule="auto"/>
        <w:ind w:firstLine="708"/>
        <w:jc w:val="both"/>
        <w:rPr>
          <w:rFonts w:ascii="Garamond" w:eastAsia="Garamond" w:hAnsi="Garamond" w:cs="Garamond"/>
          <w:color w:val="000000"/>
          <w:sz w:val="24"/>
          <w:szCs w:val="24"/>
        </w:rPr>
      </w:pPr>
      <w:r>
        <w:rPr>
          <w:rFonts w:ascii="Garamond" w:eastAsia="Garamond" w:hAnsi="Garamond" w:cs="Garamond"/>
          <w:color w:val="000000"/>
          <w:sz w:val="24"/>
          <w:szCs w:val="24"/>
        </w:rPr>
        <w:t>Com relação à fraude contábil nas Lojas Americanas, identificamos 5 bancos da amostra como credores com grande exposição (BTG, Bradesco, Banco do Brasil, Itaú e Santander).</w:t>
      </w:r>
    </w:p>
    <w:p w14:paraId="379419BB" w14:textId="77777777" w:rsidR="00EC4499" w:rsidRDefault="00EC4499">
      <w:pPr>
        <w:spacing w:after="0" w:line="360" w:lineRule="auto"/>
        <w:rPr>
          <w:rFonts w:ascii="Garamond" w:eastAsia="Garamond" w:hAnsi="Garamond" w:cs="Garamond"/>
          <w:color w:val="000000"/>
          <w:sz w:val="24"/>
          <w:szCs w:val="24"/>
        </w:rPr>
      </w:pPr>
    </w:p>
    <w:p w14:paraId="3633CE9F" w14:textId="77777777" w:rsidR="00D80C89" w:rsidRDefault="00D80C89">
      <w:pPr>
        <w:spacing w:after="0" w:line="360" w:lineRule="auto"/>
        <w:jc w:val="center"/>
        <w:rPr>
          <w:rFonts w:ascii="Garamond" w:eastAsia="Garamond" w:hAnsi="Garamond" w:cs="Garamond"/>
          <w:color w:val="000000"/>
          <w:sz w:val="24"/>
          <w:szCs w:val="24"/>
        </w:rPr>
      </w:pPr>
    </w:p>
    <w:p w14:paraId="47ABEEDA" w14:textId="3F40DB8F" w:rsidR="00EC4499" w:rsidRDefault="00433EA7">
      <w:pPr>
        <w:spacing w:after="0" w:line="360" w:lineRule="auto"/>
        <w:jc w:val="center"/>
        <w:rPr>
          <w:rFonts w:ascii="Garamond" w:eastAsia="Garamond" w:hAnsi="Garamond" w:cs="Garamond"/>
          <w:color w:val="000000"/>
          <w:sz w:val="24"/>
          <w:szCs w:val="24"/>
        </w:rPr>
      </w:pPr>
      <w:r>
        <w:rPr>
          <w:rFonts w:ascii="Garamond" w:eastAsia="Garamond" w:hAnsi="Garamond" w:cs="Garamond"/>
          <w:color w:val="000000"/>
          <w:sz w:val="24"/>
          <w:szCs w:val="24"/>
        </w:rPr>
        <w:t xml:space="preserve">Figura </w:t>
      </w:r>
      <w:r w:rsidR="005D54DE">
        <w:rPr>
          <w:rFonts w:ascii="Garamond" w:eastAsia="Garamond" w:hAnsi="Garamond" w:cs="Garamond"/>
          <w:color w:val="000000"/>
          <w:sz w:val="24"/>
          <w:szCs w:val="24"/>
        </w:rPr>
        <w:t>7</w:t>
      </w:r>
      <w:r>
        <w:rPr>
          <w:rFonts w:ascii="Garamond" w:eastAsia="Garamond" w:hAnsi="Garamond" w:cs="Garamond"/>
          <w:color w:val="000000"/>
          <w:sz w:val="24"/>
          <w:szCs w:val="24"/>
        </w:rPr>
        <w:t xml:space="preserve"> - Lista de Bancos Credores</w:t>
      </w:r>
    </w:p>
    <w:p w14:paraId="260DBADA" w14:textId="77777777" w:rsidR="008A224D" w:rsidRDefault="008A224D">
      <w:pPr>
        <w:spacing w:after="0" w:line="360" w:lineRule="auto"/>
        <w:jc w:val="center"/>
        <w:rPr>
          <w:rFonts w:ascii="Garamond" w:eastAsia="Garamond" w:hAnsi="Garamond" w:cs="Garamond"/>
          <w:i/>
          <w:color w:val="000000"/>
          <w:sz w:val="24"/>
          <w:szCs w:val="24"/>
        </w:rPr>
      </w:pPr>
    </w:p>
    <w:p w14:paraId="29F70BD2" w14:textId="77777777" w:rsidR="00EC4499" w:rsidRDefault="00433EA7">
      <w:pPr>
        <w:spacing w:after="0" w:line="360" w:lineRule="auto"/>
        <w:ind w:left="360"/>
        <w:jc w:val="center"/>
        <w:rPr>
          <w:rFonts w:ascii="Garamond" w:eastAsia="Garamond" w:hAnsi="Garamond" w:cs="Garamond"/>
          <w:i/>
          <w:color w:val="000000"/>
          <w:sz w:val="24"/>
          <w:szCs w:val="24"/>
        </w:rPr>
      </w:pPr>
      <w:r>
        <w:rPr>
          <w:rFonts w:ascii="Garamond" w:eastAsia="Garamond" w:hAnsi="Garamond" w:cs="Garamond"/>
          <w:i/>
          <w:noProof/>
          <w:color w:val="000000"/>
          <w:sz w:val="24"/>
          <w:szCs w:val="24"/>
        </w:rPr>
        <w:drawing>
          <wp:inline distT="0" distB="0" distL="0" distR="0" wp14:anchorId="41E69161" wp14:editId="45641BD7">
            <wp:extent cx="2872740" cy="1696085"/>
            <wp:effectExtent l="0" t="0" r="0" b="0"/>
            <wp:docPr id="2133657979" name="image9.png"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9.png" descr="Texto, Carta&#10;&#10;Descrição gerada automaticamente"/>
                    <pic:cNvPicPr preferRelativeResize="0"/>
                  </pic:nvPicPr>
                  <pic:blipFill>
                    <a:blip r:embed="rId18"/>
                    <a:srcRect/>
                    <a:stretch>
                      <a:fillRect/>
                    </a:stretch>
                  </pic:blipFill>
                  <pic:spPr>
                    <a:xfrm>
                      <a:off x="0" y="0"/>
                      <a:ext cx="2872740" cy="1696085"/>
                    </a:xfrm>
                    <a:prstGeom prst="rect">
                      <a:avLst/>
                    </a:prstGeom>
                    <a:ln/>
                  </pic:spPr>
                </pic:pic>
              </a:graphicData>
            </a:graphic>
          </wp:inline>
        </w:drawing>
      </w:r>
    </w:p>
    <w:p w14:paraId="058D3CFA" w14:textId="6313E806" w:rsidR="00EC4499" w:rsidRDefault="00433EA7">
      <w:pPr>
        <w:spacing w:after="0" w:line="360" w:lineRule="auto"/>
        <w:ind w:left="360"/>
        <w:rPr>
          <w:rFonts w:ascii="Garamond" w:eastAsia="Garamond" w:hAnsi="Garamond" w:cs="Garamond"/>
          <w:color w:val="000000"/>
          <w:sz w:val="18"/>
          <w:szCs w:val="18"/>
        </w:rPr>
      </w:pPr>
      <w:r>
        <w:rPr>
          <w:rFonts w:ascii="Garamond" w:eastAsia="Garamond" w:hAnsi="Garamond" w:cs="Garamond"/>
          <w:color w:val="000000"/>
          <w:sz w:val="18"/>
          <w:szCs w:val="18"/>
        </w:rPr>
        <w:t xml:space="preserve">                                           Fonte: </w:t>
      </w:r>
      <w:r w:rsidR="007E1BC6">
        <w:rPr>
          <w:rFonts w:ascii="Garamond" w:eastAsia="Garamond" w:hAnsi="Garamond" w:cs="Garamond"/>
          <w:color w:val="000000"/>
          <w:sz w:val="18"/>
          <w:szCs w:val="18"/>
        </w:rPr>
        <w:t xml:space="preserve">Julião </w:t>
      </w:r>
      <w:r w:rsidR="00872B83">
        <w:rPr>
          <w:rFonts w:ascii="Garamond" w:eastAsia="Garamond" w:hAnsi="Garamond" w:cs="Garamond"/>
          <w:color w:val="000000"/>
          <w:sz w:val="18"/>
          <w:szCs w:val="18"/>
        </w:rPr>
        <w:t>e Tuon</w:t>
      </w:r>
      <w:r w:rsidR="00EB1918">
        <w:rPr>
          <w:rFonts w:ascii="Garamond" w:eastAsia="Garamond" w:hAnsi="Garamond" w:cs="Garamond"/>
          <w:color w:val="000000"/>
          <w:sz w:val="18"/>
          <w:szCs w:val="18"/>
        </w:rPr>
        <w:t xml:space="preserve"> (2023)</w:t>
      </w:r>
    </w:p>
    <w:p w14:paraId="1668F374" w14:textId="77777777" w:rsidR="00EC4499" w:rsidRDefault="00EC4499">
      <w:pPr>
        <w:spacing w:after="0" w:line="360" w:lineRule="auto"/>
        <w:ind w:left="360"/>
        <w:rPr>
          <w:rFonts w:ascii="Garamond" w:eastAsia="Garamond" w:hAnsi="Garamond" w:cs="Garamond"/>
          <w:color w:val="000000"/>
          <w:sz w:val="24"/>
          <w:szCs w:val="24"/>
        </w:rPr>
      </w:pPr>
    </w:p>
    <w:p w14:paraId="53505832"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Os bancos que mencionaram o caso o fizeram com pouco destaque e sem informar claramente que se tratava das Lojas Americanas, tampouco o que falhou ou poderia ser aprimorado com relação à gestão de riscos e governança para que futuramente a instituição esteja mais protegida de situações similares. </w:t>
      </w:r>
    </w:p>
    <w:p w14:paraId="4C5452B3"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Com relação ao ranking de maiores réus do judiciário brasileiro, verificamos que os bancos ocupam 7 das 20 primeiras posições como maiores réus do judiciário brasileiro, sendo 5 bancos presentes na amostra (Banco do Brasil, Caixa, Itaú, Bradesco e Santander). As ações tramitam tanto na esfera cível (clientes, governo, fornecedores) quanto na trabalhista (empregados e ex-empregados).</w:t>
      </w:r>
    </w:p>
    <w:p w14:paraId="59F58361"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Nos relatórios analisados são divulgadas premiações como melhor lugar para trabalhar, benefícios oferecidos, ações de educação financeira, preocupação com superendividamento, dentre outras de viés positivo relacionadas à clientes e empregados, porém não consta menção sobre o número de ações judiciais, principais motivos, dados sobre sucesso e insucesso e ações adotadas para redução do risco legal e consequentes perdas financeiras.</w:t>
      </w:r>
    </w:p>
    <w:p w14:paraId="3ABDFEB9" w14:textId="77777777" w:rsidR="00EC4499" w:rsidRDefault="00433EA7">
      <w:pPr>
        <w:spacing w:after="0" w:line="360" w:lineRule="auto"/>
        <w:ind w:firstLine="708"/>
        <w:jc w:val="both"/>
        <w:rPr>
          <w:rFonts w:ascii="Garamond" w:eastAsia="Garamond" w:hAnsi="Garamond" w:cs="Garamond"/>
          <w:color w:val="000000"/>
          <w:sz w:val="24"/>
          <w:szCs w:val="24"/>
        </w:rPr>
      </w:pPr>
      <w:r>
        <w:rPr>
          <w:rFonts w:ascii="Garamond" w:eastAsia="Garamond" w:hAnsi="Garamond" w:cs="Garamond"/>
          <w:color w:val="000000"/>
          <w:sz w:val="24"/>
          <w:szCs w:val="24"/>
        </w:rPr>
        <w:t>Tais dados podem revelar posturas de não cumprimento de legislação trabalhista, tributária e consumerista, com impacto negativo tanto financeiro quanto para a reputação das instituições.</w:t>
      </w:r>
    </w:p>
    <w:p w14:paraId="1054546D" w14:textId="77777777" w:rsidR="00B6371F" w:rsidRDefault="00B6371F">
      <w:pPr>
        <w:spacing w:after="0" w:line="360" w:lineRule="auto"/>
        <w:ind w:firstLine="708"/>
        <w:jc w:val="both"/>
        <w:rPr>
          <w:rFonts w:ascii="Garamond" w:eastAsia="Garamond" w:hAnsi="Garamond" w:cs="Garamond"/>
          <w:color w:val="000000"/>
          <w:sz w:val="24"/>
          <w:szCs w:val="24"/>
        </w:rPr>
      </w:pPr>
    </w:p>
    <w:p w14:paraId="355A544D" w14:textId="77777777" w:rsidR="00B6371F" w:rsidRDefault="00B6371F">
      <w:pPr>
        <w:spacing w:after="0" w:line="360" w:lineRule="auto"/>
        <w:ind w:firstLine="708"/>
        <w:jc w:val="both"/>
        <w:rPr>
          <w:rFonts w:ascii="Garamond" w:eastAsia="Garamond" w:hAnsi="Garamond" w:cs="Garamond"/>
          <w:sz w:val="24"/>
          <w:szCs w:val="24"/>
        </w:rPr>
      </w:pPr>
    </w:p>
    <w:p w14:paraId="25E1DAEC" w14:textId="77777777" w:rsidR="00EC4499" w:rsidRDefault="00EC4499">
      <w:pPr>
        <w:spacing w:after="0" w:line="360" w:lineRule="auto"/>
        <w:ind w:firstLine="708"/>
        <w:jc w:val="both"/>
        <w:rPr>
          <w:rFonts w:ascii="Garamond" w:eastAsia="Garamond" w:hAnsi="Garamond" w:cs="Garamond"/>
          <w:sz w:val="24"/>
          <w:szCs w:val="24"/>
        </w:rPr>
      </w:pPr>
    </w:p>
    <w:p w14:paraId="64984FCC" w14:textId="77777777" w:rsidR="00EC4499" w:rsidRDefault="00433EA7">
      <w:pPr>
        <w:spacing w:after="0" w:line="360" w:lineRule="auto"/>
        <w:jc w:val="both"/>
        <w:rPr>
          <w:rFonts w:ascii="Garamond" w:eastAsia="Garamond" w:hAnsi="Garamond" w:cs="Garamond"/>
          <w:b/>
          <w:sz w:val="24"/>
          <w:szCs w:val="24"/>
        </w:rPr>
      </w:pPr>
      <w:r>
        <w:rPr>
          <w:rFonts w:ascii="Garamond" w:eastAsia="Garamond" w:hAnsi="Garamond" w:cs="Garamond"/>
          <w:b/>
          <w:color w:val="000000"/>
          <w:sz w:val="24"/>
          <w:szCs w:val="24"/>
        </w:rPr>
        <w:lastRenderedPageBreak/>
        <w:t xml:space="preserve">P2: </w:t>
      </w:r>
      <w:r>
        <w:rPr>
          <w:rFonts w:ascii="Garamond" w:eastAsia="Garamond" w:hAnsi="Garamond" w:cs="Garamond"/>
          <w:b/>
          <w:sz w:val="24"/>
          <w:szCs w:val="24"/>
        </w:rPr>
        <w:t>A organização relata o principal desafio do setor relacionado à sustentabilidade, incluindo exemplos e dados</w:t>
      </w:r>
      <w:r>
        <w:rPr>
          <w:rFonts w:ascii="Garamond" w:eastAsia="Garamond" w:hAnsi="Garamond" w:cs="Garamond"/>
          <w:b/>
          <w:color w:val="000000"/>
          <w:sz w:val="24"/>
          <w:szCs w:val="24"/>
        </w:rPr>
        <w:t>?</w:t>
      </w:r>
    </w:p>
    <w:p w14:paraId="423A2A90" w14:textId="77777777" w:rsidR="00EC4499" w:rsidRDefault="00EC4499">
      <w:pPr>
        <w:spacing w:after="0" w:line="360" w:lineRule="auto"/>
        <w:ind w:firstLine="708"/>
        <w:jc w:val="both"/>
        <w:rPr>
          <w:rFonts w:ascii="Garamond" w:eastAsia="Garamond" w:hAnsi="Garamond" w:cs="Garamond"/>
          <w:b/>
          <w:sz w:val="24"/>
          <w:szCs w:val="24"/>
        </w:rPr>
      </w:pPr>
    </w:p>
    <w:p w14:paraId="593F5DB8" w14:textId="2FB77ECA" w:rsidR="00EC4499" w:rsidRPr="002E629C" w:rsidRDefault="00433EA7" w:rsidP="002E629C">
      <w:pPr>
        <w:spacing w:after="0" w:line="360" w:lineRule="auto"/>
        <w:ind w:firstLine="708"/>
        <w:jc w:val="both"/>
        <w:rPr>
          <w:rFonts w:ascii="Garamond" w:eastAsia="Garamond" w:hAnsi="Garamond" w:cs="Garamond"/>
          <w:color w:val="000000"/>
          <w:sz w:val="24"/>
          <w:szCs w:val="24"/>
        </w:rPr>
      </w:pPr>
      <w:r>
        <w:rPr>
          <w:rFonts w:ascii="Garamond" w:eastAsia="Garamond" w:hAnsi="Garamond" w:cs="Garamond"/>
          <w:color w:val="000000"/>
          <w:sz w:val="24"/>
          <w:szCs w:val="24"/>
        </w:rPr>
        <w:t>Bradesco, Citibank e Itaú, nos dois anos, e Santander em 2022 incluíram informações sobre suas emissões de GEE financiadas, utilizando a metodologia do PCAF. Caixa e Inter não fizeram menção a emissões financiadas em seus relatórios.</w:t>
      </w:r>
    </w:p>
    <w:p w14:paraId="6EFB3DC6" w14:textId="77777777" w:rsidR="00EC4499" w:rsidRDefault="00433EA7">
      <w:pPr>
        <w:pStyle w:val="Ttulo3"/>
        <w:spacing w:after="0" w:line="360" w:lineRule="auto"/>
        <w:rPr>
          <w:rFonts w:ascii="Garamond" w:eastAsia="Garamond" w:hAnsi="Garamond" w:cs="Garamond"/>
          <w:sz w:val="24"/>
          <w:szCs w:val="24"/>
        </w:rPr>
      </w:pPr>
      <w:bookmarkStart w:id="19" w:name="_heading=h.7x28rt7lzqkx" w:colFirst="0" w:colLast="0"/>
      <w:bookmarkEnd w:id="19"/>
      <w:r>
        <w:rPr>
          <w:rFonts w:ascii="Garamond" w:eastAsia="Garamond" w:hAnsi="Garamond" w:cs="Garamond"/>
          <w:sz w:val="24"/>
          <w:szCs w:val="24"/>
        </w:rPr>
        <w:t xml:space="preserve">4.5.2 </w:t>
      </w:r>
      <w:r>
        <w:rPr>
          <w:rFonts w:ascii="Garamond" w:eastAsia="Garamond" w:hAnsi="Garamond" w:cs="Garamond"/>
          <w:sz w:val="24"/>
          <w:szCs w:val="24"/>
        </w:rPr>
        <w:tab/>
        <w:t>Princípio da Comparabilidade</w:t>
      </w:r>
    </w:p>
    <w:p w14:paraId="377DBE48" w14:textId="77777777" w:rsidR="00EC4499" w:rsidRDefault="00EC4499">
      <w:pPr>
        <w:spacing w:after="0" w:line="360" w:lineRule="auto"/>
        <w:ind w:firstLine="360"/>
        <w:rPr>
          <w:rFonts w:ascii="Garamond" w:eastAsia="Garamond" w:hAnsi="Garamond" w:cs="Garamond"/>
          <w:color w:val="000000"/>
          <w:sz w:val="24"/>
          <w:szCs w:val="24"/>
        </w:rPr>
      </w:pPr>
    </w:p>
    <w:p w14:paraId="6DF9929D" w14:textId="77777777" w:rsidR="00EC4499" w:rsidRDefault="00433EA7">
      <w:pPr>
        <w:spacing w:after="0" w:line="360" w:lineRule="auto"/>
        <w:ind w:firstLine="708"/>
        <w:jc w:val="both"/>
        <w:rPr>
          <w:rFonts w:ascii="Garamond" w:eastAsia="Garamond" w:hAnsi="Garamond" w:cs="Garamond"/>
          <w:color w:val="000000"/>
          <w:sz w:val="24"/>
          <w:szCs w:val="24"/>
        </w:rPr>
      </w:pPr>
      <w:r>
        <w:rPr>
          <w:rFonts w:ascii="Garamond" w:eastAsia="Garamond" w:hAnsi="Garamond" w:cs="Garamond"/>
          <w:color w:val="000000"/>
          <w:sz w:val="24"/>
          <w:szCs w:val="24"/>
        </w:rPr>
        <w:t>Apresentamos a seguir os resultados obtidos a partir da análise dos relatórios com relação ao Princípio da Comparabilidade.</w:t>
      </w:r>
    </w:p>
    <w:p w14:paraId="1A7A95A9" w14:textId="77777777" w:rsidR="00EC4499" w:rsidRDefault="00EC4499">
      <w:pPr>
        <w:spacing w:after="0" w:line="360" w:lineRule="auto"/>
        <w:ind w:firstLine="360"/>
        <w:rPr>
          <w:rFonts w:ascii="Garamond" w:eastAsia="Garamond" w:hAnsi="Garamond" w:cs="Garamond"/>
          <w:color w:val="000000"/>
          <w:sz w:val="24"/>
          <w:szCs w:val="24"/>
        </w:rPr>
      </w:pPr>
    </w:p>
    <w:p w14:paraId="6BCC3B59" w14:textId="4872062F" w:rsidR="00EC4499" w:rsidRDefault="00433EA7">
      <w:pPr>
        <w:spacing w:after="0" w:line="360" w:lineRule="auto"/>
        <w:ind w:firstLine="360"/>
        <w:jc w:val="center"/>
        <w:rPr>
          <w:rFonts w:ascii="Garamond" w:eastAsia="Garamond" w:hAnsi="Garamond" w:cs="Garamond"/>
          <w:i/>
          <w:color w:val="000000"/>
          <w:sz w:val="24"/>
          <w:szCs w:val="24"/>
        </w:rPr>
      </w:pPr>
      <w:r>
        <w:rPr>
          <w:rFonts w:ascii="Garamond" w:eastAsia="Garamond" w:hAnsi="Garamond" w:cs="Garamond"/>
          <w:color w:val="000000"/>
          <w:sz w:val="24"/>
          <w:szCs w:val="24"/>
        </w:rPr>
        <w:t>Tabela 2</w:t>
      </w:r>
      <w:r w:rsidR="004360BC">
        <w:rPr>
          <w:rFonts w:ascii="Garamond" w:eastAsia="Garamond" w:hAnsi="Garamond" w:cs="Garamond"/>
          <w:color w:val="000000"/>
          <w:sz w:val="24"/>
          <w:szCs w:val="24"/>
        </w:rPr>
        <w:t>2</w:t>
      </w:r>
      <w:r>
        <w:rPr>
          <w:rFonts w:ascii="Garamond" w:eastAsia="Garamond" w:hAnsi="Garamond" w:cs="Garamond"/>
          <w:color w:val="000000"/>
          <w:sz w:val="24"/>
          <w:szCs w:val="24"/>
        </w:rPr>
        <w:t xml:space="preserve"> - Princípio da Comparabilidade</w:t>
      </w:r>
    </w:p>
    <w:tbl>
      <w:tblPr>
        <w:tblStyle w:val="af3"/>
        <w:tblW w:w="8135" w:type="dxa"/>
        <w:tblInd w:w="284" w:type="dxa"/>
        <w:tblLayout w:type="fixed"/>
        <w:tblLook w:val="0400" w:firstRow="0" w:lastRow="0" w:firstColumn="0" w:lastColumn="0" w:noHBand="0" w:noVBand="1"/>
      </w:tblPr>
      <w:tblGrid>
        <w:gridCol w:w="2410"/>
        <w:gridCol w:w="478"/>
        <w:gridCol w:w="1790"/>
        <w:gridCol w:w="1177"/>
        <w:gridCol w:w="2280"/>
      </w:tblGrid>
      <w:tr w:rsidR="00EC4499" w14:paraId="0C57F3EC" w14:textId="77777777">
        <w:trPr>
          <w:trHeight w:val="288"/>
        </w:trPr>
        <w:tc>
          <w:tcPr>
            <w:tcW w:w="2410" w:type="dxa"/>
            <w:tcBorders>
              <w:top w:val="nil"/>
              <w:left w:val="nil"/>
              <w:bottom w:val="single" w:sz="4" w:space="0" w:color="000000"/>
              <w:right w:val="nil"/>
            </w:tcBorders>
            <w:shd w:val="clear" w:color="auto" w:fill="auto"/>
            <w:vAlign w:val="bottom"/>
          </w:tcPr>
          <w:p w14:paraId="150DC610" w14:textId="77777777" w:rsidR="00EC4499" w:rsidRDefault="00433EA7">
            <w:pPr>
              <w:spacing w:after="0" w:line="240" w:lineRule="auto"/>
              <w:rPr>
                <w:rFonts w:ascii="Garamond" w:eastAsia="Garamond" w:hAnsi="Garamond" w:cs="Garamond"/>
                <w:b/>
                <w:color w:val="000000"/>
                <w:sz w:val="18"/>
                <w:szCs w:val="18"/>
              </w:rPr>
            </w:pPr>
            <w:r>
              <w:rPr>
                <w:rFonts w:ascii="Garamond" w:eastAsia="Garamond" w:hAnsi="Garamond" w:cs="Garamond"/>
                <w:b/>
                <w:color w:val="000000"/>
                <w:sz w:val="18"/>
                <w:szCs w:val="18"/>
              </w:rPr>
              <w:t>Empresa</w:t>
            </w:r>
          </w:p>
        </w:tc>
        <w:tc>
          <w:tcPr>
            <w:tcW w:w="478" w:type="dxa"/>
            <w:tcBorders>
              <w:top w:val="nil"/>
              <w:left w:val="nil"/>
              <w:bottom w:val="single" w:sz="4" w:space="0" w:color="000000"/>
              <w:right w:val="nil"/>
            </w:tcBorders>
            <w:shd w:val="clear" w:color="auto" w:fill="auto"/>
            <w:vAlign w:val="bottom"/>
          </w:tcPr>
          <w:p w14:paraId="4C7409AF"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Ano</w:t>
            </w:r>
          </w:p>
        </w:tc>
        <w:tc>
          <w:tcPr>
            <w:tcW w:w="1790" w:type="dxa"/>
            <w:tcBorders>
              <w:top w:val="nil"/>
              <w:left w:val="nil"/>
              <w:bottom w:val="single" w:sz="4" w:space="0" w:color="000000"/>
              <w:right w:val="nil"/>
            </w:tcBorders>
            <w:shd w:val="clear" w:color="auto" w:fill="auto"/>
            <w:vAlign w:val="bottom"/>
          </w:tcPr>
          <w:p w14:paraId="1AA46F6B"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 xml:space="preserve">                              Pontuação P1</w:t>
            </w:r>
          </w:p>
        </w:tc>
        <w:tc>
          <w:tcPr>
            <w:tcW w:w="1177" w:type="dxa"/>
            <w:tcBorders>
              <w:top w:val="nil"/>
              <w:left w:val="nil"/>
              <w:bottom w:val="single" w:sz="4" w:space="0" w:color="000000"/>
              <w:right w:val="nil"/>
            </w:tcBorders>
            <w:shd w:val="clear" w:color="auto" w:fill="auto"/>
            <w:vAlign w:val="bottom"/>
          </w:tcPr>
          <w:p w14:paraId="3153247A"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 xml:space="preserve">      Pontuação P2</w:t>
            </w:r>
          </w:p>
        </w:tc>
        <w:tc>
          <w:tcPr>
            <w:tcW w:w="2280" w:type="dxa"/>
            <w:tcBorders>
              <w:top w:val="nil"/>
              <w:left w:val="nil"/>
              <w:bottom w:val="single" w:sz="4" w:space="0" w:color="000000"/>
              <w:right w:val="nil"/>
            </w:tcBorders>
            <w:shd w:val="clear" w:color="auto" w:fill="auto"/>
            <w:vAlign w:val="bottom"/>
          </w:tcPr>
          <w:p w14:paraId="5DAB3688"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 xml:space="preserve">                                      Total</w:t>
            </w:r>
          </w:p>
        </w:tc>
      </w:tr>
      <w:tr w:rsidR="00EC4499" w14:paraId="7B80A688" w14:textId="77777777">
        <w:trPr>
          <w:trHeight w:val="288"/>
        </w:trPr>
        <w:tc>
          <w:tcPr>
            <w:tcW w:w="2410" w:type="dxa"/>
            <w:vMerge w:val="restart"/>
            <w:tcBorders>
              <w:top w:val="single" w:sz="4" w:space="0" w:color="000000"/>
              <w:left w:val="nil"/>
              <w:bottom w:val="nil"/>
              <w:right w:val="nil"/>
            </w:tcBorders>
            <w:shd w:val="clear" w:color="auto" w:fill="auto"/>
            <w:vAlign w:val="bottom"/>
          </w:tcPr>
          <w:p w14:paraId="25356985"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Banco do Brasil </w:t>
            </w:r>
          </w:p>
        </w:tc>
        <w:tc>
          <w:tcPr>
            <w:tcW w:w="478" w:type="dxa"/>
            <w:tcBorders>
              <w:top w:val="single" w:sz="4" w:space="0" w:color="000000"/>
              <w:left w:val="nil"/>
              <w:bottom w:val="nil"/>
              <w:right w:val="nil"/>
            </w:tcBorders>
            <w:shd w:val="clear" w:color="auto" w:fill="auto"/>
            <w:vAlign w:val="bottom"/>
          </w:tcPr>
          <w:p w14:paraId="0D1DE36B" w14:textId="77777777" w:rsidR="00EC4499" w:rsidRDefault="00433EA7">
            <w:pPr>
              <w:spacing w:after="0" w:line="240" w:lineRule="auto"/>
              <w:ind w:left="-16"/>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1790" w:type="dxa"/>
            <w:tcBorders>
              <w:top w:val="single" w:sz="4" w:space="0" w:color="000000"/>
              <w:left w:val="nil"/>
              <w:bottom w:val="nil"/>
              <w:right w:val="nil"/>
            </w:tcBorders>
            <w:shd w:val="clear" w:color="auto" w:fill="auto"/>
            <w:vAlign w:val="bottom"/>
          </w:tcPr>
          <w:p w14:paraId="4EAA3A04"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177" w:type="dxa"/>
            <w:tcBorders>
              <w:top w:val="single" w:sz="4" w:space="0" w:color="000000"/>
              <w:left w:val="nil"/>
              <w:bottom w:val="nil"/>
              <w:right w:val="nil"/>
            </w:tcBorders>
            <w:shd w:val="clear" w:color="auto" w:fill="auto"/>
            <w:vAlign w:val="bottom"/>
          </w:tcPr>
          <w:p w14:paraId="7380837E"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280" w:type="dxa"/>
            <w:tcBorders>
              <w:top w:val="single" w:sz="4" w:space="0" w:color="000000"/>
              <w:left w:val="nil"/>
              <w:bottom w:val="nil"/>
              <w:right w:val="nil"/>
            </w:tcBorders>
            <w:shd w:val="clear" w:color="auto" w:fill="auto"/>
            <w:vAlign w:val="bottom"/>
          </w:tcPr>
          <w:p w14:paraId="24416306"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4</w:t>
            </w:r>
          </w:p>
        </w:tc>
      </w:tr>
      <w:tr w:rsidR="00EC4499" w14:paraId="291E847E" w14:textId="77777777">
        <w:trPr>
          <w:trHeight w:val="288"/>
        </w:trPr>
        <w:tc>
          <w:tcPr>
            <w:tcW w:w="2410" w:type="dxa"/>
            <w:vMerge/>
            <w:tcBorders>
              <w:top w:val="single" w:sz="4" w:space="0" w:color="000000"/>
              <w:left w:val="nil"/>
              <w:bottom w:val="nil"/>
              <w:right w:val="nil"/>
            </w:tcBorders>
            <w:shd w:val="clear" w:color="auto" w:fill="auto"/>
            <w:vAlign w:val="bottom"/>
          </w:tcPr>
          <w:p w14:paraId="1181A8F1"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363AF101" w14:textId="77777777" w:rsidR="00EC4499" w:rsidRDefault="00433EA7">
            <w:pPr>
              <w:spacing w:after="0" w:line="240" w:lineRule="auto"/>
              <w:ind w:left="-16"/>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1790" w:type="dxa"/>
            <w:tcBorders>
              <w:top w:val="nil"/>
              <w:left w:val="nil"/>
              <w:bottom w:val="single" w:sz="4" w:space="0" w:color="000000"/>
              <w:right w:val="nil"/>
            </w:tcBorders>
            <w:shd w:val="clear" w:color="auto" w:fill="auto"/>
            <w:vAlign w:val="bottom"/>
          </w:tcPr>
          <w:p w14:paraId="0E3C89D5"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177" w:type="dxa"/>
            <w:tcBorders>
              <w:top w:val="nil"/>
              <w:left w:val="nil"/>
              <w:bottom w:val="single" w:sz="4" w:space="0" w:color="000000"/>
              <w:right w:val="nil"/>
            </w:tcBorders>
            <w:shd w:val="clear" w:color="auto" w:fill="auto"/>
            <w:vAlign w:val="bottom"/>
          </w:tcPr>
          <w:p w14:paraId="43807B62"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280" w:type="dxa"/>
            <w:tcBorders>
              <w:top w:val="nil"/>
              <w:left w:val="nil"/>
              <w:bottom w:val="single" w:sz="4" w:space="0" w:color="000000"/>
              <w:right w:val="nil"/>
            </w:tcBorders>
            <w:shd w:val="clear" w:color="auto" w:fill="auto"/>
            <w:vAlign w:val="bottom"/>
          </w:tcPr>
          <w:p w14:paraId="330A31A0"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4</w:t>
            </w:r>
          </w:p>
        </w:tc>
      </w:tr>
      <w:tr w:rsidR="00EC4499" w14:paraId="5422159E" w14:textId="77777777">
        <w:trPr>
          <w:trHeight w:val="288"/>
        </w:trPr>
        <w:tc>
          <w:tcPr>
            <w:tcW w:w="2410" w:type="dxa"/>
            <w:vMerge w:val="restart"/>
            <w:tcBorders>
              <w:top w:val="nil"/>
              <w:left w:val="nil"/>
              <w:bottom w:val="nil"/>
              <w:right w:val="nil"/>
            </w:tcBorders>
            <w:shd w:val="clear" w:color="auto" w:fill="auto"/>
            <w:vAlign w:val="bottom"/>
          </w:tcPr>
          <w:p w14:paraId="12CDA68D"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Banco do Nordeste </w:t>
            </w:r>
          </w:p>
        </w:tc>
        <w:tc>
          <w:tcPr>
            <w:tcW w:w="478" w:type="dxa"/>
            <w:tcBorders>
              <w:top w:val="single" w:sz="4" w:space="0" w:color="000000"/>
              <w:left w:val="nil"/>
              <w:bottom w:val="nil"/>
              <w:right w:val="nil"/>
            </w:tcBorders>
            <w:shd w:val="clear" w:color="auto" w:fill="auto"/>
            <w:vAlign w:val="bottom"/>
          </w:tcPr>
          <w:p w14:paraId="767B1B5A" w14:textId="77777777" w:rsidR="00EC4499" w:rsidRDefault="00433EA7">
            <w:pPr>
              <w:spacing w:after="0" w:line="240" w:lineRule="auto"/>
              <w:ind w:left="-16"/>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1790" w:type="dxa"/>
            <w:tcBorders>
              <w:top w:val="single" w:sz="4" w:space="0" w:color="000000"/>
              <w:left w:val="nil"/>
              <w:bottom w:val="nil"/>
              <w:right w:val="nil"/>
            </w:tcBorders>
            <w:shd w:val="clear" w:color="auto" w:fill="auto"/>
            <w:vAlign w:val="bottom"/>
          </w:tcPr>
          <w:p w14:paraId="6BD54B5F"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177" w:type="dxa"/>
            <w:tcBorders>
              <w:top w:val="single" w:sz="4" w:space="0" w:color="000000"/>
              <w:left w:val="nil"/>
              <w:bottom w:val="nil"/>
              <w:right w:val="nil"/>
            </w:tcBorders>
            <w:shd w:val="clear" w:color="auto" w:fill="auto"/>
            <w:vAlign w:val="bottom"/>
          </w:tcPr>
          <w:p w14:paraId="70B9692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2280" w:type="dxa"/>
            <w:tcBorders>
              <w:top w:val="single" w:sz="4" w:space="0" w:color="000000"/>
              <w:left w:val="nil"/>
              <w:bottom w:val="nil"/>
              <w:right w:val="nil"/>
            </w:tcBorders>
            <w:shd w:val="clear" w:color="auto" w:fill="auto"/>
            <w:vAlign w:val="bottom"/>
          </w:tcPr>
          <w:p w14:paraId="14030D4E"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3</w:t>
            </w:r>
          </w:p>
        </w:tc>
      </w:tr>
      <w:tr w:rsidR="00EC4499" w14:paraId="2AD8C9BB" w14:textId="77777777">
        <w:trPr>
          <w:trHeight w:val="288"/>
        </w:trPr>
        <w:tc>
          <w:tcPr>
            <w:tcW w:w="2410" w:type="dxa"/>
            <w:vMerge/>
            <w:tcBorders>
              <w:top w:val="nil"/>
              <w:left w:val="nil"/>
              <w:bottom w:val="nil"/>
              <w:right w:val="nil"/>
            </w:tcBorders>
            <w:shd w:val="clear" w:color="auto" w:fill="auto"/>
            <w:vAlign w:val="bottom"/>
          </w:tcPr>
          <w:p w14:paraId="3AA435A6"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48AB06AF" w14:textId="77777777" w:rsidR="00EC4499" w:rsidRDefault="00433EA7">
            <w:pPr>
              <w:spacing w:after="0" w:line="240" w:lineRule="auto"/>
              <w:ind w:left="-16"/>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1790" w:type="dxa"/>
            <w:tcBorders>
              <w:top w:val="nil"/>
              <w:left w:val="nil"/>
              <w:bottom w:val="single" w:sz="4" w:space="0" w:color="000000"/>
              <w:right w:val="nil"/>
            </w:tcBorders>
            <w:shd w:val="clear" w:color="auto" w:fill="auto"/>
            <w:vAlign w:val="bottom"/>
          </w:tcPr>
          <w:p w14:paraId="642C3832"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177" w:type="dxa"/>
            <w:tcBorders>
              <w:top w:val="nil"/>
              <w:left w:val="nil"/>
              <w:bottom w:val="single" w:sz="4" w:space="0" w:color="000000"/>
              <w:right w:val="nil"/>
            </w:tcBorders>
            <w:shd w:val="clear" w:color="auto" w:fill="auto"/>
            <w:vAlign w:val="bottom"/>
          </w:tcPr>
          <w:p w14:paraId="0F74C117"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2280" w:type="dxa"/>
            <w:tcBorders>
              <w:top w:val="nil"/>
              <w:left w:val="nil"/>
              <w:bottom w:val="single" w:sz="4" w:space="0" w:color="000000"/>
              <w:right w:val="nil"/>
            </w:tcBorders>
            <w:shd w:val="clear" w:color="auto" w:fill="auto"/>
            <w:vAlign w:val="bottom"/>
          </w:tcPr>
          <w:p w14:paraId="0D204A8D"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3</w:t>
            </w:r>
          </w:p>
        </w:tc>
      </w:tr>
      <w:tr w:rsidR="00EC4499" w14:paraId="1D03F6F6" w14:textId="77777777">
        <w:trPr>
          <w:trHeight w:val="288"/>
        </w:trPr>
        <w:tc>
          <w:tcPr>
            <w:tcW w:w="2410" w:type="dxa"/>
            <w:vMerge w:val="restart"/>
            <w:tcBorders>
              <w:top w:val="nil"/>
              <w:left w:val="nil"/>
              <w:bottom w:val="nil"/>
              <w:right w:val="nil"/>
            </w:tcBorders>
            <w:shd w:val="clear" w:color="auto" w:fill="auto"/>
            <w:vAlign w:val="bottom"/>
          </w:tcPr>
          <w:p w14:paraId="59BFE1D9"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BNDES</w:t>
            </w:r>
          </w:p>
        </w:tc>
        <w:tc>
          <w:tcPr>
            <w:tcW w:w="478" w:type="dxa"/>
            <w:tcBorders>
              <w:top w:val="single" w:sz="4" w:space="0" w:color="000000"/>
              <w:left w:val="nil"/>
              <w:bottom w:val="nil"/>
              <w:right w:val="nil"/>
            </w:tcBorders>
            <w:shd w:val="clear" w:color="auto" w:fill="auto"/>
            <w:vAlign w:val="bottom"/>
          </w:tcPr>
          <w:p w14:paraId="314836A5" w14:textId="77777777" w:rsidR="00EC4499" w:rsidRDefault="00433EA7">
            <w:pPr>
              <w:spacing w:after="0" w:line="240" w:lineRule="auto"/>
              <w:ind w:left="-16"/>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1790" w:type="dxa"/>
            <w:tcBorders>
              <w:top w:val="single" w:sz="4" w:space="0" w:color="000000"/>
              <w:left w:val="nil"/>
              <w:bottom w:val="nil"/>
              <w:right w:val="nil"/>
            </w:tcBorders>
            <w:shd w:val="clear" w:color="auto" w:fill="auto"/>
            <w:vAlign w:val="bottom"/>
          </w:tcPr>
          <w:p w14:paraId="3A653899"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177" w:type="dxa"/>
            <w:tcBorders>
              <w:top w:val="single" w:sz="4" w:space="0" w:color="000000"/>
              <w:left w:val="nil"/>
              <w:bottom w:val="nil"/>
              <w:right w:val="nil"/>
            </w:tcBorders>
            <w:shd w:val="clear" w:color="auto" w:fill="auto"/>
            <w:vAlign w:val="bottom"/>
          </w:tcPr>
          <w:p w14:paraId="58392B8F"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2280" w:type="dxa"/>
            <w:tcBorders>
              <w:top w:val="single" w:sz="4" w:space="0" w:color="000000"/>
              <w:left w:val="nil"/>
              <w:bottom w:val="nil"/>
              <w:right w:val="nil"/>
            </w:tcBorders>
            <w:shd w:val="clear" w:color="auto" w:fill="auto"/>
            <w:vAlign w:val="bottom"/>
          </w:tcPr>
          <w:p w14:paraId="2448EEF5"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3</w:t>
            </w:r>
          </w:p>
        </w:tc>
      </w:tr>
      <w:tr w:rsidR="00EC4499" w14:paraId="07D012BF" w14:textId="77777777">
        <w:trPr>
          <w:trHeight w:val="288"/>
        </w:trPr>
        <w:tc>
          <w:tcPr>
            <w:tcW w:w="2410" w:type="dxa"/>
            <w:vMerge/>
            <w:tcBorders>
              <w:top w:val="nil"/>
              <w:left w:val="nil"/>
              <w:bottom w:val="nil"/>
              <w:right w:val="nil"/>
            </w:tcBorders>
            <w:shd w:val="clear" w:color="auto" w:fill="auto"/>
            <w:vAlign w:val="bottom"/>
          </w:tcPr>
          <w:p w14:paraId="3C25F98F"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17E3B3A6" w14:textId="77777777" w:rsidR="00EC4499" w:rsidRDefault="00433EA7">
            <w:pPr>
              <w:spacing w:after="0" w:line="240" w:lineRule="auto"/>
              <w:ind w:left="-16"/>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1790" w:type="dxa"/>
            <w:tcBorders>
              <w:top w:val="nil"/>
              <w:left w:val="nil"/>
              <w:bottom w:val="single" w:sz="4" w:space="0" w:color="000000"/>
              <w:right w:val="nil"/>
            </w:tcBorders>
            <w:shd w:val="clear" w:color="auto" w:fill="auto"/>
            <w:vAlign w:val="bottom"/>
          </w:tcPr>
          <w:p w14:paraId="156FB2D6"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177" w:type="dxa"/>
            <w:tcBorders>
              <w:top w:val="nil"/>
              <w:left w:val="nil"/>
              <w:bottom w:val="single" w:sz="4" w:space="0" w:color="000000"/>
              <w:right w:val="nil"/>
            </w:tcBorders>
            <w:shd w:val="clear" w:color="auto" w:fill="auto"/>
            <w:vAlign w:val="bottom"/>
          </w:tcPr>
          <w:p w14:paraId="792C72D0"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280" w:type="dxa"/>
            <w:tcBorders>
              <w:top w:val="nil"/>
              <w:left w:val="nil"/>
              <w:bottom w:val="single" w:sz="4" w:space="0" w:color="000000"/>
              <w:right w:val="nil"/>
            </w:tcBorders>
            <w:shd w:val="clear" w:color="auto" w:fill="auto"/>
            <w:vAlign w:val="bottom"/>
          </w:tcPr>
          <w:p w14:paraId="393D82CF"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4</w:t>
            </w:r>
          </w:p>
        </w:tc>
      </w:tr>
      <w:tr w:rsidR="00EC4499" w14:paraId="1AE08D40" w14:textId="77777777">
        <w:trPr>
          <w:trHeight w:val="288"/>
        </w:trPr>
        <w:tc>
          <w:tcPr>
            <w:tcW w:w="2410" w:type="dxa"/>
            <w:vMerge w:val="restart"/>
            <w:tcBorders>
              <w:top w:val="nil"/>
              <w:left w:val="nil"/>
              <w:bottom w:val="nil"/>
              <w:right w:val="nil"/>
            </w:tcBorders>
            <w:shd w:val="clear" w:color="auto" w:fill="auto"/>
            <w:vAlign w:val="bottom"/>
          </w:tcPr>
          <w:p w14:paraId="546BF12B"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Bradesco</w:t>
            </w:r>
          </w:p>
        </w:tc>
        <w:tc>
          <w:tcPr>
            <w:tcW w:w="478" w:type="dxa"/>
            <w:tcBorders>
              <w:top w:val="single" w:sz="4" w:space="0" w:color="000000"/>
              <w:left w:val="nil"/>
              <w:bottom w:val="nil"/>
              <w:right w:val="nil"/>
            </w:tcBorders>
            <w:shd w:val="clear" w:color="auto" w:fill="auto"/>
            <w:vAlign w:val="bottom"/>
          </w:tcPr>
          <w:p w14:paraId="4C0FD8E9" w14:textId="77777777" w:rsidR="00EC4499" w:rsidRDefault="00433EA7">
            <w:pPr>
              <w:spacing w:after="0" w:line="240" w:lineRule="auto"/>
              <w:ind w:left="-16"/>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1790" w:type="dxa"/>
            <w:tcBorders>
              <w:top w:val="single" w:sz="4" w:space="0" w:color="000000"/>
              <w:left w:val="nil"/>
              <w:bottom w:val="nil"/>
              <w:right w:val="nil"/>
            </w:tcBorders>
            <w:shd w:val="clear" w:color="auto" w:fill="auto"/>
            <w:vAlign w:val="bottom"/>
          </w:tcPr>
          <w:p w14:paraId="170137C4"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177" w:type="dxa"/>
            <w:tcBorders>
              <w:top w:val="single" w:sz="4" w:space="0" w:color="000000"/>
              <w:left w:val="nil"/>
              <w:bottom w:val="nil"/>
              <w:right w:val="nil"/>
            </w:tcBorders>
            <w:shd w:val="clear" w:color="auto" w:fill="auto"/>
            <w:vAlign w:val="bottom"/>
          </w:tcPr>
          <w:p w14:paraId="24C51ADE"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280" w:type="dxa"/>
            <w:tcBorders>
              <w:top w:val="single" w:sz="4" w:space="0" w:color="000000"/>
              <w:left w:val="nil"/>
              <w:bottom w:val="nil"/>
              <w:right w:val="nil"/>
            </w:tcBorders>
            <w:shd w:val="clear" w:color="auto" w:fill="auto"/>
            <w:vAlign w:val="bottom"/>
          </w:tcPr>
          <w:p w14:paraId="38A4871F"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4</w:t>
            </w:r>
          </w:p>
        </w:tc>
      </w:tr>
      <w:tr w:rsidR="00EC4499" w14:paraId="64DF2B45" w14:textId="77777777">
        <w:trPr>
          <w:trHeight w:val="288"/>
        </w:trPr>
        <w:tc>
          <w:tcPr>
            <w:tcW w:w="2410" w:type="dxa"/>
            <w:vMerge/>
            <w:tcBorders>
              <w:top w:val="nil"/>
              <w:left w:val="nil"/>
              <w:bottom w:val="nil"/>
              <w:right w:val="nil"/>
            </w:tcBorders>
            <w:shd w:val="clear" w:color="auto" w:fill="auto"/>
            <w:vAlign w:val="bottom"/>
          </w:tcPr>
          <w:p w14:paraId="339793B0"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59098CB2" w14:textId="77777777" w:rsidR="00EC4499" w:rsidRDefault="00433EA7">
            <w:pPr>
              <w:spacing w:after="0" w:line="240" w:lineRule="auto"/>
              <w:ind w:left="-16"/>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1790" w:type="dxa"/>
            <w:tcBorders>
              <w:top w:val="nil"/>
              <w:left w:val="nil"/>
              <w:bottom w:val="single" w:sz="4" w:space="0" w:color="000000"/>
              <w:right w:val="nil"/>
            </w:tcBorders>
            <w:shd w:val="clear" w:color="auto" w:fill="auto"/>
            <w:vAlign w:val="bottom"/>
          </w:tcPr>
          <w:p w14:paraId="5E67669F"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177" w:type="dxa"/>
            <w:tcBorders>
              <w:top w:val="nil"/>
              <w:left w:val="nil"/>
              <w:bottom w:val="single" w:sz="4" w:space="0" w:color="000000"/>
              <w:right w:val="nil"/>
            </w:tcBorders>
            <w:shd w:val="clear" w:color="auto" w:fill="auto"/>
            <w:vAlign w:val="bottom"/>
          </w:tcPr>
          <w:p w14:paraId="3FD8D96C"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280" w:type="dxa"/>
            <w:tcBorders>
              <w:top w:val="nil"/>
              <w:left w:val="nil"/>
              <w:bottom w:val="single" w:sz="4" w:space="0" w:color="000000"/>
              <w:right w:val="nil"/>
            </w:tcBorders>
            <w:shd w:val="clear" w:color="auto" w:fill="auto"/>
            <w:vAlign w:val="bottom"/>
          </w:tcPr>
          <w:p w14:paraId="7D19E124"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4</w:t>
            </w:r>
          </w:p>
        </w:tc>
      </w:tr>
      <w:tr w:rsidR="00EC4499" w14:paraId="6946A09B" w14:textId="77777777">
        <w:trPr>
          <w:trHeight w:val="288"/>
        </w:trPr>
        <w:tc>
          <w:tcPr>
            <w:tcW w:w="2410" w:type="dxa"/>
            <w:vMerge w:val="restart"/>
            <w:tcBorders>
              <w:top w:val="nil"/>
              <w:left w:val="nil"/>
              <w:bottom w:val="nil"/>
              <w:right w:val="nil"/>
            </w:tcBorders>
            <w:shd w:val="clear" w:color="auto" w:fill="auto"/>
            <w:vAlign w:val="bottom"/>
          </w:tcPr>
          <w:p w14:paraId="608BE662"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BTG Pactual</w:t>
            </w:r>
          </w:p>
        </w:tc>
        <w:tc>
          <w:tcPr>
            <w:tcW w:w="478" w:type="dxa"/>
            <w:tcBorders>
              <w:top w:val="single" w:sz="4" w:space="0" w:color="000000"/>
              <w:left w:val="nil"/>
              <w:bottom w:val="nil"/>
              <w:right w:val="nil"/>
            </w:tcBorders>
            <w:shd w:val="clear" w:color="auto" w:fill="auto"/>
            <w:vAlign w:val="bottom"/>
          </w:tcPr>
          <w:p w14:paraId="72122227" w14:textId="77777777" w:rsidR="00EC4499" w:rsidRDefault="00433EA7">
            <w:pPr>
              <w:spacing w:after="0" w:line="240" w:lineRule="auto"/>
              <w:ind w:left="-16"/>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1790" w:type="dxa"/>
            <w:tcBorders>
              <w:top w:val="single" w:sz="4" w:space="0" w:color="000000"/>
              <w:left w:val="nil"/>
              <w:bottom w:val="nil"/>
              <w:right w:val="nil"/>
            </w:tcBorders>
            <w:shd w:val="clear" w:color="auto" w:fill="auto"/>
            <w:vAlign w:val="bottom"/>
          </w:tcPr>
          <w:p w14:paraId="3CB5293B"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177" w:type="dxa"/>
            <w:tcBorders>
              <w:top w:val="single" w:sz="4" w:space="0" w:color="000000"/>
              <w:left w:val="nil"/>
              <w:bottom w:val="nil"/>
              <w:right w:val="nil"/>
            </w:tcBorders>
            <w:shd w:val="clear" w:color="auto" w:fill="auto"/>
            <w:vAlign w:val="bottom"/>
          </w:tcPr>
          <w:p w14:paraId="0CFB880A"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0</w:t>
            </w:r>
          </w:p>
        </w:tc>
        <w:tc>
          <w:tcPr>
            <w:tcW w:w="2280" w:type="dxa"/>
            <w:tcBorders>
              <w:top w:val="single" w:sz="4" w:space="0" w:color="000000"/>
              <w:left w:val="nil"/>
              <w:bottom w:val="nil"/>
              <w:right w:val="nil"/>
            </w:tcBorders>
            <w:shd w:val="clear" w:color="auto" w:fill="auto"/>
            <w:vAlign w:val="bottom"/>
          </w:tcPr>
          <w:p w14:paraId="289EA5AD"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0272C8DD" w14:textId="77777777">
        <w:trPr>
          <w:trHeight w:val="288"/>
        </w:trPr>
        <w:tc>
          <w:tcPr>
            <w:tcW w:w="2410" w:type="dxa"/>
            <w:vMerge/>
            <w:tcBorders>
              <w:top w:val="nil"/>
              <w:left w:val="nil"/>
              <w:bottom w:val="nil"/>
              <w:right w:val="nil"/>
            </w:tcBorders>
            <w:shd w:val="clear" w:color="auto" w:fill="auto"/>
            <w:vAlign w:val="bottom"/>
          </w:tcPr>
          <w:p w14:paraId="558C5471"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03904FBE" w14:textId="77777777" w:rsidR="00EC4499" w:rsidRDefault="00433EA7">
            <w:pPr>
              <w:spacing w:after="0" w:line="240" w:lineRule="auto"/>
              <w:ind w:left="-16"/>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1790" w:type="dxa"/>
            <w:tcBorders>
              <w:top w:val="nil"/>
              <w:left w:val="nil"/>
              <w:bottom w:val="single" w:sz="4" w:space="0" w:color="000000"/>
              <w:right w:val="nil"/>
            </w:tcBorders>
            <w:shd w:val="clear" w:color="auto" w:fill="auto"/>
            <w:vAlign w:val="bottom"/>
          </w:tcPr>
          <w:p w14:paraId="524FD396"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177" w:type="dxa"/>
            <w:tcBorders>
              <w:top w:val="nil"/>
              <w:left w:val="nil"/>
              <w:bottom w:val="single" w:sz="4" w:space="0" w:color="000000"/>
              <w:right w:val="nil"/>
            </w:tcBorders>
            <w:shd w:val="clear" w:color="auto" w:fill="auto"/>
            <w:vAlign w:val="bottom"/>
          </w:tcPr>
          <w:p w14:paraId="5B74F7BC"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280" w:type="dxa"/>
            <w:tcBorders>
              <w:top w:val="nil"/>
              <w:left w:val="nil"/>
              <w:bottom w:val="single" w:sz="4" w:space="0" w:color="000000"/>
              <w:right w:val="nil"/>
            </w:tcBorders>
            <w:shd w:val="clear" w:color="auto" w:fill="auto"/>
            <w:vAlign w:val="bottom"/>
          </w:tcPr>
          <w:p w14:paraId="3150C3C2"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4</w:t>
            </w:r>
          </w:p>
        </w:tc>
      </w:tr>
      <w:tr w:rsidR="00EC4499" w14:paraId="72B357FA" w14:textId="77777777">
        <w:trPr>
          <w:trHeight w:val="288"/>
        </w:trPr>
        <w:tc>
          <w:tcPr>
            <w:tcW w:w="2410" w:type="dxa"/>
            <w:vMerge w:val="restart"/>
            <w:tcBorders>
              <w:top w:val="nil"/>
              <w:left w:val="nil"/>
              <w:bottom w:val="nil"/>
              <w:right w:val="nil"/>
            </w:tcBorders>
            <w:shd w:val="clear" w:color="auto" w:fill="auto"/>
            <w:vAlign w:val="bottom"/>
          </w:tcPr>
          <w:p w14:paraId="08908288"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Caixa Econômica Federal </w:t>
            </w:r>
          </w:p>
        </w:tc>
        <w:tc>
          <w:tcPr>
            <w:tcW w:w="478" w:type="dxa"/>
            <w:tcBorders>
              <w:top w:val="single" w:sz="4" w:space="0" w:color="000000"/>
              <w:left w:val="nil"/>
              <w:bottom w:val="nil"/>
              <w:right w:val="nil"/>
            </w:tcBorders>
            <w:shd w:val="clear" w:color="auto" w:fill="auto"/>
            <w:vAlign w:val="bottom"/>
          </w:tcPr>
          <w:p w14:paraId="2AEC5062" w14:textId="77777777" w:rsidR="00EC4499" w:rsidRDefault="00433EA7">
            <w:pPr>
              <w:spacing w:after="0" w:line="240" w:lineRule="auto"/>
              <w:ind w:left="-16"/>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1790" w:type="dxa"/>
            <w:tcBorders>
              <w:top w:val="single" w:sz="4" w:space="0" w:color="000000"/>
              <w:left w:val="nil"/>
              <w:bottom w:val="nil"/>
              <w:right w:val="nil"/>
            </w:tcBorders>
            <w:shd w:val="clear" w:color="auto" w:fill="auto"/>
            <w:vAlign w:val="bottom"/>
          </w:tcPr>
          <w:p w14:paraId="46D49A2E"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177" w:type="dxa"/>
            <w:tcBorders>
              <w:top w:val="single" w:sz="4" w:space="0" w:color="000000"/>
              <w:left w:val="nil"/>
              <w:bottom w:val="nil"/>
              <w:right w:val="nil"/>
            </w:tcBorders>
            <w:shd w:val="clear" w:color="auto" w:fill="auto"/>
            <w:vAlign w:val="bottom"/>
          </w:tcPr>
          <w:p w14:paraId="652BB874"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2280" w:type="dxa"/>
            <w:tcBorders>
              <w:top w:val="single" w:sz="4" w:space="0" w:color="000000"/>
              <w:left w:val="nil"/>
              <w:bottom w:val="nil"/>
              <w:right w:val="nil"/>
            </w:tcBorders>
            <w:shd w:val="clear" w:color="auto" w:fill="auto"/>
            <w:vAlign w:val="bottom"/>
          </w:tcPr>
          <w:p w14:paraId="59502549"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3</w:t>
            </w:r>
          </w:p>
        </w:tc>
      </w:tr>
      <w:tr w:rsidR="00EC4499" w14:paraId="4F514F3B" w14:textId="77777777">
        <w:trPr>
          <w:trHeight w:val="288"/>
        </w:trPr>
        <w:tc>
          <w:tcPr>
            <w:tcW w:w="2410" w:type="dxa"/>
            <w:vMerge/>
            <w:tcBorders>
              <w:top w:val="nil"/>
              <w:left w:val="nil"/>
              <w:bottom w:val="nil"/>
              <w:right w:val="nil"/>
            </w:tcBorders>
            <w:shd w:val="clear" w:color="auto" w:fill="auto"/>
            <w:vAlign w:val="bottom"/>
          </w:tcPr>
          <w:p w14:paraId="654318B0"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5A171657" w14:textId="77777777" w:rsidR="00EC4499" w:rsidRDefault="00433EA7">
            <w:pPr>
              <w:spacing w:after="0" w:line="240" w:lineRule="auto"/>
              <w:ind w:left="-16"/>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1790" w:type="dxa"/>
            <w:tcBorders>
              <w:top w:val="nil"/>
              <w:left w:val="nil"/>
              <w:bottom w:val="single" w:sz="4" w:space="0" w:color="000000"/>
              <w:right w:val="nil"/>
            </w:tcBorders>
            <w:shd w:val="clear" w:color="auto" w:fill="auto"/>
            <w:vAlign w:val="bottom"/>
          </w:tcPr>
          <w:p w14:paraId="42C0F1DB"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177" w:type="dxa"/>
            <w:tcBorders>
              <w:top w:val="nil"/>
              <w:left w:val="nil"/>
              <w:bottom w:val="single" w:sz="4" w:space="0" w:color="000000"/>
              <w:right w:val="nil"/>
            </w:tcBorders>
            <w:shd w:val="clear" w:color="auto" w:fill="auto"/>
            <w:vAlign w:val="bottom"/>
          </w:tcPr>
          <w:p w14:paraId="7F0B27C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2280" w:type="dxa"/>
            <w:tcBorders>
              <w:top w:val="nil"/>
              <w:left w:val="nil"/>
              <w:bottom w:val="single" w:sz="4" w:space="0" w:color="000000"/>
              <w:right w:val="nil"/>
            </w:tcBorders>
            <w:shd w:val="clear" w:color="auto" w:fill="auto"/>
            <w:vAlign w:val="bottom"/>
          </w:tcPr>
          <w:p w14:paraId="6A014F6F"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3</w:t>
            </w:r>
          </w:p>
        </w:tc>
      </w:tr>
      <w:tr w:rsidR="00EC4499" w14:paraId="1228BF8D" w14:textId="77777777">
        <w:trPr>
          <w:trHeight w:val="288"/>
        </w:trPr>
        <w:tc>
          <w:tcPr>
            <w:tcW w:w="2410" w:type="dxa"/>
            <w:vMerge w:val="restart"/>
            <w:tcBorders>
              <w:top w:val="nil"/>
              <w:left w:val="nil"/>
              <w:bottom w:val="nil"/>
              <w:right w:val="nil"/>
            </w:tcBorders>
            <w:shd w:val="clear" w:color="auto" w:fill="auto"/>
            <w:vAlign w:val="bottom"/>
          </w:tcPr>
          <w:p w14:paraId="7D597893"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Citibank</w:t>
            </w:r>
          </w:p>
        </w:tc>
        <w:tc>
          <w:tcPr>
            <w:tcW w:w="478" w:type="dxa"/>
            <w:tcBorders>
              <w:top w:val="single" w:sz="4" w:space="0" w:color="000000"/>
              <w:left w:val="nil"/>
              <w:bottom w:val="nil"/>
              <w:right w:val="nil"/>
            </w:tcBorders>
            <w:shd w:val="clear" w:color="auto" w:fill="auto"/>
            <w:vAlign w:val="bottom"/>
          </w:tcPr>
          <w:p w14:paraId="6C73A00D" w14:textId="77777777" w:rsidR="00EC4499" w:rsidRDefault="00433EA7">
            <w:pPr>
              <w:spacing w:after="0" w:line="240" w:lineRule="auto"/>
              <w:ind w:left="-16"/>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1790" w:type="dxa"/>
            <w:tcBorders>
              <w:top w:val="single" w:sz="4" w:space="0" w:color="000000"/>
              <w:left w:val="nil"/>
              <w:bottom w:val="nil"/>
              <w:right w:val="nil"/>
            </w:tcBorders>
            <w:shd w:val="clear" w:color="auto" w:fill="auto"/>
            <w:vAlign w:val="bottom"/>
          </w:tcPr>
          <w:p w14:paraId="2AD00E4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177" w:type="dxa"/>
            <w:tcBorders>
              <w:top w:val="single" w:sz="4" w:space="0" w:color="000000"/>
              <w:left w:val="nil"/>
              <w:bottom w:val="nil"/>
              <w:right w:val="nil"/>
            </w:tcBorders>
            <w:shd w:val="clear" w:color="auto" w:fill="auto"/>
            <w:vAlign w:val="bottom"/>
          </w:tcPr>
          <w:p w14:paraId="0AC0A7DE"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0</w:t>
            </w:r>
          </w:p>
        </w:tc>
        <w:tc>
          <w:tcPr>
            <w:tcW w:w="2280" w:type="dxa"/>
            <w:tcBorders>
              <w:top w:val="single" w:sz="4" w:space="0" w:color="000000"/>
              <w:left w:val="nil"/>
              <w:bottom w:val="nil"/>
              <w:right w:val="nil"/>
            </w:tcBorders>
            <w:shd w:val="clear" w:color="auto" w:fill="auto"/>
            <w:vAlign w:val="bottom"/>
          </w:tcPr>
          <w:p w14:paraId="1BF49C9C"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5104AAB8" w14:textId="77777777">
        <w:trPr>
          <w:trHeight w:val="288"/>
        </w:trPr>
        <w:tc>
          <w:tcPr>
            <w:tcW w:w="2410" w:type="dxa"/>
            <w:vMerge/>
            <w:tcBorders>
              <w:top w:val="nil"/>
              <w:left w:val="nil"/>
              <w:bottom w:val="nil"/>
              <w:right w:val="nil"/>
            </w:tcBorders>
            <w:shd w:val="clear" w:color="auto" w:fill="auto"/>
            <w:vAlign w:val="bottom"/>
          </w:tcPr>
          <w:p w14:paraId="40494483"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55D62995" w14:textId="77777777" w:rsidR="00EC4499" w:rsidRDefault="00433EA7">
            <w:pPr>
              <w:spacing w:after="0" w:line="240" w:lineRule="auto"/>
              <w:ind w:left="-16"/>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1790" w:type="dxa"/>
            <w:tcBorders>
              <w:top w:val="nil"/>
              <w:left w:val="nil"/>
              <w:bottom w:val="single" w:sz="4" w:space="0" w:color="000000"/>
              <w:right w:val="nil"/>
            </w:tcBorders>
            <w:shd w:val="clear" w:color="auto" w:fill="auto"/>
            <w:vAlign w:val="bottom"/>
          </w:tcPr>
          <w:p w14:paraId="14062AB9"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177" w:type="dxa"/>
            <w:tcBorders>
              <w:top w:val="nil"/>
              <w:left w:val="nil"/>
              <w:bottom w:val="single" w:sz="4" w:space="0" w:color="000000"/>
              <w:right w:val="nil"/>
            </w:tcBorders>
            <w:shd w:val="clear" w:color="auto" w:fill="auto"/>
            <w:vAlign w:val="bottom"/>
          </w:tcPr>
          <w:p w14:paraId="4BA1BCC5"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2280" w:type="dxa"/>
            <w:tcBorders>
              <w:top w:val="nil"/>
              <w:left w:val="nil"/>
              <w:bottom w:val="single" w:sz="4" w:space="0" w:color="000000"/>
              <w:right w:val="nil"/>
            </w:tcBorders>
            <w:shd w:val="clear" w:color="auto" w:fill="auto"/>
            <w:vAlign w:val="bottom"/>
          </w:tcPr>
          <w:p w14:paraId="16D3A8F0"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3</w:t>
            </w:r>
          </w:p>
        </w:tc>
      </w:tr>
      <w:tr w:rsidR="00EC4499" w14:paraId="3A2FEA59" w14:textId="77777777">
        <w:trPr>
          <w:trHeight w:val="288"/>
        </w:trPr>
        <w:tc>
          <w:tcPr>
            <w:tcW w:w="2410" w:type="dxa"/>
            <w:vMerge w:val="restart"/>
            <w:tcBorders>
              <w:top w:val="nil"/>
              <w:left w:val="nil"/>
              <w:bottom w:val="nil"/>
              <w:right w:val="nil"/>
            </w:tcBorders>
            <w:shd w:val="clear" w:color="auto" w:fill="auto"/>
            <w:vAlign w:val="bottom"/>
          </w:tcPr>
          <w:p w14:paraId="3B164324"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Inter</w:t>
            </w:r>
          </w:p>
        </w:tc>
        <w:tc>
          <w:tcPr>
            <w:tcW w:w="478" w:type="dxa"/>
            <w:tcBorders>
              <w:top w:val="single" w:sz="4" w:space="0" w:color="000000"/>
              <w:left w:val="nil"/>
              <w:bottom w:val="nil"/>
              <w:right w:val="nil"/>
            </w:tcBorders>
            <w:shd w:val="clear" w:color="auto" w:fill="auto"/>
            <w:vAlign w:val="bottom"/>
          </w:tcPr>
          <w:p w14:paraId="601A7DF0" w14:textId="77777777" w:rsidR="00EC4499" w:rsidRDefault="00433EA7">
            <w:pPr>
              <w:spacing w:after="0" w:line="240" w:lineRule="auto"/>
              <w:ind w:left="-16"/>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1790" w:type="dxa"/>
            <w:tcBorders>
              <w:top w:val="single" w:sz="4" w:space="0" w:color="000000"/>
              <w:left w:val="nil"/>
              <w:bottom w:val="nil"/>
              <w:right w:val="nil"/>
            </w:tcBorders>
            <w:shd w:val="clear" w:color="auto" w:fill="auto"/>
            <w:vAlign w:val="bottom"/>
          </w:tcPr>
          <w:p w14:paraId="735E536D"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177" w:type="dxa"/>
            <w:tcBorders>
              <w:top w:val="single" w:sz="4" w:space="0" w:color="000000"/>
              <w:left w:val="nil"/>
              <w:bottom w:val="nil"/>
              <w:right w:val="nil"/>
            </w:tcBorders>
            <w:shd w:val="clear" w:color="auto" w:fill="auto"/>
            <w:vAlign w:val="bottom"/>
          </w:tcPr>
          <w:p w14:paraId="04B3646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0</w:t>
            </w:r>
          </w:p>
        </w:tc>
        <w:tc>
          <w:tcPr>
            <w:tcW w:w="2280" w:type="dxa"/>
            <w:tcBorders>
              <w:top w:val="single" w:sz="4" w:space="0" w:color="000000"/>
              <w:left w:val="nil"/>
              <w:bottom w:val="nil"/>
              <w:right w:val="nil"/>
            </w:tcBorders>
            <w:shd w:val="clear" w:color="auto" w:fill="auto"/>
            <w:vAlign w:val="bottom"/>
          </w:tcPr>
          <w:p w14:paraId="711E8061"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3D87AE12" w14:textId="77777777">
        <w:trPr>
          <w:trHeight w:val="288"/>
        </w:trPr>
        <w:tc>
          <w:tcPr>
            <w:tcW w:w="2410" w:type="dxa"/>
            <w:vMerge/>
            <w:tcBorders>
              <w:top w:val="nil"/>
              <w:left w:val="nil"/>
              <w:bottom w:val="nil"/>
              <w:right w:val="nil"/>
            </w:tcBorders>
            <w:shd w:val="clear" w:color="auto" w:fill="auto"/>
            <w:vAlign w:val="bottom"/>
          </w:tcPr>
          <w:p w14:paraId="5B3E1B64"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78ADBAF8" w14:textId="77777777" w:rsidR="00EC4499" w:rsidRDefault="00433EA7">
            <w:pPr>
              <w:spacing w:after="0" w:line="240" w:lineRule="auto"/>
              <w:ind w:left="-16"/>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1790" w:type="dxa"/>
            <w:tcBorders>
              <w:top w:val="nil"/>
              <w:left w:val="nil"/>
              <w:bottom w:val="single" w:sz="4" w:space="0" w:color="000000"/>
              <w:right w:val="nil"/>
            </w:tcBorders>
            <w:shd w:val="clear" w:color="auto" w:fill="auto"/>
            <w:vAlign w:val="bottom"/>
          </w:tcPr>
          <w:p w14:paraId="3BEAAEA9"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177" w:type="dxa"/>
            <w:tcBorders>
              <w:top w:val="nil"/>
              <w:left w:val="nil"/>
              <w:bottom w:val="single" w:sz="4" w:space="0" w:color="000000"/>
              <w:right w:val="nil"/>
            </w:tcBorders>
            <w:shd w:val="clear" w:color="auto" w:fill="auto"/>
            <w:vAlign w:val="bottom"/>
          </w:tcPr>
          <w:p w14:paraId="353B58E5"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2280" w:type="dxa"/>
            <w:tcBorders>
              <w:top w:val="nil"/>
              <w:left w:val="nil"/>
              <w:bottom w:val="single" w:sz="4" w:space="0" w:color="000000"/>
              <w:right w:val="nil"/>
            </w:tcBorders>
            <w:shd w:val="clear" w:color="auto" w:fill="auto"/>
            <w:vAlign w:val="bottom"/>
          </w:tcPr>
          <w:p w14:paraId="40CE1851"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3</w:t>
            </w:r>
          </w:p>
        </w:tc>
      </w:tr>
      <w:tr w:rsidR="00EC4499" w14:paraId="25E6ED0F" w14:textId="77777777">
        <w:trPr>
          <w:trHeight w:val="288"/>
        </w:trPr>
        <w:tc>
          <w:tcPr>
            <w:tcW w:w="2410" w:type="dxa"/>
            <w:vMerge w:val="restart"/>
            <w:tcBorders>
              <w:top w:val="nil"/>
              <w:left w:val="nil"/>
              <w:bottom w:val="nil"/>
              <w:right w:val="nil"/>
            </w:tcBorders>
            <w:shd w:val="clear" w:color="auto" w:fill="auto"/>
            <w:vAlign w:val="bottom"/>
          </w:tcPr>
          <w:p w14:paraId="192DCFCB"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Itaú</w:t>
            </w:r>
          </w:p>
        </w:tc>
        <w:tc>
          <w:tcPr>
            <w:tcW w:w="478" w:type="dxa"/>
            <w:tcBorders>
              <w:top w:val="single" w:sz="4" w:space="0" w:color="000000"/>
              <w:left w:val="nil"/>
              <w:bottom w:val="nil"/>
              <w:right w:val="nil"/>
            </w:tcBorders>
            <w:shd w:val="clear" w:color="auto" w:fill="auto"/>
            <w:vAlign w:val="bottom"/>
          </w:tcPr>
          <w:p w14:paraId="0D895DC4" w14:textId="77777777" w:rsidR="00EC4499" w:rsidRDefault="00433EA7">
            <w:pPr>
              <w:spacing w:after="0" w:line="240" w:lineRule="auto"/>
              <w:ind w:left="-16"/>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1790" w:type="dxa"/>
            <w:tcBorders>
              <w:top w:val="single" w:sz="4" w:space="0" w:color="000000"/>
              <w:left w:val="nil"/>
              <w:bottom w:val="nil"/>
              <w:right w:val="nil"/>
            </w:tcBorders>
            <w:shd w:val="clear" w:color="auto" w:fill="auto"/>
            <w:vAlign w:val="bottom"/>
          </w:tcPr>
          <w:p w14:paraId="69DED276"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177" w:type="dxa"/>
            <w:tcBorders>
              <w:top w:val="single" w:sz="4" w:space="0" w:color="000000"/>
              <w:left w:val="nil"/>
              <w:bottom w:val="nil"/>
              <w:right w:val="nil"/>
            </w:tcBorders>
            <w:shd w:val="clear" w:color="auto" w:fill="auto"/>
            <w:vAlign w:val="bottom"/>
          </w:tcPr>
          <w:p w14:paraId="243CE3CB"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280" w:type="dxa"/>
            <w:tcBorders>
              <w:top w:val="single" w:sz="4" w:space="0" w:color="000000"/>
              <w:left w:val="nil"/>
              <w:bottom w:val="nil"/>
              <w:right w:val="nil"/>
            </w:tcBorders>
            <w:shd w:val="clear" w:color="auto" w:fill="auto"/>
            <w:vAlign w:val="bottom"/>
          </w:tcPr>
          <w:p w14:paraId="4EFB9DF0"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4</w:t>
            </w:r>
          </w:p>
        </w:tc>
      </w:tr>
      <w:tr w:rsidR="00EC4499" w14:paraId="68BDAA29" w14:textId="77777777">
        <w:trPr>
          <w:trHeight w:val="288"/>
        </w:trPr>
        <w:tc>
          <w:tcPr>
            <w:tcW w:w="2410" w:type="dxa"/>
            <w:vMerge/>
            <w:tcBorders>
              <w:top w:val="nil"/>
              <w:left w:val="nil"/>
              <w:bottom w:val="nil"/>
              <w:right w:val="nil"/>
            </w:tcBorders>
            <w:shd w:val="clear" w:color="auto" w:fill="auto"/>
            <w:vAlign w:val="bottom"/>
          </w:tcPr>
          <w:p w14:paraId="27212F5E"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3F22F799" w14:textId="77777777" w:rsidR="00EC4499" w:rsidRDefault="00433EA7">
            <w:pPr>
              <w:spacing w:after="0" w:line="240" w:lineRule="auto"/>
              <w:ind w:left="-16"/>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1790" w:type="dxa"/>
            <w:tcBorders>
              <w:top w:val="nil"/>
              <w:left w:val="nil"/>
              <w:bottom w:val="single" w:sz="4" w:space="0" w:color="000000"/>
              <w:right w:val="nil"/>
            </w:tcBorders>
            <w:shd w:val="clear" w:color="auto" w:fill="auto"/>
            <w:vAlign w:val="bottom"/>
          </w:tcPr>
          <w:p w14:paraId="3B81893D"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177" w:type="dxa"/>
            <w:tcBorders>
              <w:top w:val="nil"/>
              <w:left w:val="nil"/>
              <w:bottom w:val="single" w:sz="4" w:space="0" w:color="000000"/>
              <w:right w:val="nil"/>
            </w:tcBorders>
            <w:shd w:val="clear" w:color="auto" w:fill="auto"/>
            <w:vAlign w:val="bottom"/>
          </w:tcPr>
          <w:p w14:paraId="737ACF22"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280" w:type="dxa"/>
            <w:tcBorders>
              <w:top w:val="nil"/>
              <w:left w:val="nil"/>
              <w:bottom w:val="single" w:sz="4" w:space="0" w:color="000000"/>
              <w:right w:val="nil"/>
            </w:tcBorders>
            <w:shd w:val="clear" w:color="auto" w:fill="auto"/>
            <w:vAlign w:val="bottom"/>
          </w:tcPr>
          <w:p w14:paraId="496953B9"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4</w:t>
            </w:r>
          </w:p>
        </w:tc>
      </w:tr>
      <w:tr w:rsidR="00EC4499" w14:paraId="5890D2AC" w14:textId="77777777">
        <w:trPr>
          <w:trHeight w:val="288"/>
        </w:trPr>
        <w:tc>
          <w:tcPr>
            <w:tcW w:w="2410" w:type="dxa"/>
            <w:vMerge w:val="restart"/>
            <w:tcBorders>
              <w:top w:val="nil"/>
              <w:left w:val="nil"/>
              <w:bottom w:val="nil"/>
              <w:right w:val="nil"/>
            </w:tcBorders>
            <w:shd w:val="clear" w:color="auto" w:fill="auto"/>
            <w:vAlign w:val="bottom"/>
          </w:tcPr>
          <w:p w14:paraId="4F35CB73"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J.P. Morgan </w:t>
            </w:r>
          </w:p>
        </w:tc>
        <w:tc>
          <w:tcPr>
            <w:tcW w:w="478" w:type="dxa"/>
            <w:tcBorders>
              <w:top w:val="single" w:sz="4" w:space="0" w:color="000000"/>
              <w:left w:val="nil"/>
              <w:bottom w:val="nil"/>
              <w:right w:val="nil"/>
            </w:tcBorders>
            <w:shd w:val="clear" w:color="auto" w:fill="auto"/>
            <w:vAlign w:val="bottom"/>
          </w:tcPr>
          <w:p w14:paraId="5DCACB79" w14:textId="77777777" w:rsidR="00EC4499" w:rsidRDefault="00433EA7">
            <w:pPr>
              <w:spacing w:after="0" w:line="240" w:lineRule="auto"/>
              <w:ind w:left="-16"/>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1790" w:type="dxa"/>
            <w:tcBorders>
              <w:top w:val="single" w:sz="4" w:space="0" w:color="000000"/>
              <w:left w:val="nil"/>
              <w:bottom w:val="nil"/>
              <w:right w:val="nil"/>
            </w:tcBorders>
            <w:shd w:val="clear" w:color="auto" w:fill="auto"/>
            <w:vAlign w:val="bottom"/>
          </w:tcPr>
          <w:p w14:paraId="47ECD2D9"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177" w:type="dxa"/>
            <w:tcBorders>
              <w:top w:val="single" w:sz="4" w:space="0" w:color="000000"/>
              <w:left w:val="nil"/>
              <w:bottom w:val="nil"/>
              <w:right w:val="nil"/>
            </w:tcBorders>
            <w:shd w:val="clear" w:color="auto" w:fill="auto"/>
            <w:vAlign w:val="bottom"/>
          </w:tcPr>
          <w:p w14:paraId="6361AC44"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0</w:t>
            </w:r>
          </w:p>
        </w:tc>
        <w:tc>
          <w:tcPr>
            <w:tcW w:w="2280" w:type="dxa"/>
            <w:tcBorders>
              <w:top w:val="single" w:sz="4" w:space="0" w:color="000000"/>
              <w:left w:val="nil"/>
              <w:bottom w:val="nil"/>
              <w:right w:val="nil"/>
            </w:tcBorders>
            <w:shd w:val="clear" w:color="auto" w:fill="auto"/>
            <w:vAlign w:val="bottom"/>
          </w:tcPr>
          <w:p w14:paraId="351A99F3"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5E00EED6" w14:textId="77777777">
        <w:trPr>
          <w:trHeight w:val="288"/>
        </w:trPr>
        <w:tc>
          <w:tcPr>
            <w:tcW w:w="2410" w:type="dxa"/>
            <w:vMerge/>
            <w:tcBorders>
              <w:top w:val="nil"/>
              <w:left w:val="nil"/>
              <w:bottom w:val="nil"/>
              <w:right w:val="nil"/>
            </w:tcBorders>
            <w:shd w:val="clear" w:color="auto" w:fill="auto"/>
            <w:vAlign w:val="bottom"/>
          </w:tcPr>
          <w:p w14:paraId="46EEF0B1"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579498D5" w14:textId="77777777" w:rsidR="00EC4499" w:rsidRDefault="00433EA7">
            <w:pPr>
              <w:spacing w:after="0" w:line="240" w:lineRule="auto"/>
              <w:ind w:left="-16"/>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1790" w:type="dxa"/>
            <w:tcBorders>
              <w:top w:val="nil"/>
              <w:left w:val="nil"/>
              <w:bottom w:val="single" w:sz="4" w:space="0" w:color="000000"/>
              <w:right w:val="nil"/>
            </w:tcBorders>
            <w:shd w:val="clear" w:color="auto" w:fill="auto"/>
            <w:vAlign w:val="bottom"/>
          </w:tcPr>
          <w:p w14:paraId="7AB7F7BF"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177" w:type="dxa"/>
            <w:tcBorders>
              <w:top w:val="nil"/>
              <w:left w:val="nil"/>
              <w:bottom w:val="single" w:sz="4" w:space="0" w:color="000000"/>
              <w:right w:val="nil"/>
            </w:tcBorders>
            <w:shd w:val="clear" w:color="auto" w:fill="auto"/>
            <w:vAlign w:val="bottom"/>
          </w:tcPr>
          <w:p w14:paraId="7EA84874"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0</w:t>
            </w:r>
          </w:p>
        </w:tc>
        <w:tc>
          <w:tcPr>
            <w:tcW w:w="2280" w:type="dxa"/>
            <w:tcBorders>
              <w:top w:val="nil"/>
              <w:left w:val="nil"/>
              <w:bottom w:val="single" w:sz="4" w:space="0" w:color="000000"/>
              <w:right w:val="nil"/>
            </w:tcBorders>
            <w:shd w:val="clear" w:color="auto" w:fill="auto"/>
            <w:vAlign w:val="bottom"/>
          </w:tcPr>
          <w:p w14:paraId="18F083E7"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282D5765" w14:textId="77777777">
        <w:trPr>
          <w:trHeight w:val="288"/>
        </w:trPr>
        <w:tc>
          <w:tcPr>
            <w:tcW w:w="2410" w:type="dxa"/>
            <w:vMerge w:val="restart"/>
            <w:tcBorders>
              <w:top w:val="nil"/>
              <w:left w:val="nil"/>
              <w:bottom w:val="nil"/>
              <w:right w:val="nil"/>
            </w:tcBorders>
            <w:shd w:val="clear" w:color="auto" w:fill="auto"/>
            <w:vAlign w:val="bottom"/>
          </w:tcPr>
          <w:p w14:paraId="64D7713D"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Santander</w:t>
            </w:r>
          </w:p>
        </w:tc>
        <w:tc>
          <w:tcPr>
            <w:tcW w:w="478" w:type="dxa"/>
            <w:tcBorders>
              <w:top w:val="single" w:sz="4" w:space="0" w:color="000000"/>
              <w:left w:val="nil"/>
              <w:bottom w:val="nil"/>
              <w:right w:val="nil"/>
            </w:tcBorders>
            <w:shd w:val="clear" w:color="auto" w:fill="auto"/>
            <w:vAlign w:val="bottom"/>
          </w:tcPr>
          <w:p w14:paraId="382027C6" w14:textId="77777777" w:rsidR="00EC4499" w:rsidRDefault="00433EA7">
            <w:pPr>
              <w:spacing w:after="0" w:line="240" w:lineRule="auto"/>
              <w:ind w:left="-16"/>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1790" w:type="dxa"/>
            <w:tcBorders>
              <w:top w:val="single" w:sz="4" w:space="0" w:color="000000"/>
              <w:left w:val="nil"/>
              <w:bottom w:val="nil"/>
              <w:right w:val="nil"/>
            </w:tcBorders>
            <w:shd w:val="clear" w:color="auto" w:fill="auto"/>
            <w:vAlign w:val="bottom"/>
          </w:tcPr>
          <w:p w14:paraId="44A29F0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177" w:type="dxa"/>
            <w:tcBorders>
              <w:top w:val="single" w:sz="4" w:space="0" w:color="000000"/>
              <w:left w:val="nil"/>
              <w:bottom w:val="nil"/>
              <w:right w:val="nil"/>
            </w:tcBorders>
            <w:shd w:val="clear" w:color="auto" w:fill="auto"/>
            <w:vAlign w:val="bottom"/>
          </w:tcPr>
          <w:p w14:paraId="2DBB05E4"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280" w:type="dxa"/>
            <w:tcBorders>
              <w:top w:val="single" w:sz="4" w:space="0" w:color="000000"/>
              <w:left w:val="nil"/>
              <w:bottom w:val="nil"/>
              <w:right w:val="nil"/>
            </w:tcBorders>
            <w:shd w:val="clear" w:color="auto" w:fill="auto"/>
            <w:vAlign w:val="bottom"/>
          </w:tcPr>
          <w:p w14:paraId="7ADDC076"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4</w:t>
            </w:r>
          </w:p>
        </w:tc>
      </w:tr>
      <w:tr w:rsidR="00EC4499" w14:paraId="703D3381" w14:textId="77777777">
        <w:trPr>
          <w:trHeight w:val="288"/>
        </w:trPr>
        <w:tc>
          <w:tcPr>
            <w:tcW w:w="2410" w:type="dxa"/>
            <w:vMerge/>
            <w:tcBorders>
              <w:top w:val="nil"/>
              <w:left w:val="nil"/>
              <w:bottom w:val="nil"/>
              <w:right w:val="nil"/>
            </w:tcBorders>
            <w:shd w:val="clear" w:color="auto" w:fill="auto"/>
            <w:vAlign w:val="bottom"/>
          </w:tcPr>
          <w:p w14:paraId="6E7E8026"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0607366E" w14:textId="77777777" w:rsidR="00EC4499" w:rsidRDefault="00433EA7">
            <w:pPr>
              <w:spacing w:after="0" w:line="240" w:lineRule="auto"/>
              <w:ind w:left="-16"/>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1790" w:type="dxa"/>
            <w:tcBorders>
              <w:top w:val="nil"/>
              <w:left w:val="nil"/>
              <w:bottom w:val="single" w:sz="4" w:space="0" w:color="000000"/>
              <w:right w:val="nil"/>
            </w:tcBorders>
            <w:shd w:val="clear" w:color="auto" w:fill="auto"/>
            <w:vAlign w:val="bottom"/>
          </w:tcPr>
          <w:p w14:paraId="5DBFE0EB"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177" w:type="dxa"/>
            <w:tcBorders>
              <w:top w:val="nil"/>
              <w:left w:val="nil"/>
              <w:bottom w:val="single" w:sz="4" w:space="0" w:color="000000"/>
              <w:right w:val="nil"/>
            </w:tcBorders>
            <w:shd w:val="clear" w:color="auto" w:fill="auto"/>
            <w:vAlign w:val="bottom"/>
          </w:tcPr>
          <w:p w14:paraId="252471BD"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280" w:type="dxa"/>
            <w:tcBorders>
              <w:top w:val="nil"/>
              <w:left w:val="nil"/>
              <w:bottom w:val="single" w:sz="4" w:space="0" w:color="000000"/>
              <w:right w:val="nil"/>
            </w:tcBorders>
            <w:shd w:val="clear" w:color="auto" w:fill="auto"/>
            <w:vAlign w:val="bottom"/>
          </w:tcPr>
          <w:p w14:paraId="022C1563"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4</w:t>
            </w:r>
          </w:p>
        </w:tc>
      </w:tr>
      <w:tr w:rsidR="00EC4499" w14:paraId="0FFA6675" w14:textId="77777777">
        <w:trPr>
          <w:trHeight w:val="288"/>
        </w:trPr>
        <w:tc>
          <w:tcPr>
            <w:tcW w:w="2410" w:type="dxa"/>
            <w:vMerge w:val="restart"/>
            <w:tcBorders>
              <w:top w:val="nil"/>
              <w:left w:val="nil"/>
              <w:bottom w:val="nil"/>
              <w:right w:val="nil"/>
            </w:tcBorders>
            <w:shd w:val="clear" w:color="auto" w:fill="auto"/>
            <w:vAlign w:val="bottom"/>
          </w:tcPr>
          <w:p w14:paraId="76EDD313"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Sicredi</w:t>
            </w:r>
          </w:p>
        </w:tc>
        <w:tc>
          <w:tcPr>
            <w:tcW w:w="478" w:type="dxa"/>
            <w:tcBorders>
              <w:top w:val="single" w:sz="4" w:space="0" w:color="000000"/>
              <w:left w:val="nil"/>
              <w:bottom w:val="nil"/>
              <w:right w:val="nil"/>
            </w:tcBorders>
            <w:shd w:val="clear" w:color="auto" w:fill="auto"/>
            <w:vAlign w:val="bottom"/>
          </w:tcPr>
          <w:p w14:paraId="1CC7705F" w14:textId="77777777" w:rsidR="00EC4499" w:rsidRDefault="00433EA7">
            <w:pPr>
              <w:spacing w:after="0" w:line="240" w:lineRule="auto"/>
              <w:ind w:left="-16"/>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1790" w:type="dxa"/>
            <w:tcBorders>
              <w:top w:val="single" w:sz="4" w:space="0" w:color="000000"/>
              <w:left w:val="nil"/>
              <w:bottom w:val="nil"/>
              <w:right w:val="nil"/>
            </w:tcBorders>
            <w:shd w:val="clear" w:color="auto" w:fill="auto"/>
            <w:vAlign w:val="bottom"/>
          </w:tcPr>
          <w:p w14:paraId="2A2EB8B7"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177" w:type="dxa"/>
            <w:tcBorders>
              <w:top w:val="single" w:sz="4" w:space="0" w:color="000000"/>
              <w:left w:val="nil"/>
              <w:bottom w:val="nil"/>
              <w:right w:val="nil"/>
            </w:tcBorders>
            <w:shd w:val="clear" w:color="auto" w:fill="auto"/>
            <w:vAlign w:val="bottom"/>
          </w:tcPr>
          <w:p w14:paraId="5D7113E7"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280" w:type="dxa"/>
            <w:tcBorders>
              <w:top w:val="single" w:sz="4" w:space="0" w:color="000000"/>
              <w:left w:val="nil"/>
              <w:bottom w:val="nil"/>
              <w:right w:val="nil"/>
            </w:tcBorders>
            <w:shd w:val="clear" w:color="auto" w:fill="auto"/>
            <w:vAlign w:val="bottom"/>
          </w:tcPr>
          <w:p w14:paraId="56157370"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4</w:t>
            </w:r>
          </w:p>
        </w:tc>
      </w:tr>
      <w:tr w:rsidR="00EC4499" w14:paraId="501BAA23" w14:textId="77777777">
        <w:trPr>
          <w:trHeight w:val="288"/>
        </w:trPr>
        <w:tc>
          <w:tcPr>
            <w:tcW w:w="2410" w:type="dxa"/>
            <w:vMerge/>
            <w:tcBorders>
              <w:top w:val="nil"/>
              <w:left w:val="nil"/>
              <w:bottom w:val="nil"/>
              <w:right w:val="nil"/>
            </w:tcBorders>
            <w:shd w:val="clear" w:color="auto" w:fill="auto"/>
            <w:vAlign w:val="bottom"/>
          </w:tcPr>
          <w:p w14:paraId="14395705"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76CC1D5A" w14:textId="77777777" w:rsidR="00EC4499" w:rsidRDefault="00433EA7">
            <w:pPr>
              <w:spacing w:after="0" w:line="240" w:lineRule="auto"/>
              <w:ind w:left="-16"/>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1790" w:type="dxa"/>
            <w:tcBorders>
              <w:top w:val="nil"/>
              <w:left w:val="nil"/>
              <w:bottom w:val="single" w:sz="4" w:space="0" w:color="000000"/>
              <w:right w:val="nil"/>
            </w:tcBorders>
            <w:shd w:val="clear" w:color="auto" w:fill="auto"/>
            <w:vAlign w:val="bottom"/>
          </w:tcPr>
          <w:p w14:paraId="0F8EEAED"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177" w:type="dxa"/>
            <w:tcBorders>
              <w:top w:val="nil"/>
              <w:left w:val="nil"/>
              <w:bottom w:val="single" w:sz="4" w:space="0" w:color="000000"/>
              <w:right w:val="nil"/>
            </w:tcBorders>
            <w:shd w:val="clear" w:color="auto" w:fill="auto"/>
            <w:vAlign w:val="bottom"/>
          </w:tcPr>
          <w:p w14:paraId="78D748DB"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280" w:type="dxa"/>
            <w:tcBorders>
              <w:top w:val="nil"/>
              <w:left w:val="nil"/>
              <w:bottom w:val="single" w:sz="4" w:space="0" w:color="000000"/>
              <w:right w:val="nil"/>
            </w:tcBorders>
            <w:shd w:val="clear" w:color="auto" w:fill="auto"/>
            <w:vAlign w:val="bottom"/>
          </w:tcPr>
          <w:p w14:paraId="7612F3B0"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4</w:t>
            </w:r>
          </w:p>
        </w:tc>
      </w:tr>
    </w:tbl>
    <w:p w14:paraId="505ADCA7" w14:textId="77777777" w:rsidR="00EC4499" w:rsidRDefault="00EC4499">
      <w:pPr>
        <w:pBdr>
          <w:top w:val="nil"/>
          <w:left w:val="nil"/>
          <w:bottom w:val="nil"/>
          <w:right w:val="nil"/>
          <w:between w:val="nil"/>
        </w:pBdr>
        <w:spacing w:after="0" w:line="360" w:lineRule="auto"/>
        <w:ind w:left="720"/>
        <w:rPr>
          <w:rFonts w:ascii="Garamond" w:eastAsia="Garamond" w:hAnsi="Garamond" w:cs="Garamond"/>
          <w:b/>
          <w:color w:val="000000"/>
          <w:sz w:val="24"/>
          <w:szCs w:val="24"/>
        </w:rPr>
      </w:pPr>
    </w:p>
    <w:p w14:paraId="48CFC7A3" w14:textId="77777777" w:rsidR="00EC4499" w:rsidRDefault="00433EA7">
      <w:pPr>
        <w:spacing w:after="0" w:line="360" w:lineRule="auto"/>
        <w:rPr>
          <w:rFonts w:ascii="Garamond" w:eastAsia="Garamond" w:hAnsi="Garamond" w:cs="Garamond"/>
          <w:b/>
          <w:color w:val="000000"/>
          <w:sz w:val="24"/>
          <w:szCs w:val="24"/>
        </w:rPr>
      </w:pPr>
      <w:r>
        <w:rPr>
          <w:rFonts w:ascii="Garamond" w:eastAsia="Garamond" w:hAnsi="Garamond" w:cs="Garamond"/>
          <w:b/>
          <w:color w:val="000000"/>
          <w:sz w:val="24"/>
          <w:szCs w:val="24"/>
        </w:rPr>
        <w:lastRenderedPageBreak/>
        <w:t>P1: A organização adota diretrizes, standards ou frameworks que permitam que as informações sejam comparáveis às de outras organizações?</w:t>
      </w:r>
    </w:p>
    <w:p w14:paraId="662A914D" w14:textId="77777777" w:rsidR="00EC4499" w:rsidRDefault="00EC4499">
      <w:pPr>
        <w:spacing w:after="0" w:line="360" w:lineRule="auto"/>
        <w:ind w:left="360"/>
        <w:rPr>
          <w:rFonts w:ascii="Garamond" w:eastAsia="Garamond" w:hAnsi="Garamond" w:cs="Garamond"/>
          <w:color w:val="000000"/>
          <w:sz w:val="24"/>
          <w:szCs w:val="24"/>
        </w:rPr>
      </w:pPr>
    </w:p>
    <w:p w14:paraId="0A15360E" w14:textId="4232E20D" w:rsidR="00EC4499" w:rsidRPr="00F73D0C" w:rsidRDefault="00433EA7">
      <w:pPr>
        <w:spacing w:after="0" w:line="360" w:lineRule="auto"/>
        <w:ind w:firstLine="345"/>
        <w:jc w:val="both"/>
        <w:rPr>
          <w:rFonts w:ascii="Garamond" w:eastAsia="Garamond" w:hAnsi="Garamond" w:cs="Garamond"/>
          <w:sz w:val="24"/>
          <w:szCs w:val="24"/>
          <w:lang w:val="en-GB"/>
        </w:rPr>
      </w:pPr>
      <w:r>
        <w:rPr>
          <w:rFonts w:ascii="Garamond" w:eastAsia="Garamond" w:hAnsi="Garamond" w:cs="Garamond"/>
          <w:color w:val="000000"/>
          <w:sz w:val="24"/>
          <w:szCs w:val="24"/>
        </w:rPr>
        <w:t xml:space="preserve">Todos os bancos tiveram pontuação máxima no quesito, uma vez que, além do GRI, utilizam pelo menos mais um standard ou framework. </w:t>
      </w:r>
      <w:r w:rsidRPr="00F73D0C">
        <w:rPr>
          <w:rFonts w:ascii="Garamond" w:eastAsia="Garamond" w:hAnsi="Garamond" w:cs="Garamond"/>
          <w:color w:val="000000"/>
          <w:sz w:val="24"/>
          <w:szCs w:val="24"/>
          <w:lang w:val="en-GB"/>
        </w:rPr>
        <w:t xml:space="preserve">Os mais utilizados são </w:t>
      </w:r>
      <w:r w:rsidRPr="00F73D0C">
        <w:rPr>
          <w:rFonts w:ascii="Garamond" w:eastAsia="Garamond" w:hAnsi="Garamond" w:cs="Garamond"/>
          <w:i/>
          <w:sz w:val="24"/>
          <w:szCs w:val="24"/>
          <w:highlight w:val="white"/>
          <w:lang w:val="en-GB"/>
        </w:rPr>
        <w:t>Sustainability Accounting Standards Board</w:t>
      </w:r>
      <w:r w:rsidRPr="00F73D0C">
        <w:rPr>
          <w:rFonts w:ascii="Garamond" w:eastAsia="Garamond" w:hAnsi="Garamond" w:cs="Garamond"/>
          <w:color w:val="000000"/>
          <w:sz w:val="24"/>
          <w:szCs w:val="24"/>
          <w:lang w:val="en-GB"/>
        </w:rPr>
        <w:t xml:space="preserve"> (SASB), </w:t>
      </w:r>
      <w:r w:rsidRPr="00F73D0C">
        <w:rPr>
          <w:rFonts w:ascii="Garamond" w:eastAsia="Garamond" w:hAnsi="Garamond" w:cs="Garamond"/>
          <w:i/>
          <w:sz w:val="24"/>
          <w:szCs w:val="24"/>
          <w:lang w:val="en-GB"/>
        </w:rPr>
        <w:t>Task Force on Climate Related Financial Disclosures</w:t>
      </w:r>
      <w:r w:rsidRPr="00F73D0C">
        <w:rPr>
          <w:rFonts w:ascii="Garamond" w:eastAsia="Garamond" w:hAnsi="Garamond" w:cs="Garamond"/>
          <w:color w:val="000000"/>
          <w:sz w:val="24"/>
          <w:szCs w:val="24"/>
          <w:lang w:val="en-GB"/>
        </w:rPr>
        <w:t xml:space="preserve"> (TCFD), ODS, </w:t>
      </w:r>
      <w:r w:rsidRPr="00F73D0C">
        <w:rPr>
          <w:rFonts w:ascii="Garamond" w:eastAsia="Garamond" w:hAnsi="Garamond" w:cs="Garamond"/>
          <w:i/>
          <w:sz w:val="24"/>
          <w:szCs w:val="24"/>
          <w:lang w:val="en-GB"/>
        </w:rPr>
        <w:t>International Integrated Reporting Council</w:t>
      </w:r>
      <w:r w:rsidRPr="00F73D0C">
        <w:rPr>
          <w:rFonts w:ascii="Garamond" w:eastAsia="Garamond" w:hAnsi="Garamond" w:cs="Garamond"/>
          <w:color w:val="000000"/>
          <w:sz w:val="24"/>
          <w:szCs w:val="24"/>
          <w:lang w:val="en-GB"/>
        </w:rPr>
        <w:t xml:space="preserve"> (IIRC) e Pacto Global.</w:t>
      </w:r>
    </w:p>
    <w:p w14:paraId="0050C497" w14:textId="2D87E7B2" w:rsidR="00EC4499" w:rsidRPr="002E629C" w:rsidRDefault="00433EA7" w:rsidP="002E629C">
      <w:pPr>
        <w:spacing w:after="0" w:line="360" w:lineRule="auto"/>
        <w:ind w:firstLine="345"/>
        <w:jc w:val="both"/>
        <w:rPr>
          <w:rFonts w:ascii="Garamond" w:eastAsia="Garamond" w:hAnsi="Garamond" w:cs="Garamond"/>
          <w:color w:val="000000"/>
          <w:sz w:val="24"/>
          <w:szCs w:val="24"/>
        </w:rPr>
      </w:pPr>
      <w:r>
        <w:rPr>
          <w:rFonts w:ascii="Garamond" w:eastAsia="Garamond" w:hAnsi="Garamond" w:cs="Garamond"/>
          <w:color w:val="000000"/>
          <w:sz w:val="24"/>
          <w:szCs w:val="24"/>
        </w:rPr>
        <w:t>Enquanto Banco do Brasil, Bradesco, BTG Pactual, Citibank e Inter chegaram a utilizar 5 standards ou frameworks, Banco do Nordeste e J.P. Morgan usaram 2.</w:t>
      </w:r>
    </w:p>
    <w:p w14:paraId="359296B8" w14:textId="77777777" w:rsidR="00EC4499" w:rsidRDefault="00EC4499">
      <w:pPr>
        <w:spacing w:after="0" w:line="360" w:lineRule="auto"/>
        <w:ind w:left="360" w:firstLine="348"/>
        <w:rPr>
          <w:rFonts w:ascii="Garamond" w:eastAsia="Garamond" w:hAnsi="Garamond" w:cs="Garamond"/>
          <w:b/>
          <w:sz w:val="24"/>
          <w:szCs w:val="24"/>
        </w:rPr>
      </w:pPr>
    </w:p>
    <w:p w14:paraId="53ACDDB9" w14:textId="77777777" w:rsidR="00EC4499" w:rsidRDefault="00433EA7">
      <w:pPr>
        <w:spacing w:after="0" w:line="360" w:lineRule="auto"/>
        <w:rPr>
          <w:rFonts w:ascii="Garamond" w:eastAsia="Garamond" w:hAnsi="Garamond" w:cs="Garamond"/>
          <w:b/>
          <w:color w:val="000000"/>
          <w:sz w:val="24"/>
          <w:szCs w:val="24"/>
        </w:rPr>
      </w:pPr>
      <w:r>
        <w:rPr>
          <w:rFonts w:ascii="Garamond" w:eastAsia="Garamond" w:hAnsi="Garamond" w:cs="Garamond"/>
          <w:b/>
          <w:color w:val="000000"/>
          <w:sz w:val="24"/>
          <w:szCs w:val="24"/>
        </w:rPr>
        <w:t>P2: No relatório há comparação das informações ano a ano?</w:t>
      </w:r>
    </w:p>
    <w:p w14:paraId="29C2D202" w14:textId="77777777" w:rsidR="00EC4499" w:rsidRDefault="00EC4499">
      <w:pPr>
        <w:spacing w:after="0" w:line="360" w:lineRule="auto"/>
        <w:rPr>
          <w:rFonts w:ascii="Garamond" w:eastAsia="Garamond" w:hAnsi="Garamond" w:cs="Garamond"/>
          <w:color w:val="000000"/>
          <w:sz w:val="24"/>
          <w:szCs w:val="24"/>
        </w:rPr>
      </w:pPr>
    </w:p>
    <w:p w14:paraId="31FF5B5D"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Nos relatórios da amostra, a maior parte das informações é comparada com pelo menos 2 anos anteriores e nota-se uma evolução no quesito, pois em todos que houve notas diferentes entre 2021 e 2022 percebeu-se uma nota superior nos relatórios de 2022. </w:t>
      </w:r>
    </w:p>
    <w:p w14:paraId="2C60C0F3" w14:textId="77777777" w:rsidR="00EC4499" w:rsidRDefault="00433EA7">
      <w:pPr>
        <w:spacing w:after="0" w:line="360" w:lineRule="auto"/>
        <w:ind w:firstLine="708"/>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Os bancos que não apresentaram em ambos os relatórios a maior parte das informações com dados de pelo menos dois anos anteriores foram o Banco do Nordeste, Caixa Econômica Federal, Citibank, Inter e J.P. Morgan. </w:t>
      </w:r>
    </w:p>
    <w:p w14:paraId="16D6ECAB" w14:textId="77777777" w:rsidR="00EC4499" w:rsidRDefault="00433EA7">
      <w:pPr>
        <w:spacing w:after="0" w:line="360" w:lineRule="auto"/>
        <w:ind w:left="360"/>
        <w:rPr>
          <w:rFonts w:ascii="Garamond" w:eastAsia="Garamond" w:hAnsi="Garamond" w:cs="Garamond"/>
          <w:b/>
          <w:color w:val="000000"/>
          <w:sz w:val="24"/>
          <w:szCs w:val="24"/>
        </w:rPr>
      </w:pPr>
      <w:r>
        <w:rPr>
          <w:rFonts w:ascii="Garamond" w:eastAsia="Garamond" w:hAnsi="Garamond" w:cs="Garamond"/>
          <w:color w:val="000000"/>
          <w:sz w:val="24"/>
          <w:szCs w:val="24"/>
        </w:rPr>
        <w:tab/>
      </w:r>
    </w:p>
    <w:p w14:paraId="4E420D0C" w14:textId="77777777" w:rsidR="00EC4499" w:rsidRDefault="00433EA7">
      <w:pPr>
        <w:pStyle w:val="Ttulo3"/>
        <w:spacing w:after="0" w:line="360" w:lineRule="auto"/>
        <w:rPr>
          <w:rFonts w:ascii="Garamond" w:eastAsia="Garamond" w:hAnsi="Garamond" w:cs="Garamond"/>
          <w:sz w:val="24"/>
          <w:szCs w:val="24"/>
        </w:rPr>
      </w:pPr>
      <w:bookmarkStart w:id="20" w:name="_heading=h.1ey8c853yag1" w:colFirst="0" w:colLast="0"/>
      <w:bookmarkEnd w:id="20"/>
      <w:r>
        <w:rPr>
          <w:rFonts w:ascii="Garamond" w:eastAsia="Garamond" w:hAnsi="Garamond" w:cs="Garamond"/>
          <w:sz w:val="24"/>
          <w:szCs w:val="24"/>
        </w:rPr>
        <w:t xml:space="preserve">4.5.3 </w:t>
      </w:r>
      <w:r>
        <w:rPr>
          <w:rFonts w:ascii="Garamond" w:eastAsia="Garamond" w:hAnsi="Garamond" w:cs="Garamond"/>
          <w:sz w:val="24"/>
          <w:szCs w:val="24"/>
        </w:rPr>
        <w:tab/>
        <w:t>Princípio da Exatidão</w:t>
      </w:r>
    </w:p>
    <w:p w14:paraId="56FB76A6" w14:textId="77777777" w:rsidR="00EC4499" w:rsidRDefault="00EC4499">
      <w:pPr>
        <w:spacing w:after="0" w:line="360" w:lineRule="auto"/>
        <w:rPr>
          <w:rFonts w:ascii="Garamond" w:eastAsia="Garamond" w:hAnsi="Garamond" w:cs="Garamond"/>
          <w:color w:val="000000"/>
          <w:sz w:val="24"/>
          <w:szCs w:val="24"/>
        </w:rPr>
      </w:pPr>
    </w:p>
    <w:p w14:paraId="0803B0B9" w14:textId="77777777" w:rsidR="00EC4499" w:rsidRDefault="00433EA7">
      <w:pPr>
        <w:spacing w:after="0" w:line="360" w:lineRule="auto"/>
        <w:ind w:firstLine="708"/>
        <w:jc w:val="both"/>
        <w:rPr>
          <w:rFonts w:ascii="Garamond" w:eastAsia="Garamond" w:hAnsi="Garamond" w:cs="Garamond"/>
          <w:color w:val="000000"/>
          <w:sz w:val="24"/>
          <w:szCs w:val="24"/>
        </w:rPr>
      </w:pPr>
      <w:r>
        <w:rPr>
          <w:rFonts w:ascii="Garamond" w:eastAsia="Garamond" w:hAnsi="Garamond" w:cs="Garamond"/>
          <w:color w:val="000000"/>
          <w:sz w:val="24"/>
          <w:szCs w:val="24"/>
        </w:rPr>
        <w:t>Apresentamos a seguir os resultados obtidos a partir da análise dos relatórios com relação ao Princípio da Exatidão.</w:t>
      </w:r>
    </w:p>
    <w:p w14:paraId="4CF6C528" w14:textId="77777777" w:rsidR="008A224D" w:rsidRDefault="008A224D">
      <w:pPr>
        <w:spacing w:after="0" w:line="360" w:lineRule="auto"/>
        <w:ind w:firstLine="708"/>
        <w:jc w:val="both"/>
        <w:rPr>
          <w:rFonts w:ascii="Garamond" w:eastAsia="Garamond" w:hAnsi="Garamond" w:cs="Garamond"/>
          <w:color w:val="000000"/>
          <w:sz w:val="24"/>
          <w:szCs w:val="24"/>
        </w:rPr>
      </w:pPr>
    </w:p>
    <w:p w14:paraId="561E08B5" w14:textId="77777777" w:rsidR="008A224D" w:rsidRDefault="008A224D">
      <w:pPr>
        <w:spacing w:after="0" w:line="360" w:lineRule="auto"/>
        <w:ind w:firstLine="708"/>
        <w:jc w:val="both"/>
        <w:rPr>
          <w:rFonts w:ascii="Garamond" w:eastAsia="Garamond" w:hAnsi="Garamond" w:cs="Garamond"/>
          <w:color w:val="000000"/>
          <w:sz w:val="24"/>
          <w:szCs w:val="24"/>
        </w:rPr>
      </w:pPr>
    </w:p>
    <w:p w14:paraId="2AC1E2E2" w14:textId="77777777" w:rsidR="008A224D" w:rsidRDefault="008A224D">
      <w:pPr>
        <w:spacing w:after="0" w:line="360" w:lineRule="auto"/>
        <w:ind w:firstLine="708"/>
        <w:jc w:val="both"/>
        <w:rPr>
          <w:rFonts w:ascii="Garamond" w:eastAsia="Garamond" w:hAnsi="Garamond" w:cs="Garamond"/>
          <w:color w:val="000000"/>
          <w:sz w:val="24"/>
          <w:szCs w:val="24"/>
        </w:rPr>
      </w:pPr>
    </w:p>
    <w:p w14:paraId="39CA7160" w14:textId="77777777" w:rsidR="008A224D" w:rsidRDefault="008A224D">
      <w:pPr>
        <w:spacing w:after="0" w:line="360" w:lineRule="auto"/>
        <w:ind w:firstLine="708"/>
        <w:jc w:val="both"/>
        <w:rPr>
          <w:rFonts w:ascii="Garamond" w:eastAsia="Garamond" w:hAnsi="Garamond" w:cs="Garamond"/>
          <w:color w:val="000000"/>
          <w:sz w:val="24"/>
          <w:szCs w:val="24"/>
        </w:rPr>
      </w:pPr>
    </w:p>
    <w:p w14:paraId="2423B9D8" w14:textId="77777777" w:rsidR="008A224D" w:rsidRDefault="008A224D">
      <w:pPr>
        <w:spacing w:after="0" w:line="360" w:lineRule="auto"/>
        <w:ind w:firstLine="708"/>
        <w:jc w:val="both"/>
        <w:rPr>
          <w:rFonts w:ascii="Garamond" w:eastAsia="Garamond" w:hAnsi="Garamond" w:cs="Garamond"/>
          <w:color w:val="000000"/>
          <w:sz w:val="24"/>
          <w:szCs w:val="24"/>
        </w:rPr>
      </w:pPr>
    </w:p>
    <w:p w14:paraId="63E368C2" w14:textId="77777777" w:rsidR="008A224D" w:rsidRDefault="008A224D">
      <w:pPr>
        <w:spacing w:after="0" w:line="360" w:lineRule="auto"/>
        <w:ind w:firstLine="708"/>
        <w:jc w:val="both"/>
        <w:rPr>
          <w:rFonts w:ascii="Garamond" w:eastAsia="Garamond" w:hAnsi="Garamond" w:cs="Garamond"/>
          <w:color w:val="000000"/>
          <w:sz w:val="24"/>
          <w:szCs w:val="24"/>
        </w:rPr>
      </w:pPr>
    </w:p>
    <w:p w14:paraId="5719D023" w14:textId="77777777" w:rsidR="008A224D" w:rsidRDefault="008A224D">
      <w:pPr>
        <w:spacing w:after="0" w:line="360" w:lineRule="auto"/>
        <w:ind w:firstLine="708"/>
        <w:jc w:val="both"/>
        <w:rPr>
          <w:rFonts w:ascii="Garamond" w:eastAsia="Garamond" w:hAnsi="Garamond" w:cs="Garamond"/>
          <w:color w:val="000000"/>
          <w:sz w:val="24"/>
          <w:szCs w:val="24"/>
        </w:rPr>
      </w:pPr>
    </w:p>
    <w:p w14:paraId="1C3406A1" w14:textId="77777777" w:rsidR="008A224D" w:rsidRDefault="008A224D">
      <w:pPr>
        <w:spacing w:after="0" w:line="360" w:lineRule="auto"/>
        <w:ind w:firstLine="708"/>
        <w:jc w:val="both"/>
        <w:rPr>
          <w:rFonts w:ascii="Garamond" w:eastAsia="Garamond" w:hAnsi="Garamond" w:cs="Garamond"/>
          <w:color w:val="000000"/>
          <w:sz w:val="24"/>
          <w:szCs w:val="24"/>
        </w:rPr>
      </w:pPr>
    </w:p>
    <w:p w14:paraId="492F279E" w14:textId="77777777" w:rsidR="008A224D" w:rsidRDefault="008A224D">
      <w:pPr>
        <w:spacing w:after="0" w:line="360" w:lineRule="auto"/>
        <w:ind w:firstLine="708"/>
        <w:jc w:val="both"/>
        <w:rPr>
          <w:rFonts w:ascii="Garamond" w:eastAsia="Garamond" w:hAnsi="Garamond" w:cs="Garamond"/>
          <w:color w:val="000000"/>
          <w:sz w:val="24"/>
          <w:szCs w:val="24"/>
        </w:rPr>
      </w:pPr>
    </w:p>
    <w:p w14:paraId="268F00E0" w14:textId="77777777" w:rsidR="008A224D" w:rsidRDefault="008A224D">
      <w:pPr>
        <w:spacing w:after="0" w:line="360" w:lineRule="auto"/>
        <w:ind w:firstLine="708"/>
        <w:jc w:val="both"/>
        <w:rPr>
          <w:rFonts w:ascii="Garamond" w:eastAsia="Garamond" w:hAnsi="Garamond" w:cs="Garamond"/>
          <w:color w:val="000000"/>
          <w:sz w:val="24"/>
          <w:szCs w:val="24"/>
        </w:rPr>
      </w:pPr>
    </w:p>
    <w:p w14:paraId="2EA3D6AA" w14:textId="77777777" w:rsidR="008A224D" w:rsidRDefault="008A224D">
      <w:pPr>
        <w:spacing w:after="0" w:line="360" w:lineRule="auto"/>
        <w:ind w:firstLine="708"/>
        <w:jc w:val="both"/>
        <w:rPr>
          <w:rFonts w:ascii="Garamond" w:eastAsia="Garamond" w:hAnsi="Garamond" w:cs="Garamond"/>
          <w:color w:val="000000"/>
          <w:sz w:val="24"/>
          <w:szCs w:val="24"/>
        </w:rPr>
      </w:pPr>
    </w:p>
    <w:p w14:paraId="65BF978F" w14:textId="77777777" w:rsidR="00E05DC3" w:rsidRDefault="00E05DC3">
      <w:pPr>
        <w:spacing w:after="0" w:line="360" w:lineRule="auto"/>
        <w:ind w:firstLine="708"/>
        <w:jc w:val="both"/>
        <w:rPr>
          <w:rFonts w:ascii="Garamond" w:eastAsia="Garamond" w:hAnsi="Garamond" w:cs="Garamond"/>
          <w:color w:val="000000"/>
          <w:sz w:val="24"/>
          <w:szCs w:val="24"/>
        </w:rPr>
      </w:pPr>
    </w:p>
    <w:p w14:paraId="109F6AB3" w14:textId="7CA0CD51" w:rsidR="00EC4499" w:rsidRDefault="00433EA7">
      <w:pPr>
        <w:spacing w:after="0" w:line="360" w:lineRule="auto"/>
        <w:jc w:val="center"/>
        <w:rPr>
          <w:rFonts w:ascii="Garamond" w:eastAsia="Garamond" w:hAnsi="Garamond" w:cs="Garamond"/>
          <w:i/>
          <w:color w:val="000000"/>
          <w:sz w:val="24"/>
          <w:szCs w:val="24"/>
        </w:rPr>
      </w:pPr>
      <w:r>
        <w:rPr>
          <w:rFonts w:ascii="Garamond" w:eastAsia="Garamond" w:hAnsi="Garamond" w:cs="Garamond"/>
          <w:color w:val="000000"/>
          <w:sz w:val="24"/>
          <w:szCs w:val="24"/>
        </w:rPr>
        <w:t>Tabela 2</w:t>
      </w:r>
      <w:r w:rsidR="004360BC">
        <w:rPr>
          <w:rFonts w:ascii="Garamond" w:eastAsia="Garamond" w:hAnsi="Garamond" w:cs="Garamond"/>
          <w:color w:val="000000"/>
          <w:sz w:val="24"/>
          <w:szCs w:val="24"/>
        </w:rPr>
        <w:t>3</w:t>
      </w:r>
      <w:r>
        <w:rPr>
          <w:rFonts w:ascii="Garamond" w:eastAsia="Garamond" w:hAnsi="Garamond" w:cs="Garamond"/>
          <w:color w:val="000000"/>
          <w:sz w:val="24"/>
          <w:szCs w:val="24"/>
        </w:rPr>
        <w:t xml:space="preserve"> - Princípio da Exatidão</w:t>
      </w:r>
    </w:p>
    <w:tbl>
      <w:tblPr>
        <w:tblStyle w:val="af4"/>
        <w:tblW w:w="8221" w:type="dxa"/>
        <w:tblInd w:w="284" w:type="dxa"/>
        <w:tblLayout w:type="fixed"/>
        <w:tblLook w:val="0400" w:firstRow="0" w:lastRow="0" w:firstColumn="0" w:lastColumn="0" w:noHBand="0" w:noVBand="1"/>
      </w:tblPr>
      <w:tblGrid>
        <w:gridCol w:w="2410"/>
        <w:gridCol w:w="478"/>
        <w:gridCol w:w="2924"/>
        <w:gridCol w:w="2409"/>
      </w:tblGrid>
      <w:tr w:rsidR="00EC4499" w14:paraId="199A2686" w14:textId="77777777" w:rsidTr="002E629C">
        <w:trPr>
          <w:trHeight w:val="288"/>
        </w:trPr>
        <w:tc>
          <w:tcPr>
            <w:tcW w:w="2410" w:type="dxa"/>
            <w:tcBorders>
              <w:top w:val="nil"/>
              <w:left w:val="nil"/>
              <w:bottom w:val="single" w:sz="4" w:space="0" w:color="000000"/>
              <w:right w:val="nil"/>
            </w:tcBorders>
            <w:shd w:val="clear" w:color="auto" w:fill="auto"/>
            <w:vAlign w:val="bottom"/>
          </w:tcPr>
          <w:p w14:paraId="4ECCFF10" w14:textId="77777777" w:rsidR="00EC4499" w:rsidRDefault="00433EA7">
            <w:pPr>
              <w:spacing w:after="0" w:line="240" w:lineRule="auto"/>
              <w:rPr>
                <w:rFonts w:ascii="Garamond" w:eastAsia="Garamond" w:hAnsi="Garamond" w:cs="Garamond"/>
                <w:b/>
                <w:color w:val="000000"/>
                <w:sz w:val="18"/>
                <w:szCs w:val="18"/>
              </w:rPr>
            </w:pPr>
            <w:r>
              <w:rPr>
                <w:rFonts w:ascii="Garamond" w:eastAsia="Garamond" w:hAnsi="Garamond" w:cs="Garamond"/>
                <w:b/>
                <w:color w:val="000000"/>
                <w:sz w:val="24"/>
                <w:szCs w:val="24"/>
              </w:rPr>
              <w:tab/>
            </w:r>
            <w:r>
              <w:rPr>
                <w:rFonts w:ascii="Garamond" w:eastAsia="Garamond" w:hAnsi="Garamond" w:cs="Garamond"/>
                <w:b/>
                <w:color w:val="000000"/>
                <w:sz w:val="18"/>
                <w:szCs w:val="18"/>
              </w:rPr>
              <w:t>Empresa</w:t>
            </w:r>
          </w:p>
        </w:tc>
        <w:tc>
          <w:tcPr>
            <w:tcW w:w="478" w:type="dxa"/>
            <w:tcBorders>
              <w:top w:val="nil"/>
              <w:left w:val="nil"/>
              <w:bottom w:val="single" w:sz="4" w:space="0" w:color="000000"/>
              <w:right w:val="nil"/>
            </w:tcBorders>
            <w:shd w:val="clear" w:color="auto" w:fill="auto"/>
            <w:vAlign w:val="bottom"/>
          </w:tcPr>
          <w:p w14:paraId="2961DED5"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Ano</w:t>
            </w:r>
          </w:p>
        </w:tc>
        <w:tc>
          <w:tcPr>
            <w:tcW w:w="2924" w:type="dxa"/>
            <w:tcBorders>
              <w:top w:val="nil"/>
              <w:left w:val="nil"/>
              <w:bottom w:val="single" w:sz="4" w:space="0" w:color="000000"/>
              <w:right w:val="nil"/>
            </w:tcBorders>
            <w:shd w:val="clear" w:color="auto" w:fill="auto"/>
            <w:vAlign w:val="bottom"/>
          </w:tcPr>
          <w:p w14:paraId="2AAE58F0" w14:textId="23708917" w:rsidR="00EC4499" w:rsidRDefault="00433EA7" w:rsidP="00EF291D">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 xml:space="preserve">     Pontuação P1</w:t>
            </w:r>
          </w:p>
        </w:tc>
        <w:tc>
          <w:tcPr>
            <w:tcW w:w="2409" w:type="dxa"/>
            <w:tcBorders>
              <w:top w:val="nil"/>
              <w:left w:val="nil"/>
              <w:bottom w:val="single" w:sz="4" w:space="0" w:color="000000"/>
              <w:right w:val="nil"/>
            </w:tcBorders>
            <w:shd w:val="clear" w:color="auto" w:fill="auto"/>
            <w:vAlign w:val="bottom"/>
          </w:tcPr>
          <w:p w14:paraId="7D96B491" w14:textId="21202BA6"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 xml:space="preserve">                                    </w:t>
            </w:r>
            <w:r w:rsidR="00EF291D">
              <w:rPr>
                <w:rFonts w:ascii="Garamond" w:eastAsia="Garamond" w:hAnsi="Garamond" w:cs="Garamond"/>
                <w:b/>
                <w:color w:val="000000"/>
                <w:sz w:val="18"/>
                <w:szCs w:val="18"/>
              </w:rPr>
              <w:t xml:space="preserve">   </w:t>
            </w:r>
            <w:r>
              <w:rPr>
                <w:rFonts w:ascii="Garamond" w:eastAsia="Garamond" w:hAnsi="Garamond" w:cs="Garamond"/>
                <w:b/>
                <w:color w:val="000000"/>
                <w:sz w:val="18"/>
                <w:szCs w:val="18"/>
              </w:rPr>
              <w:t xml:space="preserve">  Total</w:t>
            </w:r>
          </w:p>
        </w:tc>
      </w:tr>
      <w:tr w:rsidR="00EC4499" w14:paraId="3D054748" w14:textId="77777777" w:rsidTr="002E629C">
        <w:trPr>
          <w:trHeight w:val="288"/>
        </w:trPr>
        <w:tc>
          <w:tcPr>
            <w:tcW w:w="2410" w:type="dxa"/>
            <w:vMerge w:val="restart"/>
            <w:tcBorders>
              <w:top w:val="single" w:sz="4" w:space="0" w:color="000000"/>
              <w:left w:val="nil"/>
              <w:bottom w:val="nil"/>
              <w:right w:val="nil"/>
            </w:tcBorders>
            <w:shd w:val="clear" w:color="auto" w:fill="auto"/>
            <w:vAlign w:val="bottom"/>
          </w:tcPr>
          <w:p w14:paraId="49C4A24B"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Banco do Brasil </w:t>
            </w:r>
          </w:p>
        </w:tc>
        <w:tc>
          <w:tcPr>
            <w:tcW w:w="478" w:type="dxa"/>
            <w:tcBorders>
              <w:top w:val="single" w:sz="4" w:space="0" w:color="000000"/>
              <w:left w:val="nil"/>
              <w:bottom w:val="nil"/>
              <w:right w:val="nil"/>
            </w:tcBorders>
            <w:shd w:val="clear" w:color="auto" w:fill="auto"/>
            <w:vAlign w:val="bottom"/>
          </w:tcPr>
          <w:p w14:paraId="1792F941" w14:textId="77777777" w:rsidR="00EC4499" w:rsidRDefault="00433EA7">
            <w:pPr>
              <w:spacing w:after="0" w:line="240" w:lineRule="auto"/>
              <w:ind w:right="-150"/>
              <w:jc w:val="right"/>
              <w:rPr>
                <w:rFonts w:ascii="Garamond" w:eastAsia="Garamond" w:hAnsi="Garamond" w:cs="Garamond"/>
                <w:color w:val="000000"/>
                <w:sz w:val="18"/>
                <w:szCs w:val="18"/>
              </w:rPr>
            </w:pPr>
            <w:r>
              <w:rPr>
                <w:rFonts w:ascii="Garamond" w:eastAsia="Garamond" w:hAnsi="Garamond" w:cs="Garamond"/>
                <w:color w:val="000000"/>
                <w:sz w:val="18"/>
                <w:szCs w:val="18"/>
              </w:rPr>
              <w:t>20211</w:t>
            </w:r>
          </w:p>
        </w:tc>
        <w:tc>
          <w:tcPr>
            <w:tcW w:w="2924" w:type="dxa"/>
            <w:tcBorders>
              <w:top w:val="single" w:sz="4" w:space="0" w:color="000000"/>
              <w:left w:val="nil"/>
              <w:bottom w:val="nil"/>
              <w:right w:val="nil"/>
            </w:tcBorders>
            <w:shd w:val="clear" w:color="auto" w:fill="auto"/>
            <w:vAlign w:val="bottom"/>
          </w:tcPr>
          <w:p w14:paraId="7C70FC90"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409" w:type="dxa"/>
            <w:tcBorders>
              <w:top w:val="single" w:sz="4" w:space="0" w:color="000000"/>
              <w:left w:val="nil"/>
              <w:bottom w:val="nil"/>
              <w:right w:val="nil"/>
            </w:tcBorders>
            <w:shd w:val="clear" w:color="auto" w:fill="auto"/>
            <w:vAlign w:val="bottom"/>
          </w:tcPr>
          <w:p w14:paraId="15962B3C"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27DF510A" w14:textId="77777777" w:rsidTr="002E629C">
        <w:trPr>
          <w:trHeight w:val="288"/>
        </w:trPr>
        <w:tc>
          <w:tcPr>
            <w:tcW w:w="2410" w:type="dxa"/>
            <w:vMerge/>
            <w:tcBorders>
              <w:top w:val="single" w:sz="4" w:space="0" w:color="000000"/>
              <w:left w:val="nil"/>
              <w:bottom w:val="nil"/>
              <w:right w:val="nil"/>
            </w:tcBorders>
            <w:shd w:val="clear" w:color="auto" w:fill="auto"/>
            <w:vAlign w:val="bottom"/>
          </w:tcPr>
          <w:p w14:paraId="0E8C6EA0"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3C7C9EF5" w14:textId="77777777" w:rsidR="00EC4499" w:rsidRDefault="00433EA7">
            <w:pPr>
              <w:spacing w:after="0" w:line="240" w:lineRule="auto"/>
              <w:ind w:right="-166"/>
              <w:jc w:val="right"/>
              <w:rPr>
                <w:rFonts w:ascii="Garamond" w:eastAsia="Garamond" w:hAnsi="Garamond" w:cs="Garamond"/>
                <w:color w:val="000000"/>
                <w:sz w:val="18"/>
                <w:szCs w:val="18"/>
              </w:rPr>
            </w:pPr>
            <w:r>
              <w:rPr>
                <w:rFonts w:ascii="Garamond" w:eastAsia="Garamond" w:hAnsi="Garamond" w:cs="Garamond"/>
                <w:color w:val="000000"/>
                <w:sz w:val="18"/>
                <w:szCs w:val="18"/>
              </w:rPr>
              <w:t>2022</w:t>
            </w:r>
            <w:r>
              <w:rPr>
                <w:rFonts w:ascii="Garamond" w:eastAsia="Garamond" w:hAnsi="Garamond" w:cs="Garamond"/>
                <w:sz w:val="18"/>
                <w:szCs w:val="18"/>
              </w:rPr>
              <w:t>2</w:t>
            </w:r>
          </w:p>
        </w:tc>
        <w:tc>
          <w:tcPr>
            <w:tcW w:w="2924" w:type="dxa"/>
            <w:tcBorders>
              <w:top w:val="nil"/>
              <w:left w:val="nil"/>
              <w:bottom w:val="single" w:sz="4" w:space="0" w:color="000000"/>
              <w:right w:val="nil"/>
            </w:tcBorders>
            <w:shd w:val="clear" w:color="auto" w:fill="auto"/>
            <w:vAlign w:val="bottom"/>
          </w:tcPr>
          <w:p w14:paraId="13EAE4A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409" w:type="dxa"/>
            <w:tcBorders>
              <w:top w:val="nil"/>
              <w:left w:val="nil"/>
              <w:bottom w:val="single" w:sz="4" w:space="0" w:color="000000"/>
              <w:right w:val="nil"/>
            </w:tcBorders>
            <w:shd w:val="clear" w:color="auto" w:fill="auto"/>
            <w:vAlign w:val="bottom"/>
          </w:tcPr>
          <w:p w14:paraId="35520D91"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4281F0D0" w14:textId="77777777" w:rsidTr="002E629C">
        <w:trPr>
          <w:trHeight w:val="288"/>
        </w:trPr>
        <w:tc>
          <w:tcPr>
            <w:tcW w:w="2410" w:type="dxa"/>
            <w:vMerge w:val="restart"/>
            <w:tcBorders>
              <w:top w:val="nil"/>
              <w:left w:val="nil"/>
              <w:bottom w:val="nil"/>
              <w:right w:val="nil"/>
            </w:tcBorders>
            <w:shd w:val="clear" w:color="auto" w:fill="auto"/>
            <w:vAlign w:val="bottom"/>
          </w:tcPr>
          <w:p w14:paraId="3D34AC8C"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Banco do Nordeste </w:t>
            </w:r>
          </w:p>
        </w:tc>
        <w:tc>
          <w:tcPr>
            <w:tcW w:w="478" w:type="dxa"/>
            <w:tcBorders>
              <w:top w:val="single" w:sz="4" w:space="0" w:color="000000"/>
              <w:left w:val="nil"/>
              <w:bottom w:val="nil"/>
              <w:right w:val="nil"/>
            </w:tcBorders>
            <w:shd w:val="clear" w:color="auto" w:fill="auto"/>
            <w:vAlign w:val="bottom"/>
          </w:tcPr>
          <w:p w14:paraId="28CC4E61" w14:textId="77777777" w:rsidR="00EC4499" w:rsidRDefault="00433EA7">
            <w:pPr>
              <w:spacing w:after="0" w:line="240" w:lineRule="auto"/>
              <w:ind w:right="-236"/>
              <w:jc w:val="right"/>
              <w:rPr>
                <w:rFonts w:ascii="Garamond" w:eastAsia="Garamond" w:hAnsi="Garamond" w:cs="Garamond"/>
                <w:color w:val="000000"/>
                <w:sz w:val="18"/>
                <w:szCs w:val="18"/>
              </w:rPr>
            </w:pPr>
            <w:r>
              <w:rPr>
                <w:rFonts w:ascii="Garamond" w:eastAsia="Garamond" w:hAnsi="Garamond" w:cs="Garamond"/>
                <w:color w:val="000000"/>
                <w:sz w:val="18"/>
                <w:szCs w:val="18"/>
              </w:rPr>
              <w:t>202121</w:t>
            </w:r>
          </w:p>
        </w:tc>
        <w:tc>
          <w:tcPr>
            <w:tcW w:w="2924" w:type="dxa"/>
            <w:tcBorders>
              <w:top w:val="single" w:sz="4" w:space="0" w:color="000000"/>
              <w:left w:val="nil"/>
              <w:bottom w:val="nil"/>
              <w:right w:val="nil"/>
            </w:tcBorders>
            <w:shd w:val="clear" w:color="auto" w:fill="auto"/>
            <w:vAlign w:val="bottom"/>
          </w:tcPr>
          <w:p w14:paraId="40E798B5"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409" w:type="dxa"/>
            <w:tcBorders>
              <w:top w:val="single" w:sz="4" w:space="0" w:color="000000"/>
              <w:left w:val="nil"/>
              <w:bottom w:val="nil"/>
              <w:right w:val="nil"/>
            </w:tcBorders>
            <w:shd w:val="clear" w:color="auto" w:fill="auto"/>
            <w:vAlign w:val="bottom"/>
          </w:tcPr>
          <w:p w14:paraId="0FDA3DCF"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429BB944" w14:textId="77777777" w:rsidTr="002E629C">
        <w:trPr>
          <w:trHeight w:val="288"/>
        </w:trPr>
        <w:tc>
          <w:tcPr>
            <w:tcW w:w="2410" w:type="dxa"/>
            <w:vMerge/>
            <w:tcBorders>
              <w:top w:val="nil"/>
              <w:left w:val="nil"/>
              <w:bottom w:val="nil"/>
              <w:right w:val="nil"/>
            </w:tcBorders>
            <w:shd w:val="clear" w:color="auto" w:fill="auto"/>
            <w:vAlign w:val="bottom"/>
          </w:tcPr>
          <w:p w14:paraId="0E002166"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360E049F" w14:textId="77777777" w:rsidR="00EC4499" w:rsidRDefault="00433EA7">
            <w:pPr>
              <w:spacing w:after="0" w:line="240" w:lineRule="auto"/>
              <w:ind w:right="-236"/>
              <w:jc w:val="right"/>
              <w:rPr>
                <w:rFonts w:ascii="Garamond" w:eastAsia="Garamond" w:hAnsi="Garamond" w:cs="Garamond"/>
                <w:color w:val="000000"/>
                <w:sz w:val="18"/>
                <w:szCs w:val="18"/>
              </w:rPr>
            </w:pPr>
            <w:r>
              <w:rPr>
                <w:rFonts w:ascii="Garamond" w:eastAsia="Garamond" w:hAnsi="Garamond" w:cs="Garamond"/>
                <w:color w:val="000000"/>
                <w:sz w:val="18"/>
                <w:szCs w:val="18"/>
              </w:rPr>
              <w:t>202222</w:t>
            </w:r>
          </w:p>
        </w:tc>
        <w:tc>
          <w:tcPr>
            <w:tcW w:w="2924" w:type="dxa"/>
            <w:tcBorders>
              <w:top w:val="nil"/>
              <w:left w:val="nil"/>
              <w:bottom w:val="single" w:sz="4" w:space="0" w:color="000000"/>
              <w:right w:val="nil"/>
            </w:tcBorders>
            <w:shd w:val="clear" w:color="auto" w:fill="auto"/>
            <w:vAlign w:val="bottom"/>
          </w:tcPr>
          <w:p w14:paraId="52D414F0"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409" w:type="dxa"/>
            <w:tcBorders>
              <w:top w:val="nil"/>
              <w:left w:val="nil"/>
              <w:bottom w:val="single" w:sz="4" w:space="0" w:color="000000"/>
              <w:right w:val="nil"/>
            </w:tcBorders>
            <w:shd w:val="clear" w:color="auto" w:fill="auto"/>
            <w:vAlign w:val="bottom"/>
          </w:tcPr>
          <w:p w14:paraId="2D34187A"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61E920F7" w14:textId="77777777" w:rsidTr="002E629C">
        <w:trPr>
          <w:trHeight w:val="288"/>
        </w:trPr>
        <w:tc>
          <w:tcPr>
            <w:tcW w:w="2410" w:type="dxa"/>
            <w:vMerge w:val="restart"/>
            <w:tcBorders>
              <w:top w:val="nil"/>
              <w:left w:val="nil"/>
              <w:bottom w:val="nil"/>
              <w:right w:val="nil"/>
            </w:tcBorders>
            <w:shd w:val="clear" w:color="auto" w:fill="auto"/>
            <w:vAlign w:val="bottom"/>
          </w:tcPr>
          <w:p w14:paraId="6B1F4157"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BNDES</w:t>
            </w:r>
          </w:p>
        </w:tc>
        <w:tc>
          <w:tcPr>
            <w:tcW w:w="478" w:type="dxa"/>
            <w:tcBorders>
              <w:top w:val="single" w:sz="4" w:space="0" w:color="000000"/>
              <w:left w:val="nil"/>
              <w:bottom w:val="nil"/>
              <w:right w:val="nil"/>
            </w:tcBorders>
            <w:shd w:val="clear" w:color="auto" w:fill="auto"/>
            <w:vAlign w:val="bottom"/>
          </w:tcPr>
          <w:p w14:paraId="291A8611" w14:textId="77777777" w:rsidR="00EC4499" w:rsidRDefault="00433EA7">
            <w:pPr>
              <w:spacing w:after="0" w:line="240" w:lineRule="auto"/>
              <w:ind w:right="-236"/>
              <w:jc w:val="right"/>
              <w:rPr>
                <w:rFonts w:ascii="Garamond" w:eastAsia="Garamond" w:hAnsi="Garamond" w:cs="Garamond"/>
                <w:color w:val="000000"/>
                <w:sz w:val="18"/>
                <w:szCs w:val="18"/>
              </w:rPr>
            </w:pPr>
            <w:r>
              <w:rPr>
                <w:rFonts w:ascii="Garamond" w:eastAsia="Garamond" w:hAnsi="Garamond" w:cs="Garamond"/>
                <w:color w:val="000000"/>
                <w:sz w:val="18"/>
                <w:szCs w:val="18"/>
              </w:rPr>
              <w:t>202121</w:t>
            </w:r>
          </w:p>
        </w:tc>
        <w:tc>
          <w:tcPr>
            <w:tcW w:w="2924" w:type="dxa"/>
            <w:tcBorders>
              <w:top w:val="single" w:sz="4" w:space="0" w:color="000000"/>
              <w:left w:val="nil"/>
              <w:bottom w:val="nil"/>
              <w:right w:val="nil"/>
            </w:tcBorders>
            <w:shd w:val="clear" w:color="auto" w:fill="auto"/>
            <w:vAlign w:val="bottom"/>
          </w:tcPr>
          <w:p w14:paraId="7995FD8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409" w:type="dxa"/>
            <w:tcBorders>
              <w:top w:val="single" w:sz="4" w:space="0" w:color="000000"/>
              <w:left w:val="nil"/>
              <w:bottom w:val="nil"/>
              <w:right w:val="nil"/>
            </w:tcBorders>
            <w:shd w:val="clear" w:color="auto" w:fill="auto"/>
            <w:vAlign w:val="bottom"/>
          </w:tcPr>
          <w:p w14:paraId="0A2C55ED"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63DAEEB0" w14:textId="77777777" w:rsidTr="002E629C">
        <w:trPr>
          <w:trHeight w:val="288"/>
        </w:trPr>
        <w:tc>
          <w:tcPr>
            <w:tcW w:w="2410" w:type="dxa"/>
            <w:vMerge/>
            <w:tcBorders>
              <w:top w:val="nil"/>
              <w:left w:val="nil"/>
              <w:bottom w:val="nil"/>
              <w:right w:val="nil"/>
            </w:tcBorders>
            <w:shd w:val="clear" w:color="auto" w:fill="auto"/>
            <w:vAlign w:val="bottom"/>
          </w:tcPr>
          <w:p w14:paraId="47A28297"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4078B30C" w14:textId="77777777" w:rsidR="00EC4499" w:rsidRDefault="00433EA7">
            <w:pPr>
              <w:spacing w:after="0" w:line="240" w:lineRule="auto"/>
              <w:ind w:right="-236"/>
              <w:jc w:val="right"/>
              <w:rPr>
                <w:rFonts w:ascii="Garamond" w:eastAsia="Garamond" w:hAnsi="Garamond" w:cs="Garamond"/>
                <w:color w:val="000000"/>
                <w:sz w:val="18"/>
                <w:szCs w:val="18"/>
              </w:rPr>
            </w:pPr>
            <w:r>
              <w:rPr>
                <w:rFonts w:ascii="Garamond" w:eastAsia="Garamond" w:hAnsi="Garamond" w:cs="Garamond"/>
                <w:color w:val="000000"/>
                <w:sz w:val="18"/>
                <w:szCs w:val="18"/>
              </w:rPr>
              <w:t>202222</w:t>
            </w:r>
          </w:p>
        </w:tc>
        <w:tc>
          <w:tcPr>
            <w:tcW w:w="2924" w:type="dxa"/>
            <w:tcBorders>
              <w:top w:val="nil"/>
              <w:left w:val="nil"/>
              <w:bottom w:val="single" w:sz="4" w:space="0" w:color="000000"/>
              <w:right w:val="nil"/>
            </w:tcBorders>
            <w:shd w:val="clear" w:color="auto" w:fill="auto"/>
            <w:vAlign w:val="bottom"/>
          </w:tcPr>
          <w:p w14:paraId="7179A52E"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409" w:type="dxa"/>
            <w:tcBorders>
              <w:top w:val="nil"/>
              <w:left w:val="nil"/>
              <w:bottom w:val="single" w:sz="4" w:space="0" w:color="000000"/>
              <w:right w:val="nil"/>
            </w:tcBorders>
            <w:shd w:val="clear" w:color="auto" w:fill="auto"/>
            <w:vAlign w:val="bottom"/>
          </w:tcPr>
          <w:p w14:paraId="62C2BD09"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62B71BB9" w14:textId="77777777" w:rsidTr="002E629C">
        <w:trPr>
          <w:trHeight w:val="288"/>
        </w:trPr>
        <w:tc>
          <w:tcPr>
            <w:tcW w:w="2410" w:type="dxa"/>
            <w:vMerge w:val="restart"/>
            <w:tcBorders>
              <w:top w:val="nil"/>
              <w:left w:val="nil"/>
              <w:bottom w:val="nil"/>
              <w:right w:val="nil"/>
            </w:tcBorders>
            <w:shd w:val="clear" w:color="auto" w:fill="auto"/>
            <w:vAlign w:val="bottom"/>
          </w:tcPr>
          <w:p w14:paraId="6103CFC5"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Bradesco</w:t>
            </w:r>
          </w:p>
        </w:tc>
        <w:tc>
          <w:tcPr>
            <w:tcW w:w="478" w:type="dxa"/>
            <w:tcBorders>
              <w:top w:val="single" w:sz="4" w:space="0" w:color="000000"/>
              <w:left w:val="nil"/>
              <w:bottom w:val="nil"/>
              <w:right w:val="nil"/>
            </w:tcBorders>
            <w:shd w:val="clear" w:color="auto" w:fill="auto"/>
            <w:vAlign w:val="bottom"/>
          </w:tcPr>
          <w:p w14:paraId="6A469FBE" w14:textId="77777777" w:rsidR="00EC4499" w:rsidRDefault="00433EA7">
            <w:pPr>
              <w:spacing w:after="0" w:line="240" w:lineRule="auto"/>
              <w:ind w:right="-236"/>
              <w:jc w:val="right"/>
              <w:rPr>
                <w:rFonts w:ascii="Garamond" w:eastAsia="Garamond" w:hAnsi="Garamond" w:cs="Garamond"/>
                <w:color w:val="000000"/>
                <w:sz w:val="18"/>
                <w:szCs w:val="18"/>
              </w:rPr>
            </w:pPr>
            <w:r>
              <w:rPr>
                <w:rFonts w:ascii="Garamond" w:eastAsia="Garamond" w:hAnsi="Garamond" w:cs="Garamond"/>
                <w:color w:val="000000"/>
                <w:sz w:val="18"/>
                <w:szCs w:val="18"/>
              </w:rPr>
              <w:t>202121</w:t>
            </w:r>
          </w:p>
        </w:tc>
        <w:tc>
          <w:tcPr>
            <w:tcW w:w="2924" w:type="dxa"/>
            <w:tcBorders>
              <w:top w:val="single" w:sz="4" w:space="0" w:color="000000"/>
              <w:left w:val="nil"/>
              <w:bottom w:val="nil"/>
              <w:right w:val="nil"/>
            </w:tcBorders>
            <w:shd w:val="clear" w:color="auto" w:fill="auto"/>
            <w:vAlign w:val="bottom"/>
          </w:tcPr>
          <w:p w14:paraId="326B1A6F"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409" w:type="dxa"/>
            <w:tcBorders>
              <w:top w:val="single" w:sz="4" w:space="0" w:color="000000"/>
              <w:left w:val="nil"/>
              <w:bottom w:val="nil"/>
              <w:right w:val="nil"/>
            </w:tcBorders>
            <w:shd w:val="clear" w:color="auto" w:fill="auto"/>
            <w:vAlign w:val="bottom"/>
          </w:tcPr>
          <w:p w14:paraId="51E1E911"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3EB45FD8" w14:textId="77777777" w:rsidTr="002E629C">
        <w:trPr>
          <w:trHeight w:val="288"/>
        </w:trPr>
        <w:tc>
          <w:tcPr>
            <w:tcW w:w="2410" w:type="dxa"/>
            <w:vMerge/>
            <w:tcBorders>
              <w:top w:val="nil"/>
              <w:left w:val="nil"/>
              <w:bottom w:val="nil"/>
              <w:right w:val="nil"/>
            </w:tcBorders>
            <w:shd w:val="clear" w:color="auto" w:fill="auto"/>
            <w:vAlign w:val="bottom"/>
          </w:tcPr>
          <w:p w14:paraId="25AF6D4A"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560064A2" w14:textId="77777777" w:rsidR="00EC4499" w:rsidRDefault="00433EA7">
            <w:pPr>
              <w:spacing w:after="0" w:line="240" w:lineRule="auto"/>
              <w:ind w:right="-236"/>
              <w:jc w:val="right"/>
              <w:rPr>
                <w:rFonts w:ascii="Garamond" w:eastAsia="Garamond" w:hAnsi="Garamond" w:cs="Garamond"/>
                <w:color w:val="000000"/>
                <w:sz w:val="18"/>
                <w:szCs w:val="18"/>
              </w:rPr>
            </w:pPr>
            <w:r>
              <w:rPr>
                <w:rFonts w:ascii="Garamond" w:eastAsia="Garamond" w:hAnsi="Garamond" w:cs="Garamond"/>
                <w:color w:val="000000"/>
                <w:sz w:val="18"/>
                <w:szCs w:val="18"/>
              </w:rPr>
              <w:t>202222</w:t>
            </w:r>
          </w:p>
        </w:tc>
        <w:tc>
          <w:tcPr>
            <w:tcW w:w="2924" w:type="dxa"/>
            <w:tcBorders>
              <w:top w:val="nil"/>
              <w:left w:val="nil"/>
              <w:bottom w:val="single" w:sz="4" w:space="0" w:color="000000"/>
              <w:right w:val="nil"/>
            </w:tcBorders>
            <w:shd w:val="clear" w:color="auto" w:fill="auto"/>
            <w:vAlign w:val="bottom"/>
          </w:tcPr>
          <w:p w14:paraId="68216FE5"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409" w:type="dxa"/>
            <w:tcBorders>
              <w:top w:val="nil"/>
              <w:left w:val="nil"/>
              <w:bottom w:val="single" w:sz="4" w:space="0" w:color="000000"/>
              <w:right w:val="nil"/>
            </w:tcBorders>
            <w:shd w:val="clear" w:color="auto" w:fill="auto"/>
            <w:vAlign w:val="bottom"/>
          </w:tcPr>
          <w:p w14:paraId="65CE843F"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254BE3AA" w14:textId="77777777" w:rsidTr="002E629C">
        <w:trPr>
          <w:trHeight w:val="288"/>
        </w:trPr>
        <w:tc>
          <w:tcPr>
            <w:tcW w:w="2410" w:type="dxa"/>
            <w:vMerge w:val="restart"/>
            <w:tcBorders>
              <w:top w:val="nil"/>
              <w:left w:val="nil"/>
              <w:bottom w:val="nil"/>
              <w:right w:val="nil"/>
            </w:tcBorders>
            <w:shd w:val="clear" w:color="auto" w:fill="auto"/>
            <w:vAlign w:val="bottom"/>
          </w:tcPr>
          <w:p w14:paraId="28CDBE15"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BTG Pactual</w:t>
            </w:r>
          </w:p>
        </w:tc>
        <w:tc>
          <w:tcPr>
            <w:tcW w:w="478" w:type="dxa"/>
            <w:tcBorders>
              <w:top w:val="single" w:sz="4" w:space="0" w:color="000000"/>
              <w:left w:val="nil"/>
              <w:bottom w:val="nil"/>
              <w:right w:val="nil"/>
            </w:tcBorders>
            <w:shd w:val="clear" w:color="auto" w:fill="auto"/>
            <w:vAlign w:val="bottom"/>
          </w:tcPr>
          <w:p w14:paraId="7801F295" w14:textId="77777777" w:rsidR="00EC4499" w:rsidRDefault="00433EA7">
            <w:pPr>
              <w:spacing w:after="0" w:line="240" w:lineRule="auto"/>
              <w:ind w:right="-236"/>
              <w:jc w:val="right"/>
              <w:rPr>
                <w:rFonts w:ascii="Garamond" w:eastAsia="Garamond" w:hAnsi="Garamond" w:cs="Garamond"/>
                <w:color w:val="000000"/>
                <w:sz w:val="18"/>
                <w:szCs w:val="18"/>
              </w:rPr>
            </w:pPr>
            <w:r>
              <w:rPr>
                <w:rFonts w:ascii="Garamond" w:eastAsia="Garamond" w:hAnsi="Garamond" w:cs="Garamond"/>
                <w:color w:val="000000"/>
                <w:sz w:val="18"/>
                <w:szCs w:val="18"/>
              </w:rPr>
              <w:t>202121</w:t>
            </w:r>
          </w:p>
        </w:tc>
        <w:tc>
          <w:tcPr>
            <w:tcW w:w="2924" w:type="dxa"/>
            <w:tcBorders>
              <w:top w:val="single" w:sz="4" w:space="0" w:color="000000"/>
              <w:left w:val="nil"/>
              <w:bottom w:val="nil"/>
              <w:right w:val="nil"/>
            </w:tcBorders>
            <w:shd w:val="clear" w:color="auto" w:fill="auto"/>
            <w:vAlign w:val="bottom"/>
          </w:tcPr>
          <w:p w14:paraId="7DC43EDA"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409" w:type="dxa"/>
            <w:tcBorders>
              <w:top w:val="single" w:sz="4" w:space="0" w:color="000000"/>
              <w:left w:val="nil"/>
              <w:bottom w:val="nil"/>
              <w:right w:val="nil"/>
            </w:tcBorders>
            <w:shd w:val="clear" w:color="auto" w:fill="auto"/>
            <w:vAlign w:val="bottom"/>
          </w:tcPr>
          <w:p w14:paraId="6CAC33CB"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30F0AE35" w14:textId="77777777" w:rsidTr="002E629C">
        <w:trPr>
          <w:trHeight w:val="288"/>
        </w:trPr>
        <w:tc>
          <w:tcPr>
            <w:tcW w:w="2410" w:type="dxa"/>
            <w:vMerge/>
            <w:tcBorders>
              <w:top w:val="nil"/>
              <w:left w:val="nil"/>
              <w:bottom w:val="nil"/>
              <w:right w:val="nil"/>
            </w:tcBorders>
            <w:shd w:val="clear" w:color="auto" w:fill="auto"/>
            <w:vAlign w:val="bottom"/>
          </w:tcPr>
          <w:p w14:paraId="6B69C067"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530732D7" w14:textId="77777777" w:rsidR="00EC4499" w:rsidRDefault="00433EA7">
            <w:pPr>
              <w:spacing w:after="0" w:line="240" w:lineRule="auto"/>
              <w:ind w:right="-236"/>
              <w:jc w:val="right"/>
              <w:rPr>
                <w:rFonts w:ascii="Garamond" w:eastAsia="Garamond" w:hAnsi="Garamond" w:cs="Garamond"/>
                <w:color w:val="000000"/>
                <w:sz w:val="18"/>
                <w:szCs w:val="18"/>
              </w:rPr>
            </w:pPr>
            <w:r>
              <w:rPr>
                <w:rFonts w:ascii="Garamond" w:eastAsia="Garamond" w:hAnsi="Garamond" w:cs="Garamond"/>
                <w:color w:val="000000"/>
                <w:sz w:val="18"/>
                <w:szCs w:val="18"/>
              </w:rPr>
              <w:t>202222</w:t>
            </w:r>
          </w:p>
        </w:tc>
        <w:tc>
          <w:tcPr>
            <w:tcW w:w="2924" w:type="dxa"/>
            <w:tcBorders>
              <w:top w:val="nil"/>
              <w:left w:val="nil"/>
              <w:bottom w:val="single" w:sz="4" w:space="0" w:color="000000"/>
              <w:right w:val="nil"/>
            </w:tcBorders>
            <w:shd w:val="clear" w:color="auto" w:fill="auto"/>
            <w:vAlign w:val="bottom"/>
          </w:tcPr>
          <w:p w14:paraId="56365305"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409" w:type="dxa"/>
            <w:tcBorders>
              <w:top w:val="nil"/>
              <w:left w:val="nil"/>
              <w:bottom w:val="single" w:sz="4" w:space="0" w:color="000000"/>
              <w:right w:val="nil"/>
            </w:tcBorders>
            <w:shd w:val="clear" w:color="auto" w:fill="auto"/>
            <w:vAlign w:val="bottom"/>
          </w:tcPr>
          <w:p w14:paraId="7D1BDCC0"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396289D0" w14:textId="77777777" w:rsidTr="002E629C">
        <w:trPr>
          <w:trHeight w:val="288"/>
        </w:trPr>
        <w:tc>
          <w:tcPr>
            <w:tcW w:w="2410" w:type="dxa"/>
            <w:vMerge w:val="restart"/>
            <w:tcBorders>
              <w:top w:val="nil"/>
              <w:left w:val="nil"/>
              <w:bottom w:val="nil"/>
              <w:right w:val="nil"/>
            </w:tcBorders>
            <w:shd w:val="clear" w:color="auto" w:fill="auto"/>
            <w:vAlign w:val="bottom"/>
          </w:tcPr>
          <w:p w14:paraId="1C57F5DB"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Caixa Econômica Federal </w:t>
            </w:r>
          </w:p>
        </w:tc>
        <w:tc>
          <w:tcPr>
            <w:tcW w:w="478" w:type="dxa"/>
            <w:tcBorders>
              <w:top w:val="single" w:sz="4" w:space="0" w:color="000000"/>
              <w:left w:val="nil"/>
              <w:bottom w:val="nil"/>
              <w:right w:val="nil"/>
            </w:tcBorders>
            <w:shd w:val="clear" w:color="auto" w:fill="auto"/>
            <w:vAlign w:val="bottom"/>
          </w:tcPr>
          <w:p w14:paraId="757F9AC9" w14:textId="77777777" w:rsidR="00EC4499" w:rsidRDefault="00433EA7">
            <w:pPr>
              <w:spacing w:after="0" w:line="240" w:lineRule="auto"/>
              <w:ind w:right="-236"/>
              <w:jc w:val="right"/>
              <w:rPr>
                <w:rFonts w:ascii="Garamond" w:eastAsia="Garamond" w:hAnsi="Garamond" w:cs="Garamond"/>
                <w:color w:val="000000"/>
                <w:sz w:val="18"/>
                <w:szCs w:val="18"/>
              </w:rPr>
            </w:pPr>
            <w:r>
              <w:rPr>
                <w:rFonts w:ascii="Garamond" w:eastAsia="Garamond" w:hAnsi="Garamond" w:cs="Garamond"/>
                <w:color w:val="000000"/>
                <w:sz w:val="18"/>
                <w:szCs w:val="18"/>
              </w:rPr>
              <w:t>202121</w:t>
            </w:r>
          </w:p>
        </w:tc>
        <w:tc>
          <w:tcPr>
            <w:tcW w:w="2924" w:type="dxa"/>
            <w:tcBorders>
              <w:top w:val="single" w:sz="4" w:space="0" w:color="000000"/>
              <w:left w:val="nil"/>
              <w:bottom w:val="nil"/>
              <w:right w:val="nil"/>
            </w:tcBorders>
            <w:shd w:val="clear" w:color="auto" w:fill="auto"/>
            <w:vAlign w:val="bottom"/>
          </w:tcPr>
          <w:p w14:paraId="3B62151E"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409" w:type="dxa"/>
            <w:tcBorders>
              <w:top w:val="single" w:sz="4" w:space="0" w:color="000000"/>
              <w:left w:val="nil"/>
              <w:bottom w:val="nil"/>
              <w:right w:val="nil"/>
            </w:tcBorders>
            <w:shd w:val="clear" w:color="auto" w:fill="auto"/>
            <w:vAlign w:val="bottom"/>
          </w:tcPr>
          <w:p w14:paraId="3CD102BB"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74100E3C" w14:textId="77777777" w:rsidTr="002E629C">
        <w:trPr>
          <w:trHeight w:val="288"/>
        </w:trPr>
        <w:tc>
          <w:tcPr>
            <w:tcW w:w="2410" w:type="dxa"/>
            <w:vMerge/>
            <w:tcBorders>
              <w:top w:val="nil"/>
              <w:left w:val="nil"/>
              <w:bottom w:val="nil"/>
              <w:right w:val="nil"/>
            </w:tcBorders>
            <w:shd w:val="clear" w:color="auto" w:fill="auto"/>
            <w:vAlign w:val="bottom"/>
          </w:tcPr>
          <w:p w14:paraId="144DCE27"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07EA5CA1" w14:textId="77777777" w:rsidR="00EC4499" w:rsidRDefault="00433EA7">
            <w:pPr>
              <w:spacing w:after="0" w:line="240" w:lineRule="auto"/>
              <w:ind w:right="-236"/>
              <w:jc w:val="right"/>
              <w:rPr>
                <w:rFonts w:ascii="Garamond" w:eastAsia="Garamond" w:hAnsi="Garamond" w:cs="Garamond"/>
                <w:color w:val="000000"/>
                <w:sz w:val="18"/>
                <w:szCs w:val="18"/>
              </w:rPr>
            </w:pPr>
            <w:r>
              <w:rPr>
                <w:rFonts w:ascii="Garamond" w:eastAsia="Garamond" w:hAnsi="Garamond" w:cs="Garamond"/>
                <w:color w:val="000000"/>
                <w:sz w:val="18"/>
                <w:szCs w:val="18"/>
              </w:rPr>
              <w:t>202222</w:t>
            </w:r>
          </w:p>
        </w:tc>
        <w:tc>
          <w:tcPr>
            <w:tcW w:w="2924" w:type="dxa"/>
            <w:tcBorders>
              <w:top w:val="nil"/>
              <w:left w:val="nil"/>
              <w:bottom w:val="single" w:sz="4" w:space="0" w:color="000000"/>
              <w:right w:val="nil"/>
            </w:tcBorders>
            <w:shd w:val="clear" w:color="auto" w:fill="auto"/>
            <w:vAlign w:val="bottom"/>
          </w:tcPr>
          <w:p w14:paraId="44F03147"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409" w:type="dxa"/>
            <w:tcBorders>
              <w:top w:val="nil"/>
              <w:left w:val="nil"/>
              <w:bottom w:val="single" w:sz="4" w:space="0" w:color="000000"/>
              <w:right w:val="nil"/>
            </w:tcBorders>
            <w:shd w:val="clear" w:color="auto" w:fill="auto"/>
            <w:vAlign w:val="bottom"/>
          </w:tcPr>
          <w:p w14:paraId="4D9F51C0"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37E240BD" w14:textId="77777777" w:rsidTr="002E629C">
        <w:trPr>
          <w:trHeight w:val="288"/>
        </w:trPr>
        <w:tc>
          <w:tcPr>
            <w:tcW w:w="2410" w:type="dxa"/>
            <w:vMerge w:val="restart"/>
            <w:tcBorders>
              <w:top w:val="nil"/>
              <w:left w:val="nil"/>
              <w:bottom w:val="nil"/>
              <w:right w:val="nil"/>
            </w:tcBorders>
            <w:shd w:val="clear" w:color="auto" w:fill="auto"/>
            <w:vAlign w:val="bottom"/>
          </w:tcPr>
          <w:p w14:paraId="26FF0BAF"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Citibank</w:t>
            </w:r>
          </w:p>
        </w:tc>
        <w:tc>
          <w:tcPr>
            <w:tcW w:w="478" w:type="dxa"/>
            <w:tcBorders>
              <w:top w:val="single" w:sz="4" w:space="0" w:color="000000"/>
              <w:left w:val="nil"/>
              <w:bottom w:val="nil"/>
              <w:right w:val="nil"/>
            </w:tcBorders>
            <w:shd w:val="clear" w:color="auto" w:fill="auto"/>
            <w:vAlign w:val="bottom"/>
          </w:tcPr>
          <w:p w14:paraId="21700407" w14:textId="77777777" w:rsidR="00EC4499" w:rsidRDefault="00433EA7">
            <w:pPr>
              <w:spacing w:after="0" w:line="240" w:lineRule="auto"/>
              <w:ind w:right="-236"/>
              <w:jc w:val="right"/>
              <w:rPr>
                <w:rFonts w:ascii="Garamond" w:eastAsia="Garamond" w:hAnsi="Garamond" w:cs="Garamond"/>
                <w:color w:val="000000"/>
                <w:sz w:val="18"/>
                <w:szCs w:val="18"/>
              </w:rPr>
            </w:pPr>
            <w:r>
              <w:rPr>
                <w:rFonts w:ascii="Garamond" w:eastAsia="Garamond" w:hAnsi="Garamond" w:cs="Garamond"/>
                <w:color w:val="000000"/>
                <w:sz w:val="18"/>
                <w:szCs w:val="18"/>
              </w:rPr>
              <w:t>202121</w:t>
            </w:r>
          </w:p>
        </w:tc>
        <w:tc>
          <w:tcPr>
            <w:tcW w:w="2924" w:type="dxa"/>
            <w:tcBorders>
              <w:top w:val="single" w:sz="4" w:space="0" w:color="000000"/>
              <w:left w:val="nil"/>
              <w:bottom w:val="nil"/>
              <w:right w:val="nil"/>
            </w:tcBorders>
            <w:shd w:val="clear" w:color="auto" w:fill="auto"/>
            <w:vAlign w:val="bottom"/>
          </w:tcPr>
          <w:p w14:paraId="61575702"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409" w:type="dxa"/>
            <w:tcBorders>
              <w:top w:val="single" w:sz="4" w:space="0" w:color="000000"/>
              <w:left w:val="nil"/>
              <w:bottom w:val="nil"/>
              <w:right w:val="nil"/>
            </w:tcBorders>
            <w:shd w:val="clear" w:color="auto" w:fill="auto"/>
            <w:vAlign w:val="bottom"/>
          </w:tcPr>
          <w:p w14:paraId="6EB1D917"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58CA43AF" w14:textId="77777777" w:rsidTr="002E629C">
        <w:trPr>
          <w:trHeight w:val="288"/>
        </w:trPr>
        <w:tc>
          <w:tcPr>
            <w:tcW w:w="2410" w:type="dxa"/>
            <w:vMerge/>
            <w:tcBorders>
              <w:top w:val="nil"/>
              <w:left w:val="nil"/>
              <w:bottom w:val="nil"/>
              <w:right w:val="nil"/>
            </w:tcBorders>
            <w:shd w:val="clear" w:color="auto" w:fill="auto"/>
            <w:vAlign w:val="bottom"/>
          </w:tcPr>
          <w:p w14:paraId="7DDA7663"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40FCAB1A" w14:textId="77777777" w:rsidR="00EC4499" w:rsidRDefault="00433EA7">
            <w:pPr>
              <w:spacing w:after="0" w:line="240" w:lineRule="auto"/>
              <w:ind w:right="-236"/>
              <w:jc w:val="right"/>
              <w:rPr>
                <w:rFonts w:ascii="Garamond" w:eastAsia="Garamond" w:hAnsi="Garamond" w:cs="Garamond"/>
                <w:color w:val="000000"/>
                <w:sz w:val="18"/>
                <w:szCs w:val="18"/>
              </w:rPr>
            </w:pPr>
            <w:r>
              <w:rPr>
                <w:rFonts w:ascii="Garamond" w:eastAsia="Garamond" w:hAnsi="Garamond" w:cs="Garamond"/>
                <w:color w:val="000000"/>
                <w:sz w:val="18"/>
                <w:szCs w:val="18"/>
              </w:rPr>
              <w:t>202222</w:t>
            </w:r>
          </w:p>
        </w:tc>
        <w:tc>
          <w:tcPr>
            <w:tcW w:w="2924" w:type="dxa"/>
            <w:tcBorders>
              <w:top w:val="nil"/>
              <w:left w:val="nil"/>
              <w:bottom w:val="single" w:sz="4" w:space="0" w:color="000000"/>
              <w:right w:val="nil"/>
            </w:tcBorders>
            <w:shd w:val="clear" w:color="auto" w:fill="auto"/>
            <w:vAlign w:val="bottom"/>
          </w:tcPr>
          <w:p w14:paraId="383CD71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409" w:type="dxa"/>
            <w:tcBorders>
              <w:top w:val="nil"/>
              <w:left w:val="nil"/>
              <w:bottom w:val="single" w:sz="4" w:space="0" w:color="000000"/>
              <w:right w:val="nil"/>
            </w:tcBorders>
            <w:shd w:val="clear" w:color="auto" w:fill="auto"/>
            <w:vAlign w:val="bottom"/>
          </w:tcPr>
          <w:p w14:paraId="1114749C"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6F2617C6" w14:textId="77777777" w:rsidTr="002E629C">
        <w:trPr>
          <w:trHeight w:val="288"/>
        </w:trPr>
        <w:tc>
          <w:tcPr>
            <w:tcW w:w="2410" w:type="dxa"/>
            <w:vMerge w:val="restart"/>
            <w:tcBorders>
              <w:top w:val="nil"/>
              <w:left w:val="nil"/>
              <w:bottom w:val="nil"/>
              <w:right w:val="nil"/>
            </w:tcBorders>
            <w:shd w:val="clear" w:color="auto" w:fill="auto"/>
            <w:vAlign w:val="bottom"/>
          </w:tcPr>
          <w:p w14:paraId="6293878F"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Inter</w:t>
            </w:r>
          </w:p>
        </w:tc>
        <w:tc>
          <w:tcPr>
            <w:tcW w:w="478" w:type="dxa"/>
            <w:tcBorders>
              <w:top w:val="single" w:sz="4" w:space="0" w:color="000000"/>
              <w:left w:val="nil"/>
              <w:bottom w:val="nil"/>
              <w:right w:val="nil"/>
            </w:tcBorders>
            <w:shd w:val="clear" w:color="auto" w:fill="auto"/>
            <w:vAlign w:val="bottom"/>
          </w:tcPr>
          <w:p w14:paraId="50C463DF" w14:textId="77777777" w:rsidR="00EC4499" w:rsidRDefault="00433EA7">
            <w:pPr>
              <w:spacing w:after="0" w:line="240" w:lineRule="auto"/>
              <w:ind w:right="-236"/>
              <w:jc w:val="right"/>
              <w:rPr>
                <w:rFonts w:ascii="Garamond" w:eastAsia="Garamond" w:hAnsi="Garamond" w:cs="Garamond"/>
                <w:color w:val="000000"/>
                <w:sz w:val="18"/>
                <w:szCs w:val="18"/>
              </w:rPr>
            </w:pPr>
            <w:r>
              <w:rPr>
                <w:rFonts w:ascii="Garamond" w:eastAsia="Garamond" w:hAnsi="Garamond" w:cs="Garamond"/>
                <w:color w:val="000000"/>
                <w:sz w:val="18"/>
                <w:szCs w:val="18"/>
              </w:rPr>
              <w:t>202121</w:t>
            </w:r>
          </w:p>
        </w:tc>
        <w:tc>
          <w:tcPr>
            <w:tcW w:w="2924" w:type="dxa"/>
            <w:tcBorders>
              <w:top w:val="single" w:sz="4" w:space="0" w:color="000000"/>
              <w:left w:val="nil"/>
              <w:bottom w:val="nil"/>
              <w:right w:val="nil"/>
            </w:tcBorders>
            <w:shd w:val="clear" w:color="auto" w:fill="auto"/>
            <w:vAlign w:val="bottom"/>
          </w:tcPr>
          <w:p w14:paraId="19384392"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409" w:type="dxa"/>
            <w:tcBorders>
              <w:top w:val="single" w:sz="4" w:space="0" w:color="000000"/>
              <w:left w:val="nil"/>
              <w:bottom w:val="nil"/>
              <w:right w:val="nil"/>
            </w:tcBorders>
            <w:shd w:val="clear" w:color="auto" w:fill="auto"/>
            <w:vAlign w:val="bottom"/>
          </w:tcPr>
          <w:p w14:paraId="1E84FE8D"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53A03F92" w14:textId="77777777" w:rsidTr="002E629C">
        <w:trPr>
          <w:trHeight w:val="288"/>
        </w:trPr>
        <w:tc>
          <w:tcPr>
            <w:tcW w:w="2410" w:type="dxa"/>
            <w:vMerge/>
            <w:tcBorders>
              <w:top w:val="nil"/>
              <w:left w:val="nil"/>
              <w:bottom w:val="nil"/>
              <w:right w:val="nil"/>
            </w:tcBorders>
            <w:shd w:val="clear" w:color="auto" w:fill="auto"/>
            <w:vAlign w:val="bottom"/>
          </w:tcPr>
          <w:p w14:paraId="236AFBBF"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5A4888C1" w14:textId="77777777" w:rsidR="00EC4499" w:rsidRDefault="00433EA7">
            <w:pPr>
              <w:spacing w:after="0" w:line="240" w:lineRule="auto"/>
              <w:ind w:right="-236"/>
              <w:jc w:val="right"/>
              <w:rPr>
                <w:rFonts w:ascii="Garamond" w:eastAsia="Garamond" w:hAnsi="Garamond" w:cs="Garamond"/>
                <w:color w:val="000000"/>
                <w:sz w:val="18"/>
                <w:szCs w:val="18"/>
              </w:rPr>
            </w:pPr>
            <w:r>
              <w:rPr>
                <w:rFonts w:ascii="Garamond" w:eastAsia="Garamond" w:hAnsi="Garamond" w:cs="Garamond"/>
                <w:color w:val="000000"/>
                <w:sz w:val="18"/>
                <w:szCs w:val="18"/>
              </w:rPr>
              <w:t>202222</w:t>
            </w:r>
          </w:p>
        </w:tc>
        <w:tc>
          <w:tcPr>
            <w:tcW w:w="2924" w:type="dxa"/>
            <w:tcBorders>
              <w:top w:val="nil"/>
              <w:left w:val="nil"/>
              <w:bottom w:val="single" w:sz="4" w:space="0" w:color="000000"/>
              <w:right w:val="nil"/>
            </w:tcBorders>
            <w:shd w:val="clear" w:color="auto" w:fill="auto"/>
            <w:vAlign w:val="bottom"/>
          </w:tcPr>
          <w:p w14:paraId="2BB34110"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409" w:type="dxa"/>
            <w:tcBorders>
              <w:top w:val="nil"/>
              <w:left w:val="nil"/>
              <w:bottom w:val="single" w:sz="4" w:space="0" w:color="000000"/>
              <w:right w:val="nil"/>
            </w:tcBorders>
            <w:shd w:val="clear" w:color="auto" w:fill="auto"/>
            <w:vAlign w:val="bottom"/>
          </w:tcPr>
          <w:p w14:paraId="16D3BA56"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0D6E7DD1" w14:textId="77777777" w:rsidTr="002E629C">
        <w:trPr>
          <w:trHeight w:val="288"/>
        </w:trPr>
        <w:tc>
          <w:tcPr>
            <w:tcW w:w="2410" w:type="dxa"/>
            <w:vMerge w:val="restart"/>
            <w:tcBorders>
              <w:top w:val="nil"/>
              <w:left w:val="nil"/>
              <w:bottom w:val="nil"/>
              <w:right w:val="nil"/>
            </w:tcBorders>
            <w:shd w:val="clear" w:color="auto" w:fill="auto"/>
            <w:vAlign w:val="bottom"/>
          </w:tcPr>
          <w:p w14:paraId="45B3A512"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Itaú</w:t>
            </w:r>
          </w:p>
        </w:tc>
        <w:tc>
          <w:tcPr>
            <w:tcW w:w="478" w:type="dxa"/>
            <w:tcBorders>
              <w:top w:val="single" w:sz="4" w:space="0" w:color="000000"/>
              <w:left w:val="nil"/>
              <w:bottom w:val="nil"/>
              <w:right w:val="nil"/>
            </w:tcBorders>
            <w:shd w:val="clear" w:color="auto" w:fill="auto"/>
            <w:vAlign w:val="bottom"/>
          </w:tcPr>
          <w:p w14:paraId="17D085FF" w14:textId="77777777" w:rsidR="00EC4499" w:rsidRDefault="00433EA7">
            <w:pPr>
              <w:spacing w:after="0" w:line="240" w:lineRule="auto"/>
              <w:ind w:right="-236"/>
              <w:jc w:val="right"/>
              <w:rPr>
                <w:rFonts w:ascii="Garamond" w:eastAsia="Garamond" w:hAnsi="Garamond" w:cs="Garamond"/>
                <w:color w:val="000000"/>
                <w:sz w:val="18"/>
                <w:szCs w:val="18"/>
              </w:rPr>
            </w:pPr>
            <w:r>
              <w:rPr>
                <w:rFonts w:ascii="Garamond" w:eastAsia="Garamond" w:hAnsi="Garamond" w:cs="Garamond"/>
                <w:color w:val="000000"/>
                <w:sz w:val="18"/>
                <w:szCs w:val="18"/>
              </w:rPr>
              <w:t>202121</w:t>
            </w:r>
          </w:p>
        </w:tc>
        <w:tc>
          <w:tcPr>
            <w:tcW w:w="2924" w:type="dxa"/>
            <w:tcBorders>
              <w:top w:val="single" w:sz="4" w:space="0" w:color="000000"/>
              <w:left w:val="nil"/>
              <w:bottom w:val="nil"/>
              <w:right w:val="nil"/>
            </w:tcBorders>
            <w:shd w:val="clear" w:color="auto" w:fill="auto"/>
            <w:vAlign w:val="bottom"/>
          </w:tcPr>
          <w:p w14:paraId="35B1550A"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409" w:type="dxa"/>
            <w:tcBorders>
              <w:top w:val="single" w:sz="4" w:space="0" w:color="000000"/>
              <w:left w:val="nil"/>
              <w:bottom w:val="nil"/>
              <w:right w:val="nil"/>
            </w:tcBorders>
            <w:shd w:val="clear" w:color="auto" w:fill="auto"/>
            <w:vAlign w:val="bottom"/>
          </w:tcPr>
          <w:p w14:paraId="6F182C75"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2008888D" w14:textId="77777777" w:rsidTr="002E629C">
        <w:trPr>
          <w:trHeight w:val="288"/>
        </w:trPr>
        <w:tc>
          <w:tcPr>
            <w:tcW w:w="2410" w:type="dxa"/>
            <w:vMerge/>
            <w:tcBorders>
              <w:top w:val="nil"/>
              <w:left w:val="nil"/>
              <w:bottom w:val="nil"/>
              <w:right w:val="nil"/>
            </w:tcBorders>
            <w:shd w:val="clear" w:color="auto" w:fill="auto"/>
            <w:vAlign w:val="bottom"/>
          </w:tcPr>
          <w:p w14:paraId="62DD7166"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645431EA" w14:textId="77777777" w:rsidR="00EC4499" w:rsidRDefault="00433EA7">
            <w:pPr>
              <w:spacing w:after="0" w:line="240" w:lineRule="auto"/>
              <w:ind w:right="-236"/>
              <w:jc w:val="right"/>
              <w:rPr>
                <w:rFonts w:ascii="Garamond" w:eastAsia="Garamond" w:hAnsi="Garamond" w:cs="Garamond"/>
                <w:color w:val="000000"/>
                <w:sz w:val="18"/>
                <w:szCs w:val="18"/>
              </w:rPr>
            </w:pPr>
            <w:r>
              <w:rPr>
                <w:rFonts w:ascii="Garamond" w:eastAsia="Garamond" w:hAnsi="Garamond" w:cs="Garamond"/>
                <w:color w:val="000000"/>
                <w:sz w:val="18"/>
                <w:szCs w:val="18"/>
              </w:rPr>
              <w:t>202222</w:t>
            </w:r>
          </w:p>
        </w:tc>
        <w:tc>
          <w:tcPr>
            <w:tcW w:w="2924" w:type="dxa"/>
            <w:tcBorders>
              <w:top w:val="nil"/>
              <w:left w:val="nil"/>
              <w:bottom w:val="single" w:sz="4" w:space="0" w:color="000000"/>
              <w:right w:val="nil"/>
            </w:tcBorders>
            <w:shd w:val="clear" w:color="auto" w:fill="auto"/>
            <w:vAlign w:val="bottom"/>
          </w:tcPr>
          <w:p w14:paraId="0D0BD260"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409" w:type="dxa"/>
            <w:tcBorders>
              <w:top w:val="nil"/>
              <w:left w:val="nil"/>
              <w:bottom w:val="single" w:sz="4" w:space="0" w:color="000000"/>
              <w:right w:val="nil"/>
            </w:tcBorders>
            <w:shd w:val="clear" w:color="auto" w:fill="auto"/>
            <w:vAlign w:val="bottom"/>
          </w:tcPr>
          <w:p w14:paraId="199263BA"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0641D049" w14:textId="77777777" w:rsidTr="002E629C">
        <w:trPr>
          <w:trHeight w:val="288"/>
        </w:trPr>
        <w:tc>
          <w:tcPr>
            <w:tcW w:w="2410" w:type="dxa"/>
            <w:vMerge w:val="restart"/>
            <w:tcBorders>
              <w:top w:val="nil"/>
              <w:left w:val="nil"/>
              <w:bottom w:val="nil"/>
              <w:right w:val="nil"/>
            </w:tcBorders>
            <w:shd w:val="clear" w:color="auto" w:fill="auto"/>
            <w:vAlign w:val="bottom"/>
          </w:tcPr>
          <w:p w14:paraId="026B429F"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J.P. Morgan </w:t>
            </w:r>
          </w:p>
        </w:tc>
        <w:tc>
          <w:tcPr>
            <w:tcW w:w="478" w:type="dxa"/>
            <w:tcBorders>
              <w:top w:val="single" w:sz="4" w:space="0" w:color="000000"/>
              <w:left w:val="nil"/>
              <w:bottom w:val="nil"/>
              <w:right w:val="nil"/>
            </w:tcBorders>
            <w:shd w:val="clear" w:color="auto" w:fill="auto"/>
            <w:vAlign w:val="bottom"/>
          </w:tcPr>
          <w:p w14:paraId="67E7867B" w14:textId="77777777" w:rsidR="00EC4499" w:rsidRDefault="00433EA7">
            <w:pPr>
              <w:spacing w:after="0" w:line="240" w:lineRule="auto"/>
              <w:ind w:right="-236"/>
              <w:jc w:val="right"/>
              <w:rPr>
                <w:rFonts w:ascii="Garamond" w:eastAsia="Garamond" w:hAnsi="Garamond" w:cs="Garamond"/>
                <w:color w:val="000000"/>
                <w:sz w:val="18"/>
                <w:szCs w:val="18"/>
              </w:rPr>
            </w:pPr>
            <w:r>
              <w:rPr>
                <w:rFonts w:ascii="Garamond" w:eastAsia="Garamond" w:hAnsi="Garamond" w:cs="Garamond"/>
                <w:color w:val="000000"/>
                <w:sz w:val="18"/>
                <w:szCs w:val="18"/>
              </w:rPr>
              <w:t>202121</w:t>
            </w:r>
          </w:p>
        </w:tc>
        <w:tc>
          <w:tcPr>
            <w:tcW w:w="2924" w:type="dxa"/>
            <w:tcBorders>
              <w:top w:val="single" w:sz="4" w:space="0" w:color="000000"/>
              <w:left w:val="nil"/>
              <w:bottom w:val="nil"/>
              <w:right w:val="nil"/>
            </w:tcBorders>
            <w:shd w:val="clear" w:color="auto" w:fill="auto"/>
            <w:vAlign w:val="bottom"/>
          </w:tcPr>
          <w:p w14:paraId="381F09C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409" w:type="dxa"/>
            <w:tcBorders>
              <w:top w:val="single" w:sz="4" w:space="0" w:color="000000"/>
              <w:left w:val="nil"/>
              <w:bottom w:val="nil"/>
              <w:right w:val="nil"/>
            </w:tcBorders>
            <w:shd w:val="clear" w:color="auto" w:fill="auto"/>
            <w:vAlign w:val="bottom"/>
          </w:tcPr>
          <w:p w14:paraId="19C71A1F"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302CC90E" w14:textId="77777777" w:rsidTr="002E629C">
        <w:trPr>
          <w:trHeight w:val="288"/>
        </w:trPr>
        <w:tc>
          <w:tcPr>
            <w:tcW w:w="2410" w:type="dxa"/>
            <w:vMerge/>
            <w:tcBorders>
              <w:top w:val="nil"/>
              <w:left w:val="nil"/>
              <w:bottom w:val="nil"/>
              <w:right w:val="nil"/>
            </w:tcBorders>
            <w:shd w:val="clear" w:color="auto" w:fill="auto"/>
            <w:vAlign w:val="bottom"/>
          </w:tcPr>
          <w:p w14:paraId="25E03CC4"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2687E02E" w14:textId="77777777" w:rsidR="00EC4499" w:rsidRDefault="00433EA7">
            <w:pPr>
              <w:spacing w:after="0" w:line="240" w:lineRule="auto"/>
              <w:ind w:right="-236"/>
              <w:jc w:val="right"/>
              <w:rPr>
                <w:rFonts w:ascii="Garamond" w:eastAsia="Garamond" w:hAnsi="Garamond" w:cs="Garamond"/>
                <w:color w:val="000000"/>
                <w:sz w:val="18"/>
                <w:szCs w:val="18"/>
              </w:rPr>
            </w:pPr>
            <w:r>
              <w:rPr>
                <w:rFonts w:ascii="Garamond" w:eastAsia="Garamond" w:hAnsi="Garamond" w:cs="Garamond"/>
                <w:color w:val="000000"/>
                <w:sz w:val="18"/>
                <w:szCs w:val="18"/>
              </w:rPr>
              <w:t>202222</w:t>
            </w:r>
          </w:p>
        </w:tc>
        <w:tc>
          <w:tcPr>
            <w:tcW w:w="2924" w:type="dxa"/>
            <w:tcBorders>
              <w:top w:val="nil"/>
              <w:left w:val="nil"/>
              <w:bottom w:val="single" w:sz="4" w:space="0" w:color="000000"/>
              <w:right w:val="nil"/>
            </w:tcBorders>
            <w:shd w:val="clear" w:color="auto" w:fill="auto"/>
            <w:vAlign w:val="bottom"/>
          </w:tcPr>
          <w:p w14:paraId="45B0084C"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409" w:type="dxa"/>
            <w:tcBorders>
              <w:top w:val="nil"/>
              <w:left w:val="nil"/>
              <w:bottom w:val="single" w:sz="4" w:space="0" w:color="000000"/>
              <w:right w:val="nil"/>
            </w:tcBorders>
            <w:shd w:val="clear" w:color="auto" w:fill="auto"/>
            <w:vAlign w:val="bottom"/>
          </w:tcPr>
          <w:p w14:paraId="0D3B1F4F"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31209F47" w14:textId="77777777" w:rsidTr="002E629C">
        <w:trPr>
          <w:trHeight w:val="288"/>
        </w:trPr>
        <w:tc>
          <w:tcPr>
            <w:tcW w:w="2410" w:type="dxa"/>
            <w:vMerge w:val="restart"/>
            <w:tcBorders>
              <w:top w:val="nil"/>
              <w:left w:val="nil"/>
              <w:bottom w:val="nil"/>
              <w:right w:val="nil"/>
            </w:tcBorders>
            <w:shd w:val="clear" w:color="auto" w:fill="auto"/>
            <w:vAlign w:val="bottom"/>
          </w:tcPr>
          <w:p w14:paraId="4129F022"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Santander</w:t>
            </w:r>
          </w:p>
        </w:tc>
        <w:tc>
          <w:tcPr>
            <w:tcW w:w="478" w:type="dxa"/>
            <w:tcBorders>
              <w:top w:val="single" w:sz="4" w:space="0" w:color="000000"/>
              <w:left w:val="nil"/>
              <w:bottom w:val="nil"/>
              <w:right w:val="nil"/>
            </w:tcBorders>
            <w:shd w:val="clear" w:color="auto" w:fill="auto"/>
            <w:vAlign w:val="bottom"/>
          </w:tcPr>
          <w:p w14:paraId="00EE1E39" w14:textId="77777777" w:rsidR="00EC4499" w:rsidRDefault="00433EA7">
            <w:pPr>
              <w:spacing w:after="0" w:line="240" w:lineRule="auto"/>
              <w:ind w:right="-236"/>
              <w:jc w:val="right"/>
              <w:rPr>
                <w:rFonts w:ascii="Garamond" w:eastAsia="Garamond" w:hAnsi="Garamond" w:cs="Garamond"/>
                <w:color w:val="000000"/>
                <w:sz w:val="18"/>
                <w:szCs w:val="18"/>
              </w:rPr>
            </w:pPr>
            <w:r>
              <w:rPr>
                <w:rFonts w:ascii="Garamond" w:eastAsia="Garamond" w:hAnsi="Garamond" w:cs="Garamond"/>
                <w:color w:val="000000"/>
                <w:sz w:val="18"/>
                <w:szCs w:val="18"/>
              </w:rPr>
              <w:t>202121</w:t>
            </w:r>
          </w:p>
        </w:tc>
        <w:tc>
          <w:tcPr>
            <w:tcW w:w="2924" w:type="dxa"/>
            <w:tcBorders>
              <w:top w:val="single" w:sz="4" w:space="0" w:color="000000"/>
              <w:left w:val="nil"/>
              <w:bottom w:val="nil"/>
              <w:right w:val="nil"/>
            </w:tcBorders>
            <w:shd w:val="clear" w:color="auto" w:fill="auto"/>
            <w:vAlign w:val="bottom"/>
          </w:tcPr>
          <w:p w14:paraId="4A0A2A54"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409" w:type="dxa"/>
            <w:tcBorders>
              <w:top w:val="single" w:sz="4" w:space="0" w:color="000000"/>
              <w:left w:val="nil"/>
              <w:bottom w:val="nil"/>
              <w:right w:val="nil"/>
            </w:tcBorders>
            <w:shd w:val="clear" w:color="auto" w:fill="auto"/>
            <w:vAlign w:val="bottom"/>
          </w:tcPr>
          <w:p w14:paraId="0306A626"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711734E3" w14:textId="77777777" w:rsidTr="002E629C">
        <w:trPr>
          <w:trHeight w:val="288"/>
        </w:trPr>
        <w:tc>
          <w:tcPr>
            <w:tcW w:w="2410" w:type="dxa"/>
            <w:vMerge/>
            <w:tcBorders>
              <w:top w:val="nil"/>
              <w:left w:val="nil"/>
              <w:bottom w:val="nil"/>
              <w:right w:val="nil"/>
            </w:tcBorders>
            <w:shd w:val="clear" w:color="auto" w:fill="auto"/>
            <w:vAlign w:val="bottom"/>
          </w:tcPr>
          <w:p w14:paraId="4B8B255C"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34251E9A" w14:textId="77777777" w:rsidR="00EC4499" w:rsidRDefault="00433EA7">
            <w:pPr>
              <w:spacing w:after="0" w:line="240" w:lineRule="auto"/>
              <w:ind w:right="-236"/>
              <w:jc w:val="right"/>
              <w:rPr>
                <w:rFonts w:ascii="Garamond" w:eastAsia="Garamond" w:hAnsi="Garamond" w:cs="Garamond"/>
                <w:color w:val="000000"/>
                <w:sz w:val="18"/>
                <w:szCs w:val="18"/>
              </w:rPr>
            </w:pPr>
            <w:r>
              <w:rPr>
                <w:rFonts w:ascii="Garamond" w:eastAsia="Garamond" w:hAnsi="Garamond" w:cs="Garamond"/>
                <w:color w:val="000000"/>
                <w:sz w:val="18"/>
                <w:szCs w:val="18"/>
              </w:rPr>
              <w:t>202222</w:t>
            </w:r>
          </w:p>
        </w:tc>
        <w:tc>
          <w:tcPr>
            <w:tcW w:w="2924" w:type="dxa"/>
            <w:tcBorders>
              <w:top w:val="nil"/>
              <w:left w:val="nil"/>
              <w:bottom w:val="single" w:sz="4" w:space="0" w:color="000000"/>
              <w:right w:val="nil"/>
            </w:tcBorders>
            <w:shd w:val="clear" w:color="auto" w:fill="auto"/>
            <w:vAlign w:val="bottom"/>
          </w:tcPr>
          <w:p w14:paraId="0F13CE2B"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409" w:type="dxa"/>
            <w:tcBorders>
              <w:top w:val="nil"/>
              <w:left w:val="nil"/>
              <w:bottom w:val="single" w:sz="4" w:space="0" w:color="000000"/>
              <w:right w:val="nil"/>
            </w:tcBorders>
            <w:shd w:val="clear" w:color="auto" w:fill="auto"/>
            <w:vAlign w:val="bottom"/>
          </w:tcPr>
          <w:p w14:paraId="05D90165"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50203ADD" w14:textId="77777777" w:rsidTr="002E629C">
        <w:trPr>
          <w:trHeight w:val="288"/>
        </w:trPr>
        <w:tc>
          <w:tcPr>
            <w:tcW w:w="2410" w:type="dxa"/>
            <w:vMerge w:val="restart"/>
            <w:tcBorders>
              <w:top w:val="nil"/>
              <w:left w:val="nil"/>
              <w:bottom w:val="nil"/>
              <w:right w:val="nil"/>
            </w:tcBorders>
            <w:shd w:val="clear" w:color="auto" w:fill="auto"/>
            <w:vAlign w:val="bottom"/>
          </w:tcPr>
          <w:p w14:paraId="2254E752"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Sicredi</w:t>
            </w:r>
          </w:p>
        </w:tc>
        <w:tc>
          <w:tcPr>
            <w:tcW w:w="478" w:type="dxa"/>
            <w:tcBorders>
              <w:top w:val="single" w:sz="4" w:space="0" w:color="000000"/>
              <w:left w:val="nil"/>
              <w:bottom w:val="nil"/>
              <w:right w:val="nil"/>
            </w:tcBorders>
            <w:shd w:val="clear" w:color="auto" w:fill="auto"/>
            <w:vAlign w:val="bottom"/>
          </w:tcPr>
          <w:p w14:paraId="2E3AFC32" w14:textId="77777777" w:rsidR="00EC4499" w:rsidRDefault="00433EA7">
            <w:pPr>
              <w:spacing w:after="0" w:line="240" w:lineRule="auto"/>
              <w:ind w:right="-236"/>
              <w:jc w:val="right"/>
              <w:rPr>
                <w:rFonts w:ascii="Garamond" w:eastAsia="Garamond" w:hAnsi="Garamond" w:cs="Garamond"/>
                <w:color w:val="000000"/>
                <w:sz w:val="18"/>
                <w:szCs w:val="18"/>
              </w:rPr>
            </w:pPr>
            <w:r>
              <w:rPr>
                <w:rFonts w:ascii="Garamond" w:eastAsia="Garamond" w:hAnsi="Garamond" w:cs="Garamond"/>
                <w:color w:val="000000"/>
                <w:sz w:val="18"/>
                <w:szCs w:val="18"/>
              </w:rPr>
              <w:t>202121</w:t>
            </w:r>
          </w:p>
        </w:tc>
        <w:tc>
          <w:tcPr>
            <w:tcW w:w="2924" w:type="dxa"/>
            <w:tcBorders>
              <w:top w:val="single" w:sz="4" w:space="0" w:color="000000"/>
              <w:left w:val="nil"/>
              <w:bottom w:val="nil"/>
              <w:right w:val="nil"/>
            </w:tcBorders>
            <w:shd w:val="clear" w:color="auto" w:fill="auto"/>
            <w:vAlign w:val="bottom"/>
          </w:tcPr>
          <w:p w14:paraId="27E9E7FA"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409" w:type="dxa"/>
            <w:tcBorders>
              <w:top w:val="single" w:sz="4" w:space="0" w:color="000000"/>
              <w:left w:val="nil"/>
              <w:bottom w:val="nil"/>
              <w:right w:val="nil"/>
            </w:tcBorders>
            <w:shd w:val="clear" w:color="auto" w:fill="auto"/>
            <w:vAlign w:val="bottom"/>
          </w:tcPr>
          <w:p w14:paraId="5375252E"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013AFD6B" w14:textId="77777777" w:rsidTr="002E629C">
        <w:trPr>
          <w:trHeight w:val="288"/>
        </w:trPr>
        <w:tc>
          <w:tcPr>
            <w:tcW w:w="2410" w:type="dxa"/>
            <w:vMerge/>
            <w:tcBorders>
              <w:top w:val="nil"/>
              <w:left w:val="nil"/>
              <w:bottom w:val="nil"/>
              <w:right w:val="nil"/>
            </w:tcBorders>
            <w:shd w:val="clear" w:color="auto" w:fill="auto"/>
            <w:vAlign w:val="bottom"/>
          </w:tcPr>
          <w:p w14:paraId="7F7F125D"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48F07112" w14:textId="77777777" w:rsidR="00EC4499" w:rsidRDefault="00433EA7">
            <w:pPr>
              <w:spacing w:after="0" w:line="240" w:lineRule="auto"/>
              <w:ind w:right="-236"/>
              <w:jc w:val="right"/>
              <w:rPr>
                <w:rFonts w:ascii="Garamond" w:eastAsia="Garamond" w:hAnsi="Garamond" w:cs="Garamond"/>
                <w:color w:val="000000"/>
                <w:sz w:val="18"/>
                <w:szCs w:val="18"/>
              </w:rPr>
            </w:pPr>
            <w:r>
              <w:rPr>
                <w:rFonts w:ascii="Garamond" w:eastAsia="Garamond" w:hAnsi="Garamond" w:cs="Garamond"/>
                <w:color w:val="000000"/>
                <w:sz w:val="18"/>
                <w:szCs w:val="18"/>
              </w:rPr>
              <w:t>202222</w:t>
            </w:r>
          </w:p>
        </w:tc>
        <w:tc>
          <w:tcPr>
            <w:tcW w:w="2924" w:type="dxa"/>
            <w:tcBorders>
              <w:top w:val="nil"/>
              <w:left w:val="nil"/>
              <w:bottom w:val="single" w:sz="4" w:space="0" w:color="000000"/>
              <w:right w:val="nil"/>
            </w:tcBorders>
            <w:shd w:val="clear" w:color="auto" w:fill="auto"/>
            <w:vAlign w:val="bottom"/>
          </w:tcPr>
          <w:p w14:paraId="4B2E9FF9"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409" w:type="dxa"/>
            <w:tcBorders>
              <w:top w:val="nil"/>
              <w:left w:val="nil"/>
              <w:bottom w:val="single" w:sz="4" w:space="0" w:color="000000"/>
              <w:right w:val="nil"/>
            </w:tcBorders>
            <w:shd w:val="clear" w:color="auto" w:fill="auto"/>
            <w:vAlign w:val="bottom"/>
          </w:tcPr>
          <w:p w14:paraId="56BBE487"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bl>
    <w:p w14:paraId="4F189456" w14:textId="77777777" w:rsidR="00EC4499" w:rsidRDefault="00EC4499">
      <w:pPr>
        <w:spacing w:after="0" w:line="360" w:lineRule="auto"/>
        <w:rPr>
          <w:rFonts w:ascii="Garamond" w:eastAsia="Garamond" w:hAnsi="Garamond" w:cs="Garamond"/>
          <w:b/>
          <w:color w:val="000000"/>
          <w:sz w:val="24"/>
          <w:szCs w:val="24"/>
        </w:rPr>
      </w:pPr>
    </w:p>
    <w:p w14:paraId="2C3DAC9A" w14:textId="77777777" w:rsidR="00EC4499" w:rsidRDefault="00433EA7">
      <w:pPr>
        <w:spacing w:after="0" w:line="360" w:lineRule="auto"/>
        <w:rPr>
          <w:rFonts w:ascii="Garamond" w:eastAsia="Garamond" w:hAnsi="Garamond" w:cs="Garamond"/>
          <w:b/>
          <w:color w:val="000000"/>
          <w:sz w:val="24"/>
          <w:szCs w:val="24"/>
        </w:rPr>
      </w:pPr>
      <w:r>
        <w:rPr>
          <w:rFonts w:ascii="Garamond" w:eastAsia="Garamond" w:hAnsi="Garamond" w:cs="Garamond"/>
          <w:b/>
          <w:color w:val="000000"/>
          <w:sz w:val="24"/>
          <w:szCs w:val="24"/>
        </w:rPr>
        <w:t>P1: As técnicas de medição e bases de cálculo das informações estão descritas?</w:t>
      </w:r>
    </w:p>
    <w:p w14:paraId="55134BD0" w14:textId="77777777" w:rsidR="00EC4499" w:rsidRDefault="00EC4499">
      <w:pPr>
        <w:spacing w:after="0" w:line="360" w:lineRule="auto"/>
        <w:ind w:firstLine="360"/>
        <w:rPr>
          <w:rFonts w:ascii="Garamond" w:eastAsia="Garamond" w:hAnsi="Garamond" w:cs="Garamond"/>
          <w:b/>
          <w:color w:val="000000"/>
          <w:sz w:val="24"/>
          <w:szCs w:val="24"/>
        </w:rPr>
      </w:pPr>
    </w:p>
    <w:p w14:paraId="6050496C"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Todos os relatórios contêm as explicações a respeito das técnicas de medição e as bases de cálculo fazendo com que as </w:t>
      </w:r>
      <w:r>
        <w:rPr>
          <w:rFonts w:ascii="Garamond" w:eastAsia="Garamond" w:hAnsi="Garamond" w:cs="Garamond"/>
          <w:sz w:val="24"/>
          <w:szCs w:val="24"/>
        </w:rPr>
        <w:t>informações sejam corretas e suficientemente detalhadas para permitir uma avaliação dos impactos da organização.</w:t>
      </w:r>
    </w:p>
    <w:p w14:paraId="031D8C6E" w14:textId="77777777" w:rsidR="00EC4499" w:rsidRDefault="00EC4499">
      <w:pPr>
        <w:spacing w:after="0" w:line="240" w:lineRule="auto"/>
        <w:rPr>
          <w:rFonts w:ascii="Garamond" w:eastAsia="Garamond" w:hAnsi="Garamond" w:cs="Garamond"/>
          <w:b/>
          <w:color w:val="000000"/>
          <w:sz w:val="24"/>
          <w:szCs w:val="24"/>
        </w:rPr>
      </w:pPr>
    </w:p>
    <w:p w14:paraId="132D5CA9" w14:textId="77777777" w:rsidR="00D41BB2" w:rsidRDefault="00D41BB2">
      <w:pPr>
        <w:spacing w:after="0" w:line="240" w:lineRule="auto"/>
        <w:rPr>
          <w:rFonts w:ascii="Garamond" w:eastAsia="Garamond" w:hAnsi="Garamond" w:cs="Garamond"/>
          <w:b/>
          <w:color w:val="000000"/>
          <w:sz w:val="24"/>
          <w:szCs w:val="24"/>
        </w:rPr>
      </w:pPr>
    </w:p>
    <w:p w14:paraId="2D637195" w14:textId="77777777" w:rsidR="00D41BB2" w:rsidRDefault="00D41BB2">
      <w:pPr>
        <w:spacing w:after="0" w:line="240" w:lineRule="auto"/>
        <w:rPr>
          <w:rFonts w:ascii="Garamond" w:eastAsia="Garamond" w:hAnsi="Garamond" w:cs="Garamond"/>
          <w:b/>
          <w:color w:val="000000"/>
          <w:sz w:val="24"/>
          <w:szCs w:val="24"/>
        </w:rPr>
      </w:pPr>
    </w:p>
    <w:p w14:paraId="4B51C701" w14:textId="77777777" w:rsidR="00D41BB2" w:rsidRDefault="00D41BB2">
      <w:pPr>
        <w:spacing w:after="0" w:line="240" w:lineRule="auto"/>
        <w:rPr>
          <w:rFonts w:ascii="Garamond" w:eastAsia="Garamond" w:hAnsi="Garamond" w:cs="Garamond"/>
          <w:b/>
          <w:color w:val="000000"/>
          <w:sz w:val="24"/>
          <w:szCs w:val="24"/>
        </w:rPr>
      </w:pPr>
    </w:p>
    <w:p w14:paraId="1FA1036C" w14:textId="77777777" w:rsidR="00EC4499" w:rsidRDefault="00433EA7">
      <w:pPr>
        <w:pStyle w:val="Ttulo3"/>
        <w:numPr>
          <w:ilvl w:val="2"/>
          <w:numId w:val="2"/>
        </w:numPr>
        <w:spacing w:after="0" w:line="360" w:lineRule="auto"/>
        <w:rPr>
          <w:rFonts w:ascii="Garamond" w:eastAsia="Garamond" w:hAnsi="Garamond" w:cs="Garamond"/>
          <w:sz w:val="24"/>
          <w:szCs w:val="24"/>
        </w:rPr>
      </w:pPr>
      <w:bookmarkStart w:id="21" w:name="_heading=h.5u0b0rmdpq6i" w:colFirst="0" w:colLast="0"/>
      <w:bookmarkEnd w:id="21"/>
      <w:r>
        <w:rPr>
          <w:rFonts w:ascii="Garamond" w:eastAsia="Garamond" w:hAnsi="Garamond" w:cs="Garamond"/>
          <w:sz w:val="24"/>
          <w:szCs w:val="24"/>
        </w:rPr>
        <w:lastRenderedPageBreak/>
        <w:t>Princípio da Tempestividade</w:t>
      </w:r>
    </w:p>
    <w:p w14:paraId="554EBAFA" w14:textId="77777777" w:rsidR="00D41BB2" w:rsidRDefault="00D41BB2">
      <w:pPr>
        <w:spacing w:after="0" w:line="360" w:lineRule="auto"/>
        <w:ind w:firstLine="708"/>
        <w:jc w:val="both"/>
        <w:rPr>
          <w:rFonts w:ascii="Garamond" w:eastAsia="Garamond" w:hAnsi="Garamond" w:cs="Garamond"/>
          <w:color w:val="000000"/>
          <w:sz w:val="24"/>
          <w:szCs w:val="24"/>
        </w:rPr>
      </w:pPr>
    </w:p>
    <w:p w14:paraId="31DA0C84" w14:textId="7262D9E9"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Apresentamos a seguir os resultados obtidos a partir da análise dos relatórios com relação ao Princípio da Tempestividade.</w:t>
      </w:r>
    </w:p>
    <w:p w14:paraId="151EE777" w14:textId="77777777" w:rsidR="00EC4499" w:rsidRDefault="00EC4499">
      <w:pPr>
        <w:spacing w:after="0" w:line="360" w:lineRule="auto"/>
        <w:ind w:firstLine="708"/>
        <w:jc w:val="both"/>
        <w:rPr>
          <w:rFonts w:ascii="Garamond" w:eastAsia="Garamond" w:hAnsi="Garamond" w:cs="Garamond"/>
          <w:sz w:val="24"/>
          <w:szCs w:val="24"/>
        </w:rPr>
      </w:pPr>
    </w:p>
    <w:p w14:paraId="5DA28CF5" w14:textId="5C0F6985" w:rsidR="00EC4499" w:rsidRDefault="00433EA7">
      <w:pPr>
        <w:spacing w:after="0" w:line="360" w:lineRule="auto"/>
        <w:jc w:val="center"/>
        <w:rPr>
          <w:rFonts w:ascii="Garamond" w:eastAsia="Garamond" w:hAnsi="Garamond" w:cs="Garamond"/>
          <w:i/>
          <w:color w:val="000000"/>
          <w:sz w:val="24"/>
          <w:szCs w:val="24"/>
        </w:rPr>
      </w:pPr>
      <w:r>
        <w:rPr>
          <w:rFonts w:ascii="Garamond" w:eastAsia="Garamond" w:hAnsi="Garamond" w:cs="Garamond"/>
          <w:color w:val="000000"/>
          <w:sz w:val="24"/>
          <w:szCs w:val="24"/>
        </w:rPr>
        <w:t>Tabela 2</w:t>
      </w:r>
      <w:r w:rsidR="004360BC">
        <w:rPr>
          <w:rFonts w:ascii="Garamond" w:eastAsia="Garamond" w:hAnsi="Garamond" w:cs="Garamond"/>
          <w:color w:val="000000"/>
          <w:sz w:val="24"/>
          <w:szCs w:val="24"/>
        </w:rPr>
        <w:t>4</w:t>
      </w:r>
      <w:r>
        <w:rPr>
          <w:rFonts w:ascii="Garamond" w:eastAsia="Garamond" w:hAnsi="Garamond" w:cs="Garamond"/>
          <w:color w:val="000000"/>
          <w:sz w:val="24"/>
          <w:szCs w:val="24"/>
        </w:rPr>
        <w:t xml:space="preserve"> - Princípio da Tempestividade</w:t>
      </w:r>
    </w:p>
    <w:tbl>
      <w:tblPr>
        <w:tblStyle w:val="af5"/>
        <w:tblW w:w="8221" w:type="dxa"/>
        <w:tblInd w:w="284" w:type="dxa"/>
        <w:tblLayout w:type="fixed"/>
        <w:tblLook w:val="0400" w:firstRow="0" w:lastRow="0" w:firstColumn="0" w:lastColumn="0" w:noHBand="0" w:noVBand="1"/>
      </w:tblPr>
      <w:tblGrid>
        <w:gridCol w:w="2410"/>
        <w:gridCol w:w="478"/>
        <w:gridCol w:w="2782"/>
        <w:gridCol w:w="2551"/>
      </w:tblGrid>
      <w:tr w:rsidR="00EC4499" w14:paraId="425E130B" w14:textId="77777777" w:rsidTr="002E629C">
        <w:trPr>
          <w:trHeight w:val="288"/>
        </w:trPr>
        <w:tc>
          <w:tcPr>
            <w:tcW w:w="2410" w:type="dxa"/>
            <w:tcBorders>
              <w:top w:val="nil"/>
              <w:left w:val="nil"/>
              <w:bottom w:val="single" w:sz="4" w:space="0" w:color="000000"/>
              <w:right w:val="nil"/>
            </w:tcBorders>
            <w:shd w:val="clear" w:color="auto" w:fill="auto"/>
            <w:vAlign w:val="bottom"/>
          </w:tcPr>
          <w:p w14:paraId="40066CD8" w14:textId="77777777" w:rsidR="00EC4499" w:rsidRDefault="00433EA7">
            <w:pPr>
              <w:spacing w:after="0" w:line="240" w:lineRule="auto"/>
              <w:rPr>
                <w:rFonts w:ascii="Garamond" w:eastAsia="Garamond" w:hAnsi="Garamond" w:cs="Garamond"/>
                <w:b/>
                <w:color w:val="000000"/>
                <w:sz w:val="18"/>
                <w:szCs w:val="18"/>
              </w:rPr>
            </w:pPr>
            <w:r>
              <w:rPr>
                <w:rFonts w:ascii="Garamond" w:eastAsia="Garamond" w:hAnsi="Garamond" w:cs="Garamond"/>
                <w:b/>
                <w:color w:val="000000"/>
                <w:sz w:val="24"/>
                <w:szCs w:val="24"/>
              </w:rPr>
              <w:tab/>
            </w:r>
            <w:r>
              <w:rPr>
                <w:rFonts w:ascii="Garamond" w:eastAsia="Garamond" w:hAnsi="Garamond" w:cs="Garamond"/>
                <w:b/>
                <w:color w:val="000000"/>
                <w:sz w:val="18"/>
                <w:szCs w:val="18"/>
              </w:rPr>
              <w:t>Empresa</w:t>
            </w:r>
          </w:p>
        </w:tc>
        <w:tc>
          <w:tcPr>
            <w:tcW w:w="478" w:type="dxa"/>
            <w:tcBorders>
              <w:top w:val="nil"/>
              <w:left w:val="nil"/>
              <w:bottom w:val="single" w:sz="4" w:space="0" w:color="000000"/>
              <w:right w:val="nil"/>
            </w:tcBorders>
            <w:shd w:val="clear" w:color="auto" w:fill="auto"/>
            <w:vAlign w:val="bottom"/>
          </w:tcPr>
          <w:p w14:paraId="518A6C24"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Ano</w:t>
            </w:r>
          </w:p>
        </w:tc>
        <w:tc>
          <w:tcPr>
            <w:tcW w:w="2782" w:type="dxa"/>
            <w:tcBorders>
              <w:top w:val="nil"/>
              <w:left w:val="nil"/>
              <w:bottom w:val="single" w:sz="4" w:space="0" w:color="000000"/>
              <w:right w:val="nil"/>
            </w:tcBorders>
            <w:shd w:val="clear" w:color="auto" w:fill="auto"/>
            <w:vAlign w:val="bottom"/>
          </w:tcPr>
          <w:p w14:paraId="46637A78" w14:textId="356E573E" w:rsidR="00EC4499" w:rsidRDefault="00ED6428" w:rsidP="002E629C">
            <w:pPr>
              <w:spacing w:after="0" w:line="240" w:lineRule="auto"/>
              <w:rPr>
                <w:rFonts w:ascii="Garamond" w:eastAsia="Garamond" w:hAnsi="Garamond" w:cs="Garamond"/>
                <w:b/>
                <w:color w:val="000000"/>
                <w:sz w:val="18"/>
                <w:szCs w:val="18"/>
              </w:rPr>
            </w:pPr>
            <w:r>
              <w:rPr>
                <w:rFonts w:ascii="Garamond" w:eastAsia="Garamond" w:hAnsi="Garamond" w:cs="Garamond"/>
                <w:b/>
                <w:color w:val="000000"/>
                <w:sz w:val="18"/>
                <w:szCs w:val="18"/>
              </w:rPr>
              <w:t xml:space="preserve">                </w:t>
            </w:r>
            <w:r w:rsidR="00433EA7">
              <w:rPr>
                <w:rFonts w:ascii="Garamond" w:eastAsia="Garamond" w:hAnsi="Garamond" w:cs="Garamond"/>
                <w:b/>
                <w:color w:val="000000"/>
                <w:sz w:val="18"/>
                <w:szCs w:val="18"/>
              </w:rPr>
              <w:t>Pontuação P1</w:t>
            </w:r>
          </w:p>
        </w:tc>
        <w:tc>
          <w:tcPr>
            <w:tcW w:w="2551" w:type="dxa"/>
            <w:tcBorders>
              <w:top w:val="nil"/>
              <w:left w:val="nil"/>
              <w:bottom w:val="single" w:sz="4" w:space="0" w:color="000000"/>
              <w:right w:val="nil"/>
            </w:tcBorders>
            <w:shd w:val="clear" w:color="auto" w:fill="auto"/>
            <w:vAlign w:val="bottom"/>
          </w:tcPr>
          <w:p w14:paraId="715E1BD1" w14:textId="3169CA81" w:rsidR="00EC4499" w:rsidRDefault="00433EA7" w:rsidP="002E629C">
            <w:pPr>
              <w:spacing w:after="0" w:line="240" w:lineRule="auto"/>
              <w:jc w:val="right"/>
              <w:rPr>
                <w:rFonts w:ascii="Garamond" w:eastAsia="Garamond" w:hAnsi="Garamond" w:cs="Garamond"/>
                <w:b/>
                <w:color w:val="000000"/>
                <w:sz w:val="18"/>
                <w:szCs w:val="18"/>
              </w:rPr>
            </w:pPr>
            <w:r>
              <w:rPr>
                <w:rFonts w:ascii="Garamond" w:eastAsia="Garamond" w:hAnsi="Garamond" w:cs="Garamond"/>
                <w:b/>
                <w:color w:val="000000"/>
                <w:sz w:val="18"/>
                <w:szCs w:val="18"/>
              </w:rPr>
              <w:t xml:space="preserve">                                   </w:t>
            </w:r>
            <w:r w:rsidR="00ED6428">
              <w:rPr>
                <w:rFonts w:ascii="Garamond" w:eastAsia="Garamond" w:hAnsi="Garamond" w:cs="Garamond"/>
                <w:b/>
                <w:color w:val="000000"/>
                <w:sz w:val="18"/>
                <w:szCs w:val="18"/>
              </w:rPr>
              <w:t xml:space="preserve"> </w:t>
            </w:r>
            <w:r>
              <w:rPr>
                <w:rFonts w:ascii="Garamond" w:eastAsia="Garamond" w:hAnsi="Garamond" w:cs="Garamond"/>
                <w:b/>
                <w:color w:val="000000"/>
                <w:sz w:val="18"/>
                <w:szCs w:val="18"/>
              </w:rPr>
              <w:t xml:space="preserve">   Total</w:t>
            </w:r>
          </w:p>
        </w:tc>
      </w:tr>
      <w:tr w:rsidR="00EC4499" w14:paraId="2FCA9184" w14:textId="77777777" w:rsidTr="002E629C">
        <w:trPr>
          <w:trHeight w:val="288"/>
        </w:trPr>
        <w:tc>
          <w:tcPr>
            <w:tcW w:w="2410" w:type="dxa"/>
            <w:vMerge w:val="restart"/>
            <w:tcBorders>
              <w:top w:val="single" w:sz="4" w:space="0" w:color="000000"/>
              <w:left w:val="nil"/>
              <w:bottom w:val="nil"/>
              <w:right w:val="nil"/>
            </w:tcBorders>
            <w:shd w:val="clear" w:color="auto" w:fill="auto"/>
            <w:vAlign w:val="bottom"/>
          </w:tcPr>
          <w:p w14:paraId="2E0D590D"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Banco do Brasil </w:t>
            </w:r>
          </w:p>
        </w:tc>
        <w:tc>
          <w:tcPr>
            <w:tcW w:w="478" w:type="dxa"/>
            <w:tcBorders>
              <w:top w:val="single" w:sz="4" w:space="0" w:color="000000"/>
              <w:left w:val="nil"/>
              <w:bottom w:val="nil"/>
              <w:right w:val="nil"/>
            </w:tcBorders>
            <w:shd w:val="clear" w:color="auto" w:fill="auto"/>
            <w:vAlign w:val="bottom"/>
          </w:tcPr>
          <w:p w14:paraId="511E0936" w14:textId="77777777" w:rsidR="00EC4499" w:rsidRDefault="00433EA7">
            <w:pPr>
              <w:spacing w:after="0" w:line="240" w:lineRule="auto"/>
              <w:ind w:left="-299"/>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2782" w:type="dxa"/>
            <w:tcBorders>
              <w:top w:val="single" w:sz="4" w:space="0" w:color="000000"/>
              <w:left w:val="nil"/>
              <w:bottom w:val="nil"/>
              <w:right w:val="nil"/>
            </w:tcBorders>
            <w:shd w:val="clear" w:color="auto" w:fill="auto"/>
            <w:vAlign w:val="bottom"/>
          </w:tcPr>
          <w:p w14:paraId="08542D05"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551" w:type="dxa"/>
            <w:tcBorders>
              <w:top w:val="single" w:sz="4" w:space="0" w:color="000000"/>
              <w:left w:val="nil"/>
              <w:bottom w:val="nil"/>
              <w:right w:val="nil"/>
            </w:tcBorders>
            <w:shd w:val="clear" w:color="auto" w:fill="auto"/>
            <w:vAlign w:val="bottom"/>
          </w:tcPr>
          <w:p w14:paraId="204FC879"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0B6FA3B2" w14:textId="77777777" w:rsidTr="002E629C">
        <w:trPr>
          <w:trHeight w:val="288"/>
        </w:trPr>
        <w:tc>
          <w:tcPr>
            <w:tcW w:w="2410" w:type="dxa"/>
            <w:vMerge/>
            <w:tcBorders>
              <w:top w:val="single" w:sz="4" w:space="0" w:color="000000"/>
              <w:left w:val="nil"/>
              <w:bottom w:val="nil"/>
              <w:right w:val="nil"/>
            </w:tcBorders>
            <w:shd w:val="clear" w:color="auto" w:fill="auto"/>
            <w:vAlign w:val="bottom"/>
          </w:tcPr>
          <w:p w14:paraId="093D3A57"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0CF3D6BA" w14:textId="77777777" w:rsidR="00EC4499" w:rsidRDefault="00433EA7">
            <w:pPr>
              <w:spacing w:after="0" w:line="240" w:lineRule="auto"/>
              <w:ind w:left="-299"/>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2782" w:type="dxa"/>
            <w:tcBorders>
              <w:top w:val="nil"/>
              <w:left w:val="nil"/>
              <w:bottom w:val="single" w:sz="4" w:space="0" w:color="000000"/>
              <w:right w:val="nil"/>
            </w:tcBorders>
            <w:shd w:val="clear" w:color="auto" w:fill="auto"/>
            <w:vAlign w:val="bottom"/>
          </w:tcPr>
          <w:p w14:paraId="01815D1D"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551" w:type="dxa"/>
            <w:tcBorders>
              <w:top w:val="nil"/>
              <w:left w:val="nil"/>
              <w:bottom w:val="single" w:sz="4" w:space="0" w:color="000000"/>
              <w:right w:val="nil"/>
            </w:tcBorders>
            <w:shd w:val="clear" w:color="auto" w:fill="auto"/>
            <w:vAlign w:val="bottom"/>
          </w:tcPr>
          <w:p w14:paraId="5ADDD635"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7E8AFF76" w14:textId="77777777" w:rsidTr="002E629C">
        <w:trPr>
          <w:trHeight w:val="288"/>
        </w:trPr>
        <w:tc>
          <w:tcPr>
            <w:tcW w:w="2410" w:type="dxa"/>
            <w:vMerge w:val="restart"/>
            <w:tcBorders>
              <w:top w:val="nil"/>
              <w:left w:val="nil"/>
              <w:bottom w:val="nil"/>
              <w:right w:val="nil"/>
            </w:tcBorders>
            <w:shd w:val="clear" w:color="auto" w:fill="auto"/>
            <w:vAlign w:val="bottom"/>
          </w:tcPr>
          <w:p w14:paraId="54E7ACF1"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Banco do Nordeste </w:t>
            </w:r>
          </w:p>
        </w:tc>
        <w:tc>
          <w:tcPr>
            <w:tcW w:w="478" w:type="dxa"/>
            <w:tcBorders>
              <w:top w:val="single" w:sz="4" w:space="0" w:color="000000"/>
              <w:left w:val="nil"/>
              <w:bottom w:val="nil"/>
              <w:right w:val="nil"/>
            </w:tcBorders>
            <w:shd w:val="clear" w:color="auto" w:fill="auto"/>
            <w:vAlign w:val="bottom"/>
          </w:tcPr>
          <w:p w14:paraId="56E28C1D" w14:textId="77777777" w:rsidR="00EC4499" w:rsidRDefault="00433EA7">
            <w:pPr>
              <w:spacing w:after="0" w:line="240" w:lineRule="auto"/>
              <w:ind w:left="-299"/>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2782" w:type="dxa"/>
            <w:tcBorders>
              <w:top w:val="single" w:sz="4" w:space="0" w:color="000000"/>
              <w:left w:val="nil"/>
              <w:bottom w:val="nil"/>
              <w:right w:val="nil"/>
            </w:tcBorders>
            <w:shd w:val="clear" w:color="auto" w:fill="auto"/>
            <w:vAlign w:val="bottom"/>
          </w:tcPr>
          <w:p w14:paraId="4C262A52"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2551" w:type="dxa"/>
            <w:tcBorders>
              <w:top w:val="single" w:sz="4" w:space="0" w:color="000000"/>
              <w:left w:val="nil"/>
              <w:bottom w:val="nil"/>
              <w:right w:val="nil"/>
            </w:tcBorders>
            <w:shd w:val="clear" w:color="auto" w:fill="auto"/>
            <w:vAlign w:val="bottom"/>
          </w:tcPr>
          <w:p w14:paraId="6F327A4E"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1</w:t>
            </w:r>
          </w:p>
        </w:tc>
      </w:tr>
      <w:tr w:rsidR="00EC4499" w14:paraId="55E3EE8A" w14:textId="77777777" w:rsidTr="002E629C">
        <w:trPr>
          <w:trHeight w:val="288"/>
        </w:trPr>
        <w:tc>
          <w:tcPr>
            <w:tcW w:w="2410" w:type="dxa"/>
            <w:vMerge/>
            <w:tcBorders>
              <w:top w:val="nil"/>
              <w:left w:val="nil"/>
              <w:bottom w:val="nil"/>
              <w:right w:val="nil"/>
            </w:tcBorders>
            <w:shd w:val="clear" w:color="auto" w:fill="auto"/>
            <w:vAlign w:val="bottom"/>
          </w:tcPr>
          <w:p w14:paraId="35775F42"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3F8E3786" w14:textId="77777777" w:rsidR="00EC4499" w:rsidRDefault="00433EA7">
            <w:pPr>
              <w:spacing w:after="0" w:line="240" w:lineRule="auto"/>
              <w:ind w:left="-299"/>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2782" w:type="dxa"/>
            <w:tcBorders>
              <w:top w:val="nil"/>
              <w:left w:val="nil"/>
              <w:bottom w:val="single" w:sz="4" w:space="0" w:color="000000"/>
              <w:right w:val="nil"/>
            </w:tcBorders>
            <w:shd w:val="clear" w:color="auto" w:fill="auto"/>
            <w:vAlign w:val="bottom"/>
          </w:tcPr>
          <w:p w14:paraId="4DF4F3A2"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0</w:t>
            </w:r>
          </w:p>
        </w:tc>
        <w:tc>
          <w:tcPr>
            <w:tcW w:w="2551" w:type="dxa"/>
            <w:tcBorders>
              <w:top w:val="nil"/>
              <w:left w:val="nil"/>
              <w:bottom w:val="single" w:sz="4" w:space="0" w:color="000000"/>
              <w:right w:val="nil"/>
            </w:tcBorders>
            <w:shd w:val="clear" w:color="auto" w:fill="auto"/>
            <w:vAlign w:val="bottom"/>
          </w:tcPr>
          <w:p w14:paraId="49337387"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0</w:t>
            </w:r>
          </w:p>
        </w:tc>
      </w:tr>
      <w:tr w:rsidR="00EC4499" w14:paraId="77DB90EF" w14:textId="77777777" w:rsidTr="002E629C">
        <w:trPr>
          <w:trHeight w:val="288"/>
        </w:trPr>
        <w:tc>
          <w:tcPr>
            <w:tcW w:w="2410" w:type="dxa"/>
            <w:vMerge w:val="restart"/>
            <w:tcBorders>
              <w:top w:val="nil"/>
              <w:left w:val="nil"/>
              <w:bottom w:val="nil"/>
              <w:right w:val="nil"/>
            </w:tcBorders>
            <w:shd w:val="clear" w:color="auto" w:fill="auto"/>
            <w:vAlign w:val="bottom"/>
          </w:tcPr>
          <w:p w14:paraId="2442FE93"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BNDES</w:t>
            </w:r>
          </w:p>
        </w:tc>
        <w:tc>
          <w:tcPr>
            <w:tcW w:w="478" w:type="dxa"/>
            <w:tcBorders>
              <w:top w:val="single" w:sz="4" w:space="0" w:color="000000"/>
              <w:left w:val="nil"/>
              <w:bottom w:val="nil"/>
              <w:right w:val="nil"/>
            </w:tcBorders>
            <w:shd w:val="clear" w:color="auto" w:fill="auto"/>
            <w:vAlign w:val="bottom"/>
          </w:tcPr>
          <w:p w14:paraId="392D0A18" w14:textId="77777777" w:rsidR="00EC4499" w:rsidRDefault="00433EA7">
            <w:pPr>
              <w:spacing w:after="0" w:line="240" w:lineRule="auto"/>
              <w:ind w:left="-299"/>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2782" w:type="dxa"/>
            <w:tcBorders>
              <w:top w:val="single" w:sz="4" w:space="0" w:color="000000"/>
              <w:left w:val="nil"/>
              <w:bottom w:val="nil"/>
              <w:right w:val="nil"/>
            </w:tcBorders>
            <w:shd w:val="clear" w:color="auto" w:fill="auto"/>
            <w:vAlign w:val="bottom"/>
          </w:tcPr>
          <w:p w14:paraId="0FE91982"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551" w:type="dxa"/>
            <w:tcBorders>
              <w:top w:val="single" w:sz="4" w:space="0" w:color="000000"/>
              <w:left w:val="nil"/>
              <w:bottom w:val="nil"/>
              <w:right w:val="nil"/>
            </w:tcBorders>
            <w:shd w:val="clear" w:color="auto" w:fill="auto"/>
            <w:vAlign w:val="bottom"/>
          </w:tcPr>
          <w:p w14:paraId="7C843B15"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27DEBAA2" w14:textId="77777777" w:rsidTr="002E629C">
        <w:trPr>
          <w:trHeight w:val="288"/>
        </w:trPr>
        <w:tc>
          <w:tcPr>
            <w:tcW w:w="2410" w:type="dxa"/>
            <w:vMerge/>
            <w:tcBorders>
              <w:top w:val="nil"/>
              <w:left w:val="nil"/>
              <w:bottom w:val="nil"/>
              <w:right w:val="nil"/>
            </w:tcBorders>
            <w:shd w:val="clear" w:color="auto" w:fill="auto"/>
            <w:vAlign w:val="bottom"/>
          </w:tcPr>
          <w:p w14:paraId="3D5407DA"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5BBE06BE" w14:textId="77777777" w:rsidR="00EC4499" w:rsidRDefault="00433EA7">
            <w:pPr>
              <w:spacing w:after="0" w:line="240" w:lineRule="auto"/>
              <w:ind w:left="-299"/>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2782" w:type="dxa"/>
            <w:tcBorders>
              <w:top w:val="nil"/>
              <w:left w:val="nil"/>
              <w:bottom w:val="single" w:sz="4" w:space="0" w:color="000000"/>
              <w:right w:val="nil"/>
            </w:tcBorders>
            <w:shd w:val="clear" w:color="auto" w:fill="auto"/>
            <w:vAlign w:val="bottom"/>
          </w:tcPr>
          <w:p w14:paraId="24158AFB"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551" w:type="dxa"/>
            <w:tcBorders>
              <w:top w:val="nil"/>
              <w:left w:val="nil"/>
              <w:bottom w:val="single" w:sz="4" w:space="0" w:color="000000"/>
              <w:right w:val="nil"/>
            </w:tcBorders>
            <w:shd w:val="clear" w:color="auto" w:fill="auto"/>
            <w:vAlign w:val="bottom"/>
          </w:tcPr>
          <w:p w14:paraId="69817E7F"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5B3F0319" w14:textId="77777777" w:rsidTr="002E629C">
        <w:trPr>
          <w:trHeight w:val="288"/>
        </w:trPr>
        <w:tc>
          <w:tcPr>
            <w:tcW w:w="2410" w:type="dxa"/>
            <w:vMerge w:val="restart"/>
            <w:tcBorders>
              <w:top w:val="nil"/>
              <w:left w:val="nil"/>
              <w:bottom w:val="nil"/>
              <w:right w:val="nil"/>
            </w:tcBorders>
            <w:shd w:val="clear" w:color="auto" w:fill="auto"/>
            <w:vAlign w:val="bottom"/>
          </w:tcPr>
          <w:p w14:paraId="26AAB34B"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Bradesco</w:t>
            </w:r>
          </w:p>
        </w:tc>
        <w:tc>
          <w:tcPr>
            <w:tcW w:w="478" w:type="dxa"/>
            <w:tcBorders>
              <w:top w:val="single" w:sz="4" w:space="0" w:color="000000"/>
              <w:left w:val="nil"/>
              <w:bottom w:val="nil"/>
              <w:right w:val="nil"/>
            </w:tcBorders>
            <w:shd w:val="clear" w:color="auto" w:fill="auto"/>
            <w:vAlign w:val="bottom"/>
          </w:tcPr>
          <w:p w14:paraId="7DAD00EF" w14:textId="77777777" w:rsidR="00EC4499" w:rsidRDefault="00433EA7">
            <w:pPr>
              <w:spacing w:after="0" w:line="240" w:lineRule="auto"/>
              <w:ind w:left="-299"/>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2782" w:type="dxa"/>
            <w:tcBorders>
              <w:top w:val="single" w:sz="4" w:space="0" w:color="000000"/>
              <w:left w:val="nil"/>
              <w:bottom w:val="nil"/>
              <w:right w:val="nil"/>
            </w:tcBorders>
            <w:shd w:val="clear" w:color="auto" w:fill="auto"/>
            <w:vAlign w:val="bottom"/>
          </w:tcPr>
          <w:p w14:paraId="7109D5F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2551" w:type="dxa"/>
            <w:tcBorders>
              <w:top w:val="single" w:sz="4" w:space="0" w:color="000000"/>
              <w:left w:val="nil"/>
              <w:bottom w:val="nil"/>
              <w:right w:val="nil"/>
            </w:tcBorders>
            <w:shd w:val="clear" w:color="auto" w:fill="auto"/>
            <w:vAlign w:val="bottom"/>
          </w:tcPr>
          <w:p w14:paraId="216282C2"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1</w:t>
            </w:r>
          </w:p>
        </w:tc>
      </w:tr>
      <w:tr w:rsidR="00EC4499" w14:paraId="674513F7" w14:textId="77777777" w:rsidTr="002E629C">
        <w:trPr>
          <w:trHeight w:val="288"/>
        </w:trPr>
        <w:tc>
          <w:tcPr>
            <w:tcW w:w="2410" w:type="dxa"/>
            <w:vMerge/>
            <w:tcBorders>
              <w:top w:val="nil"/>
              <w:left w:val="nil"/>
              <w:bottom w:val="nil"/>
              <w:right w:val="nil"/>
            </w:tcBorders>
            <w:shd w:val="clear" w:color="auto" w:fill="auto"/>
            <w:vAlign w:val="bottom"/>
          </w:tcPr>
          <w:p w14:paraId="1B66BFE2"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4FDC06DC" w14:textId="77777777" w:rsidR="00EC4499" w:rsidRDefault="00433EA7">
            <w:pPr>
              <w:spacing w:after="0" w:line="240" w:lineRule="auto"/>
              <w:ind w:left="-299"/>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2782" w:type="dxa"/>
            <w:tcBorders>
              <w:top w:val="nil"/>
              <w:left w:val="nil"/>
              <w:bottom w:val="single" w:sz="4" w:space="0" w:color="000000"/>
              <w:right w:val="nil"/>
            </w:tcBorders>
            <w:shd w:val="clear" w:color="auto" w:fill="auto"/>
            <w:vAlign w:val="bottom"/>
          </w:tcPr>
          <w:p w14:paraId="470003E2"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551" w:type="dxa"/>
            <w:tcBorders>
              <w:top w:val="nil"/>
              <w:left w:val="nil"/>
              <w:bottom w:val="single" w:sz="4" w:space="0" w:color="000000"/>
              <w:right w:val="nil"/>
            </w:tcBorders>
            <w:shd w:val="clear" w:color="auto" w:fill="auto"/>
            <w:vAlign w:val="bottom"/>
          </w:tcPr>
          <w:p w14:paraId="66A1C666"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69BB7C2C" w14:textId="77777777" w:rsidTr="002E629C">
        <w:trPr>
          <w:trHeight w:val="288"/>
        </w:trPr>
        <w:tc>
          <w:tcPr>
            <w:tcW w:w="2410" w:type="dxa"/>
            <w:vMerge w:val="restart"/>
            <w:tcBorders>
              <w:top w:val="nil"/>
              <w:left w:val="nil"/>
              <w:bottom w:val="nil"/>
              <w:right w:val="nil"/>
            </w:tcBorders>
            <w:shd w:val="clear" w:color="auto" w:fill="auto"/>
            <w:vAlign w:val="bottom"/>
          </w:tcPr>
          <w:p w14:paraId="601BCD8F"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BTG Pactual</w:t>
            </w:r>
          </w:p>
        </w:tc>
        <w:tc>
          <w:tcPr>
            <w:tcW w:w="478" w:type="dxa"/>
            <w:tcBorders>
              <w:top w:val="single" w:sz="4" w:space="0" w:color="000000"/>
              <w:left w:val="nil"/>
              <w:bottom w:val="nil"/>
              <w:right w:val="nil"/>
            </w:tcBorders>
            <w:shd w:val="clear" w:color="auto" w:fill="auto"/>
            <w:vAlign w:val="bottom"/>
          </w:tcPr>
          <w:p w14:paraId="25A9D732" w14:textId="77777777" w:rsidR="00EC4499" w:rsidRDefault="00433EA7">
            <w:pPr>
              <w:spacing w:after="0" w:line="240" w:lineRule="auto"/>
              <w:ind w:left="-299"/>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2782" w:type="dxa"/>
            <w:tcBorders>
              <w:top w:val="single" w:sz="4" w:space="0" w:color="000000"/>
              <w:left w:val="nil"/>
              <w:bottom w:val="nil"/>
              <w:right w:val="nil"/>
            </w:tcBorders>
            <w:shd w:val="clear" w:color="auto" w:fill="auto"/>
            <w:vAlign w:val="bottom"/>
          </w:tcPr>
          <w:p w14:paraId="7FB15062"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551" w:type="dxa"/>
            <w:tcBorders>
              <w:top w:val="single" w:sz="4" w:space="0" w:color="000000"/>
              <w:left w:val="nil"/>
              <w:bottom w:val="nil"/>
              <w:right w:val="nil"/>
            </w:tcBorders>
            <w:shd w:val="clear" w:color="auto" w:fill="auto"/>
            <w:vAlign w:val="bottom"/>
          </w:tcPr>
          <w:p w14:paraId="5065BAC8"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4931D904" w14:textId="77777777" w:rsidTr="002E629C">
        <w:trPr>
          <w:trHeight w:val="288"/>
        </w:trPr>
        <w:tc>
          <w:tcPr>
            <w:tcW w:w="2410" w:type="dxa"/>
            <w:vMerge/>
            <w:tcBorders>
              <w:top w:val="nil"/>
              <w:left w:val="nil"/>
              <w:bottom w:val="nil"/>
              <w:right w:val="nil"/>
            </w:tcBorders>
            <w:shd w:val="clear" w:color="auto" w:fill="auto"/>
            <w:vAlign w:val="bottom"/>
          </w:tcPr>
          <w:p w14:paraId="589784F1"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47D3ED0A" w14:textId="77777777" w:rsidR="00EC4499" w:rsidRDefault="00433EA7">
            <w:pPr>
              <w:spacing w:after="0" w:line="240" w:lineRule="auto"/>
              <w:ind w:left="-299"/>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2782" w:type="dxa"/>
            <w:tcBorders>
              <w:top w:val="nil"/>
              <w:left w:val="nil"/>
              <w:bottom w:val="single" w:sz="4" w:space="0" w:color="000000"/>
              <w:right w:val="nil"/>
            </w:tcBorders>
            <w:shd w:val="clear" w:color="auto" w:fill="auto"/>
            <w:vAlign w:val="bottom"/>
          </w:tcPr>
          <w:p w14:paraId="28396A2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551" w:type="dxa"/>
            <w:tcBorders>
              <w:top w:val="nil"/>
              <w:left w:val="nil"/>
              <w:bottom w:val="single" w:sz="4" w:space="0" w:color="000000"/>
              <w:right w:val="nil"/>
            </w:tcBorders>
            <w:shd w:val="clear" w:color="auto" w:fill="auto"/>
            <w:vAlign w:val="bottom"/>
          </w:tcPr>
          <w:p w14:paraId="3DAA4BFC"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72ADEE04" w14:textId="77777777" w:rsidTr="002E629C">
        <w:trPr>
          <w:trHeight w:val="288"/>
        </w:trPr>
        <w:tc>
          <w:tcPr>
            <w:tcW w:w="2410" w:type="dxa"/>
            <w:vMerge w:val="restart"/>
            <w:tcBorders>
              <w:top w:val="nil"/>
              <w:left w:val="nil"/>
              <w:bottom w:val="nil"/>
              <w:right w:val="nil"/>
            </w:tcBorders>
            <w:shd w:val="clear" w:color="auto" w:fill="auto"/>
            <w:vAlign w:val="bottom"/>
          </w:tcPr>
          <w:p w14:paraId="185F3976"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Caixa Econômica Federal </w:t>
            </w:r>
          </w:p>
        </w:tc>
        <w:tc>
          <w:tcPr>
            <w:tcW w:w="478" w:type="dxa"/>
            <w:tcBorders>
              <w:top w:val="single" w:sz="4" w:space="0" w:color="000000"/>
              <w:left w:val="nil"/>
              <w:bottom w:val="nil"/>
              <w:right w:val="nil"/>
            </w:tcBorders>
            <w:shd w:val="clear" w:color="auto" w:fill="auto"/>
            <w:vAlign w:val="bottom"/>
          </w:tcPr>
          <w:p w14:paraId="182C1087" w14:textId="77777777" w:rsidR="00EC4499" w:rsidRDefault="00433EA7">
            <w:pPr>
              <w:spacing w:after="0" w:line="240" w:lineRule="auto"/>
              <w:ind w:left="-299"/>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2782" w:type="dxa"/>
            <w:tcBorders>
              <w:top w:val="single" w:sz="4" w:space="0" w:color="000000"/>
              <w:left w:val="nil"/>
              <w:bottom w:val="nil"/>
              <w:right w:val="nil"/>
            </w:tcBorders>
            <w:shd w:val="clear" w:color="auto" w:fill="auto"/>
            <w:vAlign w:val="bottom"/>
          </w:tcPr>
          <w:p w14:paraId="6D82C86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551" w:type="dxa"/>
            <w:tcBorders>
              <w:top w:val="single" w:sz="4" w:space="0" w:color="000000"/>
              <w:left w:val="nil"/>
              <w:bottom w:val="nil"/>
              <w:right w:val="nil"/>
            </w:tcBorders>
            <w:shd w:val="clear" w:color="auto" w:fill="auto"/>
            <w:vAlign w:val="bottom"/>
          </w:tcPr>
          <w:p w14:paraId="4D4F34EB"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0974E921" w14:textId="77777777" w:rsidTr="002E629C">
        <w:trPr>
          <w:trHeight w:val="288"/>
        </w:trPr>
        <w:tc>
          <w:tcPr>
            <w:tcW w:w="2410" w:type="dxa"/>
            <w:vMerge/>
            <w:tcBorders>
              <w:top w:val="nil"/>
              <w:left w:val="nil"/>
              <w:bottom w:val="nil"/>
              <w:right w:val="nil"/>
            </w:tcBorders>
            <w:shd w:val="clear" w:color="auto" w:fill="auto"/>
            <w:vAlign w:val="bottom"/>
          </w:tcPr>
          <w:p w14:paraId="1590F6B5"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75553CEA" w14:textId="77777777" w:rsidR="00EC4499" w:rsidRDefault="00433EA7">
            <w:pPr>
              <w:spacing w:after="0" w:line="240" w:lineRule="auto"/>
              <w:ind w:left="-299"/>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2782" w:type="dxa"/>
            <w:tcBorders>
              <w:top w:val="nil"/>
              <w:left w:val="nil"/>
              <w:bottom w:val="single" w:sz="4" w:space="0" w:color="000000"/>
              <w:right w:val="nil"/>
            </w:tcBorders>
            <w:shd w:val="clear" w:color="auto" w:fill="auto"/>
            <w:vAlign w:val="bottom"/>
          </w:tcPr>
          <w:p w14:paraId="620EE1EE"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0</w:t>
            </w:r>
          </w:p>
        </w:tc>
        <w:tc>
          <w:tcPr>
            <w:tcW w:w="2551" w:type="dxa"/>
            <w:tcBorders>
              <w:top w:val="nil"/>
              <w:left w:val="nil"/>
              <w:bottom w:val="single" w:sz="4" w:space="0" w:color="000000"/>
              <w:right w:val="nil"/>
            </w:tcBorders>
            <w:shd w:val="clear" w:color="auto" w:fill="auto"/>
            <w:vAlign w:val="bottom"/>
          </w:tcPr>
          <w:p w14:paraId="6FFE4A4A"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0</w:t>
            </w:r>
          </w:p>
        </w:tc>
      </w:tr>
      <w:tr w:rsidR="00EC4499" w14:paraId="38B2BA0A" w14:textId="77777777" w:rsidTr="002E629C">
        <w:trPr>
          <w:trHeight w:val="288"/>
        </w:trPr>
        <w:tc>
          <w:tcPr>
            <w:tcW w:w="2410" w:type="dxa"/>
            <w:vMerge w:val="restart"/>
            <w:tcBorders>
              <w:top w:val="nil"/>
              <w:left w:val="nil"/>
              <w:bottom w:val="nil"/>
              <w:right w:val="nil"/>
            </w:tcBorders>
            <w:shd w:val="clear" w:color="auto" w:fill="auto"/>
            <w:vAlign w:val="bottom"/>
          </w:tcPr>
          <w:p w14:paraId="65204E5C"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Citibank</w:t>
            </w:r>
          </w:p>
        </w:tc>
        <w:tc>
          <w:tcPr>
            <w:tcW w:w="478" w:type="dxa"/>
            <w:tcBorders>
              <w:top w:val="single" w:sz="4" w:space="0" w:color="000000"/>
              <w:left w:val="nil"/>
              <w:bottom w:val="nil"/>
              <w:right w:val="nil"/>
            </w:tcBorders>
            <w:shd w:val="clear" w:color="auto" w:fill="auto"/>
            <w:vAlign w:val="bottom"/>
          </w:tcPr>
          <w:p w14:paraId="236B022E" w14:textId="77777777" w:rsidR="00EC4499" w:rsidRDefault="00433EA7">
            <w:pPr>
              <w:spacing w:after="0" w:line="240" w:lineRule="auto"/>
              <w:ind w:left="-299"/>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2782" w:type="dxa"/>
            <w:tcBorders>
              <w:top w:val="single" w:sz="4" w:space="0" w:color="000000"/>
              <w:left w:val="nil"/>
              <w:bottom w:val="nil"/>
              <w:right w:val="nil"/>
            </w:tcBorders>
            <w:shd w:val="clear" w:color="auto" w:fill="auto"/>
            <w:vAlign w:val="bottom"/>
          </w:tcPr>
          <w:p w14:paraId="5B3F619F"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551" w:type="dxa"/>
            <w:tcBorders>
              <w:top w:val="single" w:sz="4" w:space="0" w:color="000000"/>
              <w:left w:val="nil"/>
              <w:bottom w:val="nil"/>
              <w:right w:val="nil"/>
            </w:tcBorders>
            <w:shd w:val="clear" w:color="auto" w:fill="auto"/>
            <w:vAlign w:val="bottom"/>
          </w:tcPr>
          <w:p w14:paraId="2990F278"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0F1BE182" w14:textId="77777777" w:rsidTr="002E629C">
        <w:trPr>
          <w:trHeight w:val="288"/>
        </w:trPr>
        <w:tc>
          <w:tcPr>
            <w:tcW w:w="2410" w:type="dxa"/>
            <w:vMerge/>
            <w:tcBorders>
              <w:top w:val="nil"/>
              <w:left w:val="nil"/>
              <w:bottom w:val="nil"/>
              <w:right w:val="nil"/>
            </w:tcBorders>
            <w:shd w:val="clear" w:color="auto" w:fill="auto"/>
            <w:vAlign w:val="bottom"/>
          </w:tcPr>
          <w:p w14:paraId="3B97E04F"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4C8505E6" w14:textId="77777777" w:rsidR="00EC4499" w:rsidRDefault="00433EA7">
            <w:pPr>
              <w:spacing w:after="0" w:line="240" w:lineRule="auto"/>
              <w:ind w:left="-299"/>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2782" w:type="dxa"/>
            <w:tcBorders>
              <w:top w:val="nil"/>
              <w:left w:val="nil"/>
              <w:bottom w:val="single" w:sz="4" w:space="0" w:color="000000"/>
              <w:right w:val="nil"/>
            </w:tcBorders>
            <w:shd w:val="clear" w:color="auto" w:fill="auto"/>
            <w:vAlign w:val="bottom"/>
          </w:tcPr>
          <w:p w14:paraId="2640222C"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551" w:type="dxa"/>
            <w:tcBorders>
              <w:top w:val="nil"/>
              <w:left w:val="nil"/>
              <w:bottom w:val="single" w:sz="4" w:space="0" w:color="000000"/>
              <w:right w:val="nil"/>
            </w:tcBorders>
            <w:shd w:val="clear" w:color="auto" w:fill="auto"/>
            <w:vAlign w:val="bottom"/>
          </w:tcPr>
          <w:p w14:paraId="056BAEC1"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462123EC" w14:textId="77777777" w:rsidTr="002E629C">
        <w:trPr>
          <w:trHeight w:val="288"/>
        </w:trPr>
        <w:tc>
          <w:tcPr>
            <w:tcW w:w="2410" w:type="dxa"/>
            <w:vMerge w:val="restart"/>
            <w:tcBorders>
              <w:top w:val="nil"/>
              <w:left w:val="nil"/>
              <w:bottom w:val="nil"/>
              <w:right w:val="nil"/>
            </w:tcBorders>
            <w:shd w:val="clear" w:color="auto" w:fill="auto"/>
            <w:vAlign w:val="bottom"/>
          </w:tcPr>
          <w:p w14:paraId="3BA6DEF7"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Inter</w:t>
            </w:r>
          </w:p>
        </w:tc>
        <w:tc>
          <w:tcPr>
            <w:tcW w:w="478" w:type="dxa"/>
            <w:tcBorders>
              <w:top w:val="single" w:sz="4" w:space="0" w:color="000000"/>
              <w:left w:val="nil"/>
              <w:bottom w:val="nil"/>
              <w:right w:val="nil"/>
            </w:tcBorders>
            <w:shd w:val="clear" w:color="auto" w:fill="auto"/>
            <w:vAlign w:val="bottom"/>
          </w:tcPr>
          <w:p w14:paraId="0BC4800D" w14:textId="77777777" w:rsidR="00EC4499" w:rsidRDefault="00433EA7">
            <w:pPr>
              <w:spacing w:after="0" w:line="240" w:lineRule="auto"/>
              <w:ind w:left="-299"/>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2782" w:type="dxa"/>
            <w:tcBorders>
              <w:top w:val="single" w:sz="4" w:space="0" w:color="000000"/>
              <w:left w:val="nil"/>
              <w:bottom w:val="nil"/>
              <w:right w:val="nil"/>
            </w:tcBorders>
            <w:shd w:val="clear" w:color="auto" w:fill="auto"/>
            <w:vAlign w:val="bottom"/>
          </w:tcPr>
          <w:p w14:paraId="0C712FCB"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551" w:type="dxa"/>
            <w:tcBorders>
              <w:top w:val="single" w:sz="4" w:space="0" w:color="000000"/>
              <w:left w:val="nil"/>
              <w:bottom w:val="nil"/>
              <w:right w:val="nil"/>
            </w:tcBorders>
            <w:shd w:val="clear" w:color="auto" w:fill="auto"/>
            <w:vAlign w:val="bottom"/>
          </w:tcPr>
          <w:p w14:paraId="6D4333A5"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1EB12655" w14:textId="77777777" w:rsidTr="002E629C">
        <w:trPr>
          <w:trHeight w:val="288"/>
        </w:trPr>
        <w:tc>
          <w:tcPr>
            <w:tcW w:w="2410" w:type="dxa"/>
            <w:vMerge/>
            <w:tcBorders>
              <w:top w:val="nil"/>
              <w:left w:val="nil"/>
              <w:bottom w:val="nil"/>
              <w:right w:val="nil"/>
            </w:tcBorders>
            <w:shd w:val="clear" w:color="auto" w:fill="auto"/>
            <w:vAlign w:val="bottom"/>
          </w:tcPr>
          <w:p w14:paraId="006BECA1"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47619270" w14:textId="77777777" w:rsidR="00EC4499" w:rsidRDefault="00433EA7">
            <w:pPr>
              <w:spacing w:after="0" w:line="240" w:lineRule="auto"/>
              <w:ind w:left="-299"/>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2782" w:type="dxa"/>
            <w:tcBorders>
              <w:top w:val="nil"/>
              <w:left w:val="nil"/>
              <w:bottom w:val="single" w:sz="4" w:space="0" w:color="000000"/>
              <w:right w:val="nil"/>
            </w:tcBorders>
            <w:shd w:val="clear" w:color="auto" w:fill="auto"/>
            <w:vAlign w:val="bottom"/>
          </w:tcPr>
          <w:p w14:paraId="053BA424"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551" w:type="dxa"/>
            <w:tcBorders>
              <w:top w:val="nil"/>
              <w:left w:val="nil"/>
              <w:bottom w:val="single" w:sz="4" w:space="0" w:color="000000"/>
              <w:right w:val="nil"/>
            </w:tcBorders>
            <w:shd w:val="clear" w:color="auto" w:fill="auto"/>
            <w:vAlign w:val="bottom"/>
          </w:tcPr>
          <w:p w14:paraId="5C14A2A9"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4D210D98" w14:textId="77777777" w:rsidTr="002E629C">
        <w:trPr>
          <w:trHeight w:val="288"/>
        </w:trPr>
        <w:tc>
          <w:tcPr>
            <w:tcW w:w="2410" w:type="dxa"/>
            <w:vMerge w:val="restart"/>
            <w:tcBorders>
              <w:top w:val="nil"/>
              <w:left w:val="nil"/>
              <w:bottom w:val="nil"/>
              <w:right w:val="nil"/>
            </w:tcBorders>
            <w:shd w:val="clear" w:color="auto" w:fill="auto"/>
            <w:vAlign w:val="bottom"/>
          </w:tcPr>
          <w:p w14:paraId="0D1844CD"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Itaú</w:t>
            </w:r>
          </w:p>
        </w:tc>
        <w:tc>
          <w:tcPr>
            <w:tcW w:w="478" w:type="dxa"/>
            <w:tcBorders>
              <w:top w:val="single" w:sz="4" w:space="0" w:color="000000"/>
              <w:left w:val="nil"/>
              <w:bottom w:val="nil"/>
              <w:right w:val="nil"/>
            </w:tcBorders>
            <w:shd w:val="clear" w:color="auto" w:fill="auto"/>
            <w:vAlign w:val="bottom"/>
          </w:tcPr>
          <w:p w14:paraId="77142F9B" w14:textId="77777777" w:rsidR="00EC4499" w:rsidRDefault="00433EA7">
            <w:pPr>
              <w:spacing w:after="0" w:line="240" w:lineRule="auto"/>
              <w:ind w:left="-299"/>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2782" w:type="dxa"/>
            <w:tcBorders>
              <w:top w:val="single" w:sz="4" w:space="0" w:color="000000"/>
              <w:left w:val="nil"/>
              <w:bottom w:val="nil"/>
              <w:right w:val="nil"/>
            </w:tcBorders>
            <w:shd w:val="clear" w:color="auto" w:fill="auto"/>
            <w:vAlign w:val="bottom"/>
          </w:tcPr>
          <w:p w14:paraId="5C7343EB"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551" w:type="dxa"/>
            <w:tcBorders>
              <w:top w:val="single" w:sz="4" w:space="0" w:color="000000"/>
              <w:left w:val="nil"/>
              <w:bottom w:val="nil"/>
              <w:right w:val="nil"/>
            </w:tcBorders>
            <w:shd w:val="clear" w:color="auto" w:fill="auto"/>
            <w:vAlign w:val="bottom"/>
          </w:tcPr>
          <w:p w14:paraId="4D017CE4"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34122005" w14:textId="77777777" w:rsidTr="002E629C">
        <w:trPr>
          <w:trHeight w:val="288"/>
        </w:trPr>
        <w:tc>
          <w:tcPr>
            <w:tcW w:w="2410" w:type="dxa"/>
            <w:vMerge/>
            <w:tcBorders>
              <w:top w:val="nil"/>
              <w:left w:val="nil"/>
              <w:bottom w:val="nil"/>
              <w:right w:val="nil"/>
            </w:tcBorders>
            <w:shd w:val="clear" w:color="auto" w:fill="auto"/>
            <w:vAlign w:val="bottom"/>
          </w:tcPr>
          <w:p w14:paraId="08136719"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6B66EC9E" w14:textId="77777777" w:rsidR="00EC4499" w:rsidRDefault="00433EA7">
            <w:pPr>
              <w:spacing w:after="0" w:line="240" w:lineRule="auto"/>
              <w:ind w:left="-299"/>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2782" w:type="dxa"/>
            <w:tcBorders>
              <w:top w:val="nil"/>
              <w:left w:val="nil"/>
              <w:bottom w:val="single" w:sz="4" w:space="0" w:color="000000"/>
              <w:right w:val="nil"/>
            </w:tcBorders>
            <w:shd w:val="clear" w:color="auto" w:fill="auto"/>
            <w:vAlign w:val="bottom"/>
          </w:tcPr>
          <w:p w14:paraId="66904EA0"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551" w:type="dxa"/>
            <w:tcBorders>
              <w:top w:val="nil"/>
              <w:left w:val="nil"/>
              <w:bottom w:val="single" w:sz="4" w:space="0" w:color="000000"/>
              <w:right w:val="nil"/>
            </w:tcBorders>
            <w:shd w:val="clear" w:color="auto" w:fill="auto"/>
            <w:vAlign w:val="bottom"/>
          </w:tcPr>
          <w:p w14:paraId="49253940"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3868F107" w14:textId="77777777" w:rsidTr="002E629C">
        <w:trPr>
          <w:trHeight w:val="288"/>
        </w:trPr>
        <w:tc>
          <w:tcPr>
            <w:tcW w:w="2410" w:type="dxa"/>
            <w:vMerge w:val="restart"/>
            <w:tcBorders>
              <w:top w:val="nil"/>
              <w:left w:val="nil"/>
              <w:bottom w:val="nil"/>
              <w:right w:val="nil"/>
            </w:tcBorders>
            <w:shd w:val="clear" w:color="auto" w:fill="auto"/>
            <w:vAlign w:val="bottom"/>
          </w:tcPr>
          <w:p w14:paraId="36633C81"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J.P. Morgan </w:t>
            </w:r>
          </w:p>
        </w:tc>
        <w:tc>
          <w:tcPr>
            <w:tcW w:w="478" w:type="dxa"/>
            <w:tcBorders>
              <w:top w:val="single" w:sz="4" w:space="0" w:color="000000"/>
              <w:left w:val="nil"/>
              <w:bottom w:val="nil"/>
              <w:right w:val="nil"/>
            </w:tcBorders>
            <w:shd w:val="clear" w:color="auto" w:fill="auto"/>
            <w:vAlign w:val="bottom"/>
          </w:tcPr>
          <w:p w14:paraId="1814EECB" w14:textId="77777777" w:rsidR="00EC4499" w:rsidRDefault="00433EA7">
            <w:pPr>
              <w:spacing w:after="0" w:line="240" w:lineRule="auto"/>
              <w:ind w:left="-299"/>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2782" w:type="dxa"/>
            <w:tcBorders>
              <w:top w:val="single" w:sz="4" w:space="0" w:color="000000"/>
              <w:left w:val="nil"/>
              <w:bottom w:val="nil"/>
              <w:right w:val="nil"/>
            </w:tcBorders>
            <w:shd w:val="clear" w:color="auto" w:fill="auto"/>
            <w:vAlign w:val="bottom"/>
          </w:tcPr>
          <w:p w14:paraId="7619919F"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551" w:type="dxa"/>
            <w:tcBorders>
              <w:top w:val="single" w:sz="4" w:space="0" w:color="000000"/>
              <w:left w:val="nil"/>
              <w:bottom w:val="nil"/>
              <w:right w:val="nil"/>
            </w:tcBorders>
            <w:shd w:val="clear" w:color="auto" w:fill="auto"/>
            <w:vAlign w:val="bottom"/>
          </w:tcPr>
          <w:p w14:paraId="4DF48396"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2A721B96" w14:textId="77777777" w:rsidTr="002E629C">
        <w:trPr>
          <w:trHeight w:val="288"/>
        </w:trPr>
        <w:tc>
          <w:tcPr>
            <w:tcW w:w="2410" w:type="dxa"/>
            <w:vMerge/>
            <w:tcBorders>
              <w:top w:val="nil"/>
              <w:left w:val="nil"/>
              <w:bottom w:val="nil"/>
              <w:right w:val="nil"/>
            </w:tcBorders>
            <w:shd w:val="clear" w:color="auto" w:fill="auto"/>
            <w:vAlign w:val="bottom"/>
          </w:tcPr>
          <w:p w14:paraId="2CF363B9"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1045834E" w14:textId="77777777" w:rsidR="00EC4499" w:rsidRDefault="00433EA7">
            <w:pPr>
              <w:spacing w:after="0" w:line="240" w:lineRule="auto"/>
              <w:ind w:left="-299"/>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2782" w:type="dxa"/>
            <w:tcBorders>
              <w:top w:val="nil"/>
              <w:left w:val="nil"/>
              <w:bottom w:val="single" w:sz="4" w:space="0" w:color="000000"/>
              <w:right w:val="nil"/>
            </w:tcBorders>
            <w:shd w:val="clear" w:color="auto" w:fill="auto"/>
            <w:vAlign w:val="bottom"/>
          </w:tcPr>
          <w:p w14:paraId="55CB0BAB"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551" w:type="dxa"/>
            <w:tcBorders>
              <w:top w:val="nil"/>
              <w:left w:val="nil"/>
              <w:bottom w:val="single" w:sz="4" w:space="0" w:color="000000"/>
              <w:right w:val="nil"/>
            </w:tcBorders>
            <w:shd w:val="clear" w:color="auto" w:fill="auto"/>
            <w:vAlign w:val="bottom"/>
          </w:tcPr>
          <w:p w14:paraId="698B9222"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37C6CC0A" w14:textId="77777777" w:rsidTr="002E629C">
        <w:trPr>
          <w:trHeight w:val="288"/>
        </w:trPr>
        <w:tc>
          <w:tcPr>
            <w:tcW w:w="2410" w:type="dxa"/>
            <w:vMerge w:val="restart"/>
            <w:tcBorders>
              <w:top w:val="nil"/>
              <w:left w:val="nil"/>
              <w:bottom w:val="nil"/>
              <w:right w:val="nil"/>
            </w:tcBorders>
            <w:shd w:val="clear" w:color="auto" w:fill="auto"/>
            <w:vAlign w:val="bottom"/>
          </w:tcPr>
          <w:p w14:paraId="76991F48"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Santander</w:t>
            </w:r>
          </w:p>
        </w:tc>
        <w:tc>
          <w:tcPr>
            <w:tcW w:w="478" w:type="dxa"/>
            <w:tcBorders>
              <w:top w:val="single" w:sz="4" w:space="0" w:color="000000"/>
              <w:left w:val="nil"/>
              <w:bottom w:val="nil"/>
              <w:right w:val="nil"/>
            </w:tcBorders>
            <w:shd w:val="clear" w:color="auto" w:fill="auto"/>
            <w:vAlign w:val="bottom"/>
          </w:tcPr>
          <w:p w14:paraId="6B520C88" w14:textId="77777777" w:rsidR="00EC4499" w:rsidRDefault="00433EA7">
            <w:pPr>
              <w:spacing w:after="0" w:line="240" w:lineRule="auto"/>
              <w:ind w:left="-299"/>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2782" w:type="dxa"/>
            <w:tcBorders>
              <w:top w:val="single" w:sz="4" w:space="0" w:color="000000"/>
              <w:left w:val="nil"/>
              <w:bottom w:val="nil"/>
              <w:right w:val="nil"/>
            </w:tcBorders>
            <w:shd w:val="clear" w:color="auto" w:fill="auto"/>
            <w:vAlign w:val="bottom"/>
          </w:tcPr>
          <w:p w14:paraId="45B7B584"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2551" w:type="dxa"/>
            <w:tcBorders>
              <w:top w:val="single" w:sz="4" w:space="0" w:color="000000"/>
              <w:left w:val="nil"/>
              <w:bottom w:val="nil"/>
              <w:right w:val="nil"/>
            </w:tcBorders>
            <w:shd w:val="clear" w:color="auto" w:fill="auto"/>
            <w:vAlign w:val="bottom"/>
          </w:tcPr>
          <w:p w14:paraId="33BB6963"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1</w:t>
            </w:r>
          </w:p>
        </w:tc>
      </w:tr>
      <w:tr w:rsidR="00EC4499" w14:paraId="5FFDABA9" w14:textId="77777777" w:rsidTr="002E629C">
        <w:trPr>
          <w:trHeight w:val="288"/>
        </w:trPr>
        <w:tc>
          <w:tcPr>
            <w:tcW w:w="2410" w:type="dxa"/>
            <w:vMerge/>
            <w:tcBorders>
              <w:top w:val="nil"/>
              <w:left w:val="nil"/>
              <w:bottom w:val="nil"/>
              <w:right w:val="nil"/>
            </w:tcBorders>
            <w:shd w:val="clear" w:color="auto" w:fill="auto"/>
            <w:vAlign w:val="bottom"/>
          </w:tcPr>
          <w:p w14:paraId="608E63A3"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51915368" w14:textId="77777777" w:rsidR="00EC4499" w:rsidRDefault="00433EA7">
            <w:pPr>
              <w:spacing w:after="0" w:line="240" w:lineRule="auto"/>
              <w:ind w:left="-299"/>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2782" w:type="dxa"/>
            <w:tcBorders>
              <w:top w:val="nil"/>
              <w:left w:val="nil"/>
              <w:bottom w:val="single" w:sz="4" w:space="0" w:color="000000"/>
              <w:right w:val="nil"/>
            </w:tcBorders>
            <w:shd w:val="clear" w:color="auto" w:fill="auto"/>
            <w:vAlign w:val="bottom"/>
          </w:tcPr>
          <w:p w14:paraId="4F39ABE6"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551" w:type="dxa"/>
            <w:tcBorders>
              <w:top w:val="nil"/>
              <w:left w:val="nil"/>
              <w:bottom w:val="single" w:sz="4" w:space="0" w:color="000000"/>
              <w:right w:val="nil"/>
            </w:tcBorders>
            <w:shd w:val="clear" w:color="auto" w:fill="auto"/>
            <w:vAlign w:val="bottom"/>
          </w:tcPr>
          <w:p w14:paraId="72847EB4"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31A94721" w14:textId="77777777" w:rsidTr="002E629C">
        <w:trPr>
          <w:trHeight w:val="288"/>
        </w:trPr>
        <w:tc>
          <w:tcPr>
            <w:tcW w:w="2410" w:type="dxa"/>
            <w:vMerge w:val="restart"/>
            <w:tcBorders>
              <w:top w:val="nil"/>
              <w:left w:val="nil"/>
              <w:bottom w:val="nil"/>
              <w:right w:val="nil"/>
            </w:tcBorders>
            <w:shd w:val="clear" w:color="auto" w:fill="auto"/>
            <w:vAlign w:val="bottom"/>
          </w:tcPr>
          <w:p w14:paraId="21AF5E5E"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Sicredi</w:t>
            </w:r>
          </w:p>
        </w:tc>
        <w:tc>
          <w:tcPr>
            <w:tcW w:w="478" w:type="dxa"/>
            <w:tcBorders>
              <w:top w:val="single" w:sz="4" w:space="0" w:color="000000"/>
              <w:left w:val="nil"/>
              <w:bottom w:val="nil"/>
              <w:right w:val="nil"/>
            </w:tcBorders>
            <w:shd w:val="clear" w:color="auto" w:fill="auto"/>
            <w:vAlign w:val="bottom"/>
          </w:tcPr>
          <w:p w14:paraId="5FC40C2C" w14:textId="77777777" w:rsidR="00EC4499" w:rsidRDefault="00433EA7">
            <w:pPr>
              <w:spacing w:after="0" w:line="240" w:lineRule="auto"/>
              <w:ind w:left="-299"/>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2782" w:type="dxa"/>
            <w:tcBorders>
              <w:top w:val="single" w:sz="4" w:space="0" w:color="000000"/>
              <w:left w:val="nil"/>
              <w:bottom w:val="nil"/>
              <w:right w:val="nil"/>
            </w:tcBorders>
            <w:shd w:val="clear" w:color="auto" w:fill="auto"/>
            <w:vAlign w:val="bottom"/>
          </w:tcPr>
          <w:p w14:paraId="7F13CD85"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551" w:type="dxa"/>
            <w:tcBorders>
              <w:top w:val="single" w:sz="4" w:space="0" w:color="000000"/>
              <w:left w:val="nil"/>
              <w:bottom w:val="nil"/>
              <w:right w:val="nil"/>
            </w:tcBorders>
            <w:shd w:val="clear" w:color="auto" w:fill="auto"/>
            <w:vAlign w:val="bottom"/>
          </w:tcPr>
          <w:p w14:paraId="35C069D8"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7C21FEE8" w14:textId="77777777" w:rsidTr="002E629C">
        <w:trPr>
          <w:trHeight w:val="288"/>
        </w:trPr>
        <w:tc>
          <w:tcPr>
            <w:tcW w:w="2410" w:type="dxa"/>
            <w:vMerge/>
            <w:tcBorders>
              <w:top w:val="nil"/>
              <w:left w:val="nil"/>
              <w:bottom w:val="nil"/>
              <w:right w:val="nil"/>
            </w:tcBorders>
            <w:shd w:val="clear" w:color="auto" w:fill="auto"/>
            <w:vAlign w:val="bottom"/>
          </w:tcPr>
          <w:p w14:paraId="461A97A7"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0538B345" w14:textId="77777777" w:rsidR="00EC4499" w:rsidRDefault="00433EA7">
            <w:pPr>
              <w:spacing w:after="0" w:line="240" w:lineRule="auto"/>
              <w:ind w:left="-299"/>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2782" w:type="dxa"/>
            <w:tcBorders>
              <w:top w:val="nil"/>
              <w:left w:val="nil"/>
              <w:bottom w:val="single" w:sz="4" w:space="0" w:color="000000"/>
              <w:right w:val="nil"/>
            </w:tcBorders>
            <w:shd w:val="clear" w:color="auto" w:fill="auto"/>
            <w:vAlign w:val="bottom"/>
          </w:tcPr>
          <w:p w14:paraId="6B420A1F"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551" w:type="dxa"/>
            <w:tcBorders>
              <w:top w:val="nil"/>
              <w:left w:val="nil"/>
              <w:bottom w:val="single" w:sz="4" w:space="0" w:color="000000"/>
              <w:right w:val="nil"/>
            </w:tcBorders>
            <w:shd w:val="clear" w:color="auto" w:fill="auto"/>
            <w:vAlign w:val="bottom"/>
          </w:tcPr>
          <w:p w14:paraId="5F8B3FF8"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bl>
    <w:p w14:paraId="3F3D071D" w14:textId="77777777" w:rsidR="00EC4499" w:rsidRDefault="00EC4499">
      <w:pPr>
        <w:spacing w:after="0" w:line="360" w:lineRule="auto"/>
        <w:rPr>
          <w:rFonts w:ascii="Garamond" w:eastAsia="Garamond" w:hAnsi="Garamond" w:cs="Garamond"/>
          <w:b/>
          <w:color w:val="000000"/>
          <w:sz w:val="24"/>
          <w:szCs w:val="24"/>
        </w:rPr>
      </w:pPr>
    </w:p>
    <w:p w14:paraId="2346AEB1" w14:textId="77777777" w:rsidR="00EC4499" w:rsidRDefault="00433EA7">
      <w:pPr>
        <w:spacing w:after="0" w:line="360" w:lineRule="auto"/>
        <w:rPr>
          <w:rFonts w:ascii="Garamond" w:eastAsia="Garamond" w:hAnsi="Garamond" w:cs="Garamond"/>
          <w:b/>
          <w:color w:val="000000"/>
          <w:sz w:val="24"/>
          <w:szCs w:val="24"/>
        </w:rPr>
      </w:pPr>
      <w:r>
        <w:rPr>
          <w:rFonts w:ascii="Garamond" w:eastAsia="Garamond" w:hAnsi="Garamond" w:cs="Garamond"/>
          <w:b/>
          <w:color w:val="000000"/>
          <w:sz w:val="24"/>
          <w:szCs w:val="24"/>
        </w:rPr>
        <w:t>P1: Os relatórios são emitidos regularmente e tempestivamente?</w:t>
      </w:r>
    </w:p>
    <w:p w14:paraId="69A876E4" w14:textId="77777777" w:rsidR="00EC4499" w:rsidRDefault="00EC4499">
      <w:pPr>
        <w:spacing w:after="0" w:line="360" w:lineRule="auto"/>
        <w:rPr>
          <w:rFonts w:ascii="Garamond" w:eastAsia="Garamond" w:hAnsi="Garamond" w:cs="Garamond"/>
          <w:b/>
          <w:color w:val="000000"/>
          <w:sz w:val="24"/>
          <w:szCs w:val="24"/>
        </w:rPr>
      </w:pPr>
    </w:p>
    <w:p w14:paraId="7EE60AAD"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sz w:val="24"/>
          <w:szCs w:val="24"/>
        </w:rPr>
        <w:t>Nas orientações para aplicação do princípio a GRI (GRI, 2021) preconiza que a utilidade das informações relatadas está intimamente ligada ao fato de estarem disponíveis a tempo para que os usuários de informações possam integrá-las ao seu processo decisório.</w:t>
      </w:r>
    </w:p>
    <w:p w14:paraId="3E966859" w14:textId="601C57C0" w:rsidR="00EC4499" w:rsidRPr="002E629C" w:rsidRDefault="00433EA7" w:rsidP="002E629C">
      <w:pPr>
        <w:spacing w:after="0" w:line="360" w:lineRule="auto"/>
        <w:ind w:firstLine="708"/>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Banco do Brasil, BNDES, BTG Pactual, Citibank, Inter, Itaú, J.P. Morgan e Sicredi foram o que obtiveram pontuações máximas nos 2 anos, já que publicaram seus relatórios </w:t>
      </w:r>
      <w:r>
        <w:rPr>
          <w:rFonts w:ascii="Garamond" w:eastAsia="Garamond" w:hAnsi="Garamond" w:cs="Garamond"/>
          <w:color w:val="000000"/>
          <w:sz w:val="24"/>
          <w:szCs w:val="24"/>
        </w:rPr>
        <w:lastRenderedPageBreak/>
        <w:t>no primeiro semestre e com distância máxima de 1 mês antes ou depois com relação ao relatório anterior.</w:t>
      </w:r>
    </w:p>
    <w:p w14:paraId="2B2DF15B" w14:textId="77777777" w:rsidR="00EC4499" w:rsidRDefault="00433EA7">
      <w:pPr>
        <w:pStyle w:val="Ttulo3"/>
        <w:spacing w:after="0" w:line="360" w:lineRule="auto"/>
        <w:rPr>
          <w:rFonts w:ascii="Garamond" w:eastAsia="Garamond" w:hAnsi="Garamond" w:cs="Garamond"/>
          <w:sz w:val="24"/>
          <w:szCs w:val="24"/>
        </w:rPr>
      </w:pPr>
      <w:bookmarkStart w:id="22" w:name="_heading=h.pm4tcz6o08si" w:colFirst="0" w:colLast="0"/>
      <w:bookmarkEnd w:id="22"/>
      <w:r>
        <w:rPr>
          <w:rFonts w:ascii="Garamond" w:eastAsia="Garamond" w:hAnsi="Garamond" w:cs="Garamond"/>
          <w:sz w:val="24"/>
          <w:szCs w:val="24"/>
        </w:rPr>
        <w:t>4.5.5 Princípio da Clareza</w:t>
      </w:r>
    </w:p>
    <w:p w14:paraId="1C90ED6D" w14:textId="77777777" w:rsidR="00EC4499" w:rsidRDefault="00EC4499">
      <w:pPr>
        <w:spacing w:after="0" w:line="360" w:lineRule="auto"/>
        <w:rPr>
          <w:rFonts w:ascii="Garamond" w:eastAsia="Garamond" w:hAnsi="Garamond" w:cs="Garamond"/>
          <w:color w:val="000000"/>
          <w:sz w:val="24"/>
          <w:szCs w:val="24"/>
        </w:rPr>
      </w:pPr>
    </w:p>
    <w:p w14:paraId="7EF13F5E" w14:textId="77777777" w:rsidR="00EC4499" w:rsidRDefault="00433EA7">
      <w:pPr>
        <w:spacing w:after="0" w:line="360" w:lineRule="auto"/>
        <w:ind w:firstLine="708"/>
        <w:jc w:val="both"/>
        <w:rPr>
          <w:rFonts w:ascii="Garamond" w:eastAsia="Garamond" w:hAnsi="Garamond" w:cs="Garamond"/>
          <w:color w:val="000000"/>
          <w:sz w:val="24"/>
          <w:szCs w:val="24"/>
        </w:rPr>
      </w:pPr>
      <w:r>
        <w:rPr>
          <w:rFonts w:ascii="Garamond" w:eastAsia="Garamond" w:hAnsi="Garamond" w:cs="Garamond"/>
          <w:color w:val="000000"/>
          <w:sz w:val="24"/>
          <w:szCs w:val="24"/>
        </w:rPr>
        <w:t>Apresentamos a seguir os resultados obtidos a partir da análise dos relatórios com relação ao Princípio da Clareza.</w:t>
      </w:r>
    </w:p>
    <w:p w14:paraId="0818F203" w14:textId="77777777" w:rsidR="00EC4499" w:rsidRDefault="00EC4499">
      <w:pPr>
        <w:pBdr>
          <w:top w:val="nil"/>
          <w:left w:val="nil"/>
          <w:bottom w:val="nil"/>
          <w:right w:val="nil"/>
          <w:between w:val="nil"/>
        </w:pBdr>
        <w:spacing w:after="0" w:line="360" w:lineRule="auto"/>
        <w:ind w:left="720"/>
        <w:rPr>
          <w:rFonts w:ascii="Garamond" w:eastAsia="Garamond" w:hAnsi="Garamond" w:cs="Garamond"/>
          <w:b/>
          <w:color w:val="000000"/>
          <w:sz w:val="24"/>
          <w:szCs w:val="24"/>
        </w:rPr>
      </w:pPr>
    </w:p>
    <w:p w14:paraId="4009101E" w14:textId="11A79C14" w:rsidR="00EC4499" w:rsidRDefault="00433EA7">
      <w:pPr>
        <w:spacing w:after="0" w:line="360" w:lineRule="auto"/>
        <w:jc w:val="center"/>
        <w:rPr>
          <w:rFonts w:ascii="Garamond" w:eastAsia="Garamond" w:hAnsi="Garamond" w:cs="Garamond"/>
          <w:i/>
          <w:color w:val="000000"/>
          <w:sz w:val="24"/>
          <w:szCs w:val="24"/>
        </w:rPr>
      </w:pPr>
      <w:r>
        <w:rPr>
          <w:rFonts w:ascii="Garamond" w:eastAsia="Garamond" w:hAnsi="Garamond" w:cs="Garamond"/>
          <w:color w:val="000000"/>
          <w:sz w:val="24"/>
          <w:szCs w:val="24"/>
        </w:rPr>
        <w:t>Tabela 2</w:t>
      </w:r>
      <w:r w:rsidR="004360BC">
        <w:rPr>
          <w:rFonts w:ascii="Garamond" w:eastAsia="Garamond" w:hAnsi="Garamond" w:cs="Garamond"/>
          <w:color w:val="000000"/>
          <w:sz w:val="24"/>
          <w:szCs w:val="24"/>
        </w:rPr>
        <w:t>5</w:t>
      </w:r>
      <w:r>
        <w:rPr>
          <w:rFonts w:ascii="Garamond" w:eastAsia="Garamond" w:hAnsi="Garamond" w:cs="Garamond"/>
          <w:color w:val="000000"/>
          <w:sz w:val="24"/>
          <w:szCs w:val="24"/>
        </w:rPr>
        <w:t xml:space="preserve"> - Princípio da Clareza</w:t>
      </w:r>
    </w:p>
    <w:tbl>
      <w:tblPr>
        <w:tblStyle w:val="af6"/>
        <w:tblW w:w="8233" w:type="dxa"/>
        <w:tblInd w:w="284" w:type="dxa"/>
        <w:tblLayout w:type="fixed"/>
        <w:tblLook w:val="0400" w:firstRow="0" w:lastRow="0" w:firstColumn="0" w:lastColumn="0" w:noHBand="0" w:noVBand="1"/>
      </w:tblPr>
      <w:tblGrid>
        <w:gridCol w:w="2410"/>
        <w:gridCol w:w="478"/>
        <w:gridCol w:w="3065"/>
        <w:gridCol w:w="2280"/>
      </w:tblGrid>
      <w:tr w:rsidR="00EC4499" w14:paraId="2F1335CE" w14:textId="77777777" w:rsidTr="002E629C">
        <w:trPr>
          <w:trHeight w:val="288"/>
        </w:trPr>
        <w:tc>
          <w:tcPr>
            <w:tcW w:w="2410" w:type="dxa"/>
            <w:tcBorders>
              <w:top w:val="nil"/>
              <w:left w:val="nil"/>
              <w:bottom w:val="single" w:sz="4" w:space="0" w:color="000000"/>
              <w:right w:val="nil"/>
            </w:tcBorders>
            <w:shd w:val="clear" w:color="auto" w:fill="auto"/>
            <w:vAlign w:val="bottom"/>
          </w:tcPr>
          <w:p w14:paraId="36BC1D20" w14:textId="77777777" w:rsidR="00EC4499" w:rsidRDefault="00433EA7">
            <w:pPr>
              <w:spacing w:after="0" w:line="240" w:lineRule="auto"/>
              <w:rPr>
                <w:rFonts w:ascii="Garamond" w:eastAsia="Garamond" w:hAnsi="Garamond" w:cs="Garamond"/>
                <w:b/>
                <w:color w:val="000000"/>
                <w:sz w:val="18"/>
                <w:szCs w:val="18"/>
              </w:rPr>
            </w:pPr>
            <w:r>
              <w:rPr>
                <w:rFonts w:ascii="Garamond" w:eastAsia="Garamond" w:hAnsi="Garamond" w:cs="Garamond"/>
                <w:b/>
                <w:color w:val="000000"/>
                <w:sz w:val="24"/>
                <w:szCs w:val="24"/>
              </w:rPr>
              <w:tab/>
            </w:r>
            <w:r>
              <w:rPr>
                <w:rFonts w:ascii="Garamond" w:eastAsia="Garamond" w:hAnsi="Garamond" w:cs="Garamond"/>
                <w:b/>
                <w:color w:val="000000"/>
                <w:sz w:val="18"/>
                <w:szCs w:val="18"/>
              </w:rPr>
              <w:t>Empresa</w:t>
            </w:r>
          </w:p>
        </w:tc>
        <w:tc>
          <w:tcPr>
            <w:tcW w:w="478" w:type="dxa"/>
            <w:tcBorders>
              <w:top w:val="nil"/>
              <w:left w:val="nil"/>
              <w:bottom w:val="single" w:sz="4" w:space="0" w:color="000000"/>
              <w:right w:val="nil"/>
            </w:tcBorders>
            <w:shd w:val="clear" w:color="auto" w:fill="auto"/>
            <w:vAlign w:val="bottom"/>
          </w:tcPr>
          <w:p w14:paraId="69B62060"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Ano</w:t>
            </w:r>
          </w:p>
        </w:tc>
        <w:tc>
          <w:tcPr>
            <w:tcW w:w="3065" w:type="dxa"/>
            <w:tcBorders>
              <w:top w:val="nil"/>
              <w:left w:val="nil"/>
              <w:bottom w:val="single" w:sz="4" w:space="0" w:color="000000"/>
              <w:right w:val="nil"/>
            </w:tcBorders>
            <w:shd w:val="clear" w:color="auto" w:fill="auto"/>
            <w:vAlign w:val="bottom"/>
          </w:tcPr>
          <w:p w14:paraId="0B04F538" w14:textId="6E6A6A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Pontuação P1</w:t>
            </w:r>
          </w:p>
        </w:tc>
        <w:tc>
          <w:tcPr>
            <w:tcW w:w="2280" w:type="dxa"/>
            <w:tcBorders>
              <w:top w:val="nil"/>
              <w:left w:val="nil"/>
              <w:bottom w:val="single" w:sz="4" w:space="0" w:color="000000"/>
              <w:right w:val="nil"/>
            </w:tcBorders>
            <w:shd w:val="clear" w:color="auto" w:fill="auto"/>
            <w:vAlign w:val="bottom"/>
          </w:tcPr>
          <w:p w14:paraId="58401FDD"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 xml:space="preserve">                                      Total</w:t>
            </w:r>
          </w:p>
        </w:tc>
      </w:tr>
      <w:tr w:rsidR="00EC4499" w14:paraId="4CF8A346" w14:textId="77777777" w:rsidTr="002E629C">
        <w:trPr>
          <w:trHeight w:val="288"/>
        </w:trPr>
        <w:tc>
          <w:tcPr>
            <w:tcW w:w="2410" w:type="dxa"/>
            <w:vMerge w:val="restart"/>
            <w:tcBorders>
              <w:top w:val="single" w:sz="4" w:space="0" w:color="000000"/>
              <w:left w:val="nil"/>
              <w:bottom w:val="nil"/>
              <w:right w:val="nil"/>
            </w:tcBorders>
            <w:shd w:val="clear" w:color="auto" w:fill="auto"/>
            <w:vAlign w:val="bottom"/>
          </w:tcPr>
          <w:p w14:paraId="0F03F57B"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Banco do Brasil </w:t>
            </w:r>
          </w:p>
        </w:tc>
        <w:tc>
          <w:tcPr>
            <w:tcW w:w="478" w:type="dxa"/>
            <w:tcBorders>
              <w:top w:val="single" w:sz="4" w:space="0" w:color="000000"/>
              <w:left w:val="nil"/>
              <w:bottom w:val="nil"/>
              <w:right w:val="nil"/>
            </w:tcBorders>
            <w:shd w:val="clear" w:color="auto" w:fill="auto"/>
            <w:vAlign w:val="bottom"/>
          </w:tcPr>
          <w:p w14:paraId="25ED3AC3" w14:textId="77777777" w:rsidR="00EC4499" w:rsidRDefault="00433EA7">
            <w:pPr>
              <w:spacing w:after="0" w:line="240" w:lineRule="auto"/>
              <w:ind w:left="-141"/>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3065" w:type="dxa"/>
            <w:tcBorders>
              <w:top w:val="single" w:sz="4" w:space="0" w:color="000000"/>
              <w:left w:val="nil"/>
              <w:bottom w:val="nil"/>
              <w:right w:val="nil"/>
            </w:tcBorders>
            <w:shd w:val="clear" w:color="auto" w:fill="auto"/>
            <w:vAlign w:val="bottom"/>
          </w:tcPr>
          <w:p w14:paraId="18F424D5"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280" w:type="dxa"/>
            <w:tcBorders>
              <w:top w:val="single" w:sz="4" w:space="0" w:color="000000"/>
              <w:left w:val="nil"/>
              <w:bottom w:val="nil"/>
              <w:right w:val="nil"/>
            </w:tcBorders>
            <w:shd w:val="clear" w:color="auto" w:fill="auto"/>
            <w:vAlign w:val="bottom"/>
          </w:tcPr>
          <w:p w14:paraId="6935B89F"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76AEA56A" w14:textId="77777777" w:rsidTr="002E629C">
        <w:trPr>
          <w:trHeight w:val="288"/>
        </w:trPr>
        <w:tc>
          <w:tcPr>
            <w:tcW w:w="2410" w:type="dxa"/>
            <w:vMerge/>
            <w:tcBorders>
              <w:top w:val="single" w:sz="4" w:space="0" w:color="000000"/>
              <w:left w:val="nil"/>
              <w:bottom w:val="nil"/>
              <w:right w:val="nil"/>
            </w:tcBorders>
            <w:shd w:val="clear" w:color="auto" w:fill="auto"/>
            <w:vAlign w:val="bottom"/>
          </w:tcPr>
          <w:p w14:paraId="799C8367"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0469F17F" w14:textId="77777777" w:rsidR="00EC4499" w:rsidRDefault="00433EA7">
            <w:pPr>
              <w:spacing w:after="0" w:line="240" w:lineRule="auto"/>
              <w:ind w:left="-141"/>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3065" w:type="dxa"/>
            <w:tcBorders>
              <w:top w:val="nil"/>
              <w:left w:val="nil"/>
              <w:bottom w:val="single" w:sz="4" w:space="0" w:color="000000"/>
              <w:right w:val="nil"/>
            </w:tcBorders>
            <w:shd w:val="clear" w:color="auto" w:fill="auto"/>
            <w:vAlign w:val="bottom"/>
          </w:tcPr>
          <w:p w14:paraId="6F6237FA"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280" w:type="dxa"/>
            <w:tcBorders>
              <w:top w:val="nil"/>
              <w:left w:val="nil"/>
              <w:bottom w:val="single" w:sz="4" w:space="0" w:color="000000"/>
              <w:right w:val="nil"/>
            </w:tcBorders>
            <w:shd w:val="clear" w:color="auto" w:fill="auto"/>
            <w:vAlign w:val="bottom"/>
          </w:tcPr>
          <w:p w14:paraId="260A5D6B"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33EF0081" w14:textId="77777777" w:rsidTr="002E629C">
        <w:trPr>
          <w:trHeight w:val="288"/>
        </w:trPr>
        <w:tc>
          <w:tcPr>
            <w:tcW w:w="2410" w:type="dxa"/>
            <w:vMerge w:val="restart"/>
            <w:tcBorders>
              <w:top w:val="nil"/>
              <w:left w:val="nil"/>
              <w:bottom w:val="nil"/>
              <w:right w:val="nil"/>
            </w:tcBorders>
            <w:shd w:val="clear" w:color="auto" w:fill="auto"/>
            <w:vAlign w:val="bottom"/>
          </w:tcPr>
          <w:p w14:paraId="250CC1A8"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Banco do Nordeste </w:t>
            </w:r>
          </w:p>
        </w:tc>
        <w:tc>
          <w:tcPr>
            <w:tcW w:w="478" w:type="dxa"/>
            <w:tcBorders>
              <w:top w:val="single" w:sz="4" w:space="0" w:color="000000"/>
              <w:left w:val="nil"/>
              <w:bottom w:val="nil"/>
              <w:right w:val="nil"/>
            </w:tcBorders>
            <w:shd w:val="clear" w:color="auto" w:fill="auto"/>
            <w:vAlign w:val="bottom"/>
          </w:tcPr>
          <w:p w14:paraId="756DFE1A" w14:textId="77777777" w:rsidR="00EC4499" w:rsidRDefault="00433EA7">
            <w:pPr>
              <w:spacing w:after="0" w:line="240" w:lineRule="auto"/>
              <w:ind w:left="-141"/>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3065" w:type="dxa"/>
            <w:tcBorders>
              <w:top w:val="single" w:sz="4" w:space="0" w:color="000000"/>
              <w:left w:val="nil"/>
              <w:bottom w:val="nil"/>
              <w:right w:val="nil"/>
            </w:tcBorders>
            <w:shd w:val="clear" w:color="auto" w:fill="auto"/>
            <w:vAlign w:val="bottom"/>
          </w:tcPr>
          <w:p w14:paraId="17BA34DE"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2280" w:type="dxa"/>
            <w:tcBorders>
              <w:top w:val="single" w:sz="4" w:space="0" w:color="000000"/>
              <w:left w:val="nil"/>
              <w:bottom w:val="nil"/>
              <w:right w:val="nil"/>
            </w:tcBorders>
            <w:shd w:val="clear" w:color="auto" w:fill="auto"/>
            <w:vAlign w:val="bottom"/>
          </w:tcPr>
          <w:p w14:paraId="5D8AE138"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1</w:t>
            </w:r>
          </w:p>
        </w:tc>
      </w:tr>
      <w:tr w:rsidR="00EC4499" w14:paraId="2F6271BF" w14:textId="77777777" w:rsidTr="002E629C">
        <w:trPr>
          <w:trHeight w:val="288"/>
        </w:trPr>
        <w:tc>
          <w:tcPr>
            <w:tcW w:w="2410" w:type="dxa"/>
            <w:vMerge/>
            <w:tcBorders>
              <w:top w:val="nil"/>
              <w:left w:val="nil"/>
              <w:bottom w:val="nil"/>
              <w:right w:val="nil"/>
            </w:tcBorders>
            <w:shd w:val="clear" w:color="auto" w:fill="auto"/>
            <w:vAlign w:val="bottom"/>
          </w:tcPr>
          <w:p w14:paraId="72F32290"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7481D603" w14:textId="77777777" w:rsidR="00EC4499" w:rsidRDefault="00433EA7">
            <w:pPr>
              <w:spacing w:after="0" w:line="240" w:lineRule="auto"/>
              <w:ind w:left="-141"/>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3065" w:type="dxa"/>
            <w:tcBorders>
              <w:top w:val="nil"/>
              <w:left w:val="nil"/>
              <w:bottom w:val="single" w:sz="4" w:space="0" w:color="000000"/>
              <w:right w:val="nil"/>
            </w:tcBorders>
            <w:shd w:val="clear" w:color="auto" w:fill="auto"/>
            <w:vAlign w:val="bottom"/>
          </w:tcPr>
          <w:p w14:paraId="33FC19EA"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2280" w:type="dxa"/>
            <w:tcBorders>
              <w:top w:val="nil"/>
              <w:left w:val="nil"/>
              <w:bottom w:val="single" w:sz="4" w:space="0" w:color="000000"/>
              <w:right w:val="nil"/>
            </w:tcBorders>
            <w:shd w:val="clear" w:color="auto" w:fill="auto"/>
            <w:vAlign w:val="bottom"/>
          </w:tcPr>
          <w:p w14:paraId="697B0457"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1</w:t>
            </w:r>
          </w:p>
        </w:tc>
      </w:tr>
      <w:tr w:rsidR="00EC4499" w14:paraId="19505DB5" w14:textId="77777777" w:rsidTr="002E629C">
        <w:trPr>
          <w:trHeight w:val="288"/>
        </w:trPr>
        <w:tc>
          <w:tcPr>
            <w:tcW w:w="2410" w:type="dxa"/>
            <w:vMerge w:val="restart"/>
            <w:tcBorders>
              <w:top w:val="nil"/>
              <w:left w:val="nil"/>
              <w:bottom w:val="nil"/>
              <w:right w:val="nil"/>
            </w:tcBorders>
            <w:shd w:val="clear" w:color="auto" w:fill="auto"/>
            <w:vAlign w:val="bottom"/>
          </w:tcPr>
          <w:p w14:paraId="6EB274B1"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BNDES</w:t>
            </w:r>
          </w:p>
        </w:tc>
        <w:tc>
          <w:tcPr>
            <w:tcW w:w="478" w:type="dxa"/>
            <w:tcBorders>
              <w:top w:val="single" w:sz="4" w:space="0" w:color="000000"/>
              <w:left w:val="nil"/>
              <w:bottom w:val="nil"/>
              <w:right w:val="nil"/>
            </w:tcBorders>
            <w:shd w:val="clear" w:color="auto" w:fill="auto"/>
            <w:vAlign w:val="bottom"/>
          </w:tcPr>
          <w:p w14:paraId="4F338F01" w14:textId="77777777" w:rsidR="00EC4499" w:rsidRDefault="00433EA7">
            <w:pPr>
              <w:spacing w:after="0" w:line="240" w:lineRule="auto"/>
              <w:ind w:left="-141"/>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3065" w:type="dxa"/>
            <w:tcBorders>
              <w:top w:val="single" w:sz="4" w:space="0" w:color="000000"/>
              <w:left w:val="nil"/>
              <w:bottom w:val="nil"/>
              <w:right w:val="nil"/>
            </w:tcBorders>
            <w:shd w:val="clear" w:color="auto" w:fill="auto"/>
            <w:vAlign w:val="bottom"/>
          </w:tcPr>
          <w:p w14:paraId="0801F800"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280" w:type="dxa"/>
            <w:tcBorders>
              <w:top w:val="single" w:sz="4" w:space="0" w:color="000000"/>
              <w:left w:val="nil"/>
              <w:bottom w:val="nil"/>
              <w:right w:val="nil"/>
            </w:tcBorders>
            <w:shd w:val="clear" w:color="auto" w:fill="auto"/>
            <w:vAlign w:val="bottom"/>
          </w:tcPr>
          <w:p w14:paraId="4E93DB49"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4E17277E" w14:textId="77777777" w:rsidTr="002E629C">
        <w:trPr>
          <w:trHeight w:val="288"/>
        </w:trPr>
        <w:tc>
          <w:tcPr>
            <w:tcW w:w="2410" w:type="dxa"/>
            <w:vMerge/>
            <w:tcBorders>
              <w:top w:val="nil"/>
              <w:left w:val="nil"/>
              <w:bottom w:val="nil"/>
              <w:right w:val="nil"/>
            </w:tcBorders>
            <w:shd w:val="clear" w:color="auto" w:fill="auto"/>
            <w:vAlign w:val="bottom"/>
          </w:tcPr>
          <w:p w14:paraId="3B27A898"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7B7B9FC3" w14:textId="77777777" w:rsidR="00EC4499" w:rsidRDefault="00433EA7">
            <w:pPr>
              <w:spacing w:after="0" w:line="240" w:lineRule="auto"/>
              <w:ind w:left="-141"/>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3065" w:type="dxa"/>
            <w:tcBorders>
              <w:top w:val="nil"/>
              <w:left w:val="nil"/>
              <w:bottom w:val="single" w:sz="4" w:space="0" w:color="000000"/>
              <w:right w:val="nil"/>
            </w:tcBorders>
            <w:shd w:val="clear" w:color="auto" w:fill="auto"/>
            <w:vAlign w:val="bottom"/>
          </w:tcPr>
          <w:p w14:paraId="50AD062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280" w:type="dxa"/>
            <w:tcBorders>
              <w:top w:val="nil"/>
              <w:left w:val="nil"/>
              <w:bottom w:val="single" w:sz="4" w:space="0" w:color="000000"/>
              <w:right w:val="nil"/>
            </w:tcBorders>
            <w:shd w:val="clear" w:color="auto" w:fill="auto"/>
            <w:vAlign w:val="bottom"/>
          </w:tcPr>
          <w:p w14:paraId="18D2125D"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2DD5F063" w14:textId="77777777" w:rsidTr="002E629C">
        <w:trPr>
          <w:trHeight w:val="288"/>
        </w:trPr>
        <w:tc>
          <w:tcPr>
            <w:tcW w:w="2410" w:type="dxa"/>
            <w:vMerge w:val="restart"/>
            <w:tcBorders>
              <w:top w:val="nil"/>
              <w:left w:val="nil"/>
              <w:bottom w:val="nil"/>
              <w:right w:val="nil"/>
            </w:tcBorders>
            <w:shd w:val="clear" w:color="auto" w:fill="auto"/>
            <w:vAlign w:val="bottom"/>
          </w:tcPr>
          <w:p w14:paraId="6952DEF8"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Bradesco</w:t>
            </w:r>
          </w:p>
        </w:tc>
        <w:tc>
          <w:tcPr>
            <w:tcW w:w="478" w:type="dxa"/>
            <w:tcBorders>
              <w:top w:val="single" w:sz="4" w:space="0" w:color="000000"/>
              <w:left w:val="nil"/>
              <w:bottom w:val="nil"/>
              <w:right w:val="nil"/>
            </w:tcBorders>
            <w:shd w:val="clear" w:color="auto" w:fill="auto"/>
            <w:vAlign w:val="bottom"/>
          </w:tcPr>
          <w:p w14:paraId="2B40B3E6" w14:textId="77777777" w:rsidR="00EC4499" w:rsidRDefault="00433EA7">
            <w:pPr>
              <w:spacing w:after="0" w:line="240" w:lineRule="auto"/>
              <w:ind w:left="-141"/>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3065" w:type="dxa"/>
            <w:tcBorders>
              <w:top w:val="single" w:sz="4" w:space="0" w:color="000000"/>
              <w:left w:val="nil"/>
              <w:bottom w:val="nil"/>
              <w:right w:val="nil"/>
            </w:tcBorders>
            <w:shd w:val="clear" w:color="auto" w:fill="auto"/>
            <w:vAlign w:val="bottom"/>
          </w:tcPr>
          <w:p w14:paraId="6C42564B"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280" w:type="dxa"/>
            <w:tcBorders>
              <w:top w:val="single" w:sz="4" w:space="0" w:color="000000"/>
              <w:left w:val="nil"/>
              <w:bottom w:val="nil"/>
              <w:right w:val="nil"/>
            </w:tcBorders>
            <w:shd w:val="clear" w:color="auto" w:fill="auto"/>
            <w:vAlign w:val="bottom"/>
          </w:tcPr>
          <w:p w14:paraId="47F56FFC"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6F3E34A8" w14:textId="77777777" w:rsidTr="002E629C">
        <w:trPr>
          <w:trHeight w:val="288"/>
        </w:trPr>
        <w:tc>
          <w:tcPr>
            <w:tcW w:w="2410" w:type="dxa"/>
            <w:vMerge/>
            <w:tcBorders>
              <w:top w:val="nil"/>
              <w:left w:val="nil"/>
              <w:bottom w:val="nil"/>
              <w:right w:val="nil"/>
            </w:tcBorders>
            <w:shd w:val="clear" w:color="auto" w:fill="auto"/>
            <w:vAlign w:val="bottom"/>
          </w:tcPr>
          <w:p w14:paraId="0373D7A4"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0E24619C" w14:textId="77777777" w:rsidR="00EC4499" w:rsidRDefault="00433EA7">
            <w:pPr>
              <w:spacing w:after="0" w:line="240" w:lineRule="auto"/>
              <w:ind w:left="-141"/>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3065" w:type="dxa"/>
            <w:tcBorders>
              <w:top w:val="nil"/>
              <w:left w:val="nil"/>
              <w:bottom w:val="single" w:sz="4" w:space="0" w:color="000000"/>
              <w:right w:val="nil"/>
            </w:tcBorders>
            <w:shd w:val="clear" w:color="auto" w:fill="auto"/>
            <w:vAlign w:val="bottom"/>
          </w:tcPr>
          <w:p w14:paraId="24C14589"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280" w:type="dxa"/>
            <w:tcBorders>
              <w:top w:val="nil"/>
              <w:left w:val="nil"/>
              <w:bottom w:val="single" w:sz="4" w:space="0" w:color="000000"/>
              <w:right w:val="nil"/>
            </w:tcBorders>
            <w:shd w:val="clear" w:color="auto" w:fill="auto"/>
            <w:vAlign w:val="bottom"/>
          </w:tcPr>
          <w:p w14:paraId="25956486"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3FA52CA5" w14:textId="77777777" w:rsidTr="002E629C">
        <w:trPr>
          <w:trHeight w:val="288"/>
        </w:trPr>
        <w:tc>
          <w:tcPr>
            <w:tcW w:w="2410" w:type="dxa"/>
            <w:vMerge w:val="restart"/>
            <w:tcBorders>
              <w:top w:val="nil"/>
              <w:left w:val="nil"/>
              <w:bottom w:val="nil"/>
              <w:right w:val="nil"/>
            </w:tcBorders>
            <w:shd w:val="clear" w:color="auto" w:fill="auto"/>
            <w:vAlign w:val="bottom"/>
          </w:tcPr>
          <w:p w14:paraId="4076F1EA"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BTG Pactual</w:t>
            </w:r>
          </w:p>
        </w:tc>
        <w:tc>
          <w:tcPr>
            <w:tcW w:w="478" w:type="dxa"/>
            <w:tcBorders>
              <w:top w:val="single" w:sz="4" w:space="0" w:color="000000"/>
              <w:left w:val="nil"/>
              <w:bottom w:val="nil"/>
              <w:right w:val="nil"/>
            </w:tcBorders>
            <w:shd w:val="clear" w:color="auto" w:fill="auto"/>
            <w:vAlign w:val="bottom"/>
          </w:tcPr>
          <w:p w14:paraId="2E2B729A" w14:textId="77777777" w:rsidR="00EC4499" w:rsidRDefault="00433EA7">
            <w:pPr>
              <w:spacing w:after="0" w:line="240" w:lineRule="auto"/>
              <w:ind w:left="-141"/>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3065" w:type="dxa"/>
            <w:tcBorders>
              <w:top w:val="single" w:sz="4" w:space="0" w:color="000000"/>
              <w:left w:val="nil"/>
              <w:bottom w:val="nil"/>
              <w:right w:val="nil"/>
            </w:tcBorders>
            <w:shd w:val="clear" w:color="auto" w:fill="auto"/>
            <w:vAlign w:val="bottom"/>
          </w:tcPr>
          <w:p w14:paraId="53D85A8E"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280" w:type="dxa"/>
            <w:tcBorders>
              <w:top w:val="single" w:sz="4" w:space="0" w:color="000000"/>
              <w:left w:val="nil"/>
              <w:bottom w:val="nil"/>
              <w:right w:val="nil"/>
            </w:tcBorders>
            <w:shd w:val="clear" w:color="auto" w:fill="auto"/>
            <w:vAlign w:val="bottom"/>
          </w:tcPr>
          <w:p w14:paraId="2E16E6E8"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6C8A660C" w14:textId="77777777" w:rsidTr="002E629C">
        <w:trPr>
          <w:trHeight w:val="288"/>
        </w:trPr>
        <w:tc>
          <w:tcPr>
            <w:tcW w:w="2410" w:type="dxa"/>
            <w:vMerge/>
            <w:tcBorders>
              <w:top w:val="nil"/>
              <w:left w:val="nil"/>
              <w:bottom w:val="nil"/>
              <w:right w:val="nil"/>
            </w:tcBorders>
            <w:shd w:val="clear" w:color="auto" w:fill="auto"/>
            <w:vAlign w:val="bottom"/>
          </w:tcPr>
          <w:p w14:paraId="3EAE9207"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4A24F973" w14:textId="77777777" w:rsidR="00EC4499" w:rsidRDefault="00433EA7">
            <w:pPr>
              <w:spacing w:after="0" w:line="240" w:lineRule="auto"/>
              <w:ind w:left="-141"/>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3065" w:type="dxa"/>
            <w:tcBorders>
              <w:top w:val="nil"/>
              <w:left w:val="nil"/>
              <w:bottom w:val="single" w:sz="4" w:space="0" w:color="000000"/>
              <w:right w:val="nil"/>
            </w:tcBorders>
            <w:shd w:val="clear" w:color="auto" w:fill="auto"/>
            <w:vAlign w:val="bottom"/>
          </w:tcPr>
          <w:p w14:paraId="078281A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280" w:type="dxa"/>
            <w:tcBorders>
              <w:top w:val="nil"/>
              <w:left w:val="nil"/>
              <w:bottom w:val="single" w:sz="4" w:space="0" w:color="000000"/>
              <w:right w:val="nil"/>
            </w:tcBorders>
            <w:shd w:val="clear" w:color="auto" w:fill="auto"/>
            <w:vAlign w:val="bottom"/>
          </w:tcPr>
          <w:p w14:paraId="34B3B097"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2E133F99" w14:textId="77777777" w:rsidTr="002E629C">
        <w:trPr>
          <w:trHeight w:val="288"/>
        </w:trPr>
        <w:tc>
          <w:tcPr>
            <w:tcW w:w="2410" w:type="dxa"/>
            <w:vMerge w:val="restart"/>
            <w:tcBorders>
              <w:top w:val="nil"/>
              <w:left w:val="nil"/>
              <w:bottom w:val="nil"/>
              <w:right w:val="nil"/>
            </w:tcBorders>
            <w:shd w:val="clear" w:color="auto" w:fill="auto"/>
            <w:vAlign w:val="bottom"/>
          </w:tcPr>
          <w:p w14:paraId="1479C85B"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Caixa Econômica Federal </w:t>
            </w:r>
          </w:p>
        </w:tc>
        <w:tc>
          <w:tcPr>
            <w:tcW w:w="478" w:type="dxa"/>
            <w:tcBorders>
              <w:top w:val="single" w:sz="4" w:space="0" w:color="000000"/>
              <w:left w:val="nil"/>
              <w:bottom w:val="nil"/>
              <w:right w:val="nil"/>
            </w:tcBorders>
            <w:shd w:val="clear" w:color="auto" w:fill="auto"/>
            <w:vAlign w:val="bottom"/>
          </w:tcPr>
          <w:p w14:paraId="1F08176A" w14:textId="77777777" w:rsidR="00EC4499" w:rsidRDefault="00433EA7">
            <w:pPr>
              <w:spacing w:after="0" w:line="240" w:lineRule="auto"/>
              <w:ind w:left="-141"/>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3065" w:type="dxa"/>
            <w:tcBorders>
              <w:top w:val="single" w:sz="4" w:space="0" w:color="000000"/>
              <w:left w:val="nil"/>
              <w:bottom w:val="nil"/>
              <w:right w:val="nil"/>
            </w:tcBorders>
            <w:shd w:val="clear" w:color="auto" w:fill="auto"/>
            <w:vAlign w:val="bottom"/>
          </w:tcPr>
          <w:p w14:paraId="1476F482"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2280" w:type="dxa"/>
            <w:tcBorders>
              <w:top w:val="single" w:sz="4" w:space="0" w:color="000000"/>
              <w:left w:val="nil"/>
              <w:bottom w:val="nil"/>
              <w:right w:val="nil"/>
            </w:tcBorders>
            <w:shd w:val="clear" w:color="auto" w:fill="auto"/>
            <w:vAlign w:val="bottom"/>
          </w:tcPr>
          <w:p w14:paraId="328EDF24"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1</w:t>
            </w:r>
          </w:p>
        </w:tc>
      </w:tr>
      <w:tr w:rsidR="00EC4499" w14:paraId="5DF07576" w14:textId="77777777" w:rsidTr="002E629C">
        <w:trPr>
          <w:trHeight w:val="288"/>
        </w:trPr>
        <w:tc>
          <w:tcPr>
            <w:tcW w:w="2410" w:type="dxa"/>
            <w:vMerge/>
            <w:tcBorders>
              <w:top w:val="nil"/>
              <w:left w:val="nil"/>
              <w:bottom w:val="nil"/>
              <w:right w:val="nil"/>
            </w:tcBorders>
            <w:shd w:val="clear" w:color="auto" w:fill="auto"/>
            <w:vAlign w:val="bottom"/>
          </w:tcPr>
          <w:p w14:paraId="337B8A0E"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256BFAC7" w14:textId="77777777" w:rsidR="00EC4499" w:rsidRDefault="00433EA7">
            <w:pPr>
              <w:spacing w:after="0" w:line="240" w:lineRule="auto"/>
              <w:ind w:left="-141"/>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3065" w:type="dxa"/>
            <w:tcBorders>
              <w:top w:val="nil"/>
              <w:left w:val="nil"/>
              <w:bottom w:val="single" w:sz="4" w:space="0" w:color="000000"/>
              <w:right w:val="nil"/>
            </w:tcBorders>
            <w:shd w:val="clear" w:color="auto" w:fill="auto"/>
            <w:vAlign w:val="bottom"/>
          </w:tcPr>
          <w:p w14:paraId="3A8066E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280" w:type="dxa"/>
            <w:tcBorders>
              <w:top w:val="nil"/>
              <w:left w:val="nil"/>
              <w:bottom w:val="single" w:sz="4" w:space="0" w:color="000000"/>
              <w:right w:val="nil"/>
            </w:tcBorders>
            <w:shd w:val="clear" w:color="auto" w:fill="auto"/>
            <w:vAlign w:val="bottom"/>
          </w:tcPr>
          <w:p w14:paraId="6AF8981D"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4E99492F" w14:textId="77777777" w:rsidTr="002E629C">
        <w:trPr>
          <w:trHeight w:val="288"/>
        </w:trPr>
        <w:tc>
          <w:tcPr>
            <w:tcW w:w="2410" w:type="dxa"/>
            <w:vMerge w:val="restart"/>
            <w:tcBorders>
              <w:top w:val="nil"/>
              <w:left w:val="nil"/>
              <w:bottom w:val="nil"/>
              <w:right w:val="nil"/>
            </w:tcBorders>
            <w:shd w:val="clear" w:color="auto" w:fill="auto"/>
            <w:vAlign w:val="bottom"/>
          </w:tcPr>
          <w:p w14:paraId="6CD7237B"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Citibank</w:t>
            </w:r>
          </w:p>
        </w:tc>
        <w:tc>
          <w:tcPr>
            <w:tcW w:w="478" w:type="dxa"/>
            <w:tcBorders>
              <w:top w:val="single" w:sz="4" w:space="0" w:color="000000"/>
              <w:left w:val="nil"/>
              <w:bottom w:val="nil"/>
              <w:right w:val="nil"/>
            </w:tcBorders>
            <w:shd w:val="clear" w:color="auto" w:fill="auto"/>
            <w:vAlign w:val="bottom"/>
          </w:tcPr>
          <w:p w14:paraId="147909F1" w14:textId="77777777" w:rsidR="00EC4499" w:rsidRDefault="00433EA7">
            <w:pPr>
              <w:spacing w:after="0" w:line="240" w:lineRule="auto"/>
              <w:ind w:left="-141"/>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3065" w:type="dxa"/>
            <w:tcBorders>
              <w:top w:val="single" w:sz="4" w:space="0" w:color="000000"/>
              <w:left w:val="nil"/>
              <w:bottom w:val="nil"/>
              <w:right w:val="nil"/>
            </w:tcBorders>
            <w:shd w:val="clear" w:color="auto" w:fill="auto"/>
            <w:vAlign w:val="bottom"/>
          </w:tcPr>
          <w:p w14:paraId="027F1787"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2280" w:type="dxa"/>
            <w:tcBorders>
              <w:top w:val="single" w:sz="4" w:space="0" w:color="000000"/>
              <w:left w:val="nil"/>
              <w:bottom w:val="nil"/>
              <w:right w:val="nil"/>
            </w:tcBorders>
            <w:shd w:val="clear" w:color="auto" w:fill="auto"/>
            <w:vAlign w:val="bottom"/>
          </w:tcPr>
          <w:p w14:paraId="60B659A0"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1</w:t>
            </w:r>
          </w:p>
        </w:tc>
      </w:tr>
      <w:tr w:rsidR="00EC4499" w14:paraId="38C4EDB9" w14:textId="77777777" w:rsidTr="002E629C">
        <w:trPr>
          <w:trHeight w:val="288"/>
        </w:trPr>
        <w:tc>
          <w:tcPr>
            <w:tcW w:w="2410" w:type="dxa"/>
            <w:vMerge/>
            <w:tcBorders>
              <w:top w:val="nil"/>
              <w:left w:val="nil"/>
              <w:bottom w:val="nil"/>
              <w:right w:val="nil"/>
            </w:tcBorders>
            <w:shd w:val="clear" w:color="auto" w:fill="auto"/>
            <w:vAlign w:val="bottom"/>
          </w:tcPr>
          <w:p w14:paraId="69997CCB"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40556717" w14:textId="77777777" w:rsidR="00EC4499" w:rsidRDefault="00433EA7">
            <w:pPr>
              <w:spacing w:after="0" w:line="240" w:lineRule="auto"/>
              <w:ind w:left="-141"/>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3065" w:type="dxa"/>
            <w:tcBorders>
              <w:top w:val="nil"/>
              <w:left w:val="nil"/>
              <w:bottom w:val="single" w:sz="4" w:space="0" w:color="000000"/>
              <w:right w:val="nil"/>
            </w:tcBorders>
            <w:shd w:val="clear" w:color="auto" w:fill="auto"/>
            <w:vAlign w:val="bottom"/>
          </w:tcPr>
          <w:p w14:paraId="2760B40D"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2280" w:type="dxa"/>
            <w:tcBorders>
              <w:top w:val="nil"/>
              <w:left w:val="nil"/>
              <w:bottom w:val="single" w:sz="4" w:space="0" w:color="000000"/>
              <w:right w:val="nil"/>
            </w:tcBorders>
            <w:shd w:val="clear" w:color="auto" w:fill="auto"/>
            <w:vAlign w:val="bottom"/>
          </w:tcPr>
          <w:p w14:paraId="43E81045"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1</w:t>
            </w:r>
          </w:p>
        </w:tc>
      </w:tr>
      <w:tr w:rsidR="00EC4499" w14:paraId="261BADA1" w14:textId="77777777" w:rsidTr="002E629C">
        <w:trPr>
          <w:trHeight w:val="288"/>
        </w:trPr>
        <w:tc>
          <w:tcPr>
            <w:tcW w:w="2410" w:type="dxa"/>
            <w:vMerge w:val="restart"/>
            <w:tcBorders>
              <w:top w:val="nil"/>
              <w:left w:val="nil"/>
              <w:bottom w:val="nil"/>
              <w:right w:val="nil"/>
            </w:tcBorders>
            <w:shd w:val="clear" w:color="auto" w:fill="auto"/>
            <w:vAlign w:val="bottom"/>
          </w:tcPr>
          <w:p w14:paraId="75E0B70F"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Inter</w:t>
            </w:r>
          </w:p>
        </w:tc>
        <w:tc>
          <w:tcPr>
            <w:tcW w:w="478" w:type="dxa"/>
            <w:tcBorders>
              <w:top w:val="single" w:sz="4" w:space="0" w:color="000000"/>
              <w:left w:val="nil"/>
              <w:bottom w:val="nil"/>
              <w:right w:val="nil"/>
            </w:tcBorders>
            <w:shd w:val="clear" w:color="auto" w:fill="auto"/>
            <w:vAlign w:val="bottom"/>
          </w:tcPr>
          <w:p w14:paraId="48DBA705" w14:textId="77777777" w:rsidR="00EC4499" w:rsidRDefault="00433EA7">
            <w:pPr>
              <w:spacing w:after="0" w:line="240" w:lineRule="auto"/>
              <w:ind w:left="-141"/>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3065" w:type="dxa"/>
            <w:tcBorders>
              <w:top w:val="single" w:sz="4" w:space="0" w:color="000000"/>
              <w:left w:val="nil"/>
              <w:bottom w:val="nil"/>
              <w:right w:val="nil"/>
            </w:tcBorders>
            <w:shd w:val="clear" w:color="auto" w:fill="auto"/>
            <w:vAlign w:val="bottom"/>
          </w:tcPr>
          <w:p w14:paraId="2DA34C4D"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280" w:type="dxa"/>
            <w:tcBorders>
              <w:top w:val="single" w:sz="4" w:space="0" w:color="000000"/>
              <w:left w:val="nil"/>
              <w:bottom w:val="nil"/>
              <w:right w:val="nil"/>
            </w:tcBorders>
            <w:shd w:val="clear" w:color="auto" w:fill="auto"/>
            <w:vAlign w:val="bottom"/>
          </w:tcPr>
          <w:p w14:paraId="6CB2E582"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256464B7" w14:textId="77777777" w:rsidTr="002E629C">
        <w:trPr>
          <w:trHeight w:val="288"/>
        </w:trPr>
        <w:tc>
          <w:tcPr>
            <w:tcW w:w="2410" w:type="dxa"/>
            <w:vMerge/>
            <w:tcBorders>
              <w:top w:val="nil"/>
              <w:left w:val="nil"/>
              <w:bottom w:val="nil"/>
              <w:right w:val="nil"/>
            </w:tcBorders>
            <w:shd w:val="clear" w:color="auto" w:fill="auto"/>
            <w:vAlign w:val="bottom"/>
          </w:tcPr>
          <w:p w14:paraId="0EE0C7A4"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6057A35C" w14:textId="77777777" w:rsidR="00EC4499" w:rsidRDefault="00433EA7">
            <w:pPr>
              <w:spacing w:after="0" w:line="240" w:lineRule="auto"/>
              <w:ind w:left="-141"/>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3065" w:type="dxa"/>
            <w:tcBorders>
              <w:top w:val="nil"/>
              <w:left w:val="nil"/>
              <w:bottom w:val="single" w:sz="4" w:space="0" w:color="000000"/>
              <w:right w:val="nil"/>
            </w:tcBorders>
            <w:shd w:val="clear" w:color="auto" w:fill="auto"/>
            <w:vAlign w:val="bottom"/>
          </w:tcPr>
          <w:p w14:paraId="1D22F6E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280" w:type="dxa"/>
            <w:tcBorders>
              <w:top w:val="nil"/>
              <w:left w:val="nil"/>
              <w:bottom w:val="single" w:sz="4" w:space="0" w:color="000000"/>
              <w:right w:val="nil"/>
            </w:tcBorders>
            <w:shd w:val="clear" w:color="auto" w:fill="auto"/>
            <w:vAlign w:val="bottom"/>
          </w:tcPr>
          <w:p w14:paraId="61661C9C"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5D0ACA87" w14:textId="77777777" w:rsidTr="002E629C">
        <w:trPr>
          <w:trHeight w:val="288"/>
        </w:trPr>
        <w:tc>
          <w:tcPr>
            <w:tcW w:w="2410" w:type="dxa"/>
            <w:vMerge w:val="restart"/>
            <w:tcBorders>
              <w:top w:val="nil"/>
              <w:left w:val="nil"/>
              <w:bottom w:val="nil"/>
              <w:right w:val="nil"/>
            </w:tcBorders>
            <w:shd w:val="clear" w:color="auto" w:fill="auto"/>
            <w:vAlign w:val="bottom"/>
          </w:tcPr>
          <w:p w14:paraId="1778845E"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Itaú</w:t>
            </w:r>
          </w:p>
        </w:tc>
        <w:tc>
          <w:tcPr>
            <w:tcW w:w="478" w:type="dxa"/>
            <w:tcBorders>
              <w:top w:val="single" w:sz="4" w:space="0" w:color="000000"/>
              <w:left w:val="nil"/>
              <w:bottom w:val="nil"/>
              <w:right w:val="nil"/>
            </w:tcBorders>
            <w:shd w:val="clear" w:color="auto" w:fill="auto"/>
            <w:vAlign w:val="bottom"/>
          </w:tcPr>
          <w:p w14:paraId="057AD35B" w14:textId="77777777" w:rsidR="00EC4499" w:rsidRDefault="00433EA7">
            <w:pPr>
              <w:spacing w:after="0" w:line="240" w:lineRule="auto"/>
              <w:ind w:left="-141"/>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3065" w:type="dxa"/>
            <w:tcBorders>
              <w:top w:val="single" w:sz="4" w:space="0" w:color="000000"/>
              <w:left w:val="nil"/>
              <w:bottom w:val="nil"/>
              <w:right w:val="nil"/>
            </w:tcBorders>
            <w:shd w:val="clear" w:color="auto" w:fill="auto"/>
            <w:vAlign w:val="bottom"/>
          </w:tcPr>
          <w:p w14:paraId="540B0F4B"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280" w:type="dxa"/>
            <w:tcBorders>
              <w:top w:val="single" w:sz="4" w:space="0" w:color="000000"/>
              <w:left w:val="nil"/>
              <w:bottom w:val="nil"/>
              <w:right w:val="nil"/>
            </w:tcBorders>
            <w:shd w:val="clear" w:color="auto" w:fill="auto"/>
            <w:vAlign w:val="bottom"/>
          </w:tcPr>
          <w:p w14:paraId="475683CB"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5989CFB7" w14:textId="77777777" w:rsidTr="002E629C">
        <w:trPr>
          <w:trHeight w:val="288"/>
        </w:trPr>
        <w:tc>
          <w:tcPr>
            <w:tcW w:w="2410" w:type="dxa"/>
            <w:vMerge/>
            <w:tcBorders>
              <w:top w:val="nil"/>
              <w:left w:val="nil"/>
              <w:bottom w:val="nil"/>
              <w:right w:val="nil"/>
            </w:tcBorders>
            <w:shd w:val="clear" w:color="auto" w:fill="auto"/>
            <w:vAlign w:val="bottom"/>
          </w:tcPr>
          <w:p w14:paraId="02087756"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19D6CD00" w14:textId="77777777" w:rsidR="00EC4499" w:rsidRDefault="00433EA7">
            <w:pPr>
              <w:spacing w:after="0" w:line="240" w:lineRule="auto"/>
              <w:ind w:left="-141"/>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3065" w:type="dxa"/>
            <w:tcBorders>
              <w:top w:val="nil"/>
              <w:left w:val="nil"/>
              <w:bottom w:val="single" w:sz="4" w:space="0" w:color="000000"/>
              <w:right w:val="nil"/>
            </w:tcBorders>
            <w:shd w:val="clear" w:color="auto" w:fill="auto"/>
            <w:vAlign w:val="bottom"/>
          </w:tcPr>
          <w:p w14:paraId="608339AA"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280" w:type="dxa"/>
            <w:tcBorders>
              <w:top w:val="nil"/>
              <w:left w:val="nil"/>
              <w:bottom w:val="single" w:sz="4" w:space="0" w:color="000000"/>
              <w:right w:val="nil"/>
            </w:tcBorders>
            <w:shd w:val="clear" w:color="auto" w:fill="auto"/>
            <w:vAlign w:val="bottom"/>
          </w:tcPr>
          <w:p w14:paraId="2548163C"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3B18AB3F" w14:textId="77777777" w:rsidTr="002E629C">
        <w:trPr>
          <w:trHeight w:val="288"/>
        </w:trPr>
        <w:tc>
          <w:tcPr>
            <w:tcW w:w="2410" w:type="dxa"/>
            <w:vMerge w:val="restart"/>
            <w:tcBorders>
              <w:top w:val="nil"/>
              <w:left w:val="nil"/>
              <w:bottom w:val="nil"/>
              <w:right w:val="nil"/>
            </w:tcBorders>
            <w:shd w:val="clear" w:color="auto" w:fill="auto"/>
            <w:vAlign w:val="bottom"/>
          </w:tcPr>
          <w:p w14:paraId="16F28A1B"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J.P. Morgan </w:t>
            </w:r>
          </w:p>
        </w:tc>
        <w:tc>
          <w:tcPr>
            <w:tcW w:w="478" w:type="dxa"/>
            <w:tcBorders>
              <w:top w:val="single" w:sz="4" w:space="0" w:color="000000"/>
              <w:left w:val="nil"/>
              <w:bottom w:val="nil"/>
              <w:right w:val="nil"/>
            </w:tcBorders>
            <w:shd w:val="clear" w:color="auto" w:fill="auto"/>
            <w:vAlign w:val="bottom"/>
          </w:tcPr>
          <w:p w14:paraId="71A8F37D" w14:textId="77777777" w:rsidR="00EC4499" w:rsidRDefault="00433EA7">
            <w:pPr>
              <w:spacing w:after="0" w:line="240" w:lineRule="auto"/>
              <w:ind w:left="-141"/>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3065" w:type="dxa"/>
            <w:tcBorders>
              <w:top w:val="single" w:sz="4" w:space="0" w:color="000000"/>
              <w:left w:val="nil"/>
              <w:bottom w:val="nil"/>
              <w:right w:val="nil"/>
            </w:tcBorders>
            <w:shd w:val="clear" w:color="auto" w:fill="auto"/>
            <w:vAlign w:val="bottom"/>
          </w:tcPr>
          <w:p w14:paraId="7991FFC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2280" w:type="dxa"/>
            <w:tcBorders>
              <w:top w:val="single" w:sz="4" w:space="0" w:color="000000"/>
              <w:left w:val="nil"/>
              <w:bottom w:val="nil"/>
              <w:right w:val="nil"/>
            </w:tcBorders>
            <w:shd w:val="clear" w:color="auto" w:fill="auto"/>
            <w:vAlign w:val="bottom"/>
          </w:tcPr>
          <w:p w14:paraId="710DD7B2"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1</w:t>
            </w:r>
          </w:p>
        </w:tc>
      </w:tr>
      <w:tr w:rsidR="00EC4499" w14:paraId="7B03E681" w14:textId="77777777" w:rsidTr="002E629C">
        <w:trPr>
          <w:trHeight w:val="288"/>
        </w:trPr>
        <w:tc>
          <w:tcPr>
            <w:tcW w:w="2410" w:type="dxa"/>
            <w:vMerge/>
            <w:tcBorders>
              <w:top w:val="nil"/>
              <w:left w:val="nil"/>
              <w:bottom w:val="nil"/>
              <w:right w:val="nil"/>
            </w:tcBorders>
            <w:shd w:val="clear" w:color="auto" w:fill="auto"/>
            <w:vAlign w:val="bottom"/>
          </w:tcPr>
          <w:p w14:paraId="3C6E52CC"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6F6B3DD0" w14:textId="77777777" w:rsidR="00EC4499" w:rsidRDefault="00433EA7">
            <w:pPr>
              <w:spacing w:after="0" w:line="240" w:lineRule="auto"/>
              <w:ind w:left="-141"/>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3065" w:type="dxa"/>
            <w:tcBorders>
              <w:top w:val="nil"/>
              <w:left w:val="nil"/>
              <w:bottom w:val="single" w:sz="4" w:space="0" w:color="000000"/>
              <w:right w:val="nil"/>
            </w:tcBorders>
            <w:shd w:val="clear" w:color="auto" w:fill="auto"/>
            <w:vAlign w:val="bottom"/>
          </w:tcPr>
          <w:p w14:paraId="002F4F60"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2280" w:type="dxa"/>
            <w:tcBorders>
              <w:top w:val="nil"/>
              <w:left w:val="nil"/>
              <w:bottom w:val="single" w:sz="4" w:space="0" w:color="000000"/>
              <w:right w:val="nil"/>
            </w:tcBorders>
            <w:shd w:val="clear" w:color="auto" w:fill="auto"/>
            <w:vAlign w:val="bottom"/>
          </w:tcPr>
          <w:p w14:paraId="3204BE43"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1</w:t>
            </w:r>
          </w:p>
        </w:tc>
      </w:tr>
      <w:tr w:rsidR="00EC4499" w14:paraId="1994923A" w14:textId="77777777" w:rsidTr="002E629C">
        <w:trPr>
          <w:trHeight w:val="288"/>
        </w:trPr>
        <w:tc>
          <w:tcPr>
            <w:tcW w:w="2410" w:type="dxa"/>
            <w:vMerge w:val="restart"/>
            <w:tcBorders>
              <w:top w:val="nil"/>
              <w:left w:val="nil"/>
              <w:bottom w:val="nil"/>
              <w:right w:val="nil"/>
            </w:tcBorders>
            <w:shd w:val="clear" w:color="auto" w:fill="auto"/>
            <w:vAlign w:val="bottom"/>
          </w:tcPr>
          <w:p w14:paraId="5FAEED1B"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Santander</w:t>
            </w:r>
          </w:p>
        </w:tc>
        <w:tc>
          <w:tcPr>
            <w:tcW w:w="478" w:type="dxa"/>
            <w:tcBorders>
              <w:top w:val="single" w:sz="4" w:space="0" w:color="000000"/>
              <w:left w:val="nil"/>
              <w:bottom w:val="nil"/>
              <w:right w:val="nil"/>
            </w:tcBorders>
            <w:shd w:val="clear" w:color="auto" w:fill="auto"/>
            <w:vAlign w:val="bottom"/>
          </w:tcPr>
          <w:p w14:paraId="54CB0398" w14:textId="77777777" w:rsidR="00EC4499" w:rsidRDefault="00433EA7">
            <w:pPr>
              <w:spacing w:after="0" w:line="240" w:lineRule="auto"/>
              <w:ind w:left="-141"/>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3065" w:type="dxa"/>
            <w:tcBorders>
              <w:top w:val="single" w:sz="4" w:space="0" w:color="000000"/>
              <w:left w:val="nil"/>
              <w:bottom w:val="nil"/>
              <w:right w:val="nil"/>
            </w:tcBorders>
            <w:shd w:val="clear" w:color="auto" w:fill="auto"/>
            <w:vAlign w:val="bottom"/>
          </w:tcPr>
          <w:p w14:paraId="0B55AF72"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280" w:type="dxa"/>
            <w:tcBorders>
              <w:top w:val="single" w:sz="4" w:space="0" w:color="000000"/>
              <w:left w:val="nil"/>
              <w:bottom w:val="nil"/>
              <w:right w:val="nil"/>
            </w:tcBorders>
            <w:shd w:val="clear" w:color="auto" w:fill="auto"/>
            <w:vAlign w:val="bottom"/>
          </w:tcPr>
          <w:p w14:paraId="713857FE"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5C08BBFF" w14:textId="77777777" w:rsidTr="002E629C">
        <w:trPr>
          <w:trHeight w:val="288"/>
        </w:trPr>
        <w:tc>
          <w:tcPr>
            <w:tcW w:w="2410" w:type="dxa"/>
            <w:vMerge/>
            <w:tcBorders>
              <w:top w:val="nil"/>
              <w:left w:val="nil"/>
              <w:bottom w:val="nil"/>
              <w:right w:val="nil"/>
            </w:tcBorders>
            <w:shd w:val="clear" w:color="auto" w:fill="auto"/>
            <w:vAlign w:val="bottom"/>
          </w:tcPr>
          <w:p w14:paraId="73BA84B9"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55829C40" w14:textId="77777777" w:rsidR="00EC4499" w:rsidRDefault="00433EA7">
            <w:pPr>
              <w:spacing w:after="0" w:line="240" w:lineRule="auto"/>
              <w:ind w:left="-141"/>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3065" w:type="dxa"/>
            <w:tcBorders>
              <w:top w:val="nil"/>
              <w:left w:val="nil"/>
              <w:bottom w:val="single" w:sz="4" w:space="0" w:color="000000"/>
              <w:right w:val="nil"/>
            </w:tcBorders>
            <w:shd w:val="clear" w:color="auto" w:fill="auto"/>
            <w:vAlign w:val="bottom"/>
          </w:tcPr>
          <w:p w14:paraId="0EB12496"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280" w:type="dxa"/>
            <w:tcBorders>
              <w:top w:val="nil"/>
              <w:left w:val="nil"/>
              <w:bottom w:val="single" w:sz="4" w:space="0" w:color="000000"/>
              <w:right w:val="nil"/>
            </w:tcBorders>
            <w:shd w:val="clear" w:color="auto" w:fill="auto"/>
            <w:vAlign w:val="bottom"/>
          </w:tcPr>
          <w:p w14:paraId="3CD54018"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431135AE" w14:textId="77777777" w:rsidTr="002E629C">
        <w:trPr>
          <w:trHeight w:val="288"/>
        </w:trPr>
        <w:tc>
          <w:tcPr>
            <w:tcW w:w="2410" w:type="dxa"/>
            <w:vMerge w:val="restart"/>
            <w:tcBorders>
              <w:top w:val="nil"/>
              <w:left w:val="nil"/>
              <w:bottom w:val="nil"/>
              <w:right w:val="nil"/>
            </w:tcBorders>
            <w:shd w:val="clear" w:color="auto" w:fill="auto"/>
            <w:vAlign w:val="bottom"/>
          </w:tcPr>
          <w:p w14:paraId="56211953"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Sicredi</w:t>
            </w:r>
          </w:p>
        </w:tc>
        <w:tc>
          <w:tcPr>
            <w:tcW w:w="478" w:type="dxa"/>
            <w:tcBorders>
              <w:top w:val="single" w:sz="4" w:space="0" w:color="000000"/>
              <w:left w:val="nil"/>
              <w:bottom w:val="nil"/>
              <w:right w:val="nil"/>
            </w:tcBorders>
            <w:shd w:val="clear" w:color="auto" w:fill="auto"/>
            <w:vAlign w:val="bottom"/>
          </w:tcPr>
          <w:p w14:paraId="4ED57060" w14:textId="77777777" w:rsidR="00EC4499" w:rsidRDefault="00433EA7">
            <w:pPr>
              <w:spacing w:after="0" w:line="240" w:lineRule="auto"/>
              <w:ind w:left="-141"/>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3065" w:type="dxa"/>
            <w:tcBorders>
              <w:top w:val="single" w:sz="4" w:space="0" w:color="000000"/>
              <w:left w:val="nil"/>
              <w:bottom w:val="nil"/>
              <w:right w:val="nil"/>
            </w:tcBorders>
            <w:shd w:val="clear" w:color="auto" w:fill="auto"/>
            <w:vAlign w:val="bottom"/>
          </w:tcPr>
          <w:p w14:paraId="6D44E9F0"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280" w:type="dxa"/>
            <w:tcBorders>
              <w:top w:val="single" w:sz="4" w:space="0" w:color="000000"/>
              <w:left w:val="nil"/>
              <w:bottom w:val="nil"/>
              <w:right w:val="nil"/>
            </w:tcBorders>
            <w:shd w:val="clear" w:color="auto" w:fill="auto"/>
            <w:vAlign w:val="bottom"/>
          </w:tcPr>
          <w:p w14:paraId="07CF9EF1"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2F46562C" w14:textId="77777777" w:rsidTr="002E629C">
        <w:trPr>
          <w:trHeight w:val="288"/>
        </w:trPr>
        <w:tc>
          <w:tcPr>
            <w:tcW w:w="2410" w:type="dxa"/>
            <w:vMerge/>
            <w:tcBorders>
              <w:top w:val="nil"/>
              <w:left w:val="nil"/>
              <w:bottom w:val="nil"/>
              <w:right w:val="nil"/>
            </w:tcBorders>
            <w:shd w:val="clear" w:color="auto" w:fill="auto"/>
            <w:vAlign w:val="bottom"/>
          </w:tcPr>
          <w:p w14:paraId="06451B8C"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243E7A57" w14:textId="77777777" w:rsidR="00EC4499" w:rsidRDefault="00433EA7">
            <w:pPr>
              <w:spacing w:after="0" w:line="240" w:lineRule="auto"/>
              <w:ind w:left="-141"/>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3065" w:type="dxa"/>
            <w:tcBorders>
              <w:top w:val="nil"/>
              <w:left w:val="nil"/>
              <w:bottom w:val="single" w:sz="4" w:space="0" w:color="000000"/>
              <w:right w:val="nil"/>
            </w:tcBorders>
            <w:shd w:val="clear" w:color="auto" w:fill="auto"/>
            <w:vAlign w:val="bottom"/>
          </w:tcPr>
          <w:p w14:paraId="0BE82317"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2280" w:type="dxa"/>
            <w:tcBorders>
              <w:top w:val="nil"/>
              <w:left w:val="nil"/>
              <w:bottom w:val="single" w:sz="4" w:space="0" w:color="000000"/>
              <w:right w:val="nil"/>
            </w:tcBorders>
            <w:shd w:val="clear" w:color="auto" w:fill="auto"/>
            <w:vAlign w:val="bottom"/>
          </w:tcPr>
          <w:p w14:paraId="6396E7C5"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bl>
    <w:p w14:paraId="38649526" w14:textId="77777777" w:rsidR="00EC4499" w:rsidRDefault="00EC4499">
      <w:pPr>
        <w:spacing w:after="0" w:line="360" w:lineRule="auto"/>
        <w:rPr>
          <w:rFonts w:ascii="Garamond" w:eastAsia="Garamond" w:hAnsi="Garamond" w:cs="Garamond"/>
          <w:sz w:val="24"/>
          <w:szCs w:val="24"/>
        </w:rPr>
      </w:pPr>
    </w:p>
    <w:p w14:paraId="524AFA89" w14:textId="77777777" w:rsidR="00EC4499" w:rsidRDefault="00EC4499">
      <w:pPr>
        <w:spacing w:after="0" w:line="360" w:lineRule="auto"/>
        <w:rPr>
          <w:rFonts w:ascii="Garamond" w:eastAsia="Garamond" w:hAnsi="Garamond" w:cs="Garamond"/>
          <w:sz w:val="24"/>
          <w:szCs w:val="24"/>
        </w:rPr>
      </w:pPr>
    </w:p>
    <w:p w14:paraId="358F5DAB" w14:textId="77777777" w:rsidR="008A224D" w:rsidRDefault="008A224D">
      <w:pPr>
        <w:spacing w:after="0" w:line="360" w:lineRule="auto"/>
        <w:jc w:val="center"/>
        <w:rPr>
          <w:rFonts w:ascii="Garamond" w:eastAsia="Garamond" w:hAnsi="Garamond" w:cs="Garamond"/>
          <w:color w:val="000000"/>
          <w:sz w:val="24"/>
          <w:szCs w:val="24"/>
        </w:rPr>
      </w:pPr>
    </w:p>
    <w:p w14:paraId="731ECE48" w14:textId="77777777" w:rsidR="008A224D" w:rsidRDefault="008A224D">
      <w:pPr>
        <w:spacing w:after="0" w:line="360" w:lineRule="auto"/>
        <w:jc w:val="center"/>
        <w:rPr>
          <w:rFonts w:ascii="Garamond" w:eastAsia="Garamond" w:hAnsi="Garamond" w:cs="Garamond"/>
          <w:color w:val="000000"/>
          <w:sz w:val="24"/>
          <w:szCs w:val="24"/>
        </w:rPr>
      </w:pPr>
    </w:p>
    <w:p w14:paraId="4D938015" w14:textId="77777777" w:rsidR="008A224D" w:rsidRDefault="008A224D">
      <w:pPr>
        <w:spacing w:after="0" w:line="360" w:lineRule="auto"/>
        <w:jc w:val="center"/>
        <w:rPr>
          <w:rFonts w:ascii="Garamond" w:eastAsia="Garamond" w:hAnsi="Garamond" w:cs="Garamond"/>
          <w:color w:val="000000"/>
          <w:sz w:val="24"/>
          <w:szCs w:val="24"/>
        </w:rPr>
      </w:pPr>
    </w:p>
    <w:p w14:paraId="1F8D9F75" w14:textId="77777777" w:rsidR="008A224D" w:rsidRDefault="008A224D">
      <w:pPr>
        <w:spacing w:after="0" w:line="360" w:lineRule="auto"/>
        <w:jc w:val="center"/>
        <w:rPr>
          <w:rFonts w:ascii="Garamond" w:eastAsia="Garamond" w:hAnsi="Garamond" w:cs="Garamond"/>
          <w:color w:val="000000"/>
          <w:sz w:val="24"/>
          <w:szCs w:val="24"/>
        </w:rPr>
      </w:pPr>
    </w:p>
    <w:p w14:paraId="67A7334D" w14:textId="77777777" w:rsidR="008A224D" w:rsidRDefault="008A224D">
      <w:pPr>
        <w:spacing w:after="0" w:line="360" w:lineRule="auto"/>
        <w:jc w:val="center"/>
        <w:rPr>
          <w:rFonts w:ascii="Garamond" w:eastAsia="Garamond" w:hAnsi="Garamond" w:cs="Garamond"/>
          <w:color w:val="000000"/>
          <w:sz w:val="24"/>
          <w:szCs w:val="24"/>
        </w:rPr>
      </w:pPr>
    </w:p>
    <w:p w14:paraId="75AD10EF" w14:textId="77777777" w:rsidR="008A224D" w:rsidRDefault="008A224D">
      <w:pPr>
        <w:spacing w:after="0" w:line="360" w:lineRule="auto"/>
        <w:jc w:val="center"/>
        <w:rPr>
          <w:rFonts w:ascii="Garamond" w:eastAsia="Garamond" w:hAnsi="Garamond" w:cs="Garamond"/>
          <w:color w:val="000000"/>
          <w:sz w:val="24"/>
          <w:szCs w:val="24"/>
        </w:rPr>
      </w:pPr>
    </w:p>
    <w:p w14:paraId="73954EDC" w14:textId="77777777" w:rsidR="008A224D" w:rsidRDefault="008A224D">
      <w:pPr>
        <w:spacing w:after="0" w:line="360" w:lineRule="auto"/>
        <w:jc w:val="center"/>
        <w:rPr>
          <w:rFonts w:ascii="Garamond" w:eastAsia="Garamond" w:hAnsi="Garamond" w:cs="Garamond"/>
          <w:color w:val="000000"/>
          <w:sz w:val="24"/>
          <w:szCs w:val="24"/>
        </w:rPr>
      </w:pPr>
    </w:p>
    <w:p w14:paraId="6FF9C37A" w14:textId="77777777" w:rsidR="008A224D" w:rsidRDefault="008A224D">
      <w:pPr>
        <w:spacing w:after="0" w:line="360" w:lineRule="auto"/>
        <w:jc w:val="center"/>
        <w:rPr>
          <w:rFonts w:ascii="Garamond" w:eastAsia="Garamond" w:hAnsi="Garamond" w:cs="Garamond"/>
          <w:color w:val="000000"/>
          <w:sz w:val="24"/>
          <w:szCs w:val="24"/>
        </w:rPr>
      </w:pPr>
    </w:p>
    <w:p w14:paraId="217A3F99" w14:textId="4D527906" w:rsidR="00EC4499" w:rsidRDefault="00433EA7">
      <w:pPr>
        <w:spacing w:after="0" w:line="360" w:lineRule="auto"/>
        <w:jc w:val="center"/>
        <w:rPr>
          <w:rFonts w:ascii="Garamond" w:eastAsia="Garamond" w:hAnsi="Garamond" w:cs="Garamond"/>
          <w:i/>
          <w:color w:val="000000"/>
          <w:sz w:val="24"/>
          <w:szCs w:val="24"/>
        </w:rPr>
      </w:pPr>
      <w:r>
        <w:rPr>
          <w:rFonts w:ascii="Garamond" w:eastAsia="Garamond" w:hAnsi="Garamond" w:cs="Garamond"/>
          <w:color w:val="000000"/>
          <w:sz w:val="24"/>
          <w:szCs w:val="24"/>
        </w:rPr>
        <w:t>Tabela 2</w:t>
      </w:r>
      <w:r w:rsidR="004360BC">
        <w:rPr>
          <w:rFonts w:ascii="Garamond" w:eastAsia="Garamond" w:hAnsi="Garamond" w:cs="Garamond"/>
          <w:color w:val="000000"/>
          <w:sz w:val="24"/>
          <w:szCs w:val="24"/>
        </w:rPr>
        <w:t>6</w:t>
      </w:r>
      <w:r>
        <w:rPr>
          <w:rFonts w:ascii="Garamond" w:eastAsia="Garamond" w:hAnsi="Garamond" w:cs="Garamond"/>
          <w:color w:val="000000"/>
          <w:sz w:val="24"/>
          <w:szCs w:val="24"/>
        </w:rPr>
        <w:t xml:space="preserve"> - Recursos avaliados</w:t>
      </w:r>
    </w:p>
    <w:tbl>
      <w:tblPr>
        <w:tblStyle w:val="af7"/>
        <w:tblW w:w="7944" w:type="dxa"/>
        <w:tblInd w:w="0" w:type="dxa"/>
        <w:tblLayout w:type="fixed"/>
        <w:tblLook w:val="0400" w:firstRow="0" w:lastRow="0" w:firstColumn="0" w:lastColumn="0" w:noHBand="0" w:noVBand="1"/>
      </w:tblPr>
      <w:tblGrid>
        <w:gridCol w:w="834"/>
        <w:gridCol w:w="478"/>
        <w:gridCol w:w="868"/>
        <w:gridCol w:w="671"/>
        <w:gridCol w:w="744"/>
        <w:gridCol w:w="729"/>
        <w:gridCol w:w="857"/>
        <w:gridCol w:w="810"/>
        <w:gridCol w:w="1237"/>
        <w:gridCol w:w="716"/>
      </w:tblGrid>
      <w:tr w:rsidR="00EC4499" w14:paraId="5D2467F5" w14:textId="77777777">
        <w:trPr>
          <w:trHeight w:val="289"/>
        </w:trPr>
        <w:tc>
          <w:tcPr>
            <w:tcW w:w="834" w:type="dxa"/>
            <w:tcBorders>
              <w:top w:val="nil"/>
              <w:left w:val="nil"/>
              <w:bottom w:val="single" w:sz="4" w:space="0" w:color="000000"/>
              <w:right w:val="nil"/>
            </w:tcBorders>
            <w:shd w:val="clear" w:color="auto" w:fill="auto"/>
            <w:vAlign w:val="bottom"/>
          </w:tcPr>
          <w:p w14:paraId="69E6A4A6"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Empresa</w:t>
            </w:r>
          </w:p>
        </w:tc>
        <w:tc>
          <w:tcPr>
            <w:tcW w:w="478" w:type="dxa"/>
            <w:tcBorders>
              <w:top w:val="nil"/>
              <w:left w:val="nil"/>
              <w:bottom w:val="single" w:sz="4" w:space="0" w:color="000000"/>
              <w:right w:val="nil"/>
            </w:tcBorders>
            <w:shd w:val="clear" w:color="auto" w:fill="auto"/>
            <w:vAlign w:val="bottom"/>
          </w:tcPr>
          <w:p w14:paraId="50476CDD"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Ano</w:t>
            </w:r>
          </w:p>
        </w:tc>
        <w:tc>
          <w:tcPr>
            <w:tcW w:w="868" w:type="dxa"/>
            <w:tcBorders>
              <w:top w:val="nil"/>
              <w:left w:val="nil"/>
              <w:bottom w:val="single" w:sz="4" w:space="0" w:color="000000"/>
              <w:right w:val="nil"/>
            </w:tcBorders>
            <w:shd w:val="clear" w:color="auto" w:fill="auto"/>
            <w:vAlign w:val="bottom"/>
          </w:tcPr>
          <w:p w14:paraId="5F283E17"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Índ./Sum.</w:t>
            </w:r>
          </w:p>
        </w:tc>
        <w:tc>
          <w:tcPr>
            <w:tcW w:w="671" w:type="dxa"/>
            <w:tcBorders>
              <w:top w:val="nil"/>
              <w:left w:val="nil"/>
              <w:bottom w:val="single" w:sz="4" w:space="0" w:color="000000"/>
              <w:right w:val="nil"/>
            </w:tcBorders>
            <w:shd w:val="clear" w:color="auto" w:fill="auto"/>
            <w:vAlign w:val="bottom"/>
          </w:tcPr>
          <w:p w14:paraId="25E2D019"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Tabelas</w:t>
            </w:r>
          </w:p>
        </w:tc>
        <w:tc>
          <w:tcPr>
            <w:tcW w:w="744" w:type="dxa"/>
            <w:tcBorders>
              <w:top w:val="nil"/>
              <w:left w:val="nil"/>
              <w:bottom w:val="single" w:sz="4" w:space="0" w:color="000000"/>
              <w:right w:val="nil"/>
            </w:tcBorders>
            <w:shd w:val="clear" w:color="auto" w:fill="auto"/>
            <w:vAlign w:val="bottom"/>
          </w:tcPr>
          <w:p w14:paraId="09561D76"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Gráficos</w:t>
            </w:r>
          </w:p>
        </w:tc>
        <w:tc>
          <w:tcPr>
            <w:tcW w:w="729" w:type="dxa"/>
            <w:tcBorders>
              <w:top w:val="nil"/>
              <w:left w:val="nil"/>
              <w:bottom w:val="single" w:sz="4" w:space="0" w:color="000000"/>
              <w:right w:val="nil"/>
            </w:tcBorders>
            <w:shd w:val="clear" w:color="auto" w:fill="auto"/>
            <w:vAlign w:val="bottom"/>
          </w:tcPr>
          <w:p w14:paraId="47B4EB3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Imagens</w:t>
            </w:r>
          </w:p>
        </w:tc>
        <w:tc>
          <w:tcPr>
            <w:tcW w:w="857" w:type="dxa"/>
            <w:tcBorders>
              <w:top w:val="nil"/>
              <w:left w:val="nil"/>
              <w:bottom w:val="single" w:sz="4" w:space="0" w:color="000000"/>
              <w:right w:val="nil"/>
            </w:tcBorders>
            <w:shd w:val="clear" w:color="auto" w:fill="auto"/>
            <w:vAlign w:val="bottom"/>
          </w:tcPr>
          <w:p w14:paraId="02AFA0E7"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Múlt. idiomas</w:t>
            </w:r>
          </w:p>
        </w:tc>
        <w:tc>
          <w:tcPr>
            <w:tcW w:w="810" w:type="dxa"/>
            <w:tcBorders>
              <w:top w:val="nil"/>
              <w:left w:val="nil"/>
              <w:bottom w:val="single" w:sz="4" w:space="0" w:color="000000"/>
              <w:right w:val="nil"/>
            </w:tcBorders>
            <w:shd w:val="clear" w:color="auto" w:fill="auto"/>
            <w:vAlign w:val="bottom"/>
          </w:tcPr>
          <w:p w14:paraId="26BC7930"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Glossário</w:t>
            </w:r>
          </w:p>
        </w:tc>
        <w:tc>
          <w:tcPr>
            <w:tcW w:w="1237" w:type="dxa"/>
            <w:tcBorders>
              <w:top w:val="nil"/>
              <w:left w:val="nil"/>
              <w:bottom w:val="single" w:sz="4" w:space="0" w:color="000000"/>
              <w:right w:val="nil"/>
            </w:tcBorders>
            <w:shd w:val="clear" w:color="auto" w:fill="auto"/>
            <w:vAlign w:val="bottom"/>
          </w:tcPr>
          <w:p w14:paraId="2781F3EB"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Lista siglas/acr.</w:t>
            </w:r>
          </w:p>
        </w:tc>
        <w:tc>
          <w:tcPr>
            <w:tcW w:w="716" w:type="dxa"/>
            <w:tcBorders>
              <w:top w:val="nil"/>
              <w:left w:val="nil"/>
              <w:bottom w:val="single" w:sz="4" w:space="0" w:color="000000"/>
              <w:right w:val="nil"/>
            </w:tcBorders>
            <w:shd w:val="clear" w:color="auto" w:fill="auto"/>
            <w:vAlign w:val="bottom"/>
          </w:tcPr>
          <w:p w14:paraId="3F7741CF"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Arquivo leve</w:t>
            </w:r>
          </w:p>
        </w:tc>
      </w:tr>
      <w:tr w:rsidR="00EC4499" w14:paraId="7021E556" w14:textId="77777777">
        <w:trPr>
          <w:trHeight w:val="289"/>
        </w:trPr>
        <w:tc>
          <w:tcPr>
            <w:tcW w:w="834" w:type="dxa"/>
            <w:vMerge w:val="restart"/>
            <w:tcBorders>
              <w:top w:val="single" w:sz="4" w:space="0" w:color="000000"/>
              <w:left w:val="nil"/>
              <w:bottom w:val="nil"/>
              <w:right w:val="nil"/>
            </w:tcBorders>
            <w:shd w:val="clear" w:color="auto" w:fill="auto"/>
            <w:vAlign w:val="bottom"/>
          </w:tcPr>
          <w:p w14:paraId="58B4FFF6" w14:textId="77777777" w:rsidR="00EC4499" w:rsidRDefault="00433EA7">
            <w:pPr>
              <w:spacing w:after="0" w:line="48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BB</w:t>
            </w:r>
          </w:p>
        </w:tc>
        <w:tc>
          <w:tcPr>
            <w:tcW w:w="478" w:type="dxa"/>
            <w:tcBorders>
              <w:top w:val="single" w:sz="4" w:space="0" w:color="000000"/>
              <w:left w:val="nil"/>
              <w:bottom w:val="nil"/>
              <w:right w:val="nil"/>
            </w:tcBorders>
            <w:shd w:val="clear" w:color="auto" w:fill="auto"/>
            <w:vAlign w:val="bottom"/>
          </w:tcPr>
          <w:p w14:paraId="32CC7807"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868" w:type="dxa"/>
            <w:tcBorders>
              <w:top w:val="single" w:sz="4" w:space="0" w:color="000000"/>
              <w:left w:val="nil"/>
              <w:bottom w:val="nil"/>
              <w:right w:val="nil"/>
            </w:tcBorders>
            <w:shd w:val="clear" w:color="auto" w:fill="auto"/>
            <w:vAlign w:val="bottom"/>
          </w:tcPr>
          <w:p w14:paraId="69258174"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671" w:type="dxa"/>
            <w:tcBorders>
              <w:top w:val="single" w:sz="4" w:space="0" w:color="000000"/>
              <w:left w:val="nil"/>
              <w:bottom w:val="nil"/>
              <w:right w:val="nil"/>
            </w:tcBorders>
            <w:shd w:val="clear" w:color="auto" w:fill="auto"/>
            <w:vAlign w:val="bottom"/>
          </w:tcPr>
          <w:p w14:paraId="5EE421F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44" w:type="dxa"/>
            <w:tcBorders>
              <w:top w:val="single" w:sz="4" w:space="0" w:color="000000"/>
              <w:left w:val="nil"/>
              <w:bottom w:val="nil"/>
              <w:right w:val="nil"/>
            </w:tcBorders>
            <w:shd w:val="clear" w:color="auto" w:fill="auto"/>
            <w:vAlign w:val="bottom"/>
          </w:tcPr>
          <w:p w14:paraId="70F81755"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29" w:type="dxa"/>
            <w:tcBorders>
              <w:top w:val="single" w:sz="4" w:space="0" w:color="000000"/>
              <w:left w:val="nil"/>
              <w:bottom w:val="nil"/>
              <w:right w:val="nil"/>
            </w:tcBorders>
            <w:shd w:val="clear" w:color="auto" w:fill="auto"/>
            <w:vAlign w:val="bottom"/>
          </w:tcPr>
          <w:p w14:paraId="78A41BD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857" w:type="dxa"/>
            <w:tcBorders>
              <w:top w:val="single" w:sz="4" w:space="0" w:color="000000"/>
              <w:left w:val="nil"/>
              <w:bottom w:val="nil"/>
              <w:right w:val="nil"/>
            </w:tcBorders>
            <w:shd w:val="clear" w:color="auto" w:fill="auto"/>
            <w:vAlign w:val="bottom"/>
          </w:tcPr>
          <w:p w14:paraId="4ACC68E9"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810" w:type="dxa"/>
            <w:tcBorders>
              <w:top w:val="single" w:sz="4" w:space="0" w:color="000000"/>
              <w:left w:val="nil"/>
              <w:bottom w:val="nil"/>
              <w:right w:val="nil"/>
            </w:tcBorders>
            <w:shd w:val="clear" w:color="auto" w:fill="auto"/>
            <w:vAlign w:val="bottom"/>
          </w:tcPr>
          <w:p w14:paraId="1EE184D8" w14:textId="77777777" w:rsidR="00EC4499" w:rsidRDefault="00EC4499">
            <w:pPr>
              <w:spacing w:after="0" w:line="240" w:lineRule="auto"/>
              <w:jc w:val="center"/>
              <w:rPr>
                <w:rFonts w:ascii="Garamond" w:eastAsia="Garamond" w:hAnsi="Garamond" w:cs="Garamond"/>
                <w:color w:val="000000"/>
                <w:sz w:val="18"/>
                <w:szCs w:val="18"/>
              </w:rPr>
            </w:pPr>
          </w:p>
        </w:tc>
        <w:tc>
          <w:tcPr>
            <w:tcW w:w="1237" w:type="dxa"/>
            <w:tcBorders>
              <w:top w:val="single" w:sz="4" w:space="0" w:color="000000"/>
              <w:left w:val="nil"/>
              <w:bottom w:val="nil"/>
              <w:right w:val="nil"/>
            </w:tcBorders>
            <w:shd w:val="clear" w:color="auto" w:fill="auto"/>
            <w:vAlign w:val="bottom"/>
          </w:tcPr>
          <w:p w14:paraId="4CB20FE9" w14:textId="77777777" w:rsidR="00EC4499" w:rsidRDefault="00EC4499">
            <w:pPr>
              <w:spacing w:after="0" w:line="240" w:lineRule="auto"/>
              <w:jc w:val="center"/>
              <w:rPr>
                <w:rFonts w:ascii="Garamond" w:eastAsia="Garamond" w:hAnsi="Garamond" w:cs="Garamond"/>
                <w:sz w:val="18"/>
                <w:szCs w:val="18"/>
              </w:rPr>
            </w:pPr>
          </w:p>
        </w:tc>
        <w:tc>
          <w:tcPr>
            <w:tcW w:w="716" w:type="dxa"/>
            <w:tcBorders>
              <w:top w:val="single" w:sz="4" w:space="0" w:color="000000"/>
              <w:left w:val="nil"/>
              <w:bottom w:val="nil"/>
              <w:right w:val="nil"/>
            </w:tcBorders>
            <w:shd w:val="clear" w:color="auto" w:fill="auto"/>
            <w:vAlign w:val="bottom"/>
          </w:tcPr>
          <w:p w14:paraId="66193562" w14:textId="77777777" w:rsidR="00EC4499" w:rsidRDefault="00EC4499">
            <w:pPr>
              <w:spacing w:after="0" w:line="240" w:lineRule="auto"/>
              <w:jc w:val="center"/>
              <w:rPr>
                <w:rFonts w:ascii="Garamond" w:eastAsia="Garamond" w:hAnsi="Garamond" w:cs="Garamond"/>
                <w:sz w:val="18"/>
                <w:szCs w:val="18"/>
              </w:rPr>
            </w:pPr>
          </w:p>
        </w:tc>
      </w:tr>
      <w:tr w:rsidR="00EC4499" w14:paraId="40E0FE0F" w14:textId="77777777">
        <w:trPr>
          <w:trHeight w:val="289"/>
        </w:trPr>
        <w:tc>
          <w:tcPr>
            <w:tcW w:w="834" w:type="dxa"/>
            <w:vMerge/>
            <w:tcBorders>
              <w:top w:val="single" w:sz="4" w:space="0" w:color="000000"/>
              <w:left w:val="nil"/>
              <w:bottom w:val="nil"/>
              <w:right w:val="nil"/>
            </w:tcBorders>
            <w:shd w:val="clear" w:color="auto" w:fill="auto"/>
            <w:vAlign w:val="bottom"/>
          </w:tcPr>
          <w:p w14:paraId="5F68144B"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sz w:val="18"/>
                <w:szCs w:val="18"/>
              </w:rPr>
            </w:pPr>
          </w:p>
        </w:tc>
        <w:tc>
          <w:tcPr>
            <w:tcW w:w="478" w:type="dxa"/>
            <w:tcBorders>
              <w:top w:val="nil"/>
              <w:left w:val="nil"/>
              <w:bottom w:val="single" w:sz="4" w:space="0" w:color="000000"/>
              <w:right w:val="nil"/>
            </w:tcBorders>
            <w:shd w:val="clear" w:color="auto" w:fill="auto"/>
            <w:vAlign w:val="bottom"/>
          </w:tcPr>
          <w:p w14:paraId="36DF6B6C"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868" w:type="dxa"/>
            <w:tcBorders>
              <w:top w:val="nil"/>
              <w:left w:val="nil"/>
              <w:bottom w:val="single" w:sz="4" w:space="0" w:color="000000"/>
              <w:right w:val="nil"/>
            </w:tcBorders>
            <w:shd w:val="clear" w:color="auto" w:fill="auto"/>
            <w:vAlign w:val="bottom"/>
          </w:tcPr>
          <w:p w14:paraId="3428D079"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671" w:type="dxa"/>
            <w:tcBorders>
              <w:top w:val="nil"/>
              <w:left w:val="nil"/>
              <w:bottom w:val="single" w:sz="4" w:space="0" w:color="000000"/>
              <w:right w:val="nil"/>
            </w:tcBorders>
            <w:shd w:val="clear" w:color="auto" w:fill="auto"/>
            <w:vAlign w:val="bottom"/>
          </w:tcPr>
          <w:p w14:paraId="1CD27B50"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44" w:type="dxa"/>
            <w:tcBorders>
              <w:top w:val="nil"/>
              <w:left w:val="nil"/>
              <w:bottom w:val="single" w:sz="4" w:space="0" w:color="000000"/>
              <w:right w:val="nil"/>
            </w:tcBorders>
            <w:shd w:val="clear" w:color="auto" w:fill="auto"/>
            <w:vAlign w:val="bottom"/>
          </w:tcPr>
          <w:p w14:paraId="51D17F3B"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29" w:type="dxa"/>
            <w:tcBorders>
              <w:top w:val="nil"/>
              <w:left w:val="nil"/>
              <w:bottom w:val="single" w:sz="4" w:space="0" w:color="000000"/>
              <w:right w:val="nil"/>
            </w:tcBorders>
            <w:shd w:val="clear" w:color="auto" w:fill="auto"/>
            <w:vAlign w:val="bottom"/>
          </w:tcPr>
          <w:p w14:paraId="6D0AEC19"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857" w:type="dxa"/>
            <w:tcBorders>
              <w:top w:val="nil"/>
              <w:left w:val="nil"/>
              <w:bottom w:val="single" w:sz="4" w:space="0" w:color="000000"/>
              <w:right w:val="nil"/>
            </w:tcBorders>
            <w:shd w:val="clear" w:color="auto" w:fill="auto"/>
            <w:vAlign w:val="bottom"/>
          </w:tcPr>
          <w:p w14:paraId="571069FA"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810" w:type="dxa"/>
            <w:tcBorders>
              <w:top w:val="nil"/>
              <w:left w:val="nil"/>
              <w:bottom w:val="single" w:sz="4" w:space="0" w:color="000000"/>
              <w:right w:val="nil"/>
            </w:tcBorders>
            <w:shd w:val="clear" w:color="auto" w:fill="auto"/>
            <w:vAlign w:val="bottom"/>
          </w:tcPr>
          <w:p w14:paraId="2BBE6F11" w14:textId="77777777" w:rsidR="00EC4499" w:rsidRDefault="00EC4499">
            <w:pPr>
              <w:spacing w:after="0" w:line="240" w:lineRule="auto"/>
              <w:jc w:val="center"/>
              <w:rPr>
                <w:rFonts w:ascii="Garamond" w:eastAsia="Garamond" w:hAnsi="Garamond" w:cs="Garamond"/>
                <w:color w:val="000000"/>
                <w:sz w:val="18"/>
                <w:szCs w:val="18"/>
              </w:rPr>
            </w:pPr>
          </w:p>
        </w:tc>
        <w:tc>
          <w:tcPr>
            <w:tcW w:w="1237" w:type="dxa"/>
            <w:tcBorders>
              <w:top w:val="nil"/>
              <w:left w:val="nil"/>
              <w:bottom w:val="single" w:sz="4" w:space="0" w:color="000000"/>
              <w:right w:val="nil"/>
            </w:tcBorders>
            <w:shd w:val="clear" w:color="auto" w:fill="auto"/>
            <w:vAlign w:val="bottom"/>
          </w:tcPr>
          <w:p w14:paraId="43B7B172" w14:textId="77777777" w:rsidR="00EC4499" w:rsidRDefault="00EC4499">
            <w:pPr>
              <w:spacing w:after="0" w:line="240" w:lineRule="auto"/>
              <w:jc w:val="center"/>
              <w:rPr>
                <w:rFonts w:ascii="Garamond" w:eastAsia="Garamond" w:hAnsi="Garamond" w:cs="Garamond"/>
                <w:sz w:val="18"/>
                <w:szCs w:val="18"/>
              </w:rPr>
            </w:pPr>
          </w:p>
        </w:tc>
        <w:tc>
          <w:tcPr>
            <w:tcW w:w="716" w:type="dxa"/>
            <w:tcBorders>
              <w:top w:val="nil"/>
              <w:left w:val="nil"/>
              <w:bottom w:val="single" w:sz="4" w:space="0" w:color="000000"/>
              <w:right w:val="nil"/>
            </w:tcBorders>
            <w:shd w:val="clear" w:color="auto" w:fill="auto"/>
            <w:vAlign w:val="bottom"/>
          </w:tcPr>
          <w:p w14:paraId="791F4D2F"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r>
      <w:tr w:rsidR="00EC4499" w14:paraId="2A952948" w14:textId="77777777">
        <w:trPr>
          <w:trHeight w:val="289"/>
        </w:trPr>
        <w:tc>
          <w:tcPr>
            <w:tcW w:w="834" w:type="dxa"/>
            <w:vMerge w:val="restart"/>
            <w:tcBorders>
              <w:top w:val="nil"/>
              <w:left w:val="nil"/>
              <w:bottom w:val="nil"/>
              <w:right w:val="nil"/>
            </w:tcBorders>
            <w:shd w:val="clear" w:color="auto" w:fill="auto"/>
            <w:vAlign w:val="bottom"/>
          </w:tcPr>
          <w:p w14:paraId="127F5434" w14:textId="77777777" w:rsidR="00EC4499" w:rsidRDefault="00433EA7">
            <w:pPr>
              <w:spacing w:after="0" w:line="48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 xml:space="preserve">BNB </w:t>
            </w:r>
          </w:p>
        </w:tc>
        <w:tc>
          <w:tcPr>
            <w:tcW w:w="478" w:type="dxa"/>
            <w:tcBorders>
              <w:top w:val="single" w:sz="4" w:space="0" w:color="000000"/>
              <w:left w:val="nil"/>
              <w:bottom w:val="nil"/>
              <w:right w:val="nil"/>
            </w:tcBorders>
            <w:shd w:val="clear" w:color="auto" w:fill="auto"/>
            <w:vAlign w:val="bottom"/>
          </w:tcPr>
          <w:p w14:paraId="39CDFEB2"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868" w:type="dxa"/>
            <w:tcBorders>
              <w:top w:val="single" w:sz="4" w:space="0" w:color="000000"/>
              <w:left w:val="nil"/>
              <w:bottom w:val="nil"/>
              <w:right w:val="nil"/>
            </w:tcBorders>
            <w:shd w:val="clear" w:color="auto" w:fill="auto"/>
            <w:vAlign w:val="bottom"/>
          </w:tcPr>
          <w:p w14:paraId="2EB0C829"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671" w:type="dxa"/>
            <w:tcBorders>
              <w:top w:val="single" w:sz="4" w:space="0" w:color="000000"/>
              <w:left w:val="nil"/>
              <w:bottom w:val="nil"/>
              <w:right w:val="nil"/>
            </w:tcBorders>
            <w:shd w:val="clear" w:color="auto" w:fill="auto"/>
            <w:vAlign w:val="bottom"/>
          </w:tcPr>
          <w:p w14:paraId="4EFB8A09"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44" w:type="dxa"/>
            <w:tcBorders>
              <w:top w:val="single" w:sz="4" w:space="0" w:color="000000"/>
              <w:left w:val="nil"/>
              <w:bottom w:val="nil"/>
              <w:right w:val="nil"/>
            </w:tcBorders>
            <w:shd w:val="clear" w:color="auto" w:fill="auto"/>
            <w:vAlign w:val="bottom"/>
          </w:tcPr>
          <w:p w14:paraId="22EB5D8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29" w:type="dxa"/>
            <w:tcBorders>
              <w:top w:val="single" w:sz="4" w:space="0" w:color="000000"/>
              <w:left w:val="nil"/>
              <w:bottom w:val="nil"/>
              <w:right w:val="nil"/>
            </w:tcBorders>
            <w:shd w:val="clear" w:color="auto" w:fill="auto"/>
            <w:vAlign w:val="bottom"/>
          </w:tcPr>
          <w:p w14:paraId="3A6ED65C"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857" w:type="dxa"/>
            <w:tcBorders>
              <w:top w:val="single" w:sz="4" w:space="0" w:color="000000"/>
              <w:left w:val="nil"/>
              <w:bottom w:val="nil"/>
              <w:right w:val="nil"/>
            </w:tcBorders>
            <w:shd w:val="clear" w:color="auto" w:fill="auto"/>
            <w:vAlign w:val="bottom"/>
          </w:tcPr>
          <w:p w14:paraId="49225F9D" w14:textId="77777777" w:rsidR="00EC4499" w:rsidRDefault="00EC4499">
            <w:pPr>
              <w:spacing w:after="0" w:line="240" w:lineRule="auto"/>
              <w:jc w:val="center"/>
              <w:rPr>
                <w:rFonts w:ascii="Garamond" w:eastAsia="Garamond" w:hAnsi="Garamond" w:cs="Garamond"/>
                <w:color w:val="000000"/>
                <w:sz w:val="18"/>
                <w:szCs w:val="18"/>
              </w:rPr>
            </w:pPr>
          </w:p>
        </w:tc>
        <w:tc>
          <w:tcPr>
            <w:tcW w:w="810" w:type="dxa"/>
            <w:tcBorders>
              <w:top w:val="single" w:sz="4" w:space="0" w:color="000000"/>
              <w:left w:val="nil"/>
              <w:bottom w:val="nil"/>
              <w:right w:val="nil"/>
            </w:tcBorders>
            <w:shd w:val="clear" w:color="auto" w:fill="auto"/>
            <w:vAlign w:val="bottom"/>
          </w:tcPr>
          <w:p w14:paraId="46BADBDB" w14:textId="77777777" w:rsidR="00EC4499" w:rsidRDefault="00EC4499">
            <w:pPr>
              <w:spacing w:after="0" w:line="240" w:lineRule="auto"/>
              <w:jc w:val="center"/>
              <w:rPr>
                <w:rFonts w:ascii="Garamond" w:eastAsia="Garamond" w:hAnsi="Garamond" w:cs="Garamond"/>
                <w:sz w:val="18"/>
                <w:szCs w:val="18"/>
              </w:rPr>
            </w:pPr>
          </w:p>
        </w:tc>
        <w:tc>
          <w:tcPr>
            <w:tcW w:w="1237" w:type="dxa"/>
            <w:tcBorders>
              <w:top w:val="single" w:sz="4" w:space="0" w:color="000000"/>
              <w:left w:val="nil"/>
              <w:bottom w:val="nil"/>
              <w:right w:val="nil"/>
            </w:tcBorders>
            <w:shd w:val="clear" w:color="auto" w:fill="auto"/>
            <w:vAlign w:val="bottom"/>
          </w:tcPr>
          <w:p w14:paraId="099147E3" w14:textId="77777777" w:rsidR="00EC4499" w:rsidRDefault="00EC4499">
            <w:pPr>
              <w:spacing w:after="0" w:line="240" w:lineRule="auto"/>
              <w:jc w:val="center"/>
              <w:rPr>
                <w:rFonts w:ascii="Garamond" w:eastAsia="Garamond" w:hAnsi="Garamond" w:cs="Garamond"/>
                <w:sz w:val="18"/>
                <w:szCs w:val="18"/>
              </w:rPr>
            </w:pPr>
          </w:p>
        </w:tc>
        <w:tc>
          <w:tcPr>
            <w:tcW w:w="716" w:type="dxa"/>
            <w:tcBorders>
              <w:top w:val="single" w:sz="4" w:space="0" w:color="000000"/>
              <w:left w:val="nil"/>
              <w:bottom w:val="nil"/>
              <w:right w:val="nil"/>
            </w:tcBorders>
            <w:shd w:val="clear" w:color="auto" w:fill="auto"/>
            <w:vAlign w:val="bottom"/>
          </w:tcPr>
          <w:p w14:paraId="257F9573" w14:textId="77777777" w:rsidR="00EC4499" w:rsidRDefault="00EC4499">
            <w:pPr>
              <w:spacing w:after="0" w:line="240" w:lineRule="auto"/>
              <w:jc w:val="center"/>
              <w:rPr>
                <w:rFonts w:ascii="Garamond" w:eastAsia="Garamond" w:hAnsi="Garamond" w:cs="Garamond"/>
                <w:sz w:val="18"/>
                <w:szCs w:val="18"/>
              </w:rPr>
            </w:pPr>
          </w:p>
        </w:tc>
      </w:tr>
      <w:tr w:rsidR="00EC4499" w14:paraId="427C87B7" w14:textId="77777777">
        <w:trPr>
          <w:trHeight w:val="289"/>
        </w:trPr>
        <w:tc>
          <w:tcPr>
            <w:tcW w:w="834" w:type="dxa"/>
            <w:vMerge/>
            <w:tcBorders>
              <w:top w:val="nil"/>
              <w:left w:val="nil"/>
              <w:bottom w:val="nil"/>
              <w:right w:val="nil"/>
            </w:tcBorders>
            <w:shd w:val="clear" w:color="auto" w:fill="auto"/>
            <w:vAlign w:val="bottom"/>
          </w:tcPr>
          <w:p w14:paraId="375D7417"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sz w:val="18"/>
                <w:szCs w:val="18"/>
              </w:rPr>
            </w:pPr>
          </w:p>
        </w:tc>
        <w:tc>
          <w:tcPr>
            <w:tcW w:w="478" w:type="dxa"/>
            <w:tcBorders>
              <w:top w:val="nil"/>
              <w:left w:val="nil"/>
              <w:bottom w:val="single" w:sz="4" w:space="0" w:color="000000"/>
              <w:right w:val="nil"/>
            </w:tcBorders>
            <w:shd w:val="clear" w:color="auto" w:fill="auto"/>
            <w:vAlign w:val="bottom"/>
          </w:tcPr>
          <w:p w14:paraId="173B7465"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868" w:type="dxa"/>
            <w:tcBorders>
              <w:top w:val="nil"/>
              <w:left w:val="nil"/>
              <w:bottom w:val="single" w:sz="4" w:space="0" w:color="000000"/>
              <w:right w:val="nil"/>
            </w:tcBorders>
            <w:shd w:val="clear" w:color="auto" w:fill="auto"/>
            <w:vAlign w:val="bottom"/>
          </w:tcPr>
          <w:p w14:paraId="5EECF89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671" w:type="dxa"/>
            <w:tcBorders>
              <w:top w:val="nil"/>
              <w:left w:val="nil"/>
              <w:bottom w:val="single" w:sz="4" w:space="0" w:color="000000"/>
              <w:right w:val="nil"/>
            </w:tcBorders>
            <w:shd w:val="clear" w:color="auto" w:fill="auto"/>
            <w:vAlign w:val="bottom"/>
          </w:tcPr>
          <w:p w14:paraId="4409B802"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44" w:type="dxa"/>
            <w:tcBorders>
              <w:top w:val="nil"/>
              <w:left w:val="nil"/>
              <w:bottom w:val="single" w:sz="4" w:space="0" w:color="000000"/>
              <w:right w:val="nil"/>
            </w:tcBorders>
            <w:shd w:val="clear" w:color="auto" w:fill="auto"/>
            <w:vAlign w:val="bottom"/>
          </w:tcPr>
          <w:p w14:paraId="43E507EF"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29" w:type="dxa"/>
            <w:tcBorders>
              <w:top w:val="nil"/>
              <w:left w:val="nil"/>
              <w:bottom w:val="single" w:sz="4" w:space="0" w:color="000000"/>
              <w:right w:val="nil"/>
            </w:tcBorders>
            <w:shd w:val="clear" w:color="auto" w:fill="auto"/>
            <w:vAlign w:val="bottom"/>
          </w:tcPr>
          <w:p w14:paraId="446E222F"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857" w:type="dxa"/>
            <w:tcBorders>
              <w:top w:val="nil"/>
              <w:left w:val="nil"/>
              <w:bottom w:val="single" w:sz="4" w:space="0" w:color="000000"/>
              <w:right w:val="nil"/>
            </w:tcBorders>
            <w:shd w:val="clear" w:color="auto" w:fill="auto"/>
            <w:vAlign w:val="bottom"/>
          </w:tcPr>
          <w:p w14:paraId="50222E0E" w14:textId="77777777" w:rsidR="00EC4499" w:rsidRDefault="00EC4499">
            <w:pPr>
              <w:spacing w:after="0" w:line="240" w:lineRule="auto"/>
              <w:jc w:val="center"/>
              <w:rPr>
                <w:rFonts w:ascii="Garamond" w:eastAsia="Garamond" w:hAnsi="Garamond" w:cs="Garamond"/>
                <w:color w:val="000000"/>
                <w:sz w:val="18"/>
                <w:szCs w:val="18"/>
              </w:rPr>
            </w:pPr>
          </w:p>
        </w:tc>
        <w:tc>
          <w:tcPr>
            <w:tcW w:w="810" w:type="dxa"/>
            <w:tcBorders>
              <w:top w:val="nil"/>
              <w:left w:val="nil"/>
              <w:bottom w:val="single" w:sz="4" w:space="0" w:color="000000"/>
              <w:right w:val="nil"/>
            </w:tcBorders>
            <w:shd w:val="clear" w:color="auto" w:fill="auto"/>
            <w:vAlign w:val="bottom"/>
          </w:tcPr>
          <w:p w14:paraId="4A4DA5C7" w14:textId="77777777" w:rsidR="00EC4499" w:rsidRDefault="00EC4499">
            <w:pPr>
              <w:spacing w:after="0" w:line="240" w:lineRule="auto"/>
              <w:jc w:val="center"/>
              <w:rPr>
                <w:rFonts w:ascii="Garamond" w:eastAsia="Garamond" w:hAnsi="Garamond" w:cs="Garamond"/>
                <w:sz w:val="18"/>
                <w:szCs w:val="18"/>
              </w:rPr>
            </w:pPr>
          </w:p>
        </w:tc>
        <w:tc>
          <w:tcPr>
            <w:tcW w:w="1237" w:type="dxa"/>
            <w:tcBorders>
              <w:top w:val="nil"/>
              <w:left w:val="nil"/>
              <w:bottom w:val="single" w:sz="4" w:space="0" w:color="000000"/>
              <w:right w:val="nil"/>
            </w:tcBorders>
            <w:shd w:val="clear" w:color="auto" w:fill="auto"/>
            <w:vAlign w:val="bottom"/>
          </w:tcPr>
          <w:p w14:paraId="1FDDA334" w14:textId="77777777" w:rsidR="00EC4499" w:rsidRDefault="00EC4499">
            <w:pPr>
              <w:spacing w:after="0" w:line="240" w:lineRule="auto"/>
              <w:jc w:val="center"/>
              <w:rPr>
                <w:rFonts w:ascii="Garamond" w:eastAsia="Garamond" w:hAnsi="Garamond" w:cs="Garamond"/>
                <w:sz w:val="18"/>
                <w:szCs w:val="18"/>
              </w:rPr>
            </w:pPr>
          </w:p>
        </w:tc>
        <w:tc>
          <w:tcPr>
            <w:tcW w:w="716" w:type="dxa"/>
            <w:tcBorders>
              <w:top w:val="nil"/>
              <w:left w:val="nil"/>
              <w:bottom w:val="single" w:sz="4" w:space="0" w:color="000000"/>
              <w:right w:val="nil"/>
            </w:tcBorders>
            <w:shd w:val="clear" w:color="auto" w:fill="auto"/>
            <w:vAlign w:val="bottom"/>
          </w:tcPr>
          <w:p w14:paraId="14CAC88D" w14:textId="77777777" w:rsidR="00EC4499" w:rsidRDefault="00EC4499">
            <w:pPr>
              <w:spacing w:after="0" w:line="240" w:lineRule="auto"/>
              <w:jc w:val="center"/>
              <w:rPr>
                <w:rFonts w:ascii="Garamond" w:eastAsia="Garamond" w:hAnsi="Garamond" w:cs="Garamond"/>
                <w:sz w:val="18"/>
                <w:szCs w:val="18"/>
              </w:rPr>
            </w:pPr>
          </w:p>
        </w:tc>
      </w:tr>
      <w:tr w:rsidR="00EC4499" w14:paraId="60C8E451" w14:textId="77777777">
        <w:trPr>
          <w:trHeight w:val="289"/>
        </w:trPr>
        <w:tc>
          <w:tcPr>
            <w:tcW w:w="834" w:type="dxa"/>
            <w:vMerge w:val="restart"/>
            <w:tcBorders>
              <w:top w:val="nil"/>
              <w:left w:val="nil"/>
              <w:bottom w:val="nil"/>
              <w:right w:val="nil"/>
            </w:tcBorders>
            <w:shd w:val="clear" w:color="auto" w:fill="auto"/>
            <w:vAlign w:val="bottom"/>
          </w:tcPr>
          <w:p w14:paraId="3E6F3DB0" w14:textId="77777777" w:rsidR="00EC4499" w:rsidRDefault="00433EA7">
            <w:pPr>
              <w:spacing w:after="0" w:line="48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BNDES</w:t>
            </w:r>
          </w:p>
        </w:tc>
        <w:tc>
          <w:tcPr>
            <w:tcW w:w="478" w:type="dxa"/>
            <w:tcBorders>
              <w:top w:val="single" w:sz="4" w:space="0" w:color="000000"/>
              <w:left w:val="nil"/>
              <w:bottom w:val="nil"/>
              <w:right w:val="nil"/>
            </w:tcBorders>
            <w:shd w:val="clear" w:color="auto" w:fill="auto"/>
            <w:vAlign w:val="bottom"/>
          </w:tcPr>
          <w:p w14:paraId="4C9E6A58"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868" w:type="dxa"/>
            <w:tcBorders>
              <w:top w:val="single" w:sz="4" w:space="0" w:color="000000"/>
              <w:left w:val="nil"/>
              <w:bottom w:val="nil"/>
              <w:right w:val="nil"/>
            </w:tcBorders>
            <w:shd w:val="clear" w:color="auto" w:fill="auto"/>
            <w:vAlign w:val="bottom"/>
          </w:tcPr>
          <w:p w14:paraId="746290E6"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671" w:type="dxa"/>
            <w:tcBorders>
              <w:top w:val="single" w:sz="4" w:space="0" w:color="000000"/>
              <w:left w:val="nil"/>
              <w:bottom w:val="nil"/>
              <w:right w:val="nil"/>
            </w:tcBorders>
            <w:shd w:val="clear" w:color="auto" w:fill="auto"/>
            <w:vAlign w:val="bottom"/>
          </w:tcPr>
          <w:p w14:paraId="045DCD15"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44" w:type="dxa"/>
            <w:tcBorders>
              <w:top w:val="single" w:sz="4" w:space="0" w:color="000000"/>
              <w:left w:val="nil"/>
              <w:bottom w:val="nil"/>
              <w:right w:val="nil"/>
            </w:tcBorders>
            <w:shd w:val="clear" w:color="auto" w:fill="auto"/>
            <w:vAlign w:val="bottom"/>
          </w:tcPr>
          <w:p w14:paraId="1D91461E"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29" w:type="dxa"/>
            <w:tcBorders>
              <w:top w:val="single" w:sz="4" w:space="0" w:color="000000"/>
              <w:left w:val="nil"/>
              <w:bottom w:val="nil"/>
              <w:right w:val="nil"/>
            </w:tcBorders>
            <w:shd w:val="clear" w:color="auto" w:fill="auto"/>
            <w:vAlign w:val="bottom"/>
          </w:tcPr>
          <w:p w14:paraId="693BBC2C"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857" w:type="dxa"/>
            <w:tcBorders>
              <w:top w:val="single" w:sz="4" w:space="0" w:color="000000"/>
              <w:left w:val="nil"/>
              <w:bottom w:val="nil"/>
              <w:right w:val="nil"/>
            </w:tcBorders>
            <w:shd w:val="clear" w:color="auto" w:fill="auto"/>
            <w:vAlign w:val="bottom"/>
          </w:tcPr>
          <w:p w14:paraId="33AEC49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810" w:type="dxa"/>
            <w:tcBorders>
              <w:top w:val="single" w:sz="4" w:space="0" w:color="000000"/>
              <w:left w:val="nil"/>
              <w:bottom w:val="nil"/>
              <w:right w:val="nil"/>
            </w:tcBorders>
            <w:shd w:val="clear" w:color="auto" w:fill="auto"/>
            <w:vAlign w:val="bottom"/>
          </w:tcPr>
          <w:p w14:paraId="52B7CDAF" w14:textId="77777777" w:rsidR="00EC4499" w:rsidRDefault="00EC4499">
            <w:pPr>
              <w:spacing w:after="0" w:line="240" w:lineRule="auto"/>
              <w:jc w:val="center"/>
              <w:rPr>
                <w:rFonts w:ascii="Garamond" w:eastAsia="Garamond" w:hAnsi="Garamond" w:cs="Garamond"/>
                <w:color w:val="000000"/>
                <w:sz w:val="18"/>
                <w:szCs w:val="18"/>
              </w:rPr>
            </w:pPr>
          </w:p>
        </w:tc>
        <w:tc>
          <w:tcPr>
            <w:tcW w:w="1237" w:type="dxa"/>
            <w:tcBorders>
              <w:top w:val="single" w:sz="4" w:space="0" w:color="000000"/>
              <w:left w:val="nil"/>
              <w:bottom w:val="nil"/>
              <w:right w:val="nil"/>
            </w:tcBorders>
            <w:shd w:val="clear" w:color="auto" w:fill="auto"/>
            <w:vAlign w:val="bottom"/>
          </w:tcPr>
          <w:p w14:paraId="705A98B3" w14:textId="77777777" w:rsidR="00EC4499" w:rsidRDefault="00EC4499">
            <w:pPr>
              <w:spacing w:after="0" w:line="240" w:lineRule="auto"/>
              <w:jc w:val="center"/>
              <w:rPr>
                <w:rFonts w:ascii="Garamond" w:eastAsia="Garamond" w:hAnsi="Garamond" w:cs="Garamond"/>
                <w:sz w:val="18"/>
                <w:szCs w:val="18"/>
              </w:rPr>
            </w:pPr>
          </w:p>
        </w:tc>
        <w:tc>
          <w:tcPr>
            <w:tcW w:w="716" w:type="dxa"/>
            <w:tcBorders>
              <w:top w:val="single" w:sz="4" w:space="0" w:color="000000"/>
              <w:left w:val="nil"/>
              <w:bottom w:val="nil"/>
              <w:right w:val="nil"/>
            </w:tcBorders>
            <w:shd w:val="clear" w:color="auto" w:fill="auto"/>
            <w:vAlign w:val="bottom"/>
          </w:tcPr>
          <w:p w14:paraId="5EA0FAF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r>
      <w:tr w:rsidR="00EC4499" w14:paraId="775E88E2" w14:textId="77777777">
        <w:trPr>
          <w:trHeight w:val="289"/>
        </w:trPr>
        <w:tc>
          <w:tcPr>
            <w:tcW w:w="834" w:type="dxa"/>
            <w:vMerge/>
            <w:tcBorders>
              <w:top w:val="nil"/>
              <w:left w:val="nil"/>
              <w:bottom w:val="nil"/>
              <w:right w:val="nil"/>
            </w:tcBorders>
            <w:shd w:val="clear" w:color="auto" w:fill="auto"/>
            <w:vAlign w:val="bottom"/>
          </w:tcPr>
          <w:p w14:paraId="15EBEAAB"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16966389"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868" w:type="dxa"/>
            <w:tcBorders>
              <w:top w:val="nil"/>
              <w:left w:val="nil"/>
              <w:bottom w:val="single" w:sz="4" w:space="0" w:color="000000"/>
              <w:right w:val="nil"/>
            </w:tcBorders>
            <w:shd w:val="clear" w:color="auto" w:fill="auto"/>
            <w:vAlign w:val="bottom"/>
          </w:tcPr>
          <w:p w14:paraId="22754834"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671" w:type="dxa"/>
            <w:tcBorders>
              <w:top w:val="nil"/>
              <w:left w:val="nil"/>
              <w:bottom w:val="single" w:sz="4" w:space="0" w:color="000000"/>
              <w:right w:val="nil"/>
            </w:tcBorders>
            <w:shd w:val="clear" w:color="auto" w:fill="auto"/>
            <w:vAlign w:val="bottom"/>
          </w:tcPr>
          <w:p w14:paraId="085FA6AB"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44" w:type="dxa"/>
            <w:tcBorders>
              <w:top w:val="nil"/>
              <w:left w:val="nil"/>
              <w:bottom w:val="single" w:sz="4" w:space="0" w:color="000000"/>
              <w:right w:val="nil"/>
            </w:tcBorders>
            <w:shd w:val="clear" w:color="auto" w:fill="auto"/>
            <w:vAlign w:val="bottom"/>
          </w:tcPr>
          <w:p w14:paraId="5889B54D"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29" w:type="dxa"/>
            <w:tcBorders>
              <w:top w:val="nil"/>
              <w:left w:val="nil"/>
              <w:bottom w:val="single" w:sz="4" w:space="0" w:color="000000"/>
              <w:right w:val="nil"/>
            </w:tcBorders>
            <w:shd w:val="clear" w:color="auto" w:fill="auto"/>
            <w:vAlign w:val="bottom"/>
          </w:tcPr>
          <w:p w14:paraId="35FD3A3E"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857" w:type="dxa"/>
            <w:tcBorders>
              <w:top w:val="nil"/>
              <w:left w:val="nil"/>
              <w:bottom w:val="single" w:sz="4" w:space="0" w:color="000000"/>
              <w:right w:val="nil"/>
            </w:tcBorders>
            <w:shd w:val="clear" w:color="auto" w:fill="auto"/>
            <w:vAlign w:val="bottom"/>
          </w:tcPr>
          <w:p w14:paraId="4EB02C3F"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810" w:type="dxa"/>
            <w:tcBorders>
              <w:top w:val="nil"/>
              <w:left w:val="nil"/>
              <w:bottom w:val="single" w:sz="4" w:space="0" w:color="000000"/>
              <w:right w:val="nil"/>
            </w:tcBorders>
            <w:shd w:val="clear" w:color="auto" w:fill="auto"/>
            <w:vAlign w:val="bottom"/>
          </w:tcPr>
          <w:p w14:paraId="579E50EA" w14:textId="77777777" w:rsidR="00EC4499" w:rsidRDefault="00EC4499">
            <w:pPr>
              <w:spacing w:after="0" w:line="240" w:lineRule="auto"/>
              <w:jc w:val="center"/>
              <w:rPr>
                <w:rFonts w:ascii="Garamond" w:eastAsia="Garamond" w:hAnsi="Garamond" w:cs="Garamond"/>
                <w:color w:val="000000"/>
                <w:sz w:val="18"/>
                <w:szCs w:val="18"/>
              </w:rPr>
            </w:pPr>
          </w:p>
        </w:tc>
        <w:tc>
          <w:tcPr>
            <w:tcW w:w="1237" w:type="dxa"/>
            <w:tcBorders>
              <w:top w:val="nil"/>
              <w:left w:val="nil"/>
              <w:bottom w:val="single" w:sz="4" w:space="0" w:color="000000"/>
              <w:right w:val="nil"/>
            </w:tcBorders>
            <w:shd w:val="clear" w:color="auto" w:fill="auto"/>
            <w:vAlign w:val="bottom"/>
          </w:tcPr>
          <w:p w14:paraId="6F930DA7" w14:textId="77777777" w:rsidR="00EC4499" w:rsidRDefault="00EC4499">
            <w:pPr>
              <w:spacing w:after="0" w:line="240" w:lineRule="auto"/>
              <w:jc w:val="center"/>
              <w:rPr>
                <w:rFonts w:ascii="Garamond" w:eastAsia="Garamond" w:hAnsi="Garamond" w:cs="Garamond"/>
                <w:sz w:val="18"/>
                <w:szCs w:val="18"/>
              </w:rPr>
            </w:pPr>
          </w:p>
        </w:tc>
        <w:tc>
          <w:tcPr>
            <w:tcW w:w="716" w:type="dxa"/>
            <w:tcBorders>
              <w:top w:val="nil"/>
              <w:left w:val="nil"/>
              <w:bottom w:val="single" w:sz="4" w:space="0" w:color="000000"/>
              <w:right w:val="nil"/>
            </w:tcBorders>
            <w:shd w:val="clear" w:color="auto" w:fill="auto"/>
            <w:vAlign w:val="bottom"/>
          </w:tcPr>
          <w:p w14:paraId="777FA80A"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r>
      <w:tr w:rsidR="00EC4499" w14:paraId="5B57F71F" w14:textId="77777777">
        <w:trPr>
          <w:trHeight w:val="289"/>
        </w:trPr>
        <w:tc>
          <w:tcPr>
            <w:tcW w:w="834" w:type="dxa"/>
            <w:vMerge w:val="restart"/>
            <w:tcBorders>
              <w:top w:val="nil"/>
              <w:left w:val="nil"/>
              <w:bottom w:val="nil"/>
              <w:right w:val="nil"/>
            </w:tcBorders>
            <w:shd w:val="clear" w:color="auto" w:fill="auto"/>
            <w:vAlign w:val="bottom"/>
          </w:tcPr>
          <w:p w14:paraId="00B62CAF" w14:textId="77777777" w:rsidR="00EC4499" w:rsidRDefault="00433EA7">
            <w:pPr>
              <w:spacing w:after="0" w:line="48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Bradesco</w:t>
            </w:r>
          </w:p>
        </w:tc>
        <w:tc>
          <w:tcPr>
            <w:tcW w:w="478" w:type="dxa"/>
            <w:tcBorders>
              <w:top w:val="single" w:sz="4" w:space="0" w:color="000000"/>
              <w:left w:val="nil"/>
              <w:bottom w:val="nil"/>
              <w:right w:val="nil"/>
            </w:tcBorders>
            <w:shd w:val="clear" w:color="auto" w:fill="auto"/>
            <w:vAlign w:val="bottom"/>
          </w:tcPr>
          <w:p w14:paraId="67DCDC4F"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868" w:type="dxa"/>
            <w:tcBorders>
              <w:top w:val="single" w:sz="4" w:space="0" w:color="000000"/>
              <w:left w:val="nil"/>
              <w:bottom w:val="nil"/>
              <w:right w:val="nil"/>
            </w:tcBorders>
            <w:shd w:val="clear" w:color="auto" w:fill="auto"/>
            <w:vAlign w:val="bottom"/>
          </w:tcPr>
          <w:p w14:paraId="1EFCBF62"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671" w:type="dxa"/>
            <w:tcBorders>
              <w:top w:val="single" w:sz="4" w:space="0" w:color="000000"/>
              <w:left w:val="nil"/>
              <w:bottom w:val="nil"/>
              <w:right w:val="nil"/>
            </w:tcBorders>
            <w:shd w:val="clear" w:color="auto" w:fill="auto"/>
            <w:vAlign w:val="bottom"/>
          </w:tcPr>
          <w:p w14:paraId="6146DB2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44" w:type="dxa"/>
            <w:tcBorders>
              <w:top w:val="single" w:sz="4" w:space="0" w:color="000000"/>
              <w:left w:val="nil"/>
              <w:bottom w:val="nil"/>
              <w:right w:val="nil"/>
            </w:tcBorders>
            <w:shd w:val="clear" w:color="auto" w:fill="auto"/>
            <w:vAlign w:val="bottom"/>
          </w:tcPr>
          <w:p w14:paraId="76517A9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29" w:type="dxa"/>
            <w:tcBorders>
              <w:top w:val="single" w:sz="4" w:space="0" w:color="000000"/>
              <w:left w:val="nil"/>
              <w:bottom w:val="nil"/>
              <w:right w:val="nil"/>
            </w:tcBorders>
            <w:shd w:val="clear" w:color="auto" w:fill="auto"/>
            <w:vAlign w:val="bottom"/>
          </w:tcPr>
          <w:p w14:paraId="2ED911DB"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857" w:type="dxa"/>
            <w:tcBorders>
              <w:top w:val="single" w:sz="4" w:space="0" w:color="000000"/>
              <w:left w:val="nil"/>
              <w:bottom w:val="nil"/>
              <w:right w:val="nil"/>
            </w:tcBorders>
            <w:shd w:val="clear" w:color="auto" w:fill="auto"/>
            <w:vAlign w:val="bottom"/>
          </w:tcPr>
          <w:p w14:paraId="588EC31E"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810" w:type="dxa"/>
            <w:tcBorders>
              <w:top w:val="single" w:sz="4" w:space="0" w:color="000000"/>
              <w:left w:val="nil"/>
              <w:bottom w:val="nil"/>
              <w:right w:val="nil"/>
            </w:tcBorders>
            <w:shd w:val="clear" w:color="auto" w:fill="auto"/>
            <w:vAlign w:val="bottom"/>
          </w:tcPr>
          <w:p w14:paraId="77E03774" w14:textId="77777777" w:rsidR="00EC4499" w:rsidRDefault="00EC4499">
            <w:pPr>
              <w:spacing w:after="0" w:line="240" w:lineRule="auto"/>
              <w:jc w:val="center"/>
              <w:rPr>
                <w:rFonts w:ascii="Garamond" w:eastAsia="Garamond" w:hAnsi="Garamond" w:cs="Garamond"/>
                <w:color w:val="000000"/>
                <w:sz w:val="18"/>
                <w:szCs w:val="18"/>
              </w:rPr>
            </w:pPr>
          </w:p>
        </w:tc>
        <w:tc>
          <w:tcPr>
            <w:tcW w:w="1237" w:type="dxa"/>
            <w:tcBorders>
              <w:top w:val="single" w:sz="4" w:space="0" w:color="000000"/>
              <w:left w:val="nil"/>
              <w:bottom w:val="nil"/>
              <w:right w:val="nil"/>
            </w:tcBorders>
            <w:shd w:val="clear" w:color="auto" w:fill="auto"/>
            <w:vAlign w:val="bottom"/>
          </w:tcPr>
          <w:p w14:paraId="6FBC4A02" w14:textId="77777777" w:rsidR="00EC4499" w:rsidRDefault="00EC4499">
            <w:pPr>
              <w:spacing w:after="0" w:line="240" w:lineRule="auto"/>
              <w:jc w:val="center"/>
              <w:rPr>
                <w:rFonts w:ascii="Garamond" w:eastAsia="Garamond" w:hAnsi="Garamond" w:cs="Garamond"/>
                <w:sz w:val="18"/>
                <w:szCs w:val="18"/>
              </w:rPr>
            </w:pPr>
          </w:p>
        </w:tc>
        <w:tc>
          <w:tcPr>
            <w:tcW w:w="716" w:type="dxa"/>
            <w:tcBorders>
              <w:top w:val="single" w:sz="4" w:space="0" w:color="000000"/>
              <w:left w:val="nil"/>
              <w:bottom w:val="nil"/>
              <w:right w:val="nil"/>
            </w:tcBorders>
            <w:shd w:val="clear" w:color="auto" w:fill="auto"/>
            <w:vAlign w:val="bottom"/>
          </w:tcPr>
          <w:p w14:paraId="25702C15"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r>
      <w:tr w:rsidR="00EC4499" w14:paraId="6B95C14B" w14:textId="77777777">
        <w:trPr>
          <w:trHeight w:val="289"/>
        </w:trPr>
        <w:tc>
          <w:tcPr>
            <w:tcW w:w="834" w:type="dxa"/>
            <w:vMerge/>
            <w:tcBorders>
              <w:top w:val="nil"/>
              <w:left w:val="nil"/>
              <w:bottom w:val="nil"/>
              <w:right w:val="nil"/>
            </w:tcBorders>
            <w:shd w:val="clear" w:color="auto" w:fill="auto"/>
            <w:vAlign w:val="bottom"/>
          </w:tcPr>
          <w:p w14:paraId="58B043C4"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7D24986E"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868" w:type="dxa"/>
            <w:tcBorders>
              <w:top w:val="nil"/>
              <w:left w:val="nil"/>
              <w:bottom w:val="single" w:sz="4" w:space="0" w:color="000000"/>
              <w:right w:val="nil"/>
            </w:tcBorders>
            <w:shd w:val="clear" w:color="auto" w:fill="auto"/>
            <w:vAlign w:val="bottom"/>
          </w:tcPr>
          <w:p w14:paraId="7FF8B92E"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671" w:type="dxa"/>
            <w:tcBorders>
              <w:top w:val="nil"/>
              <w:left w:val="nil"/>
              <w:bottom w:val="single" w:sz="4" w:space="0" w:color="000000"/>
              <w:right w:val="nil"/>
            </w:tcBorders>
            <w:shd w:val="clear" w:color="auto" w:fill="auto"/>
            <w:vAlign w:val="bottom"/>
          </w:tcPr>
          <w:p w14:paraId="03E5186B"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44" w:type="dxa"/>
            <w:tcBorders>
              <w:top w:val="nil"/>
              <w:left w:val="nil"/>
              <w:bottom w:val="single" w:sz="4" w:space="0" w:color="000000"/>
              <w:right w:val="nil"/>
            </w:tcBorders>
            <w:shd w:val="clear" w:color="auto" w:fill="auto"/>
            <w:vAlign w:val="bottom"/>
          </w:tcPr>
          <w:p w14:paraId="06E67A5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29" w:type="dxa"/>
            <w:tcBorders>
              <w:top w:val="nil"/>
              <w:left w:val="nil"/>
              <w:bottom w:val="single" w:sz="4" w:space="0" w:color="000000"/>
              <w:right w:val="nil"/>
            </w:tcBorders>
            <w:shd w:val="clear" w:color="auto" w:fill="auto"/>
            <w:vAlign w:val="bottom"/>
          </w:tcPr>
          <w:p w14:paraId="52F041A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857" w:type="dxa"/>
            <w:tcBorders>
              <w:top w:val="nil"/>
              <w:left w:val="nil"/>
              <w:bottom w:val="single" w:sz="4" w:space="0" w:color="000000"/>
              <w:right w:val="nil"/>
            </w:tcBorders>
            <w:shd w:val="clear" w:color="auto" w:fill="auto"/>
            <w:vAlign w:val="bottom"/>
          </w:tcPr>
          <w:p w14:paraId="6613B30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810" w:type="dxa"/>
            <w:tcBorders>
              <w:top w:val="nil"/>
              <w:left w:val="nil"/>
              <w:bottom w:val="single" w:sz="4" w:space="0" w:color="000000"/>
              <w:right w:val="nil"/>
            </w:tcBorders>
            <w:shd w:val="clear" w:color="auto" w:fill="auto"/>
            <w:vAlign w:val="bottom"/>
          </w:tcPr>
          <w:p w14:paraId="1CC71990" w14:textId="77777777" w:rsidR="00EC4499" w:rsidRDefault="00EC4499">
            <w:pPr>
              <w:spacing w:after="0" w:line="240" w:lineRule="auto"/>
              <w:jc w:val="center"/>
              <w:rPr>
                <w:rFonts w:ascii="Garamond" w:eastAsia="Garamond" w:hAnsi="Garamond" w:cs="Garamond"/>
                <w:color w:val="000000"/>
                <w:sz w:val="18"/>
                <w:szCs w:val="18"/>
              </w:rPr>
            </w:pPr>
          </w:p>
        </w:tc>
        <w:tc>
          <w:tcPr>
            <w:tcW w:w="1237" w:type="dxa"/>
            <w:tcBorders>
              <w:top w:val="nil"/>
              <w:left w:val="nil"/>
              <w:bottom w:val="single" w:sz="4" w:space="0" w:color="000000"/>
              <w:right w:val="nil"/>
            </w:tcBorders>
            <w:shd w:val="clear" w:color="auto" w:fill="auto"/>
            <w:vAlign w:val="bottom"/>
          </w:tcPr>
          <w:p w14:paraId="1D2C67E1" w14:textId="77777777" w:rsidR="00EC4499" w:rsidRDefault="00EC4499">
            <w:pPr>
              <w:spacing w:after="0" w:line="240" w:lineRule="auto"/>
              <w:jc w:val="center"/>
              <w:rPr>
                <w:rFonts w:ascii="Garamond" w:eastAsia="Garamond" w:hAnsi="Garamond" w:cs="Garamond"/>
                <w:sz w:val="18"/>
                <w:szCs w:val="18"/>
              </w:rPr>
            </w:pPr>
          </w:p>
        </w:tc>
        <w:tc>
          <w:tcPr>
            <w:tcW w:w="716" w:type="dxa"/>
            <w:tcBorders>
              <w:top w:val="nil"/>
              <w:left w:val="nil"/>
              <w:bottom w:val="single" w:sz="4" w:space="0" w:color="000000"/>
              <w:right w:val="nil"/>
            </w:tcBorders>
            <w:shd w:val="clear" w:color="auto" w:fill="auto"/>
            <w:vAlign w:val="bottom"/>
          </w:tcPr>
          <w:p w14:paraId="4B99EFEA"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r>
      <w:tr w:rsidR="00EC4499" w14:paraId="655A41CD" w14:textId="77777777">
        <w:trPr>
          <w:trHeight w:val="289"/>
        </w:trPr>
        <w:tc>
          <w:tcPr>
            <w:tcW w:w="834" w:type="dxa"/>
            <w:vMerge w:val="restart"/>
            <w:tcBorders>
              <w:top w:val="nil"/>
              <w:left w:val="nil"/>
              <w:bottom w:val="nil"/>
              <w:right w:val="nil"/>
            </w:tcBorders>
            <w:shd w:val="clear" w:color="auto" w:fill="auto"/>
            <w:vAlign w:val="bottom"/>
          </w:tcPr>
          <w:p w14:paraId="6B25398D" w14:textId="77777777" w:rsidR="00EC4499" w:rsidRDefault="00433EA7">
            <w:pPr>
              <w:spacing w:after="0" w:line="276"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BTG Pactual</w:t>
            </w:r>
          </w:p>
        </w:tc>
        <w:tc>
          <w:tcPr>
            <w:tcW w:w="478" w:type="dxa"/>
            <w:tcBorders>
              <w:top w:val="single" w:sz="4" w:space="0" w:color="000000"/>
              <w:left w:val="nil"/>
              <w:bottom w:val="nil"/>
              <w:right w:val="nil"/>
            </w:tcBorders>
            <w:shd w:val="clear" w:color="auto" w:fill="auto"/>
            <w:vAlign w:val="bottom"/>
          </w:tcPr>
          <w:p w14:paraId="0E1DD83A"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868" w:type="dxa"/>
            <w:tcBorders>
              <w:top w:val="single" w:sz="4" w:space="0" w:color="000000"/>
              <w:left w:val="nil"/>
              <w:bottom w:val="nil"/>
              <w:right w:val="nil"/>
            </w:tcBorders>
            <w:shd w:val="clear" w:color="auto" w:fill="auto"/>
            <w:vAlign w:val="bottom"/>
          </w:tcPr>
          <w:p w14:paraId="29FCE23E"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671" w:type="dxa"/>
            <w:tcBorders>
              <w:top w:val="single" w:sz="4" w:space="0" w:color="000000"/>
              <w:left w:val="nil"/>
              <w:bottom w:val="nil"/>
              <w:right w:val="nil"/>
            </w:tcBorders>
            <w:shd w:val="clear" w:color="auto" w:fill="auto"/>
            <w:vAlign w:val="bottom"/>
          </w:tcPr>
          <w:p w14:paraId="65802EB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44" w:type="dxa"/>
            <w:tcBorders>
              <w:top w:val="single" w:sz="4" w:space="0" w:color="000000"/>
              <w:left w:val="nil"/>
              <w:bottom w:val="nil"/>
              <w:right w:val="nil"/>
            </w:tcBorders>
            <w:shd w:val="clear" w:color="auto" w:fill="auto"/>
            <w:vAlign w:val="bottom"/>
          </w:tcPr>
          <w:p w14:paraId="018C827E"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29" w:type="dxa"/>
            <w:tcBorders>
              <w:top w:val="single" w:sz="4" w:space="0" w:color="000000"/>
              <w:left w:val="nil"/>
              <w:bottom w:val="nil"/>
              <w:right w:val="nil"/>
            </w:tcBorders>
            <w:shd w:val="clear" w:color="auto" w:fill="auto"/>
            <w:vAlign w:val="bottom"/>
          </w:tcPr>
          <w:p w14:paraId="0676B9C0"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857" w:type="dxa"/>
            <w:tcBorders>
              <w:top w:val="single" w:sz="4" w:space="0" w:color="000000"/>
              <w:left w:val="nil"/>
              <w:bottom w:val="nil"/>
              <w:right w:val="nil"/>
            </w:tcBorders>
            <w:shd w:val="clear" w:color="auto" w:fill="auto"/>
            <w:vAlign w:val="bottom"/>
          </w:tcPr>
          <w:p w14:paraId="13C0A10B"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810" w:type="dxa"/>
            <w:tcBorders>
              <w:top w:val="single" w:sz="4" w:space="0" w:color="000000"/>
              <w:left w:val="nil"/>
              <w:bottom w:val="nil"/>
              <w:right w:val="nil"/>
            </w:tcBorders>
            <w:shd w:val="clear" w:color="auto" w:fill="auto"/>
            <w:vAlign w:val="bottom"/>
          </w:tcPr>
          <w:p w14:paraId="5FEEDB00" w14:textId="77777777" w:rsidR="00EC4499" w:rsidRDefault="00EC4499">
            <w:pPr>
              <w:spacing w:after="0" w:line="240" w:lineRule="auto"/>
              <w:jc w:val="center"/>
              <w:rPr>
                <w:rFonts w:ascii="Garamond" w:eastAsia="Garamond" w:hAnsi="Garamond" w:cs="Garamond"/>
                <w:color w:val="000000"/>
                <w:sz w:val="18"/>
                <w:szCs w:val="18"/>
              </w:rPr>
            </w:pPr>
          </w:p>
        </w:tc>
        <w:tc>
          <w:tcPr>
            <w:tcW w:w="1237" w:type="dxa"/>
            <w:tcBorders>
              <w:top w:val="single" w:sz="4" w:space="0" w:color="000000"/>
              <w:left w:val="nil"/>
              <w:bottom w:val="nil"/>
              <w:right w:val="nil"/>
            </w:tcBorders>
            <w:shd w:val="clear" w:color="auto" w:fill="auto"/>
            <w:vAlign w:val="bottom"/>
          </w:tcPr>
          <w:p w14:paraId="69546BD1" w14:textId="77777777" w:rsidR="00EC4499" w:rsidRDefault="00EC4499">
            <w:pPr>
              <w:spacing w:after="0" w:line="240" w:lineRule="auto"/>
              <w:jc w:val="center"/>
              <w:rPr>
                <w:rFonts w:ascii="Garamond" w:eastAsia="Garamond" w:hAnsi="Garamond" w:cs="Garamond"/>
                <w:sz w:val="18"/>
                <w:szCs w:val="18"/>
              </w:rPr>
            </w:pPr>
          </w:p>
        </w:tc>
        <w:tc>
          <w:tcPr>
            <w:tcW w:w="716" w:type="dxa"/>
            <w:tcBorders>
              <w:top w:val="single" w:sz="4" w:space="0" w:color="000000"/>
              <w:left w:val="nil"/>
              <w:bottom w:val="nil"/>
              <w:right w:val="nil"/>
            </w:tcBorders>
            <w:shd w:val="clear" w:color="auto" w:fill="auto"/>
            <w:vAlign w:val="bottom"/>
          </w:tcPr>
          <w:p w14:paraId="66B914A7" w14:textId="77777777" w:rsidR="00EC4499" w:rsidRDefault="00EC4499">
            <w:pPr>
              <w:spacing w:after="0" w:line="240" w:lineRule="auto"/>
              <w:jc w:val="center"/>
              <w:rPr>
                <w:rFonts w:ascii="Garamond" w:eastAsia="Garamond" w:hAnsi="Garamond" w:cs="Garamond"/>
                <w:sz w:val="18"/>
                <w:szCs w:val="18"/>
              </w:rPr>
            </w:pPr>
          </w:p>
        </w:tc>
      </w:tr>
      <w:tr w:rsidR="00EC4499" w14:paraId="2EE61381" w14:textId="77777777">
        <w:trPr>
          <w:trHeight w:val="289"/>
        </w:trPr>
        <w:tc>
          <w:tcPr>
            <w:tcW w:w="834" w:type="dxa"/>
            <w:vMerge/>
            <w:tcBorders>
              <w:top w:val="nil"/>
              <w:left w:val="nil"/>
              <w:bottom w:val="nil"/>
              <w:right w:val="nil"/>
            </w:tcBorders>
            <w:shd w:val="clear" w:color="auto" w:fill="auto"/>
            <w:vAlign w:val="bottom"/>
          </w:tcPr>
          <w:p w14:paraId="529B4E55"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sz w:val="18"/>
                <w:szCs w:val="18"/>
              </w:rPr>
            </w:pPr>
          </w:p>
        </w:tc>
        <w:tc>
          <w:tcPr>
            <w:tcW w:w="478" w:type="dxa"/>
            <w:tcBorders>
              <w:top w:val="nil"/>
              <w:left w:val="nil"/>
              <w:bottom w:val="single" w:sz="4" w:space="0" w:color="000000"/>
              <w:right w:val="nil"/>
            </w:tcBorders>
            <w:shd w:val="clear" w:color="auto" w:fill="auto"/>
            <w:vAlign w:val="bottom"/>
          </w:tcPr>
          <w:p w14:paraId="2B18EC32"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868" w:type="dxa"/>
            <w:tcBorders>
              <w:top w:val="nil"/>
              <w:left w:val="nil"/>
              <w:bottom w:val="single" w:sz="4" w:space="0" w:color="000000"/>
              <w:right w:val="nil"/>
            </w:tcBorders>
            <w:shd w:val="clear" w:color="auto" w:fill="auto"/>
            <w:vAlign w:val="bottom"/>
          </w:tcPr>
          <w:p w14:paraId="762A016B"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671" w:type="dxa"/>
            <w:tcBorders>
              <w:top w:val="nil"/>
              <w:left w:val="nil"/>
              <w:bottom w:val="single" w:sz="4" w:space="0" w:color="000000"/>
              <w:right w:val="nil"/>
            </w:tcBorders>
            <w:shd w:val="clear" w:color="auto" w:fill="auto"/>
            <w:vAlign w:val="bottom"/>
          </w:tcPr>
          <w:p w14:paraId="44855C1C"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44" w:type="dxa"/>
            <w:tcBorders>
              <w:top w:val="nil"/>
              <w:left w:val="nil"/>
              <w:bottom w:val="single" w:sz="4" w:space="0" w:color="000000"/>
              <w:right w:val="nil"/>
            </w:tcBorders>
            <w:shd w:val="clear" w:color="auto" w:fill="auto"/>
            <w:vAlign w:val="bottom"/>
          </w:tcPr>
          <w:p w14:paraId="4B2B69ED"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29" w:type="dxa"/>
            <w:tcBorders>
              <w:top w:val="nil"/>
              <w:left w:val="nil"/>
              <w:bottom w:val="single" w:sz="4" w:space="0" w:color="000000"/>
              <w:right w:val="nil"/>
            </w:tcBorders>
            <w:shd w:val="clear" w:color="auto" w:fill="auto"/>
            <w:vAlign w:val="bottom"/>
          </w:tcPr>
          <w:p w14:paraId="5B8B751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857" w:type="dxa"/>
            <w:tcBorders>
              <w:top w:val="nil"/>
              <w:left w:val="nil"/>
              <w:bottom w:val="single" w:sz="4" w:space="0" w:color="000000"/>
              <w:right w:val="nil"/>
            </w:tcBorders>
            <w:shd w:val="clear" w:color="auto" w:fill="auto"/>
            <w:vAlign w:val="bottom"/>
          </w:tcPr>
          <w:p w14:paraId="10173ACA"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810" w:type="dxa"/>
            <w:tcBorders>
              <w:top w:val="nil"/>
              <w:left w:val="nil"/>
              <w:bottom w:val="single" w:sz="4" w:space="0" w:color="000000"/>
              <w:right w:val="nil"/>
            </w:tcBorders>
            <w:shd w:val="clear" w:color="auto" w:fill="auto"/>
            <w:vAlign w:val="bottom"/>
          </w:tcPr>
          <w:p w14:paraId="66370589" w14:textId="77777777" w:rsidR="00EC4499" w:rsidRDefault="00EC4499">
            <w:pPr>
              <w:spacing w:after="0" w:line="240" w:lineRule="auto"/>
              <w:jc w:val="center"/>
              <w:rPr>
                <w:rFonts w:ascii="Garamond" w:eastAsia="Garamond" w:hAnsi="Garamond" w:cs="Garamond"/>
                <w:color w:val="000000"/>
                <w:sz w:val="18"/>
                <w:szCs w:val="18"/>
              </w:rPr>
            </w:pPr>
          </w:p>
        </w:tc>
        <w:tc>
          <w:tcPr>
            <w:tcW w:w="1237" w:type="dxa"/>
            <w:tcBorders>
              <w:top w:val="nil"/>
              <w:left w:val="nil"/>
              <w:bottom w:val="single" w:sz="4" w:space="0" w:color="000000"/>
              <w:right w:val="nil"/>
            </w:tcBorders>
            <w:shd w:val="clear" w:color="auto" w:fill="auto"/>
            <w:vAlign w:val="bottom"/>
          </w:tcPr>
          <w:p w14:paraId="67DC54C6" w14:textId="77777777" w:rsidR="00EC4499" w:rsidRDefault="00EC4499">
            <w:pPr>
              <w:spacing w:after="0" w:line="240" w:lineRule="auto"/>
              <w:jc w:val="center"/>
              <w:rPr>
                <w:rFonts w:ascii="Garamond" w:eastAsia="Garamond" w:hAnsi="Garamond" w:cs="Garamond"/>
                <w:sz w:val="18"/>
                <w:szCs w:val="18"/>
              </w:rPr>
            </w:pPr>
          </w:p>
        </w:tc>
        <w:tc>
          <w:tcPr>
            <w:tcW w:w="716" w:type="dxa"/>
            <w:tcBorders>
              <w:top w:val="nil"/>
              <w:left w:val="nil"/>
              <w:bottom w:val="single" w:sz="4" w:space="0" w:color="000000"/>
              <w:right w:val="nil"/>
            </w:tcBorders>
            <w:shd w:val="clear" w:color="auto" w:fill="auto"/>
            <w:vAlign w:val="bottom"/>
          </w:tcPr>
          <w:p w14:paraId="0AAD2160"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r>
      <w:tr w:rsidR="00EC4499" w14:paraId="09DD7067" w14:textId="77777777">
        <w:trPr>
          <w:trHeight w:val="289"/>
        </w:trPr>
        <w:tc>
          <w:tcPr>
            <w:tcW w:w="834" w:type="dxa"/>
            <w:vMerge w:val="restart"/>
            <w:tcBorders>
              <w:top w:val="nil"/>
              <w:left w:val="nil"/>
              <w:bottom w:val="nil"/>
              <w:right w:val="nil"/>
            </w:tcBorders>
            <w:shd w:val="clear" w:color="auto" w:fill="auto"/>
            <w:vAlign w:val="bottom"/>
          </w:tcPr>
          <w:p w14:paraId="4B86F51C" w14:textId="77777777" w:rsidR="00EC4499" w:rsidRDefault="00433EA7">
            <w:pPr>
              <w:spacing w:after="0" w:line="48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CAIXA</w:t>
            </w:r>
          </w:p>
        </w:tc>
        <w:tc>
          <w:tcPr>
            <w:tcW w:w="478" w:type="dxa"/>
            <w:tcBorders>
              <w:top w:val="single" w:sz="4" w:space="0" w:color="000000"/>
              <w:left w:val="nil"/>
              <w:bottom w:val="nil"/>
              <w:right w:val="nil"/>
            </w:tcBorders>
            <w:shd w:val="clear" w:color="auto" w:fill="auto"/>
            <w:vAlign w:val="bottom"/>
          </w:tcPr>
          <w:p w14:paraId="13760452"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868" w:type="dxa"/>
            <w:tcBorders>
              <w:top w:val="single" w:sz="4" w:space="0" w:color="000000"/>
              <w:left w:val="nil"/>
              <w:bottom w:val="nil"/>
              <w:right w:val="nil"/>
            </w:tcBorders>
            <w:shd w:val="clear" w:color="auto" w:fill="auto"/>
            <w:vAlign w:val="bottom"/>
          </w:tcPr>
          <w:p w14:paraId="31908CC4"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671" w:type="dxa"/>
            <w:tcBorders>
              <w:top w:val="single" w:sz="4" w:space="0" w:color="000000"/>
              <w:left w:val="nil"/>
              <w:bottom w:val="nil"/>
              <w:right w:val="nil"/>
            </w:tcBorders>
            <w:shd w:val="clear" w:color="auto" w:fill="auto"/>
            <w:vAlign w:val="bottom"/>
          </w:tcPr>
          <w:p w14:paraId="1174FFEA"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44" w:type="dxa"/>
            <w:tcBorders>
              <w:top w:val="single" w:sz="4" w:space="0" w:color="000000"/>
              <w:left w:val="nil"/>
              <w:bottom w:val="nil"/>
              <w:right w:val="nil"/>
            </w:tcBorders>
            <w:shd w:val="clear" w:color="auto" w:fill="auto"/>
            <w:vAlign w:val="bottom"/>
          </w:tcPr>
          <w:p w14:paraId="508A7D2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29" w:type="dxa"/>
            <w:tcBorders>
              <w:top w:val="single" w:sz="4" w:space="0" w:color="000000"/>
              <w:left w:val="nil"/>
              <w:bottom w:val="nil"/>
              <w:right w:val="nil"/>
            </w:tcBorders>
            <w:shd w:val="clear" w:color="auto" w:fill="auto"/>
            <w:vAlign w:val="bottom"/>
          </w:tcPr>
          <w:p w14:paraId="6BEF8C57"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857" w:type="dxa"/>
            <w:tcBorders>
              <w:top w:val="single" w:sz="4" w:space="0" w:color="000000"/>
              <w:left w:val="nil"/>
              <w:bottom w:val="nil"/>
              <w:right w:val="nil"/>
            </w:tcBorders>
            <w:shd w:val="clear" w:color="auto" w:fill="auto"/>
            <w:vAlign w:val="bottom"/>
          </w:tcPr>
          <w:p w14:paraId="5FE7E3A2" w14:textId="77777777" w:rsidR="00EC4499" w:rsidRDefault="00EC4499">
            <w:pPr>
              <w:spacing w:after="0" w:line="240" w:lineRule="auto"/>
              <w:jc w:val="center"/>
              <w:rPr>
                <w:rFonts w:ascii="Garamond" w:eastAsia="Garamond" w:hAnsi="Garamond" w:cs="Garamond"/>
                <w:color w:val="000000"/>
                <w:sz w:val="18"/>
                <w:szCs w:val="18"/>
              </w:rPr>
            </w:pPr>
          </w:p>
        </w:tc>
        <w:tc>
          <w:tcPr>
            <w:tcW w:w="810" w:type="dxa"/>
            <w:tcBorders>
              <w:top w:val="single" w:sz="4" w:space="0" w:color="000000"/>
              <w:left w:val="nil"/>
              <w:bottom w:val="nil"/>
              <w:right w:val="nil"/>
            </w:tcBorders>
            <w:shd w:val="clear" w:color="auto" w:fill="auto"/>
            <w:vAlign w:val="bottom"/>
          </w:tcPr>
          <w:p w14:paraId="5E14ABC5" w14:textId="77777777" w:rsidR="00EC4499" w:rsidRDefault="00EC4499">
            <w:pPr>
              <w:spacing w:after="0" w:line="240" w:lineRule="auto"/>
              <w:jc w:val="center"/>
              <w:rPr>
                <w:rFonts w:ascii="Garamond" w:eastAsia="Garamond" w:hAnsi="Garamond" w:cs="Garamond"/>
                <w:sz w:val="18"/>
                <w:szCs w:val="18"/>
              </w:rPr>
            </w:pPr>
          </w:p>
        </w:tc>
        <w:tc>
          <w:tcPr>
            <w:tcW w:w="1237" w:type="dxa"/>
            <w:tcBorders>
              <w:top w:val="single" w:sz="4" w:space="0" w:color="000000"/>
              <w:left w:val="nil"/>
              <w:bottom w:val="nil"/>
              <w:right w:val="nil"/>
            </w:tcBorders>
            <w:shd w:val="clear" w:color="auto" w:fill="auto"/>
            <w:vAlign w:val="bottom"/>
          </w:tcPr>
          <w:p w14:paraId="5A0E9050" w14:textId="77777777" w:rsidR="00EC4499" w:rsidRDefault="00EC4499">
            <w:pPr>
              <w:spacing w:after="0" w:line="240" w:lineRule="auto"/>
              <w:jc w:val="center"/>
              <w:rPr>
                <w:rFonts w:ascii="Garamond" w:eastAsia="Garamond" w:hAnsi="Garamond" w:cs="Garamond"/>
                <w:sz w:val="18"/>
                <w:szCs w:val="18"/>
              </w:rPr>
            </w:pPr>
          </w:p>
        </w:tc>
        <w:tc>
          <w:tcPr>
            <w:tcW w:w="716" w:type="dxa"/>
            <w:tcBorders>
              <w:top w:val="single" w:sz="4" w:space="0" w:color="000000"/>
              <w:left w:val="nil"/>
              <w:bottom w:val="nil"/>
              <w:right w:val="nil"/>
            </w:tcBorders>
            <w:shd w:val="clear" w:color="auto" w:fill="auto"/>
            <w:vAlign w:val="bottom"/>
          </w:tcPr>
          <w:p w14:paraId="7BC32E8A" w14:textId="77777777" w:rsidR="00EC4499" w:rsidRDefault="00EC4499">
            <w:pPr>
              <w:spacing w:after="0" w:line="240" w:lineRule="auto"/>
              <w:jc w:val="center"/>
              <w:rPr>
                <w:rFonts w:ascii="Garamond" w:eastAsia="Garamond" w:hAnsi="Garamond" w:cs="Garamond"/>
                <w:sz w:val="18"/>
                <w:szCs w:val="18"/>
              </w:rPr>
            </w:pPr>
          </w:p>
        </w:tc>
      </w:tr>
      <w:tr w:rsidR="00EC4499" w14:paraId="7D4C635D" w14:textId="77777777">
        <w:trPr>
          <w:trHeight w:val="289"/>
        </w:trPr>
        <w:tc>
          <w:tcPr>
            <w:tcW w:w="834" w:type="dxa"/>
            <w:vMerge/>
            <w:tcBorders>
              <w:top w:val="nil"/>
              <w:left w:val="nil"/>
              <w:bottom w:val="nil"/>
              <w:right w:val="nil"/>
            </w:tcBorders>
            <w:shd w:val="clear" w:color="auto" w:fill="auto"/>
            <w:vAlign w:val="bottom"/>
          </w:tcPr>
          <w:p w14:paraId="0F2DD419"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sz w:val="18"/>
                <w:szCs w:val="18"/>
              </w:rPr>
            </w:pPr>
          </w:p>
        </w:tc>
        <w:tc>
          <w:tcPr>
            <w:tcW w:w="478" w:type="dxa"/>
            <w:tcBorders>
              <w:top w:val="nil"/>
              <w:left w:val="nil"/>
              <w:bottom w:val="single" w:sz="4" w:space="0" w:color="000000"/>
              <w:right w:val="nil"/>
            </w:tcBorders>
            <w:shd w:val="clear" w:color="auto" w:fill="auto"/>
            <w:vAlign w:val="bottom"/>
          </w:tcPr>
          <w:p w14:paraId="6C2E6ACB"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868" w:type="dxa"/>
            <w:tcBorders>
              <w:top w:val="nil"/>
              <w:left w:val="nil"/>
              <w:bottom w:val="single" w:sz="4" w:space="0" w:color="000000"/>
              <w:right w:val="nil"/>
            </w:tcBorders>
            <w:shd w:val="clear" w:color="auto" w:fill="auto"/>
            <w:vAlign w:val="bottom"/>
          </w:tcPr>
          <w:p w14:paraId="4BC3D1ED"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671" w:type="dxa"/>
            <w:tcBorders>
              <w:top w:val="nil"/>
              <w:left w:val="nil"/>
              <w:bottom w:val="single" w:sz="4" w:space="0" w:color="000000"/>
              <w:right w:val="nil"/>
            </w:tcBorders>
            <w:shd w:val="clear" w:color="auto" w:fill="auto"/>
            <w:vAlign w:val="bottom"/>
          </w:tcPr>
          <w:p w14:paraId="32594565"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44" w:type="dxa"/>
            <w:tcBorders>
              <w:top w:val="nil"/>
              <w:left w:val="nil"/>
              <w:bottom w:val="single" w:sz="4" w:space="0" w:color="000000"/>
              <w:right w:val="nil"/>
            </w:tcBorders>
            <w:shd w:val="clear" w:color="auto" w:fill="auto"/>
            <w:vAlign w:val="bottom"/>
          </w:tcPr>
          <w:p w14:paraId="25C7F46E"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29" w:type="dxa"/>
            <w:tcBorders>
              <w:top w:val="nil"/>
              <w:left w:val="nil"/>
              <w:bottom w:val="single" w:sz="4" w:space="0" w:color="000000"/>
              <w:right w:val="nil"/>
            </w:tcBorders>
            <w:shd w:val="clear" w:color="auto" w:fill="auto"/>
            <w:vAlign w:val="bottom"/>
          </w:tcPr>
          <w:p w14:paraId="02F8F76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857" w:type="dxa"/>
            <w:tcBorders>
              <w:top w:val="nil"/>
              <w:left w:val="nil"/>
              <w:bottom w:val="single" w:sz="4" w:space="0" w:color="000000"/>
              <w:right w:val="nil"/>
            </w:tcBorders>
            <w:shd w:val="clear" w:color="auto" w:fill="auto"/>
            <w:vAlign w:val="bottom"/>
          </w:tcPr>
          <w:p w14:paraId="24380349"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810" w:type="dxa"/>
            <w:tcBorders>
              <w:top w:val="nil"/>
              <w:left w:val="nil"/>
              <w:bottom w:val="single" w:sz="4" w:space="0" w:color="000000"/>
              <w:right w:val="nil"/>
            </w:tcBorders>
            <w:shd w:val="clear" w:color="auto" w:fill="auto"/>
            <w:vAlign w:val="bottom"/>
          </w:tcPr>
          <w:p w14:paraId="13E2CB56" w14:textId="77777777" w:rsidR="00EC4499" w:rsidRDefault="00EC4499">
            <w:pPr>
              <w:spacing w:after="0" w:line="240" w:lineRule="auto"/>
              <w:jc w:val="center"/>
              <w:rPr>
                <w:rFonts w:ascii="Garamond" w:eastAsia="Garamond" w:hAnsi="Garamond" w:cs="Garamond"/>
                <w:color w:val="000000"/>
                <w:sz w:val="18"/>
                <w:szCs w:val="18"/>
              </w:rPr>
            </w:pPr>
          </w:p>
        </w:tc>
        <w:tc>
          <w:tcPr>
            <w:tcW w:w="1237" w:type="dxa"/>
            <w:tcBorders>
              <w:top w:val="nil"/>
              <w:left w:val="nil"/>
              <w:bottom w:val="single" w:sz="4" w:space="0" w:color="000000"/>
              <w:right w:val="nil"/>
            </w:tcBorders>
            <w:shd w:val="clear" w:color="auto" w:fill="auto"/>
            <w:vAlign w:val="bottom"/>
          </w:tcPr>
          <w:p w14:paraId="7E9F551D" w14:textId="77777777" w:rsidR="00EC4499" w:rsidRDefault="00EC4499">
            <w:pPr>
              <w:spacing w:after="0" w:line="240" w:lineRule="auto"/>
              <w:jc w:val="center"/>
              <w:rPr>
                <w:rFonts w:ascii="Garamond" w:eastAsia="Garamond" w:hAnsi="Garamond" w:cs="Garamond"/>
                <w:sz w:val="18"/>
                <w:szCs w:val="18"/>
              </w:rPr>
            </w:pPr>
          </w:p>
        </w:tc>
        <w:tc>
          <w:tcPr>
            <w:tcW w:w="716" w:type="dxa"/>
            <w:tcBorders>
              <w:top w:val="nil"/>
              <w:left w:val="nil"/>
              <w:bottom w:val="single" w:sz="4" w:space="0" w:color="000000"/>
              <w:right w:val="nil"/>
            </w:tcBorders>
            <w:shd w:val="clear" w:color="auto" w:fill="auto"/>
            <w:vAlign w:val="bottom"/>
          </w:tcPr>
          <w:p w14:paraId="4191468D"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r>
      <w:tr w:rsidR="00EC4499" w14:paraId="3C2E8D4D" w14:textId="77777777">
        <w:trPr>
          <w:trHeight w:val="289"/>
        </w:trPr>
        <w:tc>
          <w:tcPr>
            <w:tcW w:w="834" w:type="dxa"/>
            <w:vMerge w:val="restart"/>
            <w:tcBorders>
              <w:top w:val="nil"/>
              <w:left w:val="nil"/>
              <w:bottom w:val="nil"/>
              <w:right w:val="nil"/>
            </w:tcBorders>
            <w:shd w:val="clear" w:color="auto" w:fill="auto"/>
            <w:vAlign w:val="bottom"/>
          </w:tcPr>
          <w:p w14:paraId="768CE64F" w14:textId="77777777" w:rsidR="00EC4499" w:rsidRDefault="00433EA7">
            <w:pPr>
              <w:spacing w:after="0" w:line="48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Citibank</w:t>
            </w:r>
            <w:r>
              <w:rPr>
                <w:rFonts w:ascii="Garamond" w:eastAsia="Garamond" w:hAnsi="Garamond" w:cs="Garamond"/>
                <w:sz w:val="18"/>
                <w:szCs w:val="18"/>
              </w:rPr>
              <w:t>*</w:t>
            </w:r>
          </w:p>
        </w:tc>
        <w:tc>
          <w:tcPr>
            <w:tcW w:w="478" w:type="dxa"/>
            <w:tcBorders>
              <w:top w:val="single" w:sz="4" w:space="0" w:color="000000"/>
              <w:left w:val="nil"/>
              <w:bottom w:val="nil"/>
              <w:right w:val="nil"/>
            </w:tcBorders>
            <w:shd w:val="clear" w:color="auto" w:fill="auto"/>
            <w:vAlign w:val="bottom"/>
          </w:tcPr>
          <w:p w14:paraId="166C6AE6"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868" w:type="dxa"/>
            <w:tcBorders>
              <w:top w:val="single" w:sz="4" w:space="0" w:color="000000"/>
              <w:left w:val="nil"/>
              <w:bottom w:val="nil"/>
              <w:right w:val="nil"/>
            </w:tcBorders>
            <w:shd w:val="clear" w:color="auto" w:fill="auto"/>
            <w:vAlign w:val="bottom"/>
          </w:tcPr>
          <w:p w14:paraId="584DB95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671" w:type="dxa"/>
            <w:tcBorders>
              <w:top w:val="single" w:sz="4" w:space="0" w:color="000000"/>
              <w:left w:val="nil"/>
              <w:bottom w:val="nil"/>
              <w:right w:val="nil"/>
            </w:tcBorders>
            <w:shd w:val="clear" w:color="auto" w:fill="auto"/>
            <w:vAlign w:val="bottom"/>
          </w:tcPr>
          <w:p w14:paraId="38CB485F"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44" w:type="dxa"/>
            <w:tcBorders>
              <w:top w:val="single" w:sz="4" w:space="0" w:color="000000"/>
              <w:left w:val="nil"/>
              <w:bottom w:val="nil"/>
              <w:right w:val="nil"/>
            </w:tcBorders>
            <w:shd w:val="clear" w:color="auto" w:fill="auto"/>
            <w:vAlign w:val="bottom"/>
          </w:tcPr>
          <w:p w14:paraId="69A42639"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29" w:type="dxa"/>
            <w:tcBorders>
              <w:top w:val="single" w:sz="4" w:space="0" w:color="000000"/>
              <w:left w:val="nil"/>
              <w:bottom w:val="nil"/>
              <w:right w:val="nil"/>
            </w:tcBorders>
            <w:shd w:val="clear" w:color="auto" w:fill="auto"/>
            <w:vAlign w:val="bottom"/>
          </w:tcPr>
          <w:p w14:paraId="595B3E02"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857" w:type="dxa"/>
            <w:tcBorders>
              <w:top w:val="single" w:sz="4" w:space="0" w:color="000000"/>
              <w:left w:val="nil"/>
              <w:bottom w:val="nil"/>
              <w:right w:val="nil"/>
            </w:tcBorders>
            <w:shd w:val="clear" w:color="auto" w:fill="auto"/>
            <w:vAlign w:val="bottom"/>
          </w:tcPr>
          <w:p w14:paraId="1C66C2BF" w14:textId="77777777" w:rsidR="00EC4499" w:rsidRDefault="00EC4499">
            <w:pPr>
              <w:spacing w:after="0" w:line="240" w:lineRule="auto"/>
              <w:jc w:val="center"/>
              <w:rPr>
                <w:rFonts w:ascii="Garamond" w:eastAsia="Garamond" w:hAnsi="Garamond" w:cs="Garamond"/>
                <w:color w:val="000000"/>
                <w:sz w:val="18"/>
                <w:szCs w:val="18"/>
              </w:rPr>
            </w:pPr>
          </w:p>
        </w:tc>
        <w:tc>
          <w:tcPr>
            <w:tcW w:w="810" w:type="dxa"/>
            <w:tcBorders>
              <w:top w:val="single" w:sz="4" w:space="0" w:color="000000"/>
              <w:left w:val="nil"/>
              <w:bottom w:val="nil"/>
              <w:right w:val="nil"/>
            </w:tcBorders>
            <w:shd w:val="clear" w:color="auto" w:fill="auto"/>
            <w:vAlign w:val="bottom"/>
          </w:tcPr>
          <w:p w14:paraId="2D49E212" w14:textId="77777777" w:rsidR="00EC4499" w:rsidRDefault="00EC4499">
            <w:pPr>
              <w:spacing w:after="0" w:line="240" w:lineRule="auto"/>
              <w:jc w:val="center"/>
              <w:rPr>
                <w:rFonts w:ascii="Garamond" w:eastAsia="Garamond" w:hAnsi="Garamond" w:cs="Garamond"/>
                <w:sz w:val="18"/>
                <w:szCs w:val="18"/>
              </w:rPr>
            </w:pPr>
          </w:p>
        </w:tc>
        <w:tc>
          <w:tcPr>
            <w:tcW w:w="1237" w:type="dxa"/>
            <w:tcBorders>
              <w:top w:val="single" w:sz="4" w:space="0" w:color="000000"/>
              <w:left w:val="nil"/>
              <w:bottom w:val="nil"/>
              <w:right w:val="nil"/>
            </w:tcBorders>
            <w:shd w:val="clear" w:color="auto" w:fill="auto"/>
            <w:vAlign w:val="bottom"/>
          </w:tcPr>
          <w:p w14:paraId="0672875D" w14:textId="77777777" w:rsidR="00EC4499" w:rsidRDefault="00EC4499">
            <w:pPr>
              <w:spacing w:after="0" w:line="240" w:lineRule="auto"/>
              <w:jc w:val="center"/>
              <w:rPr>
                <w:rFonts w:ascii="Garamond" w:eastAsia="Garamond" w:hAnsi="Garamond" w:cs="Garamond"/>
                <w:sz w:val="18"/>
                <w:szCs w:val="18"/>
              </w:rPr>
            </w:pPr>
          </w:p>
        </w:tc>
        <w:tc>
          <w:tcPr>
            <w:tcW w:w="716" w:type="dxa"/>
            <w:tcBorders>
              <w:top w:val="single" w:sz="4" w:space="0" w:color="000000"/>
              <w:left w:val="nil"/>
              <w:bottom w:val="nil"/>
              <w:right w:val="nil"/>
            </w:tcBorders>
            <w:shd w:val="clear" w:color="auto" w:fill="auto"/>
            <w:vAlign w:val="bottom"/>
          </w:tcPr>
          <w:p w14:paraId="72BF9E7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r>
      <w:tr w:rsidR="00EC4499" w14:paraId="68F6DB11" w14:textId="77777777">
        <w:trPr>
          <w:trHeight w:val="289"/>
        </w:trPr>
        <w:tc>
          <w:tcPr>
            <w:tcW w:w="834" w:type="dxa"/>
            <w:vMerge/>
            <w:tcBorders>
              <w:top w:val="nil"/>
              <w:left w:val="nil"/>
              <w:bottom w:val="nil"/>
              <w:right w:val="nil"/>
            </w:tcBorders>
            <w:shd w:val="clear" w:color="auto" w:fill="auto"/>
            <w:vAlign w:val="bottom"/>
          </w:tcPr>
          <w:p w14:paraId="60EF8F9F"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6165BFFE"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868" w:type="dxa"/>
            <w:tcBorders>
              <w:top w:val="nil"/>
              <w:left w:val="nil"/>
              <w:bottom w:val="single" w:sz="4" w:space="0" w:color="000000"/>
              <w:right w:val="nil"/>
            </w:tcBorders>
            <w:shd w:val="clear" w:color="auto" w:fill="auto"/>
            <w:vAlign w:val="bottom"/>
          </w:tcPr>
          <w:p w14:paraId="17836F6F"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671" w:type="dxa"/>
            <w:tcBorders>
              <w:top w:val="nil"/>
              <w:left w:val="nil"/>
              <w:bottom w:val="single" w:sz="4" w:space="0" w:color="000000"/>
              <w:right w:val="nil"/>
            </w:tcBorders>
            <w:shd w:val="clear" w:color="auto" w:fill="auto"/>
            <w:vAlign w:val="bottom"/>
          </w:tcPr>
          <w:p w14:paraId="2856A7FA"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44" w:type="dxa"/>
            <w:tcBorders>
              <w:top w:val="nil"/>
              <w:left w:val="nil"/>
              <w:bottom w:val="single" w:sz="4" w:space="0" w:color="000000"/>
              <w:right w:val="nil"/>
            </w:tcBorders>
            <w:shd w:val="clear" w:color="auto" w:fill="auto"/>
            <w:vAlign w:val="bottom"/>
          </w:tcPr>
          <w:p w14:paraId="1F76F392"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29" w:type="dxa"/>
            <w:tcBorders>
              <w:top w:val="nil"/>
              <w:left w:val="nil"/>
              <w:bottom w:val="single" w:sz="4" w:space="0" w:color="000000"/>
              <w:right w:val="nil"/>
            </w:tcBorders>
            <w:shd w:val="clear" w:color="auto" w:fill="auto"/>
            <w:vAlign w:val="bottom"/>
          </w:tcPr>
          <w:p w14:paraId="316AE209" w14:textId="77777777" w:rsidR="00EC4499" w:rsidRDefault="00EC4499">
            <w:pPr>
              <w:spacing w:after="0" w:line="240" w:lineRule="auto"/>
              <w:jc w:val="center"/>
              <w:rPr>
                <w:rFonts w:ascii="Garamond" w:eastAsia="Garamond" w:hAnsi="Garamond" w:cs="Garamond"/>
                <w:color w:val="000000"/>
                <w:sz w:val="18"/>
                <w:szCs w:val="18"/>
              </w:rPr>
            </w:pPr>
          </w:p>
        </w:tc>
        <w:tc>
          <w:tcPr>
            <w:tcW w:w="857" w:type="dxa"/>
            <w:tcBorders>
              <w:top w:val="nil"/>
              <w:left w:val="nil"/>
              <w:bottom w:val="single" w:sz="4" w:space="0" w:color="000000"/>
              <w:right w:val="nil"/>
            </w:tcBorders>
            <w:shd w:val="clear" w:color="auto" w:fill="auto"/>
            <w:vAlign w:val="bottom"/>
          </w:tcPr>
          <w:p w14:paraId="6C6E3D5F" w14:textId="77777777" w:rsidR="00EC4499" w:rsidRDefault="00EC4499">
            <w:pPr>
              <w:spacing w:after="0" w:line="240" w:lineRule="auto"/>
              <w:jc w:val="center"/>
              <w:rPr>
                <w:rFonts w:ascii="Garamond" w:eastAsia="Garamond" w:hAnsi="Garamond" w:cs="Garamond"/>
                <w:sz w:val="18"/>
                <w:szCs w:val="18"/>
              </w:rPr>
            </w:pPr>
          </w:p>
        </w:tc>
        <w:tc>
          <w:tcPr>
            <w:tcW w:w="810" w:type="dxa"/>
            <w:tcBorders>
              <w:top w:val="nil"/>
              <w:left w:val="nil"/>
              <w:bottom w:val="single" w:sz="4" w:space="0" w:color="000000"/>
              <w:right w:val="nil"/>
            </w:tcBorders>
            <w:shd w:val="clear" w:color="auto" w:fill="auto"/>
            <w:vAlign w:val="bottom"/>
          </w:tcPr>
          <w:p w14:paraId="5C355800" w14:textId="77777777" w:rsidR="00EC4499" w:rsidRDefault="00EC4499">
            <w:pPr>
              <w:spacing w:after="0" w:line="240" w:lineRule="auto"/>
              <w:jc w:val="center"/>
              <w:rPr>
                <w:rFonts w:ascii="Garamond" w:eastAsia="Garamond" w:hAnsi="Garamond" w:cs="Garamond"/>
                <w:sz w:val="18"/>
                <w:szCs w:val="18"/>
              </w:rPr>
            </w:pPr>
          </w:p>
        </w:tc>
        <w:tc>
          <w:tcPr>
            <w:tcW w:w="1237" w:type="dxa"/>
            <w:tcBorders>
              <w:top w:val="nil"/>
              <w:left w:val="nil"/>
              <w:bottom w:val="single" w:sz="4" w:space="0" w:color="000000"/>
              <w:right w:val="nil"/>
            </w:tcBorders>
            <w:shd w:val="clear" w:color="auto" w:fill="auto"/>
            <w:vAlign w:val="bottom"/>
          </w:tcPr>
          <w:p w14:paraId="057DE6D3" w14:textId="77777777" w:rsidR="00EC4499" w:rsidRDefault="00EC4499">
            <w:pPr>
              <w:spacing w:after="0" w:line="240" w:lineRule="auto"/>
              <w:jc w:val="center"/>
              <w:rPr>
                <w:rFonts w:ascii="Garamond" w:eastAsia="Garamond" w:hAnsi="Garamond" w:cs="Garamond"/>
                <w:sz w:val="18"/>
                <w:szCs w:val="18"/>
              </w:rPr>
            </w:pPr>
          </w:p>
        </w:tc>
        <w:tc>
          <w:tcPr>
            <w:tcW w:w="716" w:type="dxa"/>
            <w:tcBorders>
              <w:top w:val="nil"/>
              <w:left w:val="nil"/>
              <w:bottom w:val="single" w:sz="4" w:space="0" w:color="000000"/>
              <w:right w:val="nil"/>
            </w:tcBorders>
            <w:shd w:val="clear" w:color="auto" w:fill="auto"/>
            <w:vAlign w:val="bottom"/>
          </w:tcPr>
          <w:p w14:paraId="4A0CD29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r>
      <w:tr w:rsidR="00EC4499" w14:paraId="2FBC6BD6" w14:textId="77777777">
        <w:trPr>
          <w:trHeight w:val="289"/>
        </w:trPr>
        <w:tc>
          <w:tcPr>
            <w:tcW w:w="834" w:type="dxa"/>
            <w:vMerge w:val="restart"/>
            <w:tcBorders>
              <w:top w:val="nil"/>
              <w:left w:val="nil"/>
              <w:bottom w:val="nil"/>
              <w:right w:val="nil"/>
            </w:tcBorders>
            <w:shd w:val="clear" w:color="auto" w:fill="auto"/>
            <w:vAlign w:val="bottom"/>
          </w:tcPr>
          <w:p w14:paraId="613F0592" w14:textId="77777777" w:rsidR="00EC4499" w:rsidRDefault="00433EA7">
            <w:pPr>
              <w:spacing w:after="0" w:line="48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Inter</w:t>
            </w:r>
          </w:p>
        </w:tc>
        <w:tc>
          <w:tcPr>
            <w:tcW w:w="478" w:type="dxa"/>
            <w:tcBorders>
              <w:top w:val="single" w:sz="4" w:space="0" w:color="000000"/>
              <w:left w:val="nil"/>
              <w:bottom w:val="nil"/>
              <w:right w:val="nil"/>
            </w:tcBorders>
            <w:shd w:val="clear" w:color="auto" w:fill="auto"/>
            <w:vAlign w:val="bottom"/>
          </w:tcPr>
          <w:p w14:paraId="49C5AF8B"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868" w:type="dxa"/>
            <w:tcBorders>
              <w:top w:val="single" w:sz="4" w:space="0" w:color="000000"/>
              <w:left w:val="nil"/>
              <w:bottom w:val="nil"/>
              <w:right w:val="nil"/>
            </w:tcBorders>
            <w:shd w:val="clear" w:color="auto" w:fill="auto"/>
            <w:vAlign w:val="bottom"/>
          </w:tcPr>
          <w:p w14:paraId="3FEC4ADA"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671" w:type="dxa"/>
            <w:tcBorders>
              <w:top w:val="single" w:sz="4" w:space="0" w:color="000000"/>
              <w:left w:val="nil"/>
              <w:bottom w:val="nil"/>
              <w:right w:val="nil"/>
            </w:tcBorders>
            <w:shd w:val="clear" w:color="auto" w:fill="auto"/>
            <w:vAlign w:val="bottom"/>
          </w:tcPr>
          <w:p w14:paraId="6700617D"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44" w:type="dxa"/>
            <w:tcBorders>
              <w:top w:val="single" w:sz="4" w:space="0" w:color="000000"/>
              <w:left w:val="nil"/>
              <w:bottom w:val="nil"/>
              <w:right w:val="nil"/>
            </w:tcBorders>
            <w:shd w:val="clear" w:color="auto" w:fill="auto"/>
            <w:vAlign w:val="bottom"/>
          </w:tcPr>
          <w:p w14:paraId="14A8DF84"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29" w:type="dxa"/>
            <w:tcBorders>
              <w:top w:val="single" w:sz="4" w:space="0" w:color="000000"/>
              <w:left w:val="nil"/>
              <w:bottom w:val="nil"/>
              <w:right w:val="nil"/>
            </w:tcBorders>
            <w:shd w:val="clear" w:color="auto" w:fill="auto"/>
            <w:vAlign w:val="bottom"/>
          </w:tcPr>
          <w:p w14:paraId="2D937C0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857" w:type="dxa"/>
            <w:tcBorders>
              <w:top w:val="single" w:sz="4" w:space="0" w:color="000000"/>
              <w:left w:val="nil"/>
              <w:bottom w:val="nil"/>
              <w:right w:val="nil"/>
            </w:tcBorders>
            <w:shd w:val="clear" w:color="auto" w:fill="auto"/>
            <w:vAlign w:val="bottom"/>
          </w:tcPr>
          <w:p w14:paraId="0E0A17C6"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810" w:type="dxa"/>
            <w:tcBorders>
              <w:top w:val="single" w:sz="4" w:space="0" w:color="000000"/>
              <w:left w:val="nil"/>
              <w:bottom w:val="nil"/>
              <w:right w:val="nil"/>
            </w:tcBorders>
            <w:shd w:val="clear" w:color="auto" w:fill="auto"/>
            <w:vAlign w:val="bottom"/>
          </w:tcPr>
          <w:p w14:paraId="343ECABE" w14:textId="77777777" w:rsidR="00EC4499" w:rsidRDefault="00EC4499">
            <w:pPr>
              <w:spacing w:after="0" w:line="240" w:lineRule="auto"/>
              <w:jc w:val="center"/>
              <w:rPr>
                <w:rFonts w:ascii="Garamond" w:eastAsia="Garamond" w:hAnsi="Garamond" w:cs="Garamond"/>
                <w:color w:val="000000"/>
                <w:sz w:val="18"/>
                <w:szCs w:val="18"/>
              </w:rPr>
            </w:pPr>
          </w:p>
        </w:tc>
        <w:tc>
          <w:tcPr>
            <w:tcW w:w="1237" w:type="dxa"/>
            <w:tcBorders>
              <w:top w:val="single" w:sz="4" w:space="0" w:color="000000"/>
              <w:left w:val="nil"/>
              <w:bottom w:val="nil"/>
              <w:right w:val="nil"/>
            </w:tcBorders>
            <w:shd w:val="clear" w:color="auto" w:fill="auto"/>
            <w:vAlign w:val="bottom"/>
          </w:tcPr>
          <w:p w14:paraId="67F49D42" w14:textId="77777777" w:rsidR="00EC4499" w:rsidRDefault="00EC4499">
            <w:pPr>
              <w:spacing w:after="0" w:line="240" w:lineRule="auto"/>
              <w:jc w:val="center"/>
              <w:rPr>
                <w:rFonts w:ascii="Garamond" w:eastAsia="Garamond" w:hAnsi="Garamond" w:cs="Garamond"/>
                <w:sz w:val="18"/>
                <w:szCs w:val="18"/>
              </w:rPr>
            </w:pPr>
          </w:p>
        </w:tc>
        <w:tc>
          <w:tcPr>
            <w:tcW w:w="716" w:type="dxa"/>
            <w:tcBorders>
              <w:top w:val="single" w:sz="4" w:space="0" w:color="000000"/>
              <w:left w:val="nil"/>
              <w:bottom w:val="nil"/>
              <w:right w:val="nil"/>
            </w:tcBorders>
            <w:shd w:val="clear" w:color="auto" w:fill="auto"/>
            <w:vAlign w:val="bottom"/>
          </w:tcPr>
          <w:p w14:paraId="2E41DCB2"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r>
      <w:tr w:rsidR="00EC4499" w14:paraId="5905AE09" w14:textId="77777777">
        <w:trPr>
          <w:trHeight w:val="289"/>
        </w:trPr>
        <w:tc>
          <w:tcPr>
            <w:tcW w:w="834" w:type="dxa"/>
            <w:vMerge/>
            <w:tcBorders>
              <w:top w:val="nil"/>
              <w:left w:val="nil"/>
              <w:bottom w:val="nil"/>
              <w:right w:val="nil"/>
            </w:tcBorders>
            <w:shd w:val="clear" w:color="auto" w:fill="auto"/>
            <w:vAlign w:val="bottom"/>
          </w:tcPr>
          <w:p w14:paraId="6A81BC0B"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0E17E0E5"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868" w:type="dxa"/>
            <w:tcBorders>
              <w:top w:val="nil"/>
              <w:left w:val="nil"/>
              <w:bottom w:val="single" w:sz="4" w:space="0" w:color="000000"/>
              <w:right w:val="nil"/>
            </w:tcBorders>
            <w:shd w:val="clear" w:color="auto" w:fill="auto"/>
            <w:vAlign w:val="bottom"/>
          </w:tcPr>
          <w:p w14:paraId="451B5E1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671" w:type="dxa"/>
            <w:tcBorders>
              <w:top w:val="nil"/>
              <w:left w:val="nil"/>
              <w:bottom w:val="single" w:sz="4" w:space="0" w:color="000000"/>
              <w:right w:val="nil"/>
            </w:tcBorders>
            <w:shd w:val="clear" w:color="auto" w:fill="auto"/>
            <w:vAlign w:val="bottom"/>
          </w:tcPr>
          <w:p w14:paraId="45F4D12C"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44" w:type="dxa"/>
            <w:tcBorders>
              <w:top w:val="nil"/>
              <w:left w:val="nil"/>
              <w:bottom w:val="single" w:sz="4" w:space="0" w:color="000000"/>
              <w:right w:val="nil"/>
            </w:tcBorders>
            <w:shd w:val="clear" w:color="auto" w:fill="auto"/>
            <w:vAlign w:val="bottom"/>
          </w:tcPr>
          <w:p w14:paraId="5C096FC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29" w:type="dxa"/>
            <w:tcBorders>
              <w:top w:val="nil"/>
              <w:left w:val="nil"/>
              <w:bottom w:val="single" w:sz="4" w:space="0" w:color="000000"/>
              <w:right w:val="nil"/>
            </w:tcBorders>
            <w:shd w:val="clear" w:color="auto" w:fill="auto"/>
            <w:vAlign w:val="bottom"/>
          </w:tcPr>
          <w:p w14:paraId="7111391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857" w:type="dxa"/>
            <w:tcBorders>
              <w:top w:val="nil"/>
              <w:left w:val="nil"/>
              <w:bottom w:val="single" w:sz="4" w:space="0" w:color="000000"/>
              <w:right w:val="nil"/>
            </w:tcBorders>
            <w:shd w:val="clear" w:color="auto" w:fill="auto"/>
            <w:vAlign w:val="bottom"/>
          </w:tcPr>
          <w:p w14:paraId="3CC842D5"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810" w:type="dxa"/>
            <w:tcBorders>
              <w:top w:val="nil"/>
              <w:left w:val="nil"/>
              <w:bottom w:val="single" w:sz="4" w:space="0" w:color="000000"/>
              <w:right w:val="nil"/>
            </w:tcBorders>
            <w:shd w:val="clear" w:color="auto" w:fill="auto"/>
            <w:vAlign w:val="bottom"/>
          </w:tcPr>
          <w:p w14:paraId="69B8BB9F" w14:textId="77777777" w:rsidR="00EC4499" w:rsidRDefault="00EC4499">
            <w:pPr>
              <w:spacing w:after="0" w:line="240" w:lineRule="auto"/>
              <w:jc w:val="center"/>
              <w:rPr>
                <w:rFonts w:ascii="Garamond" w:eastAsia="Garamond" w:hAnsi="Garamond" w:cs="Garamond"/>
                <w:color w:val="000000"/>
                <w:sz w:val="18"/>
                <w:szCs w:val="18"/>
              </w:rPr>
            </w:pPr>
          </w:p>
        </w:tc>
        <w:tc>
          <w:tcPr>
            <w:tcW w:w="1237" w:type="dxa"/>
            <w:tcBorders>
              <w:top w:val="nil"/>
              <w:left w:val="nil"/>
              <w:bottom w:val="single" w:sz="4" w:space="0" w:color="000000"/>
              <w:right w:val="nil"/>
            </w:tcBorders>
            <w:shd w:val="clear" w:color="auto" w:fill="auto"/>
            <w:vAlign w:val="bottom"/>
          </w:tcPr>
          <w:p w14:paraId="6F029F38" w14:textId="77777777" w:rsidR="00EC4499" w:rsidRDefault="00EC4499">
            <w:pPr>
              <w:spacing w:after="0" w:line="240" w:lineRule="auto"/>
              <w:jc w:val="center"/>
              <w:rPr>
                <w:rFonts w:ascii="Garamond" w:eastAsia="Garamond" w:hAnsi="Garamond" w:cs="Garamond"/>
                <w:sz w:val="18"/>
                <w:szCs w:val="18"/>
              </w:rPr>
            </w:pPr>
          </w:p>
        </w:tc>
        <w:tc>
          <w:tcPr>
            <w:tcW w:w="716" w:type="dxa"/>
            <w:tcBorders>
              <w:top w:val="nil"/>
              <w:left w:val="nil"/>
              <w:bottom w:val="single" w:sz="4" w:space="0" w:color="000000"/>
              <w:right w:val="nil"/>
            </w:tcBorders>
            <w:shd w:val="clear" w:color="auto" w:fill="auto"/>
            <w:vAlign w:val="bottom"/>
          </w:tcPr>
          <w:p w14:paraId="52A32D17"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r>
      <w:tr w:rsidR="00EC4499" w14:paraId="6DE1DB23" w14:textId="77777777">
        <w:trPr>
          <w:trHeight w:val="289"/>
        </w:trPr>
        <w:tc>
          <w:tcPr>
            <w:tcW w:w="834" w:type="dxa"/>
            <w:vMerge w:val="restart"/>
            <w:tcBorders>
              <w:top w:val="nil"/>
              <w:left w:val="nil"/>
              <w:bottom w:val="nil"/>
              <w:right w:val="nil"/>
            </w:tcBorders>
            <w:shd w:val="clear" w:color="auto" w:fill="auto"/>
            <w:vAlign w:val="bottom"/>
          </w:tcPr>
          <w:p w14:paraId="49F27193" w14:textId="77777777" w:rsidR="00EC4499" w:rsidRDefault="00433EA7">
            <w:pPr>
              <w:spacing w:after="0" w:line="48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Itaú</w:t>
            </w:r>
          </w:p>
        </w:tc>
        <w:tc>
          <w:tcPr>
            <w:tcW w:w="478" w:type="dxa"/>
            <w:tcBorders>
              <w:top w:val="single" w:sz="4" w:space="0" w:color="000000"/>
              <w:left w:val="nil"/>
              <w:bottom w:val="nil"/>
              <w:right w:val="nil"/>
            </w:tcBorders>
            <w:shd w:val="clear" w:color="auto" w:fill="auto"/>
            <w:vAlign w:val="bottom"/>
          </w:tcPr>
          <w:p w14:paraId="74FBFA3A"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868" w:type="dxa"/>
            <w:tcBorders>
              <w:top w:val="single" w:sz="4" w:space="0" w:color="000000"/>
              <w:left w:val="nil"/>
              <w:bottom w:val="nil"/>
              <w:right w:val="nil"/>
            </w:tcBorders>
            <w:shd w:val="clear" w:color="auto" w:fill="auto"/>
            <w:vAlign w:val="bottom"/>
          </w:tcPr>
          <w:p w14:paraId="01BB7D82"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671" w:type="dxa"/>
            <w:tcBorders>
              <w:top w:val="single" w:sz="4" w:space="0" w:color="000000"/>
              <w:left w:val="nil"/>
              <w:bottom w:val="nil"/>
              <w:right w:val="nil"/>
            </w:tcBorders>
            <w:shd w:val="clear" w:color="auto" w:fill="auto"/>
            <w:vAlign w:val="bottom"/>
          </w:tcPr>
          <w:p w14:paraId="10CA9036"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44" w:type="dxa"/>
            <w:tcBorders>
              <w:top w:val="single" w:sz="4" w:space="0" w:color="000000"/>
              <w:left w:val="nil"/>
              <w:bottom w:val="nil"/>
              <w:right w:val="nil"/>
            </w:tcBorders>
            <w:shd w:val="clear" w:color="auto" w:fill="auto"/>
            <w:vAlign w:val="bottom"/>
          </w:tcPr>
          <w:p w14:paraId="460B32FF"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29" w:type="dxa"/>
            <w:tcBorders>
              <w:top w:val="single" w:sz="4" w:space="0" w:color="000000"/>
              <w:left w:val="nil"/>
              <w:bottom w:val="nil"/>
              <w:right w:val="nil"/>
            </w:tcBorders>
            <w:shd w:val="clear" w:color="auto" w:fill="auto"/>
            <w:vAlign w:val="bottom"/>
          </w:tcPr>
          <w:p w14:paraId="36B04724"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857" w:type="dxa"/>
            <w:tcBorders>
              <w:top w:val="single" w:sz="4" w:space="0" w:color="000000"/>
              <w:left w:val="nil"/>
              <w:bottom w:val="nil"/>
              <w:right w:val="nil"/>
            </w:tcBorders>
            <w:shd w:val="clear" w:color="auto" w:fill="auto"/>
            <w:vAlign w:val="bottom"/>
          </w:tcPr>
          <w:p w14:paraId="23A5F62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810" w:type="dxa"/>
            <w:tcBorders>
              <w:top w:val="single" w:sz="4" w:space="0" w:color="000000"/>
              <w:left w:val="nil"/>
              <w:bottom w:val="nil"/>
              <w:right w:val="nil"/>
            </w:tcBorders>
            <w:shd w:val="clear" w:color="auto" w:fill="auto"/>
            <w:vAlign w:val="bottom"/>
          </w:tcPr>
          <w:p w14:paraId="30E07030" w14:textId="77777777" w:rsidR="00EC4499" w:rsidRDefault="00EC4499">
            <w:pPr>
              <w:spacing w:after="0" w:line="240" w:lineRule="auto"/>
              <w:jc w:val="center"/>
              <w:rPr>
                <w:rFonts w:ascii="Garamond" w:eastAsia="Garamond" w:hAnsi="Garamond" w:cs="Garamond"/>
                <w:color w:val="000000"/>
                <w:sz w:val="18"/>
                <w:szCs w:val="18"/>
              </w:rPr>
            </w:pPr>
          </w:p>
        </w:tc>
        <w:tc>
          <w:tcPr>
            <w:tcW w:w="1237" w:type="dxa"/>
            <w:tcBorders>
              <w:top w:val="single" w:sz="4" w:space="0" w:color="000000"/>
              <w:left w:val="nil"/>
              <w:bottom w:val="nil"/>
              <w:right w:val="nil"/>
            </w:tcBorders>
            <w:shd w:val="clear" w:color="auto" w:fill="auto"/>
            <w:vAlign w:val="bottom"/>
          </w:tcPr>
          <w:p w14:paraId="2D3CA240" w14:textId="77777777" w:rsidR="00EC4499" w:rsidRDefault="00EC4499">
            <w:pPr>
              <w:spacing w:after="0" w:line="240" w:lineRule="auto"/>
              <w:jc w:val="center"/>
              <w:rPr>
                <w:rFonts w:ascii="Garamond" w:eastAsia="Garamond" w:hAnsi="Garamond" w:cs="Garamond"/>
                <w:sz w:val="18"/>
                <w:szCs w:val="18"/>
              </w:rPr>
            </w:pPr>
          </w:p>
        </w:tc>
        <w:tc>
          <w:tcPr>
            <w:tcW w:w="716" w:type="dxa"/>
            <w:tcBorders>
              <w:top w:val="single" w:sz="4" w:space="0" w:color="000000"/>
              <w:left w:val="nil"/>
              <w:bottom w:val="nil"/>
              <w:right w:val="nil"/>
            </w:tcBorders>
            <w:shd w:val="clear" w:color="auto" w:fill="auto"/>
            <w:vAlign w:val="bottom"/>
          </w:tcPr>
          <w:p w14:paraId="0A294FAA"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r>
      <w:tr w:rsidR="00EC4499" w14:paraId="639C594A" w14:textId="77777777">
        <w:trPr>
          <w:trHeight w:val="289"/>
        </w:trPr>
        <w:tc>
          <w:tcPr>
            <w:tcW w:w="834" w:type="dxa"/>
            <w:vMerge/>
            <w:tcBorders>
              <w:top w:val="nil"/>
              <w:left w:val="nil"/>
              <w:bottom w:val="nil"/>
              <w:right w:val="nil"/>
            </w:tcBorders>
            <w:shd w:val="clear" w:color="auto" w:fill="auto"/>
            <w:vAlign w:val="bottom"/>
          </w:tcPr>
          <w:p w14:paraId="0CA0B844"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0CC9C792"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868" w:type="dxa"/>
            <w:tcBorders>
              <w:top w:val="nil"/>
              <w:left w:val="nil"/>
              <w:bottom w:val="single" w:sz="4" w:space="0" w:color="000000"/>
              <w:right w:val="nil"/>
            </w:tcBorders>
            <w:shd w:val="clear" w:color="auto" w:fill="auto"/>
            <w:vAlign w:val="bottom"/>
          </w:tcPr>
          <w:p w14:paraId="33F9EEBA"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671" w:type="dxa"/>
            <w:tcBorders>
              <w:top w:val="nil"/>
              <w:left w:val="nil"/>
              <w:bottom w:val="single" w:sz="4" w:space="0" w:color="000000"/>
              <w:right w:val="nil"/>
            </w:tcBorders>
            <w:shd w:val="clear" w:color="auto" w:fill="auto"/>
            <w:vAlign w:val="bottom"/>
          </w:tcPr>
          <w:p w14:paraId="16482260"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44" w:type="dxa"/>
            <w:tcBorders>
              <w:top w:val="nil"/>
              <w:left w:val="nil"/>
              <w:bottom w:val="single" w:sz="4" w:space="0" w:color="000000"/>
              <w:right w:val="nil"/>
            </w:tcBorders>
            <w:shd w:val="clear" w:color="auto" w:fill="auto"/>
            <w:vAlign w:val="bottom"/>
          </w:tcPr>
          <w:p w14:paraId="685B775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29" w:type="dxa"/>
            <w:tcBorders>
              <w:top w:val="nil"/>
              <w:left w:val="nil"/>
              <w:bottom w:val="single" w:sz="4" w:space="0" w:color="000000"/>
              <w:right w:val="nil"/>
            </w:tcBorders>
            <w:shd w:val="clear" w:color="auto" w:fill="auto"/>
            <w:vAlign w:val="bottom"/>
          </w:tcPr>
          <w:p w14:paraId="17FD525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857" w:type="dxa"/>
            <w:tcBorders>
              <w:top w:val="nil"/>
              <w:left w:val="nil"/>
              <w:bottom w:val="single" w:sz="4" w:space="0" w:color="000000"/>
              <w:right w:val="nil"/>
            </w:tcBorders>
            <w:shd w:val="clear" w:color="auto" w:fill="auto"/>
            <w:vAlign w:val="bottom"/>
          </w:tcPr>
          <w:p w14:paraId="6C4CAD5E"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810" w:type="dxa"/>
            <w:tcBorders>
              <w:top w:val="nil"/>
              <w:left w:val="nil"/>
              <w:bottom w:val="single" w:sz="4" w:space="0" w:color="000000"/>
              <w:right w:val="nil"/>
            </w:tcBorders>
            <w:shd w:val="clear" w:color="auto" w:fill="auto"/>
            <w:vAlign w:val="bottom"/>
          </w:tcPr>
          <w:p w14:paraId="54A3E037" w14:textId="77777777" w:rsidR="00EC4499" w:rsidRDefault="00EC4499">
            <w:pPr>
              <w:spacing w:after="0" w:line="240" w:lineRule="auto"/>
              <w:jc w:val="center"/>
              <w:rPr>
                <w:rFonts w:ascii="Garamond" w:eastAsia="Garamond" w:hAnsi="Garamond" w:cs="Garamond"/>
                <w:color w:val="000000"/>
                <w:sz w:val="18"/>
                <w:szCs w:val="18"/>
              </w:rPr>
            </w:pPr>
          </w:p>
        </w:tc>
        <w:tc>
          <w:tcPr>
            <w:tcW w:w="1237" w:type="dxa"/>
            <w:tcBorders>
              <w:top w:val="nil"/>
              <w:left w:val="nil"/>
              <w:bottom w:val="single" w:sz="4" w:space="0" w:color="000000"/>
              <w:right w:val="nil"/>
            </w:tcBorders>
            <w:shd w:val="clear" w:color="auto" w:fill="auto"/>
            <w:vAlign w:val="bottom"/>
          </w:tcPr>
          <w:p w14:paraId="2DDD7B91" w14:textId="77777777" w:rsidR="00EC4499" w:rsidRDefault="00EC4499">
            <w:pPr>
              <w:spacing w:after="0" w:line="240" w:lineRule="auto"/>
              <w:jc w:val="center"/>
              <w:rPr>
                <w:rFonts w:ascii="Garamond" w:eastAsia="Garamond" w:hAnsi="Garamond" w:cs="Garamond"/>
                <w:sz w:val="18"/>
                <w:szCs w:val="18"/>
              </w:rPr>
            </w:pPr>
          </w:p>
        </w:tc>
        <w:tc>
          <w:tcPr>
            <w:tcW w:w="716" w:type="dxa"/>
            <w:tcBorders>
              <w:top w:val="nil"/>
              <w:left w:val="nil"/>
              <w:bottom w:val="single" w:sz="4" w:space="0" w:color="000000"/>
              <w:right w:val="nil"/>
            </w:tcBorders>
            <w:shd w:val="clear" w:color="auto" w:fill="auto"/>
            <w:vAlign w:val="bottom"/>
          </w:tcPr>
          <w:p w14:paraId="24DA3E7F" w14:textId="77777777" w:rsidR="00EC4499" w:rsidRDefault="00EC4499">
            <w:pPr>
              <w:spacing w:after="0" w:line="240" w:lineRule="auto"/>
              <w:jc w:val="center"/>
              <w:rPr>
                <w:rFonts w:ascii="Garamond" w:eastAsia="Garamond" w:hAnsi="Garamond" w:cs="Garamond"/>
                <w:sz w:val="18"/>
                <w:szCs w:val="18"/>
              </w:rPr>
            </w:pPr>
          </w:p>
        </w:tc>
      </w:tr>
      <w:tr w:rsidR="00EC4499" w14:paraId="6CBC399A" w14:textId="77777777">
        <w:trPr>
          <w:trHeight w:val="289"/>
        </w:trPr>
        <w:tc>
          <w:tcPr>
            <w:tcW w:w="834" w:type="dxa"/>
            <w:vMerge w:val="restart"/>
            <w:tcBorders>
              <w:top w:val="nil"/>
              <w:left w:val="nil"/>
              <w:bottom w:val="nil"/>
              <w:right w:val="nil"/>
            </w:tcBorders>
            <w:shd w:val="clear" w:color="auto" w:fill="auto"/>
            <w:vAlign w:val="bottom"/>
          </w:tcPr>
          <w:p w14:paraId="001A4CD8" w14:textId="77777777" w:rsidR="00EC4499" w:rsidRDefault="00433EA7">
            <w:pPr>
              <w:spacing w:after="0" w:line="276"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 xml:space="preserve">J.P. Morgan </w:t>
            </w:r>
          </w:p>
        </w:tc>
        <w:tc>
          <w:tcPr>
            <w:tcW w:w="478" w:type="dxa"/>
            <w:tcBorders>
              <w:top w:val="single" w:sz="4" w:space="0" w:color="000000"/>
              <w:left w:val="nil"/>
              <w:bottom w:val="nil"/>
              <w:right w:val="nil"/>
            </w:tcBorders>
            <w:shd w:val="clear" w:color="auto" w:fill="auto"/>
            <w:vAlign w:val="bottom"/>
          </w:tcPr>
          <w:p w14:paraId="0C02AF99"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868" w:type="dxa"/>
            <w:tcBorders>
              <w:top w:val="single" w:sz="4" w:space="0" w:color="000000"/>
              <w:left w:val="nil"/>
              <w:bottom w:val="nil"/>
              <w:right w:val="nil"/>
            </w:tcBorders>
            <w:shd w:val="clear" w:color="auto" w:fill="auto"/>
            <w:vAlign w:val="bottom"/>
          </w:tcPr>
          <w:p w14:paraId="5E172BBE"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671" w:type="dxa"/>
            <w:tcBorders>
              <w:top w:val="single" w:sz="4" w:space="0" w:color="000000"/>
              <w:left w:val="nil"/>
              <w:bottom w:val="nil"/>
              <w:right w:val="nil"/>
            </w:tcBorders>
            <w:shd w:val="clear" w:color="auto" w:fill="auto"/>
            <w:vAlign w:val="bottom"/>
          </w:tcPr>
          <w:p w14:paraId="39F5F1DB"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44" w:type="dxa"/>
            <w:tcBorders>
              <w:top w:val="single" w:sz="4" w:space="0" w:color="000000"/>
              <w:left w:val="nil"/>
              <w:bottom w:val="nil"/>
              <w:right w:val="nil"/>
            </w:tcBorders>
            <w:shd w:val="clear" w:color="auto" w:fill="auto"/>
            <w:vAlign w:val="bottom"/>
          </w:tcPr>
          <w:p w14:paraId="2B4C20F2"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29" w:type="dxa"/>
            <w:tcBorders>
              <w:top w:val="single" w:sz="4" w:space="0" w:color="000000"/>
              <w:left w:val="nil"/>
              <w:bottom w:val="nil"/>
              <w:right w:val="nil"/>
            </w:tcBorders>
            <w:shd w:val="clear" w:color="auto" w:fill="auto"/>
            <w:vAlign w:val="bottom"/>
          </w:tcPr>
          <w:p w14:paraId="2298BB35"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857" w:type="dxa"/>
            <w:tcBorders>
              <w:top w:val="single" w:sz="4" w:space="0" w:color="000000"/>
              <w:left w:val="nil"/>
              <w:bottom w:val="nil"/>
              <w:right w:val="nil"/>
            </w:tcBorders>
            <w:shd w:val="clear" w:color="auto" w:fill="auto"/>
            <w:vAlign w:val="bottom"/>
          </w:tcPr>
          <w:p w14:paraId="5852AB2E" w14:textId="77777777" w:rsidR="00EC4499" w:rsidRDefault="00EC4499">
            <w:pPr>
              <w:spacing w:after="0" w:line="240" w:lineRule="auto"/>
              <w:jc w:val="center"/>
              <w:rPr>
                <w:rFonts w:ascii="Garamond" w:eastAsia="Garamond" w:hAnsi="Garamond" w:cs="Garamond"/>
                <w:color w:val="000000"/>
                <w:sz w:val="18"/>
                <w:szCs w:val="18"/>
              </w:rPr>
            </w:pPr>
          </w:p>
        </w:tc>
        <w:tc>
          <w:tcPr>
            <w:tcW w:w="810" w:type="dxa"/>
            <w:tcBorders>
              <w:top w:val="single" w:sz="4" w:space="0" w:color="000000"/>
              <w:left w:val="nil"/>
              <w:bottom w:val="nil"/>
              <w:right w:val="nil"/>
            </w:tcBorders>
            <w:shd w:val="clear" w:color="auto" w:fill="auto"/>
            <w:vAlign w:val="bottom"/>
          </w:tcPr>
          <w:p w14:paraId="767DF620" w14:textId="77777777" w:rsidR="00EC4499" w:rsidRDefault="00EC4499">
            <w:pPr>
              <w:spacing w:after="0" w:line="240" w:lineRule="auto"/>
              <w:jc w:val="center"/>
              <w:rPr>
                <w:rFonts w:ascii="Garamond" w:eastAsia="Garamond" w:hAnsi="Garamond" w:cs="Garamond"/>
                <w:sz w:val="18"/>
                <w:szCs w:val="18"/>
              </w:rPr>
            </w:pPr>
          </w:p>
        </w:tc>
        <w:tc>
          <w:tcPr>
            <w:tcW w:w="1237" w:type="dxa"/>
            <w:tcBorders>
              <w:top w:val="single" w:sz="4" w:space="0" w:color="000000"/>
              <w:left w:val="nil"/>
              <w:bottom w:val="nil"/>
              <w:right w:val="nil"/>
            </w:tcBorders>
            <w:shd w:val="clear" w:color="auto" w:fill="auto"/>
            <w:vAlign w:val="bottom"/>
          </w:tcPr>
          <w:p w14:paraId="59581179"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16" w:type="dxa"/>
            <w:tcBorders>
              <w:top w:val="single" w:sz="4" w:space="0" w:color="000000"/>
              <w:left w:val="nil"/>
              <w:bottom w:val="nil"/>
              <w:right w:val="nil"/>
            </w:tcBorders>
            <w:shd w:val="clear" w:color="auto" w:fill="auto"/>
            <w:vAlign w:val="bottom"/>
          </w:tcPr>
          <w:p w14:paraId="22A345DF"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r>
      <w:tr w:rsidR="00EC4499" w14:paraId="4ED6A68F" w14:textId="77777777">
        <w:trPr>
          <w:trHeight w:val="289"/>
        </w:trPr>
        <w:tc>
          <w:tcPr>
            <w:tcW w:w="834" w:type="dxa"/>
            <w:vMerge/>
            <w:tcBorders>
              <w:top w:val="nil"/>
              <w:left w:val="nil"/>
              <w:bottom w:val="nil"/>
              <w:right w:val="nil"/>
            </w:tcBorders>
            <w:shd w:val="clear" w:color="auto" w:fill="auto"/>
            <w:vAlign w:val="bottom"/>
          </w:tcPr>
          <w:p w14:paraId="0BFAAEA0"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2B09F656"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868" w:type="dxa"/>
            <w:tcBorders>
              <w:top w:val="nil"/>
              <w:left w:val="nil"/>
              <w:bottom w:val="single" w:sz="4" w:space="0" w:color="000000"/>
              <w:right w:val="nil"/>
            </w:tcBorders>
            <w:shd w:val="clear" w:color="auto" w:fill="auto"/>
            <w:vAlign w:val="bottom"/>
          </w:tcPr>
          <w:p w14:paraId="383BFC49"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671" w:type="dxa"/>
            <w:tcBorders>
              <w:top w:val="nil"/>
              <w:left w:val="nil"/>
              <w:bottom w:val="single" w:sz="4" w:space="0" w:color="000000"/>
              <w:right w:val="nil"/>
            </w:tcBorders>
            <w:shd w:val="clear" w:color="auto" w:fill="auto"/>
            <w:vAlign w:val="bottom"/>
          </w:tcPr>
          <w:p w14:paraId="704A5B7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44" w:type="dxa"/>
            <w:tcBorders>
              <w:top w:val="nil"/>
              <w:left w:val="nil"/>
              <w:bottom w:val="single" w:sz="4" w:space="0" w:color="000000"/>
              <w:right w:val="nil"/>
            </w:tcBorders>
            <w:shd w:val="clear" w:color="auto" w:fill="auto"/>
            <w:vAlign w:val="bottom"/>
          </w:tcPr>
          <w:p w14:paraId="6FA3504C"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29" w:type="dxa"/>
            <w:tcBorders>
              <w:top w:val="nil"/>
              <w:left w:val="nil"/>
              <w:bottom w:val="single" w:sz="4" w:space="0" w:color="000000"/>
              <w:right w:val="nil"/>
            </w:tcBorders>
            <w:shd w:val="clear" w:color="auto" w:fill="auto"/>
            <w:vAlign w:val="bottom"/>
          </w:tcPr>
          <w:p w14:paraId="674C67D2"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857" w:type="dxa"/>
            <w:tcBorders>
              <w:top w:val="nil"/>
              <w:left w:val="nil"/>
              <w:bottom w:val="single" w:sz="4" w:space="0" w:color="000000"/>
              <w:right w:val="nil"/>
            </w:tcBorders>
            <w:shd w:val="clear" w:color="auto" w:fill="auto"/>
            <w:vAlign w:val="bottom"/>
          </w:tcPr>
          <w:p w14:paraId="7937D900" w14:textId="77777777" w:rsidR="00EC4499" w:rsidRDefault="00EC4499">
            <w:pPr>
              <w:spacing w:after="0" w:line="240" w:lineRule="auto"/>
              <w:jc w:val="center"/>
              <w:rPr>
                <w:rFonts w:ascii="Garamond" w:eastAsia="Garamond" w:hAnsi="Garamond" w:cs="Garamond"/>
                <w:color w:val="000000"/>
                <w:sz w:val="18"/>
                <w:szCs w:val="18"/>
              </w:rPr>
            </w:pPr>
          </w:p>
        </w:tc>
        <w:tc>
          <w:tcPr>
            <w:tcW w:w="810" w:type="dxa"/>
            <w:tcBorders>
              <w:top w:val="nil"/>
              <w:left w:val="nil"/>
              <w:bottom w:val="single" w:sz="4" w:space="0" w:color="000000"/>
              <w:right w:val="nil"/>
            </w:tcBorders>
            <w:shd w:val="clear" w:color="auto" w:fill="auto"/>
            <w:vAlign w:val="bottom"/>
          </w:tcPr>
          <w:p w14:paraId="6E8CBC8C" w14:textId="77777777" w:rsidR="00EC4499" w:rsidRDefault="00EC4499">
            <w:pPr>
              <w:spacing w:after="0" w:line="240" w:lineRule="auto"/>
              <w:jc w:val="center"/>
              <w:rPr>
                <w:rFonts w:ascii="Garamond" w:eastAsia="Garamond" w:hAnsi="Garamond" w:cs="Garamond"/>
                <w:sz w:val="18"/>
                <w:szCs w:val="18"/>
              </w:rPr>
            </w:pPr>
          </w:p>
        </w:tc>
        <w:tc>
          <w:tcPr>
            <w:tcW w:w="1237" w:type="dxa"/>
            <w:tcBorders>
              <w:top w:val="nil"/>
              <w:left w:val="nil"/>
              <w:bottom w:val="single" w:sz="4" w:space="0" w:color="000000"/>
              <w:right w:val="nil"/>
            </w:tcBorders>
            <w:shd w:val="clear" w:color="auto" w:fill="auto"/>
            <w:vAlign w:val="bottom"/>
          </w:tcPr>
          <w:p w14:paraId="282A484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16" w:type="dxa"/>
            <w:tcBorders>
              <w:top w:val="nil"/>
              <w:left w:val="nil"/>
              <w:bottom w:val="single" w:sz="4" w:space="0" w:color="000000"/>
              <w:right w:val="nil"/>
            </w:tcBorders>
            <w:shd w:val="clear" w:color="auto" w:fill="auto"/>
            <w:vAlign w:val="bottom"/>
          </w:tcPr>
          <w:p w14:paraId="7923007D"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r>
      <w:tr w:rsidR="00EC4499" w14:paraId="3D972627" w14:textId="77777777">
        <w:trPr>
          <w:trHeight w:val="289"/>
        </w:trPr>
        <w:tc>
          <w:tcPr>
            <w:tcW w:w="834" w:type="dxa"/>
            <w:vMerge w:val="restart"/>
            <w:tcBorders>
              <w:top w:val="nil"/>
              <w:left w:val="nil"/>
              <w:bottom w:val="nil"/>
              <w:right w:val="nil"/>
            </w:tcBorders>
            <w:shd w:val="clear" w:color="auto" w:fill="auto"/>
            <w:vAlign w:val="bottom"/>
          </w:tcPr>
          <w:p w14:paraId="1BC08C33" w14:textId="77777777" w:rsidR="00EC4499" w:rsidRDefault="00433EA7">
            <w:pPr>
              <w:spacing w:after="0" w:line="48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Santander</w:t>
            </w:r>
          </w:p>
        </w:tc>
        <w:tc>
          <w:tcPr>
            <w:tcW w:w="478" w:type="dxa"/>
            <w:tcBorders>
              <w:top w:val="single" w:sz="4" w:space="0" w:color="000000"/>
              <w:left w:val="nil"/>
              <w:bottom w:val="nil"/>
              <w:right w:val="nil"/>
            </w:tcBorders>
            <w:shd w:val="clear" w:color="auto" w:fill="auto"/>
            <w:vAlign w:val="bottom"/>
          </w:tcPr>
          <w:p w14:paraId="44CF489C"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868" w:type="dxa"/>
            <w:tcBorders>
              <w:top w:val="single" w:sz="4" w:space="0" w:color="000000"/>
              <w:left w:val="nil"/>
              <w:bottom w:val="nil"/>
              <w:right w:val="nil"/>
            </w:tcBorders>
            <w:shd w:val="clear" w:color="auto" w:fill="auto"/>
            <w:vAlign w:val="bottom"/>
          </w:tcPr>
          <w:p w14:paraId="5F21587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671" w:type="dxa"/>
            <w:tcBorders>
              <w:top w:val="single" w:sz="4" w:space="0" w:color="000000"/>
              <w:left w:val="nil"/>
              <w:bottom w:val="nil"/>
              <w:right w:val="nil"/>
            </w:tcBorders>
            <w:shd w:val="clear" w:color="auto" w:fill="auto"/>
            <w:vAlign w:val="bottom"/>
          </w:tcPr>
          <w:p w14:paraId="1D4BDE9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44" w:type="dxa"/>
            <w:tcBorders>
              <w:top w:val="single" w:sz="4" w:space="0" w:color="000000"/>
              <w:left w:val="nil"/>
              <w:bottom w:val="nil"/>
              <w:right w:val="nil"/>
            </w:tcBorders>
            <w:shd w:val="clear" w:color="auto" w:fill="auto"/>
            <w:vAlign w:val="bottom"/>
          </w:tcPr>
          <w:p w14:paraId="02A72F62"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29" w:type="dxa"/>
            <w:tcBorders>
              <w:top w:val="single" w:sz="4" w:space="0" w:color="000000"/>
              <w:left w:val="nil"/>
              <w:bottom w:val="nil"/>
              <w:right w:val="nil"/>
            </w:tcBorders>
            <w:shd w:val="clear" w:color="auto" w:fill="auto"/>
            <w:vAlign w:val="bottom"/>
          </w:tcPr>
          <w:p w14:paraId="62D184FC"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857" w:type="dxa"/>
            <w:tcBorders>
              <w:top w:val="single" w:sz="4" w:space="0" w:color="000000"/>
              <w:left w:val="nil"/>
              <w:bottom w:val="nil"/>
              <w:right w:val="nil"/>
            </w:tcBorders>
            <w:shd w:val="clear" w:color="auto" w:fill="auto"/>
            <w:vAlign w:val="bottom"/>
          </w:tcPr>
          <w:p w14:paraId="1AE7B535"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810" w:type="dxa"/>
            <w:tcBorders>
              <w:top w:val="single" w:sz="4" w:space="0" w:color="000000"/>
              <w:left w:val="nil"/>
              <w:bottom w:val="nil"/>
              <w:right w:val="nil"/>
            </w:tcBorders>
            <w:shd w:val="clear" w:color="auto" w:fill="auto"/>
            <w:vAlign w:val="bottom"/>
          </w:tcPr>
          <w:p w14:paraId="461F6DD2"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1237" w:type="dxa"/>
            <w:tcBorders>
              <w:top w:val="single" w:sz="4" w:space="0" w:color="000000"/>
              <w:left w:val="nil"/>
              <w:bottom w:val="nil"/>
              <w:right w:val="nil"/>
            </w:tcBorders>
            <w:shd w:val="clear" w:color="auto" w:fill="auto"/>
            <w:vAlign w:val="bottom"/>
          </w:tcPr>
          <w:p w14:paraId="3EC4FAA3" w14:textId="77777777" w:rsidR="00EC4499" w:rsidRDefault="00EC4499">
            <w:pPr>
              <w:spacing w:after="0" w:line="240" w:lineRule="auto"/>
              <w:jc w:val="center"/>
              <w:rPr>
                <w:rFonts w:ascii="Garamond" w:eastAsia="Garamond" w:hAnsi="Garamond" w:cs="Garamond"/>
                <w:color w:val="000000"/>
                <w:sz w:val="18"/>
                <w:szCs w:val="18"/>
              </w:rPr>
            </w:pPr>
          </w:p>
        </w:tc>
        <w:tc>
          <w:tcPr>
            <w:tcW w:w="716" w:type="dxa"/>
            <w:tcBorders>
              <w:top w:val="single" w:sz="4" w:space="0" w:color="000000"/>
              <w:left w:val="nil"/>
              <w:bottom w:val="nil"/>
              <w:right w:val="nil"/>
            </w:tcBorders>
            <w:shd w:val="clear" w:color="auto" w:fill="auto"/>
            <w:vAlign w:val="bottom"/>
          </w:tcPr>
          <w:p w14:paraId="25D027E4" w14:textId="77777777" w:rsidR="00EC4499" w:rsidRDefault="00EC4499">
            <w:pPr>
              <w:spacing w:after="0" w:line="240" w:lineRule="auto"/>
              <w:jc w:val="center"/>
              <w:rPr>
                <w:rFonts w:ascii="Garamond" w:eastAsia="Garamond" w:hAnsi="Garamond" w:cs="Garamond"/>
                <w:sz w:val="18"/>
                <w:szCs w:val="18"/>
              </w:rPr>
            </w:pPr>
          </w:p>
        </w:tc>
      </w:tr>
      <w:tr w:rsidR="00EC4499" w14:paraId="39320CA0" w14:textId="77777777">
        <w:trPr>
          <w:trHeight w:val="289"/>
        </w:trPr>
        <w:tc>
          <w:tcPr>
            <w:tcW w:w="834" w:type="dxa"/>
            <w:vMerge/>
            <w:tcBorders>
              <w:top w:val="nil"/>
              <w:left w:val="nil"/>
              <w:bottom w:val="nil"/>
              <w:right w:val="nil"/>
            </w:tcBorders>
            <w:shd w:val="clear" w:color="auto" w:fill="auto"/>
            <w:vAlign w:val="bottom"/>
          </w:tcPr>
          <w:p w14:paraId="6A9F7537"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sz w:val="18"/>
                <w:szCs w:val="18"/>
              </w:rPr>
            </w:pPr>
          </w:p>
        </w:tc>
        <w:tc>
          <w:tcPr>
            <w:tcW w:w="478" w:type="dxa"/>
            <w:tcBorders>
              <w:top w:val="nil"/>
              <w:left w:val="nil"/>
              <w:bottom w:val="single" w:sz="4" w:space="0" w:color="000000"/>
              <w:right w:val="nil"/>
            </w:tcBorders>
            <w:shd w:val="clear" w:color="auto" w:fill="auto"/>
            <w:vAlign w:val="bottom"/>
          </w:tcPr>
          <w:p w14:paraId="0260B107"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868" w:type="dxa"/>
            <w:tcBorders>
              <w:top w:val="nil"/>
              <w:left w:val="nil"/>
              <w:bottom w:val="single" w:sz="4" w:space="0" w:color="000000"/>
              <w:right w:val="nil"/>
            </w:tcBorders>
            <w:shd w:val="clear" w:color="auto" w:fill="auto"/>
            <w:vAlign w:val="bottom"/>
          </w:tcPr>
          <w:p w14:paraId="5273F830"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671" w:type="dxa"/>
            <w:tcBorders>
              <w:top w:val="nil"/>
              <w:left w:val="nil"/>
              <w:bottom w:val="single" w:sz="4" w:space="0" w:color="000000"/>
              <w:right w:val="nil"/>
            </w:tcBorders>
            <w:shd w:val="clear" w:color="auto" w:fill="auto"/>
            <w:vAlign w:val="bottom"/>
          </w:tcPr>
          <w:p w14:paraId="46052E7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44" w:type="dxa"/>
            <w:tcBorders>
              <w:top w:val="nil"/>
              <w:left w:val="nil"/>
              <w:bottom w:val="single" w:sz="4" w:space="0" w:color="000000"/>
              <w:right w:val="nil"/>
            </w:tcBorders>
            <w:shd w:val="clear" w:color="auto" w:fill="auto"/>
            <w:vAlign w:val="bottom"/>
          </w:tcPr>
          <w:p w14:paraId="4FD3903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29" w:type="dxa"/>
            <w:tcBorders>
              <w:top w:val="nil"/>
              <w:left w:val="nil"/>
              <w:bottom w:val="single" w:sz="4" w:space="0" w:color="000000"/>
              <w:right w:val="nil"/>
            </w:tcBorders>
            <w:shd w:val="clear" w:color="auto" w:fill="auto"/>
            <w:vAlign w:val="bottom"/>
          </w:tcPr>
          <w:p w14:paraId="024FC4A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857" w:type="dxa"/>
            <w:tcBorders>
              <w:top w:val="nil"/>
              <w:left w:val="nil"/>
              <w:bottom w:val="single" w:sz="4" w:space="0" w:color="000000"/>
              <w:right w:val="nil"/>
            </w:tcBorders>
            <w:shd w:val="clear" w:color="auto" w:fill="auto"/>
            <w:vAlign w:val="bottom"/>
          </w:tcPr>
          <w:p w14:paraId="49370EA2"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810" w:type="dxa"/>
            <w:tcBorders>
              <w:top w:val="nil"/>
              <w:left w:val="nil"/>
              <w:bottom w:val="single" w:sz="4" w:space="0" w:color="000000"/>
              <w:right w:val="nil"/>
            </w:tcBorders>
            <w:shd w:val="clear" w:color="auto" w:fill="auto"/>
            <w:vAlign w:val="bottom"/>
          </w:tcPr>
          <w:p w14:paraId="603934E5"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1237" w:type="dxa"/>
            <w:tcBorders>
              <w:top w:val="nil"/>
              <w:left w:val="nil"/>
              <w:bottom w:val="single" w:sz="4" w:space="0" w:color="000000"/>
              <w:right w:val="nil"/>
            </w:tcBorders>
            <w:shd w:val="clear" w:color="auto" w:fill="auto"/>
            <w:vAlign w:val="bottom"/>
          </w:tcPr>
          <w:p w14:paraId="0DAF1015" w14:textId="77777777" w:rsidR="00EC4499" w:rsidRDefault="00EC4499">
            <w:pPr>
              <w:spacing w:after="0" w:line="240" w:lineRule="auto"/>
              <w:jc w:val="center"/>
              <w:rPr>
                <w:rFonts w:ascii="Garamond" w:eastAsia="Garamond" w:hAnsi="Garamond" w:cs="Garamond"/>
                <w:color w:val="000000"/>
                <w:sz w:val="18"/>
                <w:szCs w:val="18"/>
              </w:rPr>
            </w:pPr>
          </w:p>
        </w:tc>
        <w:tc>
          <w:tcPr>
            <w:tcW w:w="716" w:type="dxa"/>
            <w:tcBorders>
              <w:top w:val="nil"/>
              <w:left w:val="nil"/>
              <w:bottom w:val="single" w:sz="4" w:space="0" w:color="000000"/>
              <w:right w:val="nil"/>
            </w:tcBorders>
            <w:shd w:val="clear" w:color="auto" w:fill="auto"/>
            <w:vAlign w:val="bottom"/>
          </w:tcPr>
          <w:p w14:paraId="1008B5C5" w14:textId="77777777" w:rsidR="00EC4499" w:rsidRDefault="00EC4499">
            <w:pPr>
              <w:spacing w:after="0" w:line="240" w:lineRule="auto"/>
              <w:jc w:val="center"/>
              <w:rPr>
                <w:rFonts w:ascii="Garamond" w:eastAsia="Garamond" w:hAnsi="Garamond" w:cs="Garamond"/>
                <w:sz w:val="18"/>
                <w:szCs w:val="18"/>
              </w:rPr>
            </w:pPr>
          </w:p>
        </w:tc>
      </w:tr>
      <w:tr w:rsidR="00EC4499" w14:paraId="7C362862" w14:textId="77777777">
        <w:trPr>
          <w:trHeight w:val="289"/>
        </w:trPr>
        <w:tc>
          <w:tcPr>
            <w:tcW w:w="834" w:type="dxa"/>
            <w:vMerge w:val="restart"/>
            <w:tcBorders>
              <w:top w:val="nil"/>
              <w:left w:val="nil"/>
              <w:bottom w:val="nil"/>
              <w:right w:val="nil"/>
            </w:tcBorders>
            <w:shd w:val="clear" w:color="auto" w:fill="auto"/>
            <w:vAlign w:val="bottom"/>
          </w:tcPr>
          <w:p w14:paraId="501B2998" w14:textId="77777777" w:rsidR="00EC4499" w:rsidRDefault="00433EA7">
            <w:pPr>
              <w:spacing w:after="0" w:line="48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Sicredi</w:t>
            </w:r>
          </w:p>
        </w:tc>
        <w:tc>
          <w:tcPr>
            <w:tcW w:w="478" w:type="dxa"/>
            <w:tcBorders>
              <w:top w:val="single" w:sz="4" w:space="0" w:color="000000"/>
              <w:left w:val="nil"/>
              <w:bottom w:val="nil"/>
              <w:right w:val="nil"/>
            </w:tcBorders>
            <w:shd w:val="clear" w:color="auto" w:fill="auto"/>
            <w:vAlign w:val="bottom"/>
          </w:tcPr>
          <w:p w14:paraId="3D179365"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868" w:type="dxa"/>
            <w:tcBorders>
              <w:top w:val="single" w:sz="4" w:space="0" w:color="000000"/>
              <w:left w:val="nil"/>
              <w:bottom w:val="nil"/>
              <w:right w:val="nil"/>
            </w:tcBorders>
            <w:shd w:val="clear" w:color="auto" w:fill="auto"/>
            <w:vAlign w:val="bottom"/>
          </w:tcPr>
          <w:p w14:paraId="4C7E681A"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671" w:type="dxa"/>
            <w:tcBorders>
              <w:top w:val="single" w:sz="4" w:space="0" w:color="000000"/>
              <w:left w:val="nil"/>
              <w:bottom w:val="nil"/>
              <w:right w:val="nil"/>
            </w:tcBorders>
            <w:shd w:val="clear" w:color="auto" w:fill="auto"/>
            <w:vAlign w:val="bottom"/>
          </w:tcPr>
          <w:p w14:paraId="286C823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44" w:type="dxa"/>
            <w:tcBorders>
              <w:top w:val="single" w:sz="4" w:space="0" w:color="000000"/>
              <w:left w:val="nil"/>
              <w:bottom w:val="nil"/>
              <w:right w:val="nil"/>
            </w:tcBorders>
            <w:shd w:val="clear" w:color="auto" w:fill="auto"/>
            <w:vAlign w:val="bottom"/>
          </w:tcPr>
          <w:p w14:paraId="65CB55FC"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29" w:type="dxa"/>
            <w:tcBorders>
              <w:top w:val="single" w:sz="4" w:space="0" w:color="000000"/>
              <w:left w:val="nil"/>
              <w:bottom w:val="nil"/>
              <w:right w:val="nil"/>
            </w:tcBorders>
            <w:shd w:val="clear" w:color="auto" w:fill="auto"/>
            <w:vAlign w:val="bottom"/>
          </w:tcPr>
          <w:p w14:paraId="44AE89A0"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857" w:type="dxa"/>
            <w:tcBorders>
              <w:top w:val="single" w:sz="4" w:space="0" w:color="000000"/>
              <w:left w:val="nil"/>
              <w:bottom w:val="nil"/>
              <w:right w:val="nil"/>
            </w:tcBorders>
            <w:shd w:val="clear" w:color="auto" w:fill="auto"/>
            <w:vAlign w:val="bottom"/>
          </w:tcPr>
          <w:p w14:paraId="76E29A3C"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810" w:type="dxa"/>
            <w:tcBorders>
              <w:top w:val="single" w:sz="4" w:space="0" w:color="000000"/>
              <w:left w:val="nil"/>
              <w:bottom w:val="nil"/>
              <w:right w:val="nil"/>
            </w:tcBorders>
            <w:shd w:val="clear" w:color="auto" w:fill="auto"/>
            <w:vAlign w:val="bottom"/>
          </w:tcPr>
          <w:p w14:paraId="6E43EB34" w14:textId="77777777" w:rsidR="00EC4499" w:rsidRDefault="00EC4499">
            <w:pPr>
              <w:spacing w:after="0" w:line="240" w:lineRule="auto"/>
              <w:jc w:val="center"/>
              <w:rPr>
                <w:rFonts w:ascii="Garamond" w:eastAsia="Garamond" w:hAnsi="Garamond" w:cs="Garamond"/>
                <w:color w:val="000000"/>
                <w:sz w:val="18"/>
                <w:szCs w:val="18"/>
              </w:rPr>
            </w:pPr>
          </w:p>
        </w:tc>
        <w:tc>
          <w:tcPr>
            <w:tcW w:w="1237" w:type="dxa"/>
            <w:tcBorders>
              <w:top w:val="single" w:sz="4" w:space="0" w:color="000000"/>
              <w:left w:val="nil"/>
              <w:bottom w:val="nil"/>
              <w:right w:val="nil"/>
            </w:tcBorders>
            <w:shd w:val="clear" w:color="auto" w:fill="auto"/>
            <w:vAlign w:val="bottom"/>
          </w:tcPr>
          <w:p w14:paraId="3EA30A06" w14:textId="77777777" w:rsidR="00EC4499" w:rsidRDefault="00EC4499">
            <w:pPr>
              <w:spacing w:after="0" w:line="240" w:lineRule="auto"/>
              <w:jc w:val="center"/>
              <w:rPr>
                <w:rFonts w:ascii="Garamond" w:eastAsia="Garamond" w:hAnsi="Garamond" w:cs="Garamond"/>
                <w:sz w:val="18"/>
                <w:szCs w:val="18"/>
              </w:rPr>
            </w:pPr>
          </w:p>
        </w:tc>
        <w:tc>
          <w:tcPr>
            <w:tcW w:w="716" w:type="dxa"/>
            <w:tcBorders>
              <w:top w:val="single" w:sz="4" w:space="0" w:color="000000"/>
              <w:left w:val="nil"/>
              <w:bottom w:val="nil"/>
              <w:right w:val="nil"/>
            </w:tcBorders>
            <w:shd w:val="clear" w:color="auto" w:fill="auto"/>
            <w:vAlign w:val="bottom"/>
          </w:tcPr>
          <w:p w14:paraId="0FC463D2" w14:textId="77777777" w:rsidR="00EC4499" w:rsidRDefault="00EC4499">
            <w:pPr>
              <w:spacing w:after="0" w:line="240" w:lineRule="auto"/>
              <w:jc w:val="center"/>
              <w:rPr>
                <w:rFonts w:ascii="Garamond" w:eastAsia="Garamond" w:hAnsi="Garamond" w:cs="Garamond"/>
                <w:sz w:val="18"/>
                <w:szCs w:val="18"/>
              </w:rPr>
            </w:pPr>
          </w:p>
        </w:tc>
      </w:tr>
      <w:tr w:rsidR="00EC4499" w14:paraId="32C38507" w14:textId="77777777">
        <w:trPr>
          <w:trHeight w:val="289"/>
        </w:trPr>
        <w:tc>
          <w:tcPr>
            <w:tcW w:w="834" w:type="dxa"/>
            <w:vMerge/>
            <w:tcBorders>
              <w:top w:val="nil"/>
              <w:left w:val="nil"/>
              <w:bottom w:val="nil"/>
              <w:right w:val="nil"/>
            </w:tcBorders>
            <w:shd w:val="clear" w:color="auto" w:fill="auto"/>
            <w:vAlign w:val="bottom"/>
          </w:tcPr>
          <w:p w14:paraId="44B8212D"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sz w:val="18"/>
                <w:szCs w:val="18"/>
              </w:rPr>
            </w:pPr>
          </w:p>
        </w:tc>
        <w:tc>
          <w:tcPr>
            <w:tcW w:w="478" w:type="dxa"/>
            <w:tcBorders>
              <w:top w:val="nil"/>
              <w:left w:val="nil"/>
              <w:bottom w:val="single" w:sz="4" w:space="0" w:color="000000"/>
              <w:right w:val="nil"/>
            </w:tcBorders>
            <w:shd w:val="clear" w:color="auto" w:fill="auto"/>
            <w:vAlign w:val="bottom"/>
          </w:tcPr>
          <w:p w14:paraId="66DD92A3"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868" w:type="dxa"/>
            <w:tcBorders>
              <w:top w:val="nil"/>
              <w:left w:val="nil"/>
              <w:bottom w:val="single" w:sz="4" w:space="0" w:color="000000"/>
              <w:right w:val="nil"/>
            </w:tcBorders>
            <w:shd w:val="clear" w:color="auto" w:fill="auto"/>
            <w:vAlign w:val="bottom"/>
          </w:tcPr>
          <w:p w14:paraId="5D4F688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671" w:type="dxa"/>
            <w:tcBorders>
              <w:top w:val="nil"/>
              <w:left w:val="nil"/>
              <w:bottom w:val="single" w:sz="4" w:space="0" w:color="000000"/>
              <w:right w:val="nil"/>
            </w:tcBorders>
            <w:shd w:val="clear" w:color="auto" w:fill="auto"/>
            <w:vAlign w:val="bottom"/>
          </w:tcPr>
          <w:p w14:paraId="4A690F47"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44" w:type="dxa"/>
            <w:tcBorders>
              <w:top w:val="nil"/>
              <w:left w:val="nil"/>
              <w:bottom w:val="single" w:sz="4" w:space="0" w:color="000000"/>
              <w:right w:val="nil"/>
            </w:tcBorders>
            <w:shd w:val="clear" w:color="auto" w:fill="auto"/>
            <w:vAlign w:val="bottom"/>
          </w:tcPr>
          <w:p w14:paraId="3B7BFEA5"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729" w:type="dxa"/>
            <w:tcBorders>
              <w:top w:val="nil"/>
              <w:left w:val="nil"/>
              <w:bottom w:val="single" w:sz="4" w:space="0" w:color="000000"/>
              <w:right w:val="nil"/>
            </w:tcBorders>
            <w:shd w:val="clear" w:color="auto" w:fill="auto"/>
            <w:vAlign w:val="bottom"/>
          </w:tcPr>
          <w:p w14:paraId="1EE4D05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857" w:type="dxa"/>
            <w:tcBorders>
              <w:top w:val="nil"/>
              <w:left w:val="nil"/>
              <w:bottom w:val="single" w:sz="4" w:space="0" w:color="000000"/>
              <w:right w:val="nil"/>
            </w:tcBorders>
            <w:shd w:val="clear" w:color="auto" w:fill="auto"/>
            <w:vAlign w:val="bottom"/>
          </w:tcPr>
          <w:p w14:paraId="4B196F9F"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c>
          <w:tcPr>
            <w:tcW w:w="810" w:type="dxa"/>
            <w:tcBorders>
              <w:top w:val="nil"/>
              <w:left w:val="nil"/>
              <w:bottom w:val="single" w:sz="4" w:space="0" w:color="000000"/>
              <w:right w:val="nil"/>
            </w:tcBorders>
            <w:shd w:val="clear" w:color="auto" w:fill="auto"/>
            <w:vAlign w:val="bottom"/>
          </w:tcPr>
          <w:p w14:paraId="29DC14AF" w14:textId="77777777" w:rsidR="00EC4499" w:rsidRDefault="00EC4499">
            <w:pPr>
              <w:spacing w:after="0" w:line="240" w:lineRule="auto"/>
              <w:jc w:val="center"/>
              <w:rPr>
                <w:rFonts w:ascii="Garamond" w:eastAsia="Garamond" w:hAnsi="Garamond" w:cs="Garamond"/>
                <w:color w:val="000000"/>
                <w:sz w:val="18"/>
                <w:szCs w:val="18"/>
              </w:rPr>
            </w:pPr>
          </w:p>
        </w:tc>
        <w:tc>
          <w:tcPr>
            <w:tcW w:w="1237" w:type="dxa"/>
            <w:tcBorders>
              <w:top w:val="nil"/>
              <w:left w:val="nil"/>
              <w:bottom w:val="single" w:sz="4" w:space="0" w:color="000000"/>
              <w:right w:val="nil"/>
            </w:tcBorders>
            <w:shd w:val="clear" w:color="auto" w:fill="auto"/>
            <w:vAlign w:val="bottom"/>
          </w:tcPr>
          <w:p w14:paraId="7B1242F4" w14:textId="77777777" w:rsidR="00EC4499" w:rsidRDefault="00EC4499">
            <w:pPr>
              <w:spacing w:after="0" w:line="240" w:lineRule="auto"/>
              <w:jc w:val="center"/>
              <w:rPr>
                <w:rFonts w:ascii="Garamond" w:eastAsia="Garamond" w:hAnsi="Garamond" w:cs="Garamond"/>
                <w:sz w:val="18"/>
                <w:szCs w:val="18"/>
              </w:rPr>
            </w:pPr>
          </w:p>
        </w:tc>
        <w:tc>
          <w:tcPr>
            <w:tcW w:w="716" w:type="dxa"/>
            <w:tcBorders>
              <w:top w:val="nil"/>
              <w:left w:val="nil"/>
              <w:bottom w:val="single" w:sz="4" w:space="0" w:color="000000"/>
              <w:right w:val="nil"/>
            </w:tcBorders>
            <w:shd w:val="clear" w:color="auto" w:fill="auto"/>
            <w:vAlign w:val="bottom"/>
          </w:tcPr>
          <w:p w14:paraId="069F927D"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X</w:t>
            </w:r>
          </w:p>
        </w:tc>
      </w:tr>
    </w:tbl>
    <w:p w14:paraId="11D31930" w14:textId="77777777" w:rsidR="00EC4499" w:rsidRDefault="00433EA7">
      <w:pPr>
        <w:spacing w:after="0" w:line="360" w:lineRule="auto"/>
        <w:rPr>
          <w:rFonts w:ascii="Garamond" w:eastAsia="Garamond" w:hAnsi="Garamond" w:cs="Garamond"/>
          <w:color w:val="000000"/>
          <w:sz w:val="18"/>
          <w:szCs w:val="18"/>
        </w:rPr>
      </w:pPr>
      <w:r>
        <w:rPr>
          <w:rFonts w:ascii="Garamond" w:eastAsia="Garamond" w:hAnsi="Garamond" w:cs="Garamond"/>
          <w:color w:val="000000"/>
          <w:sz w:val="18"/>
          <w:szCs w:val="18"/>
        </w:rPr>
        <w:t>*Embora o relatório de 2022 do Citibank contenha imagens, verificou-se que algumas delas estavam desfocadas</w:t>
      </w:r>
    </w:p>
    <w:p w14:paraId="6A7A1064" w14:textId="77777777" w:rsidR="00EC4499" w:rsidRDefault="00EC4499">
      <w:pPr>
        <w:spacing w:after="0" w:line="360" w:lineRule="auto"/>
        <w:ind w:firstLine="708"/>
        <w:rPr>
          <w:rFonts w:ascii="Garamond" w:eastAsia="Garamond" w:hAnsi="Garamond" w:cs="Garamond"/>
          <w:b/>
          <w:sz w:val="24"/>
          <w:szCs w:val="24"/>
        </w:rPr>
      </w:pPr>
    </w:p>
    <w:p w14:paraId="0832DF70" w14:textId="77777777" w:rsidR="00EC4499" w:rsidRDefault="00433EA7">
      <w:pPr>
        <w:spacing w:after="0" w:line="360" w:lineRule="auto"/>
        <w:rPr>
          <w:rFonts w:ascii="Garamond" w:eastAsia="Garamond" w:hAnsi="Garamond" w:cs="Garamond"/>
          <w:b/>
          <w:color w:val="000000"/>
          <w:sz w:val="24"/>
          <w:szCs w:val="24"/>
        </w:rPr>
      </w:pPr>
      <w:r>
        <w:rPr>
          <w:rFonts w:ascii="Garamond" w:eastAsia="Garamond" w:hAnsi="Garamond" w:cs="Garamond"/>
          <w:b/>
          <w:color w:val="000000"/>
          <w:sz w:val="24"/>
          <w:szCs w:val="24"/>
        </w:rPr>
        <w:t>P1: São utilizados recursos para que os relatórios sejam acessíveis e compreensíveis?</w:t>
      </w:r>
    </w:p>
    <w:p w14:paraId="22B29292" w14:textId="77777777" w:rsidR="00EC4499" w:rsidRDefault="00EC4499">
      <w:pPr>
        <w:spacing w:after="0" w:line="360" w:lineRule="auto"/>
        <w:rPr>
          <w:rFonts w:ascii="Garamond" w:eastAsia="Garamond" w:hAnsi="Garamond" w:cs="Garamond"/>
          <w:color w:val="000000"/>
          <w:sz w:val="24"/>
          <w:szCs w:val="24"/>
        </w:rPr>
      </w:pPr>
    </w:p>
    <w:p w14:paraId="37ADBE6F"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Oito dos doze bancos avaliados utilizaram grande parte dos recursos de acessibilidade e compreensão dos relatórios. Os quatro bancos que não obtiveram pontuação máxima nos dois anos avaliados foram Banco do Nordeste, Caixa Econômica Federal, </w:t>
      </w:r>
      <w:r>
        <w:rPr>
          <w:rFonts w:ascii="Garamond" w:eastAsia="Garamond" w:hAnsi="Garamond" w:cs="Garamond"/>
          <w:color w:val="000000"/>
          <w:sz w:val="24"/>
          <w:szCs w:val="24"/>
        </w:rPr>
        <w:lastRenderedPageBreak/>
        <w:t>Citibank e J.P. Morgan, sendo os dois últimos principalmente em razão de não publicarem seus relatórios em português.</w:t>
      </w:r>
    </w:p>
    <w:p w14:paraId="1F6F8889"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Os dois relatórios do BNB e o de 2021 da Caixa tiveram pontuação 1 por não estarem publicados em outro idioma além do português, não apresentarem glossário ou listas de explicação de siglas e acrônimos e pelo tamanho dos seus relatórios exceder 15,5 Mb. </w:t>
      </w:r>
    </w:p>
    <w:p w14:paraId="14D5ABF1"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Embora muitas siglas e acrônimos sejam explicados no corpo dos relatórios, identificou-se em todos eles casos não explicados e que podem gerar dúvidas nos leitores, a exemplo de: POS, FCDL, CEEE-G, NFT, CFA, FAMPE, IMPLAN, Amcham, AWS, BRGAAP e FGO. </w:t>
      </w:r>
    </w:p>
    <w:p w14:paraId="6431EA8E" w14:textId="77777777" w:rsidR="00EC4499" w:rsidRDefault="00433EA7">
      <w:pPr>
        <w:spacing w:after="0" w:line="360" w:lineRule="auto"/>
        <w:ind w:firstLine="708"/>
        <w:jc w:val="both"/>
        <w:rPr>
          <w:rFonts w:ascii="Garamond" w:eastAsia="Garamond" w:hAnsi="Garamond" w:cs="Garamond"/>
          <w:color w:val="000000"/>
          <w:sz w:val="24"/>
          <w:szCs w:val="24"/>
        </w:rPr>
      </w:pPr>
      <w:r>
        <w:rPr>
          <w:rFonts w:ascii="Garamond" w:eastAsia="Garamond" w:hAnsi="Garamond" w:cs="Garamond"/>
          <w:color w:val="000000"/>
          <w:sz w:val="24"/>
          <w:szCs w:val="24"/>
        </w:rPr>
        <w:t>Ainda que os relatórios tenham surgido visando suprir uma demanda dos investidores, atualmente sua produção envolve o engajamento de múltiplos stakeholders, dentre os quais, clientes e comunidades do entorno e sua confecção deve ser pensada para que seja acessível a todos.</w:t>
      </w:r>
    </w:p>
    <w:p w14:paraId="0E87B942" w14:textId="77777777" w:rsidR="00D41BB2" w:rsidRDefault="00D41BB2">
      <w:pPr>
        <w:spacing w:after="0" w:line="360" w:lineRule="auto"/>
        <w:ind w:firstLine="708"/>
        <w:jc w:val="both"/>
        <w:rPr>
          <w:rFonts w:ascii="Garamond" w:eastAsia="Garamond" w:hAnsi="Garamond" w:cs="Garamond"/>
          <w:color w:val="000000"/>
          <w:sz w:val="24"/>
          <w:szCs w:val="24"/>
        </w:rPr>
      </w:pPr>
    </w:p>
    <w:p w14:paraId="7E72E066" w14:textId="77777777" w:rsidR="00D41BB2" w:rsidRDefault="00D41BB2">
      <w:pPr>
        <w:spacing w:after="0" w:line="360" w:lineRule="auto"/>
        <w:ind w:firstLine="708"/>
        <w:jc w:val="both"/>
        <w:rPr>
          <w:rFonts w:ascii="Garamond" w:eastAsia="Garamond" w:hAnsi="Garamond" w:cs="Garamond"/>
          <w:color w:val="000000"/>
          <w:sz w:val="24"/>
          <w:szCs w:val="24"/>
        </w:rPr>
      </w:pPr>
    </w:p>
    <w:p w14:paraId="3DE281AA" w14:textId="77777777" w:rsidR="00D41BB2" w:rsidRDefault="00D41BB2">
      <w:pPr>
        <w:spacing w:after="0" w:line="360" w:lineRule="auto"/>
        <w:ind w:firstLine="708"/>
        <w:jc w:val="both"/>
        <w:rPr>
          <w:rFonts w:ascii="Garamond" w:eastAsia="Garamond" w:hAnsi="Garamond" w:cs="Garamond"/>
          <w:color w:val="000000"/>
          <w:sz w:val="24"/>
          <w:szCs w:val="24"/>
        </w:rPr>
      </w:pPr>
    </w:p>
    <w:p w14:paraId="0D48BD43" w14:textId="77777777" w:rsidR="00D41BB2" w:rsidRDefault="00D41BB2">
      <w:pPr>
        <w:spacing w:after="0" w:line="360" w:lineRule="auto"/>
        <w:ind w:firstLine="708"/>
        <w:jc w:val="both"/>
        <w:rPr>
          <w:rFonts w:ascii="Garamond" w:eastAsia="Garamond" w:hAnsi="Garamond" w:cs="Garamond"/>
          <w:color w:val="000000"/>
          <w:sz w:val="24"/>
          <w:szCs w:val="24"/>
        </w:rPr>
      </w:pPr>
    </w:p>
    <w:p w14:paraId="0A91A4F3" w14:textId="77777777" w:rsidR="00D41BB2" w:rsidRDefault="00D41BB2">
      <w:pPr>
        <w:spacing w:after="0" w:line="360" w:lineRule="auto"/>
        <w:ind w:firstLine="708"/>
        <w:jc w:val="both"/>
        <w:rPr>
          <w:rFonts w:ascii="Garamond" w:eastAsia="Garamond" w:hAnsi="Garamond" w:cs="Garamond"/>
          <w:color w:val="000000"/>
          <w:sz w:val="24"/>
          <w:szCs w:val="24"/>
        </w:rPr>
      </w:pPr>
    </w:p>
    <w:p w14:paraId="68735223" w14:textId="77777777" w:rsidR="00D41BB2" w:rsidRDefault="00D41BB2">
      <w:pPr>
        <w:spacing w:after="0" w:line="360" w:lineRule="auto"/>
        <w:ind w:firstLine="708"/>
        <w:jc w:val="both"/>
        <w:rPr>
          <w:rFonts w:ascii="Garamond" w:eastAsia="Garamond" w:hAnsi="Garamond" w:cs="Garamond"/>
          <w:color w:val="000000"/>
          <w:sz w:val="24"/>
          <w:szCs w:val="24"/>
        </w:rPr>
      </w:pPr>
    </w:p>
    <w:p w14:paraId="113FCA58" w14:textId="77777777" w:rsidR="00D41BB2" w:rsidRDefault="00D41BB2">
      <w:pPr>
        <w:spacing w:after="0" w:line="360" w:lineRule="auto"/>
        <w:ind w:firstLine="708"/>
        <w:jc w:val="both"/>
        <w:rPr>
          <w:rFonts w:ascii="Garamond" w:eastAsia="Garamond" w:hAnsi="Garamond" w:cs="Garamond"/>
          <w:color w:val="000000"/>
          <w:sz w:val="24"/>
          <w:szCs w:val="24"/>
        </w:rPr>
      </w:pPr>
    </w:p>
    <w:p w14:paraId="51ADEB08" w14:textId="77777777" w:rsidR="00D41BB2" w:rsidRDefault="00D41BB2">
      <w:pPr>
        <w:spacing w:after="0" w:line="360" w:lineRule="auto"/>
        <w:ind w:firstLine="708"/>
        <w:jc w:val="both"/>
        <w:rPr>
          <w:rFonts w:ascii="Garamond" w:eastAsia="Garamond" w:hAnsi="Garamond" w:cs="Garamond"/>
          <w:color w:val="000000"/>
          <w:sz w:val="24"/>
          <w:szCs w:val="24"/>
        </w:rPr>
      </w:pPr>
    </w:p>
    <w:p w14:paraId="4B4F7CC5" w14:textId="77777777" w:rsidR="00D41BB2" w:rsidRDefault="00D41BB2">
      <w:pPr>
        <w:spacing w:after="0" w:line="360" w:lineRule="auto"/>
        <w:ind w:firstLine="708"/>
        <w:jc w:val="both"/>
        <w:rPr>
          <w:rFonts w:ascii="Garamond" w:eastAsia="Garamond" w:hAnsi="Garamond" w:cs="Garamond"/>
          <w:color w:val="000000"/>
          <w:sz w:val="24"/>
          <w:szCs w:val="24"/>
        </w:rPr>
      </w:pPr>
    </w:p>
    <w:p w14:paraId="128C424A" w14:textId="77777777" w:rsidR="00D41BB2" w:rsidRDefault="00D41BB2">
      <w:pPr>
        <w:spacing w:after="0" w:line="360" w:lineRule="auto"/>
        <w:ind w:firstLine="708"/>
        <w:jc w:val="both"/>
        <w:rPr>
          <w:rFonts w:ascii="Garamond" w:eastAsia="Garamond" w:hAnsi="Garamond" w:cs="Garamond"/>
          <w:color w:val="000000"/>
          <w:sz w:val="24"/>
          <w:szCs w:val="24"/>
        </w:rPr>
      </w:pPr>
    </w:p>
    <w:p w14:paraId="4F6ADB4F" w14:textId="77777777" w:rsidR="00D41BB2" w:rsidRDefault="00D41BB2">
      <w:pPr>
        <w:spacing w:after="0" w:line="360" w:lineRule="auto"/>
        <w:ind w:firstLine="708"/>
        <w:jc w:val="both"/>
        <w:rPr>
          <w:rFonts w:ascii="Garamond" w:eastAsia="Garamond" w:hAnsi="Garamond" w:cs="Garamond"/>
          <w:color w:val="000000"/>
          <w:sz w:val="24"/>
          <w:szCs w:val="24"/>
        </w:rPr>
      </w:pPr>
    </w:p>
    <w:p w14:paraId="25B8469A" w14:textId="77777777" w:rsidR="00D41BB2" w:rsidRDefault="00D41BB2">
      <w:pPr>
        <w:spacing w:after="0" w:line="360" w:lineRule="auto"/>
        <w:ind w:firstLine="708"/>
        <w:jc w:val="both"/>
        <w:rPr>
          <w:rFonts w:ascii="Garamond" w:eastAsia="Garamond" w:hAnsi="Garamond" w:cs="Garamond"/>
          <w:color w:val="000000"/>
          <w:sz w:val="24"/>
          <w:szCs w:val="24"/>
        </w:rPr>
      </w:pPr>
    </w:p>
    <w:p w14:paraId="6AC75F2A" w14:textId="77777777" w:rsidR="00D41BB2" w:rsidRDefault="00D41BB2">
      <w:pPr>
        <w:spacing w:after="0" w:line="360" w:lineRule="auto"/>
        <w:ind w:firstLine="708"/>
        <w:jc w:val="both"/>
        <w:rPr>
          <w:rFonts w:ascii="Garamond" w:eastAsia="Garamond" w:hAnsi="Garamond" w:cs="Garamond"/>
          <w:color w:val="000000"/>
          <w:sz w:val="24"/>
          <w:szCs w:val="24"/>
        </w:rPr>
      </w:pPr>
    </w:p>
    <w:p w14:paraId="3A8AC2EA" w14:textId="77777777" w:rsidR="00D41BB2" w:rsidRDefault="00D41BB2">
      <w:pPr>
        <w:spacing w:after="0" w:line="360" w:lineRule="auto"/>
        <w:ind w:firstLine="708"/>
        <w:jc w:val="both"/>
        <w:rPr>
          <w:rFonts w:ascii="Garamond" w:eastAsia="Garamond" w:hAnsi="Garamond" w:cs="Garamond"/>
          <w:color w:val="000000"/>
          <w:sz w:val="24"/>
          <w:szCs w:val="24"/>
        </w:rPr>
      </w:pPr>
    </w:p>
    <w:p w14:paraId="55F6B1D5" w14:textId="77777777" w:rsidR="00D41BB2" w:rsidRDefault="00D41BB2">
      <w:pPr>
        <w:spacing w:after="0" w:line="360" w:lineRule="auto"/>
        <w:ind w:firstLine="708"/>
        <w:jc w:val="both"/>
        <w:rPr>
          <w:rFonts w:ascii="Garamond" w:eastAsia="Garamond" w:hAnsi="Garamond" w:cs="Garamond"/>
          <w:color w:val="000000"/>
          <w:sz w:val="24"/>
          <w:szCs w:val="24"/>
        </w:rPr>
      </w:pPr>
    </w:p>
    <w:p w14:paraId="6A53973A" w14:textId="77777777" w:rsidR="00D41BB2" w:rsidRDefault="00D41BB2" w:rsidP="00D41BB2"/>
    <w:p w14:paraId="7BFC9CA6" w14:textId="77777777" w:rsidR="00D41BB2" w:rsidRDefault="00D41BB2" w:rsidP="00D41BB2"/>
    <w:p w14:paraId="26CD10A9" w14:textId="77777777" w:rsidR="00D41BB2" w:rsidRPr="00627D02" w:rsidRDefault="00D41BB2" w:rsidP="00627D02"/>
    <w:p w14:paraId="2563FB5A" w14:textId="77777777" w:rsidR="00EC4499" w:rsidRDefault="00433EA7">
      <w:pPr>
        <w:pStyle w:val="Ttulo3"/>
        <w:spacing w:after="0" w:line="360" w:lineRule="auto"/>
        <w:rPr>
          <w:rFonts w:ascii="Garamond" w:eastAsia="Garamond" w:hAnsi="Garamond" w:cs="Garamond"/>
          <w:sz w:val="24"/>
          <w:szCs w:val="24"/>
        </w:rPr>
      </w:pPr>
      <w:bookmarkStart w:id="23" w:name="_heading=h.1igjkn2pqsfp" w:colFirst="0" w:colLast="0"/>
      <w:bookmarkEnd w:id="23"/>
      <w:r>
        <w:rPr>
          <w:rFonts w:ascii="Garamond" w:eastAsia="Garamond" w:hAnsi="Garamond" w:cs="Garamond"/>
          <w:sz w:val="24"/>
          <w:szCs w:val="24"/>
        </w:rPr>
        <w:lastRenderedPageBreak/>
        <w:t xml:space="preserve">4.5.6 </w:t>
      </w:r>
      <w:r>
        <w:rPr>
          <w:rFonts w:ascii="Garamond" w:eastAsia="Garamond" w:hAnsi="Garamond" w:cs="Garamond"/>
          <w:sz w:val="24"/>
          <w:szCs w:val="24"/>
        </w:rPr>
        <w:tab/>
        <w:t>Princípio da Verificabilidade</w:t>
      </w:r>
    </w:p>
    <w:p w14:paraId="07AE84F0" w14:textId="77777777" w:rsidR="00EC4499" w:rsidRDefault="00EC4499">
      <w:pPr>
        <w:spacing w:after="0" w:line="360" w:lineRule="auto"/>
        <w:rPr>
          <w:rFonts w:ascii="Garamond" w:eastAsia="Garamond" w:hAnsi="Garamond" w:cs="Garamond"/>
          <w:color w:val="000000"/>
          <w:sz w:val="24"/>
          <w:szCs w:val="24"/>
        </w:rPr>
      </w:pPr>
    </w:p>
    <w:p w14:paraId="4D2EAB7A" w14:textId="77777777" w:rsidR="00EC4499" w:rsidRDefault="00433EA7">
      <w:pPr>
        <w:spacing w:after="0" w:line="360" w:lineRule="auto"/>
        <w:ind w:firstLine="708"/>
        <w:jc w:val="both"/>
        <w:rPr>
          <w:rFonts w:ascii="Garamond" w:eastAsia="Garamond" w:hAnsi="Garamond" w:cs="Garamond"/>
          <w:color w:val="000000"/>
          <w:sz w:val="24"/>
          <w:szCs w:val="24"/>
        </w:rPr>
      </w:pPr>
      <w:r>
        <w:rPr>
          <w:rFonts w:ascii="Garamond" w:eastAsia="Garamond" w:hAnsi="Garamond" w:cs="Garamond"/>
          <w:color w:val="000000"/>
          <w:sz w:val="24"/>
          <w:szCs w:val="24"/>
        </w:rPr>
        <w:t>Apresentamos a seguir os resultados obtidos a partir da análise dos relatórios com relação ao Princípio da Verificabilidade.</w:t>
      </w:r>
    </w:p>
    <w:p w14:paraId="12753B51" w14:textId="77777777" w:rsidR="00EC4499" w:rsidRDefault="00EC4499">
      <w:pPr>
        <w:spacing w:after="0" w:line="360" w:lineRule="auto"/>
        <w:rPr>
          <w:rFonts w:ascii="Garamond" w:eastAsia="Garamond" w:hAnsi="Garamond" w:cs="Garamond"/>
          <w:color w:val="000000"/>
          <w:sz w:val="24"/>
          <w:szCs w:val="24"/>
        </w:rPr>
      </w:pPr>
    </w:p>
    <w:p w14:paraId="36715DA8" w14:textId="5731DF8B" w:rsidR="00EC4499" w:rsidRDefault="00433EA7" w:rsidP="00627D02">
      <w:pPr>
        <w:spacing w:after="0" w:line="360" w:lineRule="auto"/>
        <w:ind w:left="1440" w:firstLine="720"/>
        <w:rPr>
          <w:rFonts w:ascii="Garamond" w:eastAsia="Garamond" w:hAnsi="Garamond" w:cs="Garamond"/>
          <w:i/>
          <w:color w:val="000000"/>
          <w:sz w:val="24"/>
          <w:szCs w:val="24"/>
        </w:rPr>
      </w:pPr>
      <w:r>
        <w:rPr>
          <w:rFonts w:ascii="Garamond" w:eastAsia="Garamond" w:hAnsi="Garamond" w:cs="Garamond"/>
          <w:color w:val="000000"/>
          <w:sz w:val="24"/>
          <w:szCs w:val="24"/>
        </w:rPr>
        <w:t>Tabela 2</w:t>
      </w:r>
      <w:r w:rsidR="004360BC">
        <w:rPr>
          <w:rFonts w:ascii="Garamond" w:eastAsia="Garamond" w:hAnsi="Garamond" w:cs="Garamond"/>
          <w:color w:val="000000"/>
          <w:sz w:val="24"/>
          <w:szCs w:val="24"/>
        </w:rPr>
        <w:t>7</w:t>
      </w:r>
      <w:r>
        <w:rPr>
          <w:rFonts w:ascii="Garamond" w:eastAsia="Garamond" w:hAnsi="Garamond" w:cs="Garamond"/>
          <w:color w:val="000000"/>
          <w:sz w:val="24"/>
          <w:szCs w:val="24"/>
        </w:rPr>
        <w:t xml:space="preserve"> - Princípio da Verificabilidade</w:t>
      </w:r>
    </w:p>
    <w:tbl>
      <w:tblPr>
        <w:tblStyle w:val="af8"/>
        <w:tblW w:w="8104" w:type="dxa"/>
        <w:tblInd w:w="284" w:type="dxa"/>
        <w:tblLayout w:type="fixed"/>
        <w:tblLook w:val="0400" w:firstRow="0" w:lastRow="0" w:firstColumn="0" w:lastColumn="0" w:noHBand="0" w:noVBand="1"/>
      </w:tblPr>
      <w:tblGrid>
        <w:gridCol w:w="2410"/>
        <w:gridCol w:w="478"/>
        <w:gridCol w:w="1738"/>
        <w:gridCol w:w="1739"/>
        <w:gridCol w:w="1739"/>
      </w:tblGrid>
      <w:tr w:rsidR="00EC4499" w14:paraId="41ACC687" w14:textId="77777777" w:rsidTr="002B4EE5">
        <w:trPr>
          <w:trHeight w:val="288"/>
        </w:trPr>
        <w:tc>
          <w:tcPr>
            <w:tcW w:w="2410" w:type="dxa"/>
            <w:tcBorders>
              <w:top w:val="nil"/>
              <w:left w:val="nil"/>
              <w:bottom w:val="single" w:sz="4" w:space="0" w:color="000000"/>
              <w:right w:val="nil"/>
            </w:tcBorders>
            <w:shd w:val="clear" w:color="auto" w:fill="auto"/>
            <w:vAlign w:val="bottom"/>
          </w:tcPr>
          <w:p w14:paraId="3622B798" w14:textId="77777777" w:rsidR="00EC4499" w:rsidRDefault="00433EA7">
            <w:pPr>
              <w:spacing w:after="0" w:line="240" w:lineRule="auto"/>
              <w:rPr>
                <w:rFonts w:ascii="Garamond" w:eastAsia="Garamond" w:hAnsi="Garamond" w:cs="Garamond"/>
                <w:b/>
                <w:color w:val="000000"/>
                <w:sz w:val="18"/>
                <w:szCs w:val="18"/>
              </w:rPr>
            </w:pPr>
            <w:r>
              <w:rPr>
                <w:rFonts w:ascii="Garamond" w:eastAsia="Garamond" w:hAnsi="Garamond" w:cs="Garamond"/>
                <w:b/>
                <w:color w:val="000000"/>
                <w:sz w:val="18"/>
                <w:szCs w:val="18"/>
              </w:rPr>
              <w:t>Empresa</w:t>
            </w:r>
          </w:p>
        </w:tc>
        <w:tc>
          <w:tcPr>
            <w:tcW w:w="478" w:type="dxa"/>
            <w:tcBorders>
              <w:top w:val="nil"/>
              <w:left w:val="nil"/>
              <w:bottom w:val="single" w:sz="4" w:space="0" w:color="000000"/>
              <w:right w:val="nil"/>
            </w:tcBorders>
            <w:shd w:val="clear" w:color="auto" w:fill="auto"/>
            <w:vAlign w:val="bottom"/>
          </w:tcPr>
          <w:p w14:paraId="6CEA1995"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 xml:space="preserve">  Ano</w:t>
            </w:r>
          </w:p>
        </w:tc>
        <w:tc>
          <w:tcPr>
            <w:tcW w:w="1738" w:type="dxa"/>
            <w:tcBorders>
              <w:top w:val="nil"/>
              <w:left w:val="nil"/>
              <w:bottom w:val="single" w:sz="4" w:space="0" w:color="000000"/>
              <w:right w:val="nil"/>
            </w:tcBorders>
            <w:shd w:val="clear" w:color="auto" w:fill="auto"/>
            <w:vAlign w:val="bottom"/>
          </w:tcPr>
          <w:p w14:paraId="6BE46163" w14:textId="136B39FB" w:rsidR="00EC4499" w:rsidRDefault="00433EA7" w:rsidP="00BD7CE9">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Pontuação P1</w:t>
            </w:r>
          </w:p>
        </w:tc>
        <w:tc>
          <w:tcPr>
            <w:tcW w:w="1739" w:type="dxa"/>
            <w:tcBorders>
              <w:top w:val="nil"/>
              <w:left w:val="nil"/>
              <w:bottom w:val="single" w:sz="4" w:space="0" w:color="000000"/>
              <w:right w:val="nil"/>
            </w:tcBorders>
            <w:shd w:val="clear" w:color="auto" w:fill="auto"/>
            <w:vAlign w:val="bottom"/>
          </w:tcPr>
          <w:p w14:paraId="33790156" w14:textId="139BFE9E" w:rsidR="00EC4499" w:rsidRDefault="00433EA7" w:rsidP="00BD7CE9">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Pontuação P2</w:t>
            </w:r>
          </w:p>
        </w:tc>
        <w:tc>
          <w:tcPr>
            <w:tcW w:w="1739" w:type="dxa"/>
            <w:tcBorders>
              <w:top w:val="nil"/>
              <w:left w:val="nil"/>
              <w:bottom w:val="single" w:sz="4" w:space="0" w:color="000000"/>
              <w:right w:val="nil"/>
            </w:tcBorders>
            <w:shd w:val="clear" w:color="auto" w:fill="auto"/>
            <w:vAlign w:val="bottom"/>
          </w:tcPr>
          <w:p w14:paraId="44350926" w14:textId="6283C239" w:rsidR="00EC4499" w:rsidRDefault="00433EA7" w:rsidP="002B4EE5">
            <w:pPr>
              <w:spacing w:after="0" w:line="240" w:lineRule="auto"/>
              <w:jc w:val="right"/>
              <w:rPr>
                <w:rFonts w:ascii="Garamond" w:eastAsia="Garamond" w:hAnsi="Garamond" w:cs="Garamond"/>
                <w:b/>
                <w:color w:val="000000"/>
                <w:sz w:val="18"/>
                <w:szCs w:val="18"/>
              </w:rPr>
            </w:pPr>
            <w:r>
              <w:rPr>
                <w:rFonts w:ascii="Garamond" w:eastAsia="Garamond" w:hAnsi="Garamond" w:cs="Garamond"/>
                <w:b/>
                <w:color w:val="000000"/>
                <w:sz w:val="18"/>
                <w:szCs w:val="18"/>
              </w:rPr>
              <w:t>Total</w:t>
            </w:r>
          </w:p>
        </w:tc>
      </w:tr>
      <w:tr w:rsidR="00EC4499" w14:paraId="79012381" w14:textId="77777777" w:rsidTr="002B4EE5">
        <w:trPr>
          <w:trHeight w:val="288"/>
        </w:trPr>
        <w:tc>
          <w:tcPr>
            <w:tcW w:w="2410" w:type="dxa"/>
            <w:vMerge w:val="restart"/>
            <w:tcBorders>
              <w:top w:val="single" w:sz="4" w:space="0" w:color="000000"/>
              <w:left w:val="nil"/>
              <w:bottom w:val="nil"/>
              <w:right w:val="nil"/>
            </w:tcBorders>
            <w:shd w:val="clear" w:color="auto" w:fill="auto"/>
            <w:vAlign w:val="bottom"/>
          </w:tcPr>
          <w:p w14:paraId="1C490D13"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Banco do Brasil </w:t>
            </w:r>
          </w:p>
        </w:tc>
        <w:tc>
          <w:tcPr>
            <w:tcW w:w="478" w:type="dxa"/>
            <w:tcBorders>
              <w:top w:val="single" w:sz="4" w:space="0" w:color="000000"/>
              <w:left w:val="nil"/>
              <w:bottom w:val="nil"/>
              <w:right w:val="nil"/>
            </w:tcBorders>
            <w:shd w:val="clear" w:color="auto" w:fill="auto"/>
            <w:vAlign w:val="bottom"/>
          </w:tcPr>
          <w:p w14:paraId="39875830" w14:textId="77777777" w:rsidR="00EC4499" w:rsidRDefault="00433EA7">
            <w:pPr>
              <w:spacing w:after="0" w:line="240" w:lineRule="auto"/>
              <w:ind w:left="-81"/>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1738" w:type="dxa"/>
            <w:tcBorders>
              <w:top w:val="single" w:sz="4" w:space="0" w:color="000000"/>
              <w:left w:val="nil"/>
              <w:bottom w:val="nil"/>
              <w:right w:val="nil"/>
            </w:tcBorders>
            <w:shd w:val="clear" w:color="auto" w:fill="auto"/>
            <w:vAlign w:val="bottom"/>
          </w:tcPr>
          <w:p w14:paraId="184EEB74" w14:textId="77777777" w:rsidR="00EC4499" w:rsidRDefault="00433EA7" w:rsidP="00BD7CE9">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739" w:type="dxa"/>
            <w:tcBorders>
              <w:top w:val="single" w:sz="4" w:space="0" w:color="000000"/>
              <w:left w:val="nil"/>
              <w:bottom w:val="nil"/>
              <w:right w:val="nil"/>
            </w:tcBorders>
            <w:shd w:val="clear" w:color="auto" w:fill="auto"/>
            <w:vAlign w:val="bottom"/>
          </w:tcPr>
          <w:p w14:paraId="26AB7598" w14:textId="77777777" w:rsidR="00EC4499" w:rsidRDefault="00433EA7" w:rsidP="002B4EE5">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739" w:type="dxa"/>
            <w:tcBorders>
              <w:top w:val="single" w:sz="4" w:space="0" w:color="000000"/>
              <w:left w:val="nil"/>
              <w:bottom w:val="nil"/>
              <w:right w:val="nil"/>
            </w:tcBorders>
            <w:shd w:val="clear" w:color="auto" w:fill="auto"/>
            <w:vAlign w:val="bottom"/>
          </w:tcPr>
          <w:p w14:paraId="1ACB0164" w14:textId="77777777" w:rsidR="00EC4499" w:rsidRDefault="00433EA7" w:rsidP="00033725">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3</w:t>
            </w:r>
          </w:p>
        </w:tc>
      </w:tr>
      <w:tr w:rsidR="00EC4499" w14:paraId="5A8AEEAE" w14:textId="77777777" w:rsidTr="002B4EE5">
        <w:trPr>
          <w:trHeight w:val="288"/>
        </w:trPr>
        <w:tc>
          <w:tcPr>
            <w:tcW w:w="2410" w:type="dxa"/>
            <w:vMerge/>
            <w:tcBorders>
              <w:top w:val="single" w:sz="4" w:space="0" w:color="000000"/>
              <w:left w:val="nil"/>
              <w:bottom w:val="nil"/>
              <w:right w:val="nil"/>
            </w:tcBorders>
            <w:shd w:val="clear" w:color="auto" w:fill="auto"/>
            <w:vAlign w:val="bottom"/>
          </w:tcPr>
          <w:p w14:paraId="3BBC0553"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37250590" w14:textId="77777777" w:rsidR="00EC4499" w:rsidRDefault="00433EA7">
            <w:pPr>
              <w:spacing w:after="0" w:line="240" w:lineRule="auto"/>
              <w:ind w:left="-81"/>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1738" w:type="dxa"/>
            <w:tcBorders>
              <w:top w:val="nil"/>
              <w:left w:val="nil"/>
              <w:bottom w:val="single" w:sz="4" w:space="0" w:color="000000"/>
              <w:right w:val="nil"/>
            </w:tcBorders>
            <w:shd w:val="clear" w:color="auto" w:fill="auto"/>
            <w:vAlign w:val="bottom"/>
          </w:tcPr>
          <w:p w14:paraId="225338EF" w14:textId="77777777" w:rsidR="00EC4499" w:rsidRDefault="00433EA7" w:rsidP="00BD7CE9">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739" w:type="dxa"/>
            <w:tcBorders>
              <w:top w:val="nil"/>
              <w:left w:val="nil"/>
              <w:bottom w:val="single" w:sz="4" w:space="0" w:color="000000"/>
              <w:right w:val="nil"/>
            </w:tcBorders>
            <w:shd w:val="clear" w:color="auto" w:fill="auto"/>
            <w:vAlign w:val="bottom"/>
          </w:tcPr>
          <w:p w14:paraId="6DBBF792" w14:textId="77777777" w:rsidR="00EC4499" w:rsidRDefault="00433EA7" w:rsidP="002B4EE5">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739" w:type="dxa"/>
            <w:tcBorders>
              <w:top w:val="nil"/>
              <w:left w:val="nil"/>
              <w:bottom w:val="single" w:sz="4" w:space="0" w:color="000000"/>
              <w:right w:val="nil"/>
            </w:tcBorders>
            <w:shd w:val="clear" w:color="auto" w:fill="auto"/>
            <w:vAlign w:val="bottom"/>
          </w:tcPr>
          <w:p w14:paraId="5F159891" w14:textId="77777777" w:rsidR="00EC4499" w:rsidRDefault="00433EA7" w:rsidP="00033725">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3</w:t>
            </w:r>
          </w:p>
        </w:tc>
      </w:tr>
      <w:tr w:rsidR="00EC4499" w14:paraId="77168791" w14:textId="77777777" w:rsidTr="002B4EE5">
        <w:trPr>
          <w:trHeight w:val="288"/>
        </w:trPr>
        <w:tc>
          <w:tcPr>
            <w:tcW w:w="2410" w:type="dxa"/>
            <w:vMerge w:val="restart"/>
            <w:tcBorders>
              <w:top w:val="nil"/>
              <w:left w:val="nil"/>
              <w:bottom w:val="nil"/>
              <w:right w:val="nil"/>
            </w:tcBorders>
            <w:shd w:val="clear" w:color="auto" w:fill="auto"/>
            <w:vAlign w:val="bottom"/>
          </w:tcPr>
          <w:p w14:paraId="1EF37AA8"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Banco do Nordeste </w:t>
            </w:r>
          </w:p>
        </w:tc>
        <w:tc>
          <w:tcPr>
            <w:tcW w:w="478" w:type="dxa"/>
            <w:tcBorders>
              <w:top w:val="single" w:sz="4" w:space="0" w:color="000000"/>
              <w:left w:val="nil"/>
              <w:bottom w:val="nil"/>
              <w:right w:val="nil"/>
            </w:tcBorders>
            <w:shd w:val="clear" w:color="auto" w:fill="auto"/>
            <w:vAlign w:val="bottom"/>
          </w:tcPr>
          <w:p w14:paraId="7DB532A7" w14:textId="77777777" w:rsidR="00EC4499" w:rsidRDefault="00433EA7">
            <w:pPr>
              <w:spacing w:after="0" w:line="240" w:lineRule="auto"/>
              <w:ind w:left="-81"/>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1738" w:type="dxa"/>
            <w:tcBorders>
              <w:top w:val="single" w:sz="4" w:space="0" w:color="000000"/>
              <w:left w:val="nil"/>
              <w:bottom w:val="nil"/>
              <w:right w:val="nil"/>
            </w:tcBorders>
            <w:shd w:val="clear" w:color="auto" w:fill="auto"/>
            <w:vAlign w:val="bottom"/>
          </w:tcPr>
          <w:p w14:paraId="2B6536A4" w14:textId="77777777" w:rsidR="00EC4499" w:rsidRDefault="00433EA7" w:rsidP="00BD7CE9">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739" w:type="dxa"/>
            <w:tcBorders>
              <w:top w:val="single" w:sz="4" w:space="0" w:color="000000"/>
              <w:left w:val="nil"/>
              <w:bottom w:val="nil"/>
              <w:right w:val="nil"/>
            </w:tcBorders>
            <w:shd w:val="clear" w:color="auto" w:fill="auto"/>
            <w:vAlign w:val="bottom"/>
          </w:tcPr>
          <w:p w14:paraId="64EE02B9" w14:textId="77777777" w:rsidR="00EC4499" w:rsidRDefault="00433EA7" w:rsidP="002B4EE5">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739" w:type="dxa"/>
            <w:tcBorders>
              <w:top w:val="single" w:sz="4" w:space="0" w:color="000000"/>
              <w:left w:val="nil"/>
              <w:bottom w:val="nil"/>
              <w:right w:val="nil"/>
            </w:tcBorders>
            <w:shd w:val="clear" w:color="auto" w:fill="auto"/>
            <w:vAlign w:val="bottom"/>
          </w:tcPr>
          <w:p w14:paraId="19EB688C" w14:textId="77777777" w:rsidR="00EC4499" w:rsidRDefault="00433EA7" w:rsidP="00033725">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0109EDF4" w14:textId="77777777" w:rsidTr="002B4EE5">
        <w:trPr>
          <w:trHeight w:val="288"/>
        </w:trPr>
        <w:tc>
          <w:tcPr>
            <w:tcW w:w="2410" w:type="dxa"/>
            <w:vMerge/>
            <w:tcBorders>
              <w:top w:val="nil"/>
              <w:left w:val="nil"/>
              <w:bottom w:val="nil"/>
              <w:right w:val="nil"/>
            </w:tcBorders>
            <w:shd w:val="clear" w:color="auto" w:fill="auto"/>
            <w:vAlign w:val="bottom"/>
          </w:tcPr>
          <w:p w14:paraId="365BB52C"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7742173F" w14:textId="77777777" w:rsidR="00EC4499" w:rsidRDefault="00433EA7">
            <w:pPr>
              <w:spacing w:after="0" w:line="240" w:lineRule="auto"/>
              <w:ind w:left="-81"/>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1738" w:type="dxa"/>
            <w:tcBorders>
              <w:top w:val="nil"/>
              <w:left w:val="nil"/>
              <w:bottom w:val="single" w:sz="4" w:space="0" w:color="000000"/>
              <w:right w:val="nil"/>
            </w:tcBorders>
            <w:shd w:val="clear" w:color="auto" w:fill="auto"/>
            <w:vAlign w:val="bottom"/>
          </w:tcPr>
          <w:p w14:paraId="3D82C9EB" w14:textId="77777777" w:rsidR="00EC4499" w:rsidRDefault="00433EA7" w:rsidP="00BD7CE9">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739" w:type="dxa"/>
            <w:tcBorders>
              <w:top w:val="nil"/>
              <w:left w:val="nil"/>
              <w:bottom w:val="single" w:sz="4" w:space="0" w:color="000000"/>
              <w:right w:val="nil"/>
            </w:tcBorders>
            <w:shd w:val="clear" w:color="auto" w:fill="auto"/>
            <w:vAlign w:val="bottom"/>
          </w:tcPr>
          <w:p w14:paraId="5D8903ED" w14:textId="77777777" w:rsidR="00EC4499" w:rsidRDefault="00433EA7" w:rsidP="002B4EE5">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739" w:type="dxa"/>
            <w:tcBorders>
              <w:top w:val="nil"/>
              <w:left w:val="nil"/>
              <w:bottom w:val="single" w:sz="4" w:space="0" w:color="000000"/>
              <w:right w:val="nil"/>
            </w:tcBorders>
            <w:shd w:val="clear" w:color="auto" w:fill="auto"/>
            <w:vAlign w:val="bottom"/>
          </w:tcPr>
          <w:p w14:paraId="6C6886D8" w14:textId="77777777" w:rsidR="00EC4499" w:rsidRDefault="00433EA7" w:rsidP="00033725">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3A88C7EC" w14:textId="77777777" w:rsidTr="002B4EE5">
        <w:trPr>
          <w:trHeight w:val="288"/>
        </w:trPr>
        <w:tc>
          <w:tcPr>
            <w:tcW w:w="2410" w:type="dxa"/>
            <w:vMerge w:val="restart"/>
            <w:tcBorders>
              <w:top w:val="nil"/>
              <w:left w:val="nil"/>
              <w:bottom w:val="nil"/>
              <w:right w:val="nil"/>
            </w:tcBorders>
            <w:shd w:val="clear" w:color="auto" w:fill="auto"/>
            <w:vAlign w:val="bottom"/>
          </w:tcPr>
          <w:p w14:paraId="74FA6940"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BNDES</w:t>
            </w:r>
          </w:p>
        </w:tc>
        <w:tc>
          <w:tcPr>
            <w:tcW w:w="478" w:type="dxa"/>
            <w:tcBorders>
              <w:top w:val="single" w:sz="4" w:space="0" w:color="000000"/>
              <w:left w:val="nil"/>
              <w:bottom w:val="nil"/>
              <w:right w:val="nil"/>
            </w:tcBorders>
            <w:shd w:val="clear" w:color="auto" w:fill="auto"/>
            <w:vAlign w:val="bottom"/>
          </w:tcPr>
          <w:p w14:paraId="45A4C49F" w14:textId="77777777" w:rsidR="00EC4499" w:rsidRDefault="00433EA7">
            <w:pPr>
              <w:spacing w:after="0" w:line="240" w:lineRule="auto"/>
              <w:ind w:left="-81"/>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1738" w:type="dxa"/>
            <w:tcBorders>
              <w:top w:val="single" w:sz="4" w:space="0" w:color="000000"/>
              <w:left w:val="nil"/>
              <w:bottom w:val="nil"/>
              <w:right w:val="nil"/>
            </w:tcBorders>
            <w:shd w:val="clear" w:color="auto" w:fill="auto"/>
            <w:vAlign w:val="bottom"/>
          </w:tcPr>
          <w:p w14:paraId="5D17DD41" w14:textId="77777777" w:rsidR="00EC4499" w:rsidRDefault="00433EA7" w:rsidP="00BD7CE9">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739" w:type="dxa"/>
            <w:tcBorders>
              <w:top w:val="single" w:sz="4" w:space="0" w:color="000000"/>
              <w:left w:val="nil"/>
              <w:bottom w:val="nil"/>
              <w:right w:val="nil"/>
            </w:tcBorders>
            <w:shd w:val="clear" w:color="auto" w:fill="auto"/>
            <w:vAlign w:val="bottom"/>
          </w:tcPr>
          <w:p w14:paraId="778FEA1D" w14:textId="77777777" w:rsidR="00EC4499" w:rsidRDefault="00433EA7" w:rsidP="002B4EE5">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739" w:type="dxa"/>
            <w:tcBorders>
              <w:top w:val="single" w:sz="4" w:space="0" w:color="000000"/>
              <w:left w:val="nil"/>
              <w:bottom w:val="nil"/>
              <w:right w:val="nil"/>
            </w:tcBorders>
            <w:shd w:val="clear" w:color="auto" w:fill="auto"/>
            <w:vAlign w:val="bottom"/>
          </w:tcPr>
          <w:p w14:paraId="67156321" w14:textId="77777777" w:rsidR="00EC4499" w:rsidRDefault="00433EA7" w:rsidP="00033725">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3</w:t>
            </w:r>
          </w:p>
        </w:tc>
      </w:tr>
      <w:tr w:rsidR="00EC4499" w14:paraId="5B215973" w14:textId="77777777" w:rsidTr="002B4EE5">
        <w:trPr>
          <w:trHeight w:val="288"/>
        </w:trPr>
        <w:tc>
          <w:tcPr>
            <w:tcW w:w="2410" w:type="dxa"/>
            <w:vMerge/>
            <w:tcBorders>
              <w:top w:val="nil"/>
              <w:left w:val="nil"/>
              <w:bottom w:val="nil"/>
              <w:right w:val="nil"/>
            </w:tcBorders>
            <w:shd w:val="clear" w:color="auto" w:fill="auto"/>
            <w:vAlign w:val="bottom"/>
          </w:tcPr>
          <w:p w14:paraId="2C6A87E5"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0DEC29E5" w14:textId="77777777" w:rsidR="00EC4499" w:rsidRDefault="00433EA7">
            <w:pPr>
              <w:spacing w:after="0" w:line="240" w:lineRule="auto"/>
              <w:ind w:left="-81"/>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1738" w:type="dxa"/>
            <w:tcBorders>
              <w:top w:val="nil"/>
              <w:left w:val="nil"/>
              <w:bottom w:val="single" w:sz="4" w:space="0" w:color="000000"/>
              <w:right w:val="nil"/>
            </w:tcBorders>
            <w:shd w:val="clear" w:color="auto" w:fill="auto"/>
            <w:vAlign w:val="bottom"/>
          </w:tcPr>
          <w:p w14:paraId="380FF788" w14:textId="77777777" w:rsidR="00EC4499" w:rsidRDefault="00433EA7" w:rsidP="00BD7CE9">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739" w:type="dxa"/>
            <w:tcBorders>
              <w:top w:val="nil"/>
              <w:left w:val="nil"/>
              <w:bottom w:val="single" w:sz="4" w:space="0" w:color="000000"/>
              <w:right w:val="nil"/>
            </w:tcBorders>
            <w:shd w:val="clear" w:color="auto" w:fill="auto"/>
            <w:vAlign w:val="bottom"/>
          </w:tcPr>
          <w:p w14:paraId="5797DEDE" w14:textId="77777777" w:rsidR="00EC4499" w:rsidRDefault="00433EA7" w:rsidP="002B4EE5">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739" w:type="dxa"/>
            <w:tcBorders>
              <w:top w:val="nil"/>
              <w:left w:val="nil"/>
              <w:bottom w:val="single" w:sz="4" w:space="0" w:color="000000"/>
              <w:right w:val="nil"/>
            </w:tcBorders>
            <w:shd w:val="clear" w:color="auto" w:fill="auto"/>
            <w:vAlign w:val="bottom"/>
          </w:tcPr>
          <w:p w14:paraId="784DC8E8" w14:textId="77777777" w:rsidR="00EC4499" w:rsidRDefault="00433EA7" w:rsidP="00033725">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3</w:t>
            </w:r>
          </w:p>
        </w:tc>
      </w:tr>
      <w:tr w:rsidR="00EC4499" w14:paraId="13E97454" w14:textId="77777777" w:rsidTr="002B4EE5">
        <w:trPr>
          <w:trHeight w:val="288"/>
        </w:trPr>
        <w:tc>
          <w:tcPr>
            <w:tcW w:w="2410" w:type="dxa"/>
            <w:vMerge w:val="restart"/>
            <w:tcBorders>
              <w:top w:val="nil"/>
              <w:left w:val="nil"/>
              <w:bottom w:val="nil"/>
              <w:right w:val="nil"/>
            </w:tcBorders>
            <w:shd w:val="clear" w:color="auto" w:fill="auto"/>
            <w:vAlign w:val="bottom"/>
          </w:tcPr>
          <w:p w14:paraId="297183A5"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Bradesco</w:t>
            </w:r>
          </w:p>
        </w:tc>
        <w:tc>
          <w:tcPr>
            <w:tcW w:w="478" w:type="dxa"/>
            <w:tcBorders>
              <w:top w:val="single" w:sz="4" w:space="0" w:color="000000"/>
              <w:left w:val="nil"/>
              <w:bottom w:val="nil"/>
              <w:right w:val="nil"/>
            </w:tcBorders>
            <w:shd w:val="clear" w:color="auto" w:fill="auto"/>
            <w:vAlign w:val="bottom"/>
          </w:tcPr>
          <w:p w14:paraId="02D415E1" w14:textId="77777777" w:rsidR="00EC4499" w:rsidRDefault="00433EA7">
            <w:pPr>
              <w:spacing w:after="0" w:line="240" w:lineRule="auto"/>
              <w:ind w:left="-81"/>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1738" w:type="dxa"/>
            <w:tcBorders>
              <w:top w:val="single" w:sz="4" w:space="0" w:color="000000"/>
              <w:left w:val="nil"/>
              <w:bottom w:val="nil"/>
              <w:right w:val="nil"/>
            </w:tcBorders>
            <w:shd w:val="clear" w:color="auto" w:fill="auto"/>
            <w:vAlign w:val="bottom"/>
          </w:tcPr>
          <w:p w14:paraId="1D58106A" w14:textId="77777777" w:rsidR="00EC4499" w:rsidRDefault="00433EA7" w:rsidP="00BD7CE9">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739" w:type="dxa"/>
            <w:tcBorders>
              <w:top w:val="single" w:sz="4" w:space="0" w:color="000000"/>
              <w:left w:val="nil"/>
              <w:bottom w:val="nil"/>
              <w:right w:val="nil"/>
            </w:tcBorders>
            <w:shd w:val="clear" w:color="auto" w:fill="auto"/>
            <w:vAlign w:val="bottom"/>
          </w:tcPr>
          <w:p w14:paraId="567A6469" w14:textId="77777777" w:rsidR="00EC4499" w:rsidRDefault="00433EA7" w:rsidP="002B4EE5">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739" w:type="dxa"/>
            <w:tcBorders>
              <w:top w:val="single" w:sz="4" w:space="0" w:color="000000"/>
              <w:left w:val="nil"/>
              <w:bottom w:val="nil"/>
              <w:right w:val="nil"/>
            </w:tcBorders>
            <w:shd w:val="clear" w:color="auto" w:fill="auto"/>
            <w:vAlign w:val="bottom"/>
          </w:tcPr>
          <w:p w14:paraId="306AFFF0" w14:textId="77777777" w:rsidR="00EC4499" w:rsidRDefault="00433EA7" w:rsidP="00033725">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3</w:t>
            </w:r>
          </w:p>
        </w:tc>
      </w:tr>
      <w:tr w:rsidR="00EC4499" w14:paraId="17275DC1" w14:textId="77777777" w:rsidTr="002B4EE5">
        <w:trPr>
          <w:trHeight w:val="288"/>
        </w:trPr>
        <w:tc>
          <w:tcPr>
            <w:tcW w:w="2410" w:type="dxa"/>
            <w:vMerge/>
            <w:tcBorders>
              <w:top w:val="nil"/>
              <w:left w:val="nil"/>
              <w:bottom w:val="nil"/>
              <w:right w:val="nil"/>
            </w:tcBorders>
            <w:shd w:val="clear" w:color="auto" w:fill="auto"/>
            <w:vAlign w:val="bottom"/>
          </w:tcPr>
          <w:p w14:paraId="7E2081B2"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401C78EF" w14:textId="77777777" w:rsidR="00EC4499" w:rsidRDefault="00433EA7">
            <w:pPr>
              <w:spacing w:after="0" w:line="240" w:lineRule="auto"/>
              <w:ind w:left="-81"/>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1738" w:type="dxa"/>
            <w:tcBorders>
              <w:top w:val="nil"/>
              <w:left w:val="nil"/>
              <w:bottom w:val="single" w:sz="4" w:space="0" w:color="000000"/>
              <w:right w:val="nil"/>
            </w:tcBorders>
            <w:shd w:val="clear" w:color="auto" w:fill="auto"/>
            <w:vAlign w:val="bottom"/>
          </w:tcPr>
          <w:p w14:paraId="1F5838A0" w14:textId="77777777" w:rsidR="00EC4499" w:rsidRDefault="00433EA7" w:rsidP="00BD7CE9">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739" w:type="dxa"/>
            <w:tcBorders>
              <w:top w:val="nil"/>
              <w:left w:val="nil"/>
              <w:bottom w:val="single" w:sz="4" w:space="0" w:color="000000"/>
              <w:right w:val="nil"/>
            </w:tcBorders>
            <w:shd w:val="clear" w:color="auto" w:fill="auto"/>
            <w:vAlign w:val="bottom"/>
          </w:tcPr>
          <w:p w14:paraId="168116C3" w14:textId="77777777" w:rsidR="00EC4499" w:rsidRDefault="00433EA7" w:rsidP="002B4EE5">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739" w:type="dxa"/>
            <w:tcBorders>
              <w:top w:val="nil"/>
              <w:left w:val="nil"/>
              <w:bottom w:val="single" w:sz="4" w:space="0" w:color="000000"/>
              <w:right w:val="nil"/>
            </w:tcBorders>
            <w:shd w:val="clear" w:color="auto" w:fill="auto"/>
            <w:vAlign w:val="bottom"/>
          </w:tcPr>
          <w:p w14:paraId="7152F900" w14:textId="77777777" w:rsidR="00EC4499" w:rsidRDefault="00433EA7" w:rsidP="00033725">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3</w:t>
            </w:r>
          </w:p>
        </w:tc>
      </w:tr>
      <w:tr w:rsidR="00EC4499" w14:paraId="66594FDD" w14:textId="77777777" w:rsidTr="002B4EE5">
        <w:trPr>
          <w:trHeight w:val="288"/>
        </w:trPr>
        <w:tc>
          <w:tcPr>
            <w:tcW w:w="2410" w:type="dxa"/>
            <w:vMerge w:val="restart"/>
            <w:tcBorders>
              <w:top w:val="nil"/>
              <w:left w:val="nil"/>
              <w:bottom w:val="nil"/>
              <w:right w:val="nil"/>
            </w:tcBorders>
            <w:shd w:val="clear" w:color="auto" w:fill="auto"/>
            <w:vAlign w:val="bottom"/>
          </w:tcPr>
          <w:p w14:paraId="5C446631"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BTG Pactual</w:t>
            </w:r>
          </w:p>
        </w:tc>
        <w:tc>
          <w:tcPr>
            <w:tcW w:w="478" w:type="dxa"/>
            <w:tcBorders>
              <w:top w:val="single" w:sz="4" w:space="0" w:color="000000"/>
              <w:left w:val="nil"/>
              <w:bottom w:val="nil"/>
              <w:right w:val="nil"/>
            </w:tcBorders>
            <w:shd w:val="clear" w:color="auto" w:fill="auto"/>
            <w:vAlign w:val="bottom"/>
          </w:tcPr>
          <w:p w14:paraId="47113EAA" w14:textId="77777777" w:rsidR="00EC4499" w:rsidRDefault="00433EA7">
            <w:pPr>
              <w:spacing w:after="0" w:line="240" w:lineRule="auto"/>
              <w:ind w:left="-81"/>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1738" w:type="dxa"/>
            <w:tcBorders>
              <w:top w:val="single" w:sz="4" w:space="0" w:color="000000"/>
              <w:left w:val="nil"/>
              <w:bottom w:val="nil"/>
              <w:right w:val="nil"/>
            </w:tcBorders>
            <w:shd w:val="clear" w:color="auto" w:fill="auto"/>
            <w:vAlign w:val="bottom"/>
          </w:tcPr>
          <w:p w14:paraId="7B9DE9EE" w14:textId="77777777" w:rsidR="00EC4499" w:rsidRDefault="00433EA7" w:rsidP="00BD7CE9">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739" w:type="dxa"/>
            <w:tcBorders>
              <w:top w:val="single" w:sz="4" w:space="0" w:color="000000"/>
              <w:left w:val="nil"/>
              <w:bottom w:val="nil"/>
              <w:right w:val="nil"/>
            </w:tcBorders>
            <w:shd w:val="clear" w:color="auto" w:fill="auto"/>
            <w:vAlign w:val="bottom"/>
          </w:tcPr>
          <w:p w14:paraId="7424380F" w14:textId="77777777" w:rsidR="00EC4499" w:rsidRDefault="00433EA7" w:rsidP="002B4EE5">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739" w:type="dxa"/>
            <w:tcBorders>
              <w:top w:val="single" w:sz="4" w:space="0" w:color="000000"/>
              <w:left w:val="nil"/>
              <w:bottom w:val="nil"/>
              <w:right w:val="nil"/>
            </w:tcBorders>
            <w:shd w:val="clear" w:color="auto" w:fill="auto"/>
            <w:vAlign w:val="bottom"/>
          </w:tcPr>
          <w:p w14:paraId="2C87872B" w14:textId="77777777" w:rsidR="00EC4499" w:rsidRDefault="00433EA7" w:rsidP="00033725">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64F84C53" w14:textId="77777777" w:rsidTr="002B4EE5">
        <w:trPr>
          <w:trHeight w:val="288"/>
        </w:trPr>
        <w:tc>
          <w:tcPr>
            <w:tcW w:w="2410" w:type="dxa"/>
            <w:vMerge/>
            <w:tcBorders>
              <w:top w:val="nil"/>
              <w:left w:val="nil"/>
              <w:bottom w:val="nil"/>
              <w:right w:val="nil"/>
            </w:tcBorders>
            <w:shd w:val="clear" w:color="auto" w:fill="auto"/>
            <w:vAlign w:val="bottom"/>
          </w:tcPr>
          <w:p w14:paraId="0B59C9EC"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0EA42726" w14:textId="77777777" w:rsidR="00EC4499" w:rsidRDefault="00433EA7">
            <w:pPr>
              <w:spacing w:after="0" w:line="240" w:lineRule="auto"/>
              <w:ind w:left="-81"/>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1738" w:type="dxa"/>
            <w:tcBorders>
              <w:top w:val="nil"/>
              <w:left w:val="nil"/>
              <w:bottom w:val="single" w:sz="4" w:space="0" w:color="000000"/>
              <w:right w:val="nil"/>
            </w:tcBorders>
            <w:shd w:val="clear" w:color="auto" w:fill="auto"/>
            <w:vAlign w:val="bottom"/>
          </w:tcPr>
          <w:p w14:paraId="4A7E8A10" w14:textId="77777777" w:rsidR="00EC4499" w:rsidRDefault="00433EA7" w:rsidP="00BD7CE9">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739" w:type="dxa"/>
            <w:tcBorders>
              <w:top w:val="nil"/>
              <w:left w:val="nil"/>
              <w:bottom w:val="single" w:sz="4" w:space="0" w:color="000000"/>
              <w:right w:val="nil"/>
            </w:tcBorders>
            <w:shd w:val="clear" w:color="auto" w:fill="auto"/>
            <w:vAlign w:val="bottom"/>
          </w:tcPr>
          <w:p w14:paraId="7383568F" w14:textId="77777777" w:rsidR="00EC4499" w:rsidRDefault="00433EA7" w:rsidP="002B4EE5">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739" w:type="dxa"/>
            <w:tcBorders>
              <w:top w:val="nil"/>
              <w:left w:val="nil"/>
              <w:bottom w:val="single" w:sz="4" w:space="0" w:color="000000"/>
              <w:right w:val="nil"/>
            </w:tcBorders>
            <w:shd w:val="clear" w:color="auto" w:fill="auto"/>
            <w:vAlign w:val="bottom"/>
          </w:tcPr>
          <w:p w14:paraId="109CA87C" w14:textId="77777777" w:rsidR="00EC4499" w:rsidRDefault="00433EA7" w:rsidP="00033725">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7E0634FA" w14:textId="77777777" w:rsidTr="002B4EE5">
        <w:trPr>
          <w:trHeight w:val="288"/>
        </w:trPr>
        <w:tc>
          <w:tcPr>
            <w:tcW w:w="2410" w:type="dxa"/>
            <w:vMerge w:val="restart"/>
            <w:tcBorders>
              <w:top w:val="nil"/>
              <w:left w:val="nil"/>
              <w:bottom w:val="nil"/>
              <w:right w:val="nil"/>
            </w:tcBorders>
            <w:shd w:val="clear" w:color="auto" w:fill="auto"/>
            <w:vAlign w:val="bottom"/>
          </w:tcPr>
          <w:p w14:paraId="2494FD99"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Caixa Econômica Federal </w:t>
            </w:r>
          </w:p>
        </w:tc>
        <w:tc>
          <w:tcPr>
            <w:tcW w:w="478" w:type="dxa"/>
            <w:tcBorders>
              <w:top w:val="single" w:sz="4" w:space="0" w:color="000000"/>
              <w:left w:val="nil"/>
              <w:bottom w:val="nil"/>
              <w:right w:val="nil"/>
            </w:tcBorders>
            <w:shd w:val="clear" w:color="auto" w:fill="auto"/>
            <w:vAlign w:val="bottom"/>
          </w:tcPr>
          <w:p w14:paraId="02D18A36" w14:textId="77777777" w:rsidR="00EC4499" w:rsidRDefault="00433EA7">
            <w:pPr>
              <w:spacing w:after="0" w:line="240" w:lineRule="auto"/>
              <w:ind w:left="-81"/>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1738" w:type="dxa"/>
            <w:tcBorders>
              <w:top w:val="single" w:sz="4" w:space="0" w:color="000000"/>
              <w:left w:val="nil"/>
              <w:bottom w:val="nil"/>
              <w:right w:val="nil"/>
            </w:tcBorders>
            <w:shd w:val="clear" w:color="auto" w:fill="auto"/>
            <w:vAlign w:val="bottom"/>
          </w:tcPr>
          <w:p w14:paraId="3BAFF2DD" w14:textId="77777777" w:rsidR="00EC4499" w:rsidRDefault="00433EA7" w:rsidP="00BD7CE9">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0</w:t>
            </w:r>
          </w:p>
        </w:tc>
        <w:tc>
          <w:tcPr>
            <w:tcW w:w="1739" w:type="dxa"/>
            <w:tcBorders>
              <w:top w:val="single" w:sz="4" w:space="0" w:color="000000"/>
              <w:left w:val="nil"/>
              <w:bottom w:val="nil"/>
              <w:right w:val="nil"/>
            </w:tcBorders>
            <w:shd w:val="clear" w:color="auto" w:fill="auto"/>
            <w:vAlign w:val="bottom"/>
          </w:tcPr>
          <w:p w14:paraId="6804D96F" w14:textId="77777777" w:rsidR="00EC4499" w:rsidRDefault="00433EA7" w:rsidP="002B4EE5">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739" w:type="dxa"/>
            <w:tcBorders>
              <w:top w:val="single" w:sz="4" w:space="0" w:color="000000"/>
              <w:left w:val="nil"/>
              <w:bottom w:val="nil"/>
              <w:right w:val="nil"/>
            </w:tcBorders>
            <w:shd w:val="clear" w:color="auto" w:fill="auto"/>
            <w:vAlign w:val="bottom"/>
          </w:tcPr>
          <w:p w14:paraId="1D165D4E" w14:textId="77777777" w:rsidR="00EC4499" w:rsidRDefault="00433EA7" w:rsidP="00033725">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755D10C3" w14:textId="77777777" w:rsidTr="002B4EE5">
        <w:trPr>
          <w:trHeight w:val="288"/>
        </w:trPr>
        <w:tc>
          <w:tcPr>
            <w:tcW w:w="2410" w:type="dxa"/>
            <w:vMerge/>
            <w:tcBorders>
              <w:top w:val="nil"/>
              <w:left w:val="nil"/>
              <w:bottom w:val="nil"/>
              <w:right w:val="nil"/>
            </w:tcBorders>
            <w:shd w:val="clear" w:color="auto" w:fill="auto"/>
            <w:vAlign w:val="bottom"/>
          </w:tcPr>
          <w:p w14:paraId="4F2B4B23"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4AEE6258" w14:textId="77777777" w:rsidR="00EC4499" w:rsidRDefault="00433EA7">
            <w:pPr>
              <w:spacing w:after="0" w:line="240" w:lineRule="auto"/>
              <w:ind w:left="-81"/>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1738" w:type="dxa"/>
            <w:tcBorders>
              <w:top w:val="nil"/>
              <w:left w:val="nil"/>
              <w:bottom w:val="single" w:sz="4" w:space="0" w:color="000000"/>
              <w:right w:val="nil"/>
            </w:tcBorders>
            <w:shd w:val="clear" w:color="auto" w:fill="auto"/>
            <w:vAlign w:val="bottom"/>
          </w:tcPr>
          <w:p w14:paraId="363FA1A3" w14:textId="77777777" w:rsidR="00EC4499" w:rsidRDefault="00433EA7" w:rsidP="00BD7CE9">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739" w:type="dxa"/>
            <w:tcBorders>
              <w:top w:val="nil"/>
              <w:left w:val="nil"/>
              <w:bottom w:val="single" w:sz="4" w:space="0" w:color="000000"/>
              <w:right w:val="nil"/>
            </w:tcBorders>
            <w:shd w:val="clear" w:color="auto" w:fill="auto"/>
            <w:vAlign w:val="bottom"/>
          </w:tcPr>
          <w:p w14:paraId="4228B19F" w14:textId="77777777" w:rsidR="00EC4499" w:rsidRDefault="00433EA7" w:rsidP="002B4EE5">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739" w:type="dxa"/>
            <w:tcBorders>
              <w:top w:val="nil"/>
              <w:left w:val="nil"/>
              <w:bottom w:val="single" w:sz="4" w:space="0" w:color="000000"/>
              <w:right w:val="nil"/>
            </w:tcBorders>
            <w:shd w:val="clear" w:color="auto" w:fill="auto"/>
            <w:vAlign w:val="bottom"/>
          </w:tcPr>
          <w:p w14:paraId="2E32FE93" w14:textId="77777777" w:rsidR="00EC4499" w:rsidRDefault="00433EA7" w:rsidP="00033725">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3</w:t>
            </w:r>
          </w:p>
        </w:tc>
      </w:tr>
      <w:tr w:rsidR="00EC4499" w14:paraId="6DF4BDB3" w14:textId="77777777" w:rsidTr="002B4EE5">
        <w:trPr>
          <w:trHeight w:val="288"/>
        </w:trPr>
        <w:tc>
          <w:tcPr>
            <w:tcW w:w="2410" w:type="dxa"/>
            <w:vMerge w:val="restart"/>
            <w:tcBorders>
              <w:top w:val="nil"/>
              <w:left w:val="nil"/>
              <w:bottom w:val="nil"/>
              <w:right w:val="nil"/>
            </w:tcBorders>
            <w:shd w:val="clear" w:color="auto" w:fill="auto"/>
            <w:vAlign w:val="bottom"/>
          </w:tcPr>
          <w:p w14:paraId="0E58EDFF"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Citibank</w:t>
            </w:r>
          </w:p>
        </w:tc>
        <w:tc>
          <w:tcPr>
            <w:tcW w:w="478" w:type="dxa"/>
            <w:tcBorders>
              <w:top w:val="single" w:sz="4" w:space="0" w:color="000000"/>
              <w:left w:val="nil"/>
              <w:bottom w:val="nil"/>
              <w:right w:val="nil"/>
            </w:tcBorders>
            <w:shd w:val="clear" w:color="auto" w:fill="auto"/>
            <w:vAlign w:val="bottom"/>
          </w:tcPr>
          <w:p w14:paraId="04AF0B82" w14:textId="77777777" w:rsidR="00EC4499" w:rsidRDefault="00433EA7">
            <w:pPr>
              <w:spacing w:after="0" w:line="240" w:lineRule="auto"/>
              <w:ind w:left="-81"/>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1738" w:type="dxa"/>
            <w:tcBorders>
              <w:top w:val="single" w:sz="4" w:space="0" w:color="000000"/>
              <w:left w:val="nil"/>
              <w:bottom w:val="nil"/>
              <w:right w:val="nil"/>
            </w:tcBorders>
            <w:shd w:val="clear" w:color="auto" w:fill="auto"/>
            <w:vAlign w:val="bottom"/>
          </w:tcPr>
          <w:p w14:paraId="4A5932B9" w14:textId="77777777" w:rsidR="00EC4499" w:rsidRDefault="00433EA7" w:rsidP="00BD7CE9">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739" w:type="dxa"/>
            <w:tcBorders>
              <w:top w:val="single" w:sz="4" w:space="0" w:color="000000"/>
              <w:left w:val="nil"/>
              <w:bottom w:val="nil"/>
              <w:right w:val="nil"/>
            </w:tcBorders>
            <w:shd w:val="clear" w:color="auto" w:fill="auto"/>
            <w:vAlign w:val="bottom"/>
          </w:tcPr>
          <w:p w14:paraId="5AFBBB65" w14:textId="77777777" w:rsidR="00EC4499" w:rsidRDefault="00433EA7" w:rsidP="002B4EE5">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739" w:type="dxa"/>
            <w:tcBorders>
              <w:top w:val="single" w:sz="4" w:space="0" w:color="000000"/>
              <w:left w:val="nil"/>
              <w:bottom w:val="nil"/>
              <w:right w:val="nil"/>
            </w:tcBorders>
            <w:shd w:val="clear" w:color="auto" w:fill="auto"/>
            <w:vAlign w:val="bottom"/>
          </w:tcPr>
          <w:p w14:paraId="065109E1" w14:textId="77777777" w:rsidR="00EC4499" w:rsidRDefault="00433EA7" w:rsidP="00033725">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3050B829" w14:textId="77777777" w:rsidTr="002B4EE5">
        <w:trPr>
          <w:trHeight w:val="288"/>
        </w:trPr>
        <w:tc>
          <w:tcPr>
            <w:tcW w:w="2410" w:type="dxa"/>
            <w:vMerge/>
            <w:tcBorders>
              <w:top w:val="nil"/>
              <w:left w:val="nil"/>
              <w:bottom w:val="nil"/>
              <w:right w:val="nil"/>
            </w:tcBorders>
            <w:shd w:val="clear" w:color="auto" w:fill="auto"/>
            <w:vAlign w:val="bottom"/>
          </w:tcPr>
          <w:p w14:paraId="611E685F"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6696F786" w14:textId="77777777" w:rsidR="00EC4499" w:rsidRDefault="00433EA7">
            <w:pPr>
              <w:spacing w:after="0" w:line="240" w:lineRule="auto"/>
              <w:ind w:left="-81"/>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1738" w:type="dxa"/>
            <w:tcBorders>
              <w:top w:val="nil"/>
              <w:left w:val="nil"/>
              <w:bottom w:val="single" w:sz="4" w:space="0" w:color="000000"/>
              <w:right w:val="nil"/>
            </w:tcBorders>
            <w:shd w:val="clear" w:color="auto" w:fill="auto"/>
            <w:vAlign w:val="bottom"/>
          </w:tcPr>
          <w:p w14:paraId="48A2C8EA" w14:textId="77777777" w:rsidR="00EC4499" w:rsidRDefault="00433EA7" w:rsidP="00BD7CE9">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739" w:type="dxa"/>
            <w:tcBorders>
              <w:top w:val="nil"/>
              <w:left w:val="nil"/>
              <w:bottom w:val="single" w:sz="4" w:space="0" w:color="000000"/>
              <w:right w:val="nil"/>
            </w:tcBorders>
            <w:shd w:val="clear" w:color="auto" w:fill="auto"/>
            <w:vAlign w:val="bottom"/>
          </w:tcPr>
          <w:p w14:paraId="28028ECD" w14:textId="77777777" w:rsidR="00EC4499" w:rsidRDefault="00433EA7" w:rsidP="002B4EE5">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739" w:type="dxa"/>
            <w:tcBorders>
              <w:top w:val="nil"/>
              <w:left w:val="nil"/>
              <w:bottom w:val="single" w:sz="4" w:space="0" w:color="000000"/>
              <w:right w:val="nil"/>
            </w:tcBorders>
            <w:shd w:val="clear" w:color="auto" w:fill="auto"/>
            <w:vAlign w:val="bottom"/>
          </w:tcPr>
          <w:p w14:paraId="052D277E" w14:textId="77777777" w:rsidR="00EC4499" w:rsidRDefault="00433EA7" w:rsidP="00033725">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746B9DC2" w14:textId="77777777" w:rsidTr="002B4EE5">
        <w:trPr>
          <w:trHeight w:val="288"/>
        </w:trPr>
        <w:tc>
          <w:tcPr>
            <w:tcW w:w="2410" w:type="dxa"/>
            <w:vMerge w:val="restart"/>
            <w:tcBorders>
              <w:top w:val="nil"/>
              <w:left w:val="nil"/>
              <w:bottom w:val="nil"/>
              <w:right w:val="nil"/>
            </w:tcBorders>
            <w:shd w:val="clear" w:color="auto" w:fill="auto"/>
            <w:vAlign w:val="bottom"/>
          </w:tcPr>
          <w:p w14:paraId="23B5B6E4"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Inter</w:t>
            </w:r>
          </w:p>
        </w:tc>
        <w:tc>
          <w:tcPr>
            <w:tcW w:w="478" w:type="dxa"/>
            <w:tcBorders>
              <w:top w:val="single" w:sz="4" w:space="0" w:color="000000"/>
              <w:left w:val="nil"/>
              <w:bottom w:val="nil"/>
              <w:right w:val="nil"/>
            </w:tcBorders>
            <w:shd w:val="clear" w:color="auto" w:fill="auto"/>
            <w:vAlign w:val="bottom"/>
          </w:tcPr>
          <w:p w14:paraId="0D3612F0" w14:textId="77777777" w:rsidR="00EC4499" w:rsidRDefault="00433EA7">
            <w:pPr>
              <w:spacing w:after="0" w:line="240" w:lineRule="auto"/>
              <w:ind w:left="-81"/>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1738" w:type="dxa"/>
            <w:tcBorders>
              <w:top w:val="single" w:sz="4" w:space="0" w:color="000000"/>
              <w:left w:val="nil"/>
              <w:bottom w:val="nil"/>
              <w:right w:val="nil"/>
            </w:tcBorders>
            <w:shd w:val="clear" w:color="auto" w:fill="auto"/>
            <w:vAlign w:val="bottom"/>
          </w:tcPr>
          <w:p w14:paraId="6E8126F3" w14:textId="77777777" w:rsidR="00EC4499" w:rsidRDefault="00433EA7" w:rsidP="00BD7CE9">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739" w:type="dxa"/>
            <w:tcBorders>
              <w:top w:val="single" w:sz="4" w:space="0" w:color="000000"/>
              <w:left w:val="nil"/>
              <w:bottom w:val="nil"/>
              <w:right w:val="nil"/>
            </w:tcBorders>
            <w:shd w:val="clear" w:color="auto" w:fill="auto"/>
            <w:vAlign w:val="bottom"/>
          </w:tcPr>
          <w:p w14:paraId="6BC02718" w14:textId="77777777" w:rsidR="00EC4499" w:rsidRDefault="00433EA7" w:rsidP="002B4EE5">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739" w:type="dxa"/>
            <w:tcBorders>
              <w:top w:val="single" w:sz="4" w:space="0" w:color="000000"/>
              <w:left w:val="nil"/>
              <w:bottom w:val="nil"/>
              <w:right w:val="nil"/>
            </w:tcBorders>
            <w:shd w:val="clear" w:color="auto" w:fill="auto"/>
            <w:vAlign w:val="bottom"/>
          </w:tcPr>
          <w:p w14:paraId="45A8B66F" w14:textId="77777777" w:rsidR="00EC4499" w:rsidRDefault="00433EA7" w:rsidP="00033725">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288EEC80" w14:textId="77777777" w:rsidTr="002B4EE5">
        <w:trPr>
          <w:trHeight w:val="288"/>
        </w:trPr>
        <w:tc>
          <w:tcPr>
            <w:tcW w:w="2410" w:type="dxa"/>
            <w:vMerge/>
            <w:tcBorders>
              <w:top w:val="nil"/>
              <w:left w:val="nil"/>
              <w:bottom w:val="nil"/>
              <w:right w:val="nil"/>
            </w:tcBorders>
            <w:shd w:val="clear" w:color="auto" w:fill="auto"/>
            <w:vAlign w:val="bottom"/>
          </w:tcPr>
          <w:p w14:paraId="5F9008B8"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33AB74C1" w14:textId="77777777" w:rsidR="00EC4499" w:rsidRDefault="00433EA7">
            <w:pPr>
              <w:spacing w:after="0" w:line="240" w:lineRule="auto"/>
              <w:ind w:left="-81"/>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1738" w:type="dxa"/>
            <w:tcBorders>
              <w:top w:val="nil"/>
              <w:left w:val="nil"/>
              <w:bottom w:val="single" w:sz="4" w:space="0" w:color="000000"/>
              <w:right w:val="nil"/>
            </w:tcBorders>
            <w:shd w:val="clear" w:color="auto" w:fill="auto"/>
            <w:vAlign w:val="bottom"/>
          </w:tcPr>
          <w:p w14:paraId="53AAD7E5" w14:textId="77777777" w:rsidR="00EC4499" w:rsidRDefault="00433EA7" w:rsidP="00BD7CE9">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739" w:type="dxa"/>
            <w:tcBorders>
              <w:top w:val="nil"/>
              <w:left w:val="nil"/>
              <w:bottom w:val="single" w:sz="4" w:space="0" w:color="000000"/>
              <w:right w:val="nil"/>
            </w:tcBorders>
            <w:shd w:val="clear" w:color="auto" w:fill="auto"/>
            <w:vAlign w:val="bottom"/>
          </w:tcPr>
          <w:p w14:paraId="5C29467B" w14:textId="77777777" w:rsidR="00EC4499" w:rsidRDefault="00433EA7" w:rsidP="002B4EE5">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739" w:type="dxa"/>
            <w:tcBorders>
              <w:top w:val="nil"/>
              <w:left w:val="nil"/>
              <w:bottom w:val="single" w:sz="4" w:space="0" w:color="000000"/>
              <w:right w:val="nil"/>
            </w:tcBorders>
            <w:shd w:val="clear" w:color="auto" w:fill="auto"/>
            <w:vAlign w:val="bottom"/>
          </w:tcPr>
          <w:p w14:paraId="3681B1CE" w14:textId="77777777" w:rsidR="00EC4499" w:rsidRDefault="00433EA7" w:rsidP="00033725">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1A0BF23F" w14:textId="77777777" w:rsidTr="002B4EE5">
        <w:trPr>
          <w:trHeight w:val="288"/>
        </w:trPr>
        <w:tc>
          <w:tcPr>
            <w:tcW w:w="2410" w:type="dxa"/>
            <w:vMerge w:val="restart"/>
            <w:tcBorders>
              <w:top w:val="nil"/>
              <w:left w:val="nil"/>
              <w:bottom w:val="nil"/>
              <w:right w:val="nil"/>
            </w:tcBorders>
            <w:shd w:val="clear" w:color="auto" w:fill="auto"/>
            <w:vAlign w:val="bottom"/>
          </w:tcPr>
          <w:p w14:paraId="0E13BAFA"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Itaú</w:t>
            </w:r>
          </w:p>
        </w:tc>
        <w:tc>
          <w:tcPr>
            <w:tcW w:w="478" w:type="dxa"/>
            <w:tcBorders>
              <w:top w:val="single" w:sz="4" w:space="0" w:color="000000"/>
              <w:left w:val="nil"/>
              <w:bottom w:val="nil"/>
              <w:right w:val="nil"/>
            </w:tcBorders>
            <w:shd w:val="clear" w:color="auto" w:fill="auto"/>
            <w:vAlign w:val="bottom"/>
          </w:tcPr>
          <w:p w14:paraId="25F8BF72" w14:textId="77777777" w:rsidR="00EC4499" w:rsidRDefault="00433EA7">
            <w:pPr>
              <w:spacing w:after="0" w:line="240" w:lineRule="auto"/>
              <w:ind w:left="-81"/>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1738" w:type="dxa"/>
            <w:tcBorders>
              <w:top w:val="single" w:sz="4" w:space="0" w:color="000000"/>
              <w:left w:val="nil"/>
              <w:bottom w:val="nil"/>
              <w:right w:val="nil"/>
            </w:tcBorders>
            <w:shd w:val="clear" w:color="auto" w:fill="auto"/>
            <w:vAlign w:val="bottom"/>
          </w:tcPr>
          <w:p w14:paraId="52D53BD9" w14:textId="77777777" w:rsidR="00EC4499" w:rsidRDefault="00433EA7" w:rsidP="00BD7CE9">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739" w:type="dxa"/>
            <w:tcBorders>
              <w:top w:val="single" w:sz="4" w:space="0" w:color="000000"/>
              <w:left w:val="nil"/>
              <w:bottom w:val="nil"/>
              <w:right w:val="nil"/>
            </w:tcBorders>
            <w:shd w:val="clear" w:color="auto" w:fill="auto"/>
            <w:vAlign w:val="bottom"/>
          </w:tcPr>
          <w:p w14:paraId="5965DFF4" w14:textId="77777777" w:rsidR="00EC4499" w:rsidRDefault="00433EA7" w:rsidP="002B4EE5">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739" w:type="dxa"/>
            <w:tcBorders>
              <w:top w:val="single" w:sz="4" w:space="0" w:color="000000"/>
              <w:left w:val="nil"/>
              <w:bottom w:val="nil"/>
              <w:right w:val="nil"/>
            </w:tcBorders>
            <w:shd w:val="clear" w:color="auto" w:fill="auto"/>
            <w:vAlign w:val="bottom"/>
          </w:tcPr>
          <w:p w14:paraId="344D719A" w14:textId="77777777" w:rsidR="00EC4499" w:rsidRDefault="00433EA7" w:rsidP="00033725">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3</w:t>
            </w:r>
          </w:p>
        </w:tc>
      </w:tr>
      <w:tr w:rsidR="00EC4499" w14:paraId="19F14445" w14:textId="77777777" w:rsidTr="002B4EE5">
        <w:trPr>
          <w:trHeight w:val="288"/>
        </w:trPr>
        <w:tc>
          <w:tcPr>
            <w:tcW w:w="2410" w:type="dxa"/>
            <w:vMerge/>
            <w:tcBorders>
              <w:top w:val="nil"/>
              <w:left w:val="nil"/>
              <w:bottom w:val="nil"/>
              <w:right w:val="nil"/>
            </w:tcBorders>
            <w:shd w:val="clear" w:color="auto" w:fill="auto"/>
            <w:vAlign w:val="bottom"/>
          </w:tcPr>
          <w:p w14:paraId="5759116F"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0EFEB228" w14:textId="77777777" w:rsidR="00EC4499" w:rsidRDefault="00433EA7">
            <w:pPr>
              <w:spacing w:after="0" w:line="240" w:lineRule="auto"/>
              <w:ind w:left="-81"/>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1738" w:type="dxa"/>
            <w:tcBorders>
              <w:top w:val="nil"/>
              <w:left w:val="nil"/>
              <w:bottom w:val="single" w:sz="4" w:space="0" w:color="000000"/>
              <w:right w:val="nil"/>
            </w:tcBorders>
            <w:shd w:val="clear" w:color="auto" w:fill="auto"/>
            <w:vAlign w:val="bottom"/>
          </w:tcPr>
          <w:p w14:paraId="5C057269" w14:textId="77777777" w:rsidR="00EC4499" w:rsidRDefault="00433EA7" w:rsidP="00BD7CE9">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739" w:type="dxa"/>
            <w:tcBorders>
              <w:top w:val="nil"/>
              <w:left w:val="nil"/>
              <w:bottom w:val="single" w:sz="4" w:space="0" w:color="000000"/>
              <w:right w:val="nil"/>
            </w:tcBorders>
            <w:shd w:val="clear" w:color="auto" w:fill="auto"/>
            <w:vAlign w:val="bottom"/>
          </w:tcPr>
          <w:p w14:paraId="580303BB" w14:textId="77777777" w:rsidR="00EC4499" w:rsidRDefault="00433EA7" w:rsidP="002B4EE5">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739" w:type="dxa"/>
            <w:tcBorders>
              <w:top w:val="nil"/>
              <w:left w:val="nil"/>
              <w:bottom w:val="single" w:sz="4" w:space="0" w:color="000000"/>
              <w:right w:val="nil"/>
            </w:tcBorders>
            <w:shd w:val="clear" w:color="auto" w:fill="auto"/>
            <w:vAlign w:val="bottom"/>
          </w:tcPr>
          <w:p w14:paraId="06B2F1C2" w14:textId="77777777" w:rsidR="00EC4499" w:rsidRDefault="00433EA7" w:rsidP="00033725">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3</w:t>
            </w:r>
          </w:p>
        </w:tc>
      </w:tr>
      <w:tr w:rsidR="00EC4499" w14:paraId="14AB43CE" w14:textId="77777777" w:rsidTr="002B4EE5">
        <w:trPr>
          <w:trHeight w:val="288"/>
        </w:trPr>
        <w:tc>
          <w:tcPr>
            <w:tcW w:w="2410" w:type="dxa"/>
            <w:vMerge w:val="restart"/>
            <w:tcBorders>
              <w:top w:val="nil"/>
              <w:left w:val="nil"/>
              <w:bottom w:val="nil"/>
              <w:right w:val="nil"/>
            </w:tcBorders>
            <w:shd w:val="clear" w:color="auto" w:fill="auto"/>
            <w:vAlign w:val="bottom"/>
          </w:tcPr>
          <w:p w14:paraId="57D4C5A9"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J.P. Morgan </w:t>
            </w:r>
          </w:p>
        </w:tc>
        <w:tc>
          <w:tcPr>
            <w:tcW w:w="478" w:type="dxa"/>
            <w:tcBorders>
              <w:top w:val="single" w:sz="4" w:space="0" w:color="000000"/>
              <w:left w:val="nil"/>
              <w:bottom w:val="nil"/>
              <w:right w:val="nil"/>
            </w:tcBorders>
            <w:shd w:val="clear" w:color="auto" w:fill="auto"/>
            <w:vAlign w:val="bottom"/>
          </w:tcPr>
          <w:p w14:paraId="18AFBFE2" w14:textId="77777777" w:rsidR="00EC4499" w:rsidRDefault="00433EA7">
            <w:pPr>
              <w:spacing w:after="0" w:line="240" w:lineRule="auto"/>
              <w:ind w:left="-81"/>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1738" w:type="dxa"/>
            <w:tcBorders>
              <w:top w:val="single" w:sz="4" w:space="0" w:color="000000"/>
              <w:left w:val="nil"/>
              <w:bottom w:val="nil"/>
              <w:right w:val="nil"/>
            </w:tcBorders>
            <w:shd w:val="clear" w:color="auto" w:fill="auto"/>
            <w:vAlign w:val="bottom"/>
          </w:tcPr>
          <w:p w14:paraId="296112A0" w14:textId="77777777" w:rsidR="00EC4499" w:rsidRDefault="00433EA7" w:rsidP="00BD7CE9">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0</w:t>
            </w:r>
          </w:p>
        </w:tc>
        <w:tc>
          <w:tcPr>
            <w:tcW w:w="1739" w:type="dxa"/>
            <w:tcBorders>
              <w:top w:val="single" w:sz="4" w:space="0" w:color="000000"/>
              <w:left w:val="nil"/>
              <w:bottom w:val="nil"/>
              <w:right w:val="nil"/>
            </w:tcBorders>
            <w:shd w:val="clear" w:color="auto" w:fill="auto"/>
            <w:vAlign w:val="bottom"/>
          </w:tcPr>
          <w:p w14:paraId="0C144F95" w14:textId="77777777" w:rsidR="00EC4499" w:rsidRDefault="00433EA7" w:rsidP="002B4EE5">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739" w:type="dxa"/>
            <w:tcBorders>
              <w:top w:val="single" w:sz="4" w:space="0" w:color="000000"/>
              <w:left w:val="nil"/>
              <w:bottom w:val="nil"/>
              <w:right w:val="nil"/>
            </w:tcBorders>
            <w:shd w:val="clear" w:color="auto" w:fill="auto"/>
            <w:vAlign w:val="bottom"/>
          </w:tcPr>
          <w:p w14:paraId="023DB73D" w14:textId="77777777" w:rsidR="00EC4499" w:rsidRDefault="00433EA7" w:rsidP="00033725">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1</w:t>
            </w:r>
          </w:p>
        </w:tc>
      </w:tr>
      <w:tr w:rsidR="00EC4499" w14:paraId="773731EF" w14:textId="77777777" w:rsidTr="002B4EE5">
        <w:trPr>
          <w:trHeight w:val="288"/>
        </w:trPr>
        <w:tc>
          <w:tcPr>
            <w:tcW w:w="2410" w:type="dxa"/>
            <w:vMerge/>
            <w:tcBorders>
              <w:top w:val="nil"/>
              <w:left w:val="nil"/>
              <w:bottom w:val="nil"/>
              <w:right w:val="nil"/>
            </w:tcBorders>
            <w:shd w:val="clear" w:color="auto" w:fill="auto"/>
            <w:vAlign w:val="bottom"/>
          </w:tcPr>
          <w:p w14:paraId="0954E280"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1881F682" w14:textId="77777777" w:rsidR="00EC4499" w:rsidRDefault="00433EA7">
            <w:pPr>
              <w:spacing w:after="0" w:line="240" w:lineRule="auto"/>
              <w:ind w:left="-81"/>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1738" w:type="dxa"/>
            <w:tcBorders>
              <w:top w:val="nil"/>
              <w:left w:val="nil"/>
              <w:bottom w:val="single" w:sz="4" w:space="0" w:color="000000"/>
              <w:right w:val="nil"/>
            </w:tcBorders>
            <w:shd w:val="clear" w:color="auto" w:fill="auto"/>
            <w:vAlign w:val="bottom"/>
          </w:tcPr>
          <w:p w14:paraId="4CDAA0EF" w14:textId="77777777" w:rsidR="00EC4499" w:rsidRDefault="00433EA7" w:rsidP="00BD7CE9">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0</w:t>
            </w:r>
          </w:p>
        </w:tc>
        <w:tc>
          <w:tcPr>
            <w:tcW w:w="1739" w:type="dxa"/>
            <w:tcBorders>
              <w:top w:val="nil"/>
              <w:left w:val="nil"/>
              <w:bottom w:val="single" w:sz="4" w:space="0" w:color="000000"/>
              <w:right w:val="nil"/>
            </w:tcBorders>
            <w:shd w:val="clear" w:color="auto" w:fill="auto"/>
            <w:vAlign w:val="bottom"/>
          </w:tcPr>
          <w:p w14:paraId="7A5CC424" w14:textId="77777777" w:rsidR="00EC4499" w:rsidRDefault="00433EA7" w:rsidP="002B4EE5">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739" w:type="dxa"/>
            <w:tcBorders>
              <w:top w:val="nil"/>
              <w:left w:val="nil"/>
              <w:bottom w:val="single" w:sz="4" w:space="0" w:color="000000"/>
              <w:right w:val="nil"/>
            </w:tcBorders>
            <w:shd w:val="clear" w:color="auto" w:fill="auto"/>
            <w:vAlign w:val="bottom"/>
          </w:tcPr>
          <w:p w14:paraId="53DD98AE" w14:textId="77777777" w:rsidR="00EC4499" w:rsidRDefault="00433EA7" w:rsidP="00033725">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1</w:t>
            </w:r>
          </w:p>
        </w:tc>
      </w:tr>
      <w:tr w:rsidR="00EC4499" w14:paraId="7943FFD1" w14:textId="77777777" w:rsidTr="002B4EE5">
        <w:trPr>
          <w:trHeight w:val="288"/>
        </w:trPr>
        <w:tc>
          <w:tcPr>
            <w:tcW w:w="2410" w:type="dxa"/>
            <w:vMerge w:val="restart"/>
            <w:tcBorders>
              <w:top w:val="nil"/>
              <w:left w:val="nil"/>
              <w:bottom w:val="nil"/>
              <w:right w:val="nil"/>
            </w:tcBorders>
            <w:shd w:val="clear" w:color="auto" w:fill="auto"/>
            <w:vAlign w:val="bottom"/>
          </w:tcPr>
          <w:p w14:paraId="1B839F27"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Santander</w:t>
            </w:r>
          </w:p>
        </w:tc>
        <w:tc>
          <w:tcPr>
            <w:tcW w:w="478" w:type="dxa"/>
            <w:tcBorders>
              <w:top w:val="single" w:sz="4" w:space="0" w:color="000000"/>
              <w:left w:val="nil"/>
              <w:bottom w:val="nil"/>
              <w:right w:val="nil"/>
            </w:tcBorders>
            <w:shd w:val="clear" w:color="auto" w:fill="auto"/>
            <w:vAlign w:val="bottom"/>
          </w:tcPr>
          <w:p w14:paraId="237D626D" w14:textId="77777777" w:rsidR="00EC4499" w:rsidRDefault="00433EA7">
            <w:pPr>
              <w:spacing w:after="0" w:line="240" w:lineRule="auto"/>
              <w:ind w:left="-81"/>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1738" w:type="dxa"/>
            <w:tcBorders>
              <w:top w:val="single" w:sz="4" w:space="0" w:color="000000"/>
              <w:left w:val="nil"/>
              <w:bottom w:val="nil"/>
              <w:right w:val="nil"/>
            </w:tcBorders>
            <w:shd w:val="clear" w:color="auto" w:fill="auto"/>
            <w:vAlign w:val="bottom"/>
          </w:tcPr>
          <w:p w14:paraId="1C35BF79" w14:textId="77777777" w:rsidR="00EC4499" w:rsidRDefault="00433EA7" w:rsidP="00BD7CE9">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739" w:type="dxa"/>
            <w:tcBorders>
              <w:top w:val="single" w:sz="4" w:space="0" w:color="000000"/>
              <w:left w:val="nil"/>
              <w:bottom w:val="nil"/>
              <w:right w:val="nil"/>
            </w:tcBorders>
            <w:shd w:val="clear" w:color="auto" w:fill="auto"/>
            <w:vAlign w:val="bottom"/>
          </w:tcPr>
          <w:p w14:paraId="54FF508F" w14:textId="77777777" w:rsidR="00EC4499" w:rsidRDefault="00433EA7" w:rsidP="002B4EE5">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739" w:type="dxa"/>
            <w:tcBorders>
              <w:top w:val="single" w:sz="4" w:space="0" w:color="000000"/>
              <w:left w:val="nil"/>
              <w:bottom w:val="nil"/>
              <w:right w:val="nil"/>
            </w:tcBorders>
            <w:shd w:val="clear" w:color="auto" w:fill="auto"/>
            <w:vAlign w:val="bottom"/>
          </w:tcPr>
          <w:p w14:paraId="61C2625A" w14:textId="77777777" w:rsidR="00EC4499" w:rsidRDefault="00433EA7" w:rsidP="00033725">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7BDCA3DE" w14:textId="77777777" w:rsidTr="002B4EE5">
        <w:trPr>
          <w:trHeight w:val="288"/>
        </w:trPr>
        <w:tc>
          <w:tcPr>
            <w:tcW w:w="2410" w:type="dxa"/>
            <w:vMerge/>
            <w:tcBorders>
              <w:top w:val="nil"/>
              <w:left w:val="nil"/>
              <w:bottom w:val="nil"/>
              <w:right w:val="nil"/>
            </w:tcBorders>
            <w:shd w:val="clear" w:color="auto" w:fill="auto"/>
            <w:vAlign w:val="bottom"/>
          </w:tcPr>
          <w:p w14:paraId="40B9EF0F"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3814EF49" w14:textId="77777777" w:rsidR="00EC4499" w:rsidRDefault="00433EA7">
            <w:pPr>
              <w:spacing w:after="0" w:line="240" w:lineRule="auto"/>
              <w:ind w:left="-81"/>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1738" w:type="dxa"/>
            <w:tcBorders>
              <w:top w:val="nil"/>
              <w:left w:val="nil"/>
              <w:bottom w:val="single" w:sz="4" w:space="0" w:color="000000"/>
              <w:right w:val="nil"/>
            </w:tcBorders>
            <w:shd w:val="clear" w:color="auto" w:fill="auto"/>
            <w:vAlign w:val="bottom"/>
          </w:tcPr>
          <w:p w14:paraId="162C9F62" w14:textId="77777777" w:rsidR="00EC4499" w:rsidRDefault="00433EA7" w:rsidP="00BD7CE9">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739" w:type="dxa"/>
            <w:tcBorders>
              <w:top w:val="nil"/>
              <w:left w:val="nil"/>
              <w:bottom w:val="single" w:sz="4" w:space="0" w:color="000000"/>
              <w:right w:val="nil"/>
            </w:tcBorders>
            <w:shd w:val="clear" w:color="auto" w:fill="auto"/>
            <w:vAlign w:val="bottom"/>
          </w:tcPr>
          <w:p w14:paraId="48EB409A" w14:textId="77777777" w:rsidR="00EC4499" w:rsidRDefault="00433EA7" w:rsidP="002B4EE5">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739" w:type="dxa"/>
            <w:tcBorders>
              <w:top w:val="nil"/>
              <w:left w:val="nil"/>
              <w:bottom w:val="single" w:sz="4" w:space="0" w:color="000000"/>
              <w:right w:val="nil"/>
            </w:tcBorders>
            <w:shd w:val="clear" w:color="auto" w:fill="auto"/>
            <w:vAlign w:val="bottom"/>
          </w:tcPr>
          <w:p w14:paraId="041A3129" w14:textId="77777777" w:rsidR="00EC4499" w:rsidRDefault="00433EA7" w:rsidP="00033725">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w:t>
            </w:r>
          </w:p>
        </w:tc>
      </w:tr>
      <w:tr w:rsidR="00EC4499" w14:paraId="18BA0A2D" w14:textId="77777777" w:rsidTr="002B4EE5">
        <w:trPr>
          <w:trHeight w:val="288"/>
        </w:trPr>
        <w:tc>
          <w:tcPr>
            <w:tcW w:w="2410" w:type="dxa"/>
            <w:vMerge w:val="restart"/>
            <w:tcBorders>
              <w:top w:val="nil"/>
              <w:left w:val="nil"/>
              <w:bottom w:val="nil"/>
              <w:right w:val="nil"/>
            </w:tcBorders>
            <w:shd w:val="clear" w:color="auto" w:fill="auto"/>
            <w:vAlign w:val="bottom"/>
          </w:tcPr>
          <w:p w14:paraId="5A8781C5" w14:textId="77777777" w:rsidR="00EC4499" w:rsidRDefault="00433EA7">
            <w:pPr>
              <w:spacing w:after="0" w:line="480" w:lineRule="auto"/>
              <w:rPr>
                <w:rFonts w:ascii="Garamond" w:eastAsia="Garamond" w:hAnsi="Garamond" w:cs="Garamond"/>
                <w:color w:val="000000"/>
                <w:sz w:val="18"/>
                <w:szCs w:val="18"/>
              </w:rPr>
            </w:pPr>
            <w:r>
              <w:rPr>
                <w:rFonts w:ascii="Garamond" w:eastAsia="Garamond" w:hAnsi="Garamond" w:cs="Garamond"/>
                <w:color w:val="000000"/>
                <w:sz w:val="18"/>
                <w:szCs w:val="18"/>
              </w:rPr>
              <w:t>Sicredi</w:t>
            </w:r>
          </w:p>
        </w:tc>
        <w:tc>
          <w:tcPr>
            <w:tcW w:w="478" w:type="dxa"/>
            <w:tcBorders>
              <w:top w:val="single" w:sz="4" w:space="0" w:color="000000"/>
              <w:left w:val="nil"/>
              <w:bottom w:val="nil"/>
              <w:right w:val="nil"/>
            </w:tcBorders>
            <w:shd w:val="clear" w:color="auto" w:fill="auto"/>
            <w:vAlign w:val="bottom"/>
          </w:tcPr>
          <w:p w14:paraId="1B8A41CE" w14:textId="77777777" w:rsidR="00EC4499" w:rsidRDefault="00433EA7">
            <w:pPr>
              <w:spacing w:after="0" w:line="240" w:lineRule="auto"/>
              <w:ind w:left="-81"/>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1738" w:type="dxa"/>
            <w:tcBorders>
              <w:top w:val="single" w:sz="4" w:space="0" w:color="000000"/>
              <w:left w:val="nil"/>
              <w:bottom w:val="nil"/>
              <w:right w:val="nil"/>
            </w:tcBorders>
            <w:shd w:val="clear" w:color="auto" w:fill="auto"/>
            <w:vAlign w:val="bottom"/>
          </w:tcPr>
          <w:p w14:paraId="220B2A25" w14:textId="77777777" w:rsidR="00EC4499" w:rsidRDefault="00433EA7" w:rsidP="00BD7CE9">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739" w:type="dxa"/>
            <w:tcBorders>
              <w:top w:val="single" w:sz="4" w:space="0" w:color="000000"/>
              <w:left w:val="nil"/>
              <w:bottom w:val="nil"/>
              <w:right w:val="nil"/>
            </w:tcBorders>
            <w:shd w:val="clear" w:color="auto" w:fill="auto"/>
            <w:vAlign w:val="bottom"/>
          </w:tcPr>
          <w:p w14:paraId="215C8AA9" w14:textId="77777777" w:rsidR="00EC4499" w:rsidRDefault="00433EA7" w:rsidP="002B4EE5">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739" w:type="dxa"/>
            <w:tcBorders>
              <w:top w:val="single" w:sz="4" w:space="0" w:color="000000"/>
              <w:left w:val="nil"/>
              <w:bottom w:val="nil"/>
              <w:right w:val="nil"/>
            </w:tcBorders>
            <w:shd w:val="clear" w:color="auto" w:fill="auto"/>
            <w:vAlign w:val="bottom"/>
          </w:tcPr>
          <w:p w14:paraId="7640383A" w14:textId="77777777" w:rsidR="00EC4499" w:rsidRDefault="00433EA7" w:rsidP="00033725">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3</w:t>
            </w:r>
          </w:p>
        </w:tc>
      </w:tr>
      <w:tr w:rsidR="00EC4499" w14:paraId="644414D7" w14:textId="77777777" w:rsidTr="002B4EE5">
        <w:trPr>
          <w:trHeight w:val="288"/>
        </w:trPr>
        <w:tc>
          <w:tcPr>
            <w:tcW w:w="2410" w:type="dxa"/>
            <w:vMerge/>
            <w:tcBorders>
              <w:top w:val="nil"/>
              <w:left w:val="nil"/>
              <w:bottom w:val="nil"/>
              <w:right w:val="nil"/>
            </w:tcBorders>
            <w:shd w:val="clear" w:color="auto" w:fill="auto"/>
            <w:vAlign w:val="bottom"/>
          </w:tcPr>
          <w:p w14:paraId="342512A0"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78" w:type="dxa"/>
            <w:tcBorders>
              <w:top w:val="nil"/>
              <w:left w:val="nil"/>
              <w:bottom w:val="single" w:sz="4" w:space="0" w:color="000000"/>
              <w:right w:val="nil"/>
            </w:tcBorders>
            <w:shd w:val="clear" w:color="auto" w:fill="auto"/>
            <w:vAlign w:val="bottom"/>
          </w:tcPr>
          <w:p w14:paraId="0D485966" w14:textId="77777777" w:rsidR="00EC4499" w:rsidRDefault="00433EA7">
            <w:pPr>
              <w:spacing w:after="0" w:line="240" w:lineRule="auto"/>
              <w:ind w:left="-81"/>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1738" w:type="dxa"/>
            <w:tcBorders>
              <w:top w:val="nil"/>
              <w:left w:val="nil"/>
              <w:bottom w:val="single" w:sz="4" w:space="0" w:color="000000"/>
              <w:right w:val="nil"/>
            </w:tcBorders>
            <w:shd w:val="clear" w:color="auto" w:fill="auto"/>
            <w:vAlign w:val="bottom"/>
          </w:tcPr>
          <w:p w14:paraId="2B9A464B" w14:textId="77777777" w:rsidR="00EC4499" w:rsidRDefault="00433EA7" w:rsidP="00BD7CE9">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739" w:type="dxa"/>
            <w:tcBorders>
              <w:top w:val="nil"/>
              <w:left w:val="nil"/>
              <w:bottom w:val="single" w:sz="4" w:space="0" w:color="000000"/>
              <w:right w:val="nil"/>
            </w:tcBorders>
            <w:shd w:val="clear" w:color="auto" w:fill="auto"/>
            <w:vAlign w:val="bottom"/>
          </w:tcPr>
          <w:p w14:paraId="5887737A" w14:textId="77777777" w:rsidR="00EC4499" w:rsidRDefault="00433EA7" w:rsidP="002B4EE5">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739" w:type="dxa"/>
            <w:tcBorders>
              <w:top w:val="nil"/>
              <w:left w:val="nil"/>
              <w:bottom w:val="single" w:sz="4" w:space="0" w:color="000000"/>
              <w:right w:val="nil"/>
            </w:tcBorders>
            <w:shd w:val="clear" w:color="auto" w:fill="auto"/>
            <w:vAlign w:val="bottom"/>
          </w:tcPr>
          <w:p w14:paraId="5F65ED0E" w14:textId="77777777" w:rsidR="00EC4499" w:rsidRDefault="00433EA7" w:rsidP="00033725">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3</w:t>
            </w:r>
          </w:p>
        </w:tc>
      </w:tr>
    </w:tbl>
    <w:p w14:paraId="22E06562" w14:textId="77777777" w:rsidR="00EC4499" w:rsidRDefault="00EC4499">
      <w:pPr>
        <w:spacing w:after="0" w:line="360" w:lineRule="auto"/>
        <w:rPr>
          <w:rFonts w:ascii="Garamond" w:eastAsia="Garamond" w:hAnsi="Garamond" w:cs="Garamond"/>
          <w:b/>
          <w:color w:val="000000"/>
          <w:sz w:val="24"/>
          <w:szCs w:val="24"/>
        </w:rPr>
      </w:pPr>
    </w:p>
    <w:p w14:paraId="159E1BF3" w14:textId="77777777" w:rsidR="00EC4499" w:rsidRDefault="00433EA7">
      <w:pPr>
        <w:spacing w:after="0" w:line="360" w:lineRule="auto"/>
        <w:rPr>
          <w:rFonts w:ascii="Garamond" w:eastAsia="Garamond" w:hAnsi="Garamond" w:cs="Garamond"/>
          <w:b/>
          <w:color w:val="000000"/>
          <w:sz w:val="24"/>
          <w:szCs w:val="24"/>
        </w:rPr>
      </w:pPr>
      <w:r>
        <w:rPr>
          <w:rFonts w:ascii="Garamond" w:eastAsia="Garamond" w:hAnsi="Garamond" w:cs="Garamond"/>
          <w:b/>
          <w:color w:val="000000"/>
          <w:sz w:val="24"/>
          <w:szCs w:val="24"/>
        </w:rPr>
        <w:t>P1: O relatório conta com asseguração externa?</w:t>
      </w:r>
    </w:p>
    <w:p w14:paraId="6DA2E75B" w14:textId="77777777" w:rsidR="00EC4499" w:rsidRDefault="00EC4499">
      <w:pPr>
        <w:spacing w:after="0" w:line="360" w:lineRule="auto"/>
        <w:rPr>
          <w:rFonts w:ascii="Garamond" w:eastAsia="Garamond" w:hAnsi="Garamond" w:cs="Garamond"/>
          <w:b/>
          <w:color w:val="000000"/>
          <w:sz w:val="24"/>
          <w:szCs w:val="24"/>
        </w:rPr>
      </w:pPr>
    </w:p>
    <w:p w14:paraId="786380D9" w14:textId="1D71757D" w:rsidR="002E629C" w:rsidRDefault="00433EA7" w:rsidP="006D44F8">
      <w:pPr>
        <w:spacing w:after="0" w:line="360" w:lineRule="auto"/>
        <w:ind w:firstLine="708"/>
        <w:jc w:val="both"/>
        <w:rPr>
          <w:rFonts w:ascii="Garamond" w:eastAsia="Garamond" w:hAnsi="Garamond" w:cs="Garamond"/>
          <w:b/>
          <w:sz w:val="24"/>
          <w:szCs w:val="24"/>
        </w:rPr>
      </w:pPr>
      <w:r>
        <w:rPr>
          <w:rFonts w:ascii="Garamond" w:eastAsia="Garamond" w:hAnsi="Garamond" w:cs="Garamond"/>
          <w:color w:val="000000"/>
          <w:sz w:val="24"/>
          <w:szCs w:val="24"/>
        </w:rPr>
        <w:t>A quase totalidade dos relatórios conta com asseguração externa limitada de parte considerável dos seus indicadores. Nos poucos casos observados de asseguração razoável, esta se limitava a um item do relato, geralmente emissões de GEE.</w:t>
      </w:r>
      <w:r w:rsidR="006D44F8">
        <w:rPr>
          <w:rFonts w:ascii="Garamond" w:eastAsia="Garamond" w:hAnsi="Garamond" w:cs="Garamond"/>
          <w:color w:val="000000"/>
          <w:sz w:val="24"/>
          <w:szCs w:val="24"/>
        </w:rPr>
        <w:t xml:space="preserve"> Apenas </w:t>
      </w:r>
      <w:r>
        <w:rPr>
          <w:rFonts w:ascii="Garamond" w:eastAsia="Garamond" w:hAnsi="Garamond" w:cs="Garamond"/>
          <w:color w:val="000000"/>
          <w:sz w:val="24"/>
          <w:szCs w:val="24"/>
        </w:rPr>
        <w:t>a CAIXA em 2021 e o J.P. Morgan</w:t>
      </w:r>
      <w:r>
        <w:rPr>
          <w:rFonts w:ascii="Garamond" w:eastAsia="Garamond" w:hAnsi="Garamond" w:cs="Garamond"/>
          <w:sz w:val="24"/>
          <w:szCs w:val="24"/>
        </w:rPr>
        <w:t xml:space="preserve">, </w:t>
      </w:r>
      <w:r>
        <w:rPr>
          <w:rFonts w:ascii="Garamond" w:eastAsia="Garamond" w:hAnsi="Garamond" w:cs="Garamond"/>
          <w:color w:val="000000"/>
          <w:sz w:val="24"/>
          <w:szCs w:val="24"/>
        </w:rPr>
        <w:t>nos dois anos, não tiveram seus relatórios assegurados.</w:t>
      </w:r>
    </w:p>
    <w:p w14:paraId="3590B7A3" w14:textId="77777777" w:rsidR="002E629C" w:rsidRDefault="002E629C">
      <w:pPr>
        <w:spacing w:after="0" w:line="360" w:lineRule="auto"/>
        <w:rPr>
          <w:rFonts w:ascii="Garamond" w:eastAsia="Garamond" w:hAnsi="Garamond" w:cs="Garamond"/>
          <w:b/>
          <w:sz w:val="24"/>
          <w:szCs w:val="24"/>
        </w:rPr>
      </w:pPr>
    </w:p>
    <w:p w14:paraId="1912AED3" w14:textId="75854815" w:rsidR="00EC4499" w:rsidRDefault="00433EA7">
      <w:pPr>
        <w:spacing w:after="0" w:line="360" w:lineRule="auto"/>
        <w:rPr>
          <w:rFonts w:ascii="Garamond" w:eastAsia="Garamond" w:hAnsi="Garamond" w:cs="Garamond"/>
          <w:b/>
          <w:sz w:val="24"/>
          <w:szCs w:val="24"/>
        </w:rPr>
      </w:pPr>
      <w:r>
        <w:rPr>
          <w:rFonts w:ascii="Garamond" w:eastAsia="Garamond" w:hAnsi="Garamond" w:cs="Garamond"/>
          <w:b/>
          <w:color w:val="000000"/>
          <w:sz w:val="24"/>
          <w:szCs w:val="24"/>
        </w:rPr>
        <w:lastRenderedPageBreak/>
        <w:t>P2: As informações de contato da organização são fornecidas e responsivas?</w:t>
      </w:r>
    </w:p>
    <w:p w14:paraId="5B385112" w14:textId="77777777" w:rsidR="007C437B" w:rsidRDefault="007C437B">
      <w:pPr>
        <w:spacing w:after="0" w:line="360" w:lineRule="auto"/>
        <w:rPr>
          <w:rFonts w:ascii="Garamond" w:eastAsia="Garamond" w:hAnsi="Garamond" w:cs="Garamond"/>
          <w:b/>
          <w:sz w:val="24"/>
          <w:szCs w:val="24"/>
        </w:rPr>
      </w:pPr>
    </w:p>
    <w:p w14:paraId="7CC99AB5" w14:textId="5C83878A"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Todos os relatórios possuem e-mail para contato para o qual foi enviada mensagem questionando sobre o processo de </w:t>
      </w:r>
      <w:r w:rsidRPr="00884168">
        <w:rPr>
          <w:rFonts w:ascii="Garamond" w:eastAsia="Garamond" w:hAnsi="Garamond" w:cs="Garamond"/>
          <w:i/>
          <w:iCs/>
          <w:color w:val="000000"/>
          <w:sz w:val="24"/>
          <w:szCs w:val="24"/>
        </w:rPr>
        <w:t>feedback</w:t>
      </w:r>
      <w:r>
        <w:rPr>
          <w:rFonts w:ascii="Garamond" w:eastAsia="Garamond" w:hAnsi="Garamond" w:cs="Garamond"/>
          <w:color w:val="000000"/>
          <w:sz w:val="24"/>
          <w:szCs w:val="24"/>
        </w:rPr>
        <w:t xml:space="preserve"> com as partes interessadas. Metade dos bancos respondeu informando sobre o que foi questionado, recebendo pontuação máxima, e a outra metade ou não enviou resposta ou pediu mais dados/informações, tendo estes recebido </w:t>
      </w:r>
      <w:r w:rsidR="009431A4">
        <w:rPr>
          <w:rFonts w:ascii="Garamond" w:eastAsia="Garamond" w:hAnsi="Garamond" w:cs="Garamond"/>
          <w:color w:val="000000"/>
          <w:sz w:val="24"/>
          <w:szCs w:val="24"/>
        </w:rPr>
        <w:t>um ponto</w:t>
      </w:r>
      <w:r>
        <w:rPr>
          <w:rFonts w:ascii="Garamond" w:eastAsia="Garamond" w:hAnsi="Garamond" w:cs="Garamond"/>
          <w:color w:val="000000"/>
          <w:sz w:val="24"/>
          <w:szCs w:val="24"/>
        </w:rPr>
        <w:t>.</w:t>
      </w:r>
    </w:p>
    <w:p w14:paraId="5D410B96" w14:textId="77777777" w:rsidR="00EC4499" w:rsidRDefault="00433EA7">
      <w:pPr>
        <w:spacing w:after="0" w:line="360" w:lineRule="auto"/>
        <w:ind w:firstLine="708"/>
        <w:jc w:val="both"/>
        <w:rPr>
          <w:rFonts w:ascii="Garamond" w:eastAsia="Garamond" w:hAnsi="Garamond" w:cs="Garamond"/>
          <w:color w:val="000000"/>
          <w:sz w:val="24"/>
          <w:szCs w:val="24"/>
        </w:rPr>
      </w:pPr>
      <w:r>
        <w:rPr>
          <w:rFonts w:ascii="Garamond" w:eastAsia="Garamond" w:hAnsi="Garamond" w:cs="Garamond"/>
          <w:color w:val="000000"/>
          <w:sz w:val="24"/>
          <w:szCs w:val="24"/>
        </w:rPr>
        <w:t>Os bancos com melhor pontuação total foram Banco do Brasil, BNDES e Bradesco, enquanto o pior foi o J.P. Morgan.</w:t>
      </w:r>
    </w:p>
    <w:p w14:paraId="318FCC6D" w14:textId="77777777" w:rsidR="007F5E5A" w:rsidRDefault="007F5E5A">
      <w:pPr>
        <w:spacing w:after="0" w:line="360" w:lineRule="auto"/>
        <w:ind w:firstLine="708"/>
        <w:jc w:val="both"/>
        <w:rPr>
          <w:rFonts w:ascii="Garamond" w:eastAsia="Garamond" w:hAnsi="Garamond" w:cs="Garamond"/>
          <w:color w:val="000000"/>
          <w:sz w:val="24"/>
          <w:szCs w:val="24"/>
        </w:rPr>
      </w:pPr>
    </w:p>
    <w:p w14:paraId="47163A01" w14:textId="77777777" w:rsidR="007F5E5A" w:rsidRDefault="007F5E5A">
      <w:pPr>
        <w:spacing w:after="0" w:line="360" w:lineRule="auto"/>
        <w:ind w:firstLine="708"/>
        <w:jc w:val="both"/>
        <w:rPr>
          <w:rFonts w:ascii="Garamond" w:eastAsia="Garamond" w:hAnsi="Garamond" w:cs="Garamond"/>
          <w:color w:val="000000"/>
          <w:sz w:val="24"/>
          <w:szCs w:val="24"/>
        </w:rPr>
      </w:pPr>
    </w:p>
    <w:p w14:paraId="7BDF9CAC" w14:textId="77777777" w:rsidR="007F5E5A" w:rsidRDefault="007F5E5A">
      <w:pPr>
        <w:spacing w:after="0" w:line="360" w:lineRule="auto"/>
        <w:ind w:firstLine="708"/>
        <w:jc w:val="both"/>
        <w:rPr>
          <w:rFonts w:ascii="Garamond" w:eastAsia="Garamond" w:hAnsi="Garamond" w:cs="Garamond"/>
          <w:color w:val="000000"/>
          <w:sz w:val="24"/>
          <w:szCs w:val="24"/>
        </w:rPr>
      </w:pPr>
    </w:p>
    <w:p w14:paraId="257959A9" w14:textId="77777777" w:rsidR="007F5E5A" w:rsidRDefault="007F5E5A">
      <w:pPr>
        <w:spacing w:after="0" w:line="360" w:lineRule="auto"/>
        <w:ind w:firstLine="708"/>
        <w:jc w:val="both"/>
        <w:rPr>
          <w:rFonts w:ascii="Garamond" w:eastAsia="Garamond" w:hAnsi="Garamond" w:cs="Garamond"/>
          <w:color w:val="000000"/>
          <w:sz w:val="24"/>
          <w:szCs w:val="24"/>
        </w:rPr>
      </w:pPr>
    </w:p>
    <w:p w14:paraId="1F96FCAA" w14:textId="77777777" w:rsidR="007F5E5A" w:rsidRDefault="007F5E5A">
      <w:pPr>
        <w:spacing w:after="0" w:line="360" w:lineRule="auto"/>
        <w:ind w:firstLine="708"/>
        <w:jc w:val="both"/>
        <w:rPr>
          <w:rFonts w:ascii="Garamond" w:eastAsia="Garamond" w:hAnsi="Garamond" w:cs="Garamond"/>
          <w:color w:val="000000"/>
          <w:sz w:val="24"/>
          <w:szCs w:val="24"/>
        </w:rPr>
      </w:pPr>
    </w:p>
    <w:p w14:paraId="06F32558" w14:textId="77777777" w:rsidR="007F5E5A" w:rsidRDefault="007F5E5A">
      <w:pPr>
        <w:spacing w:after="0" w:line="360" w:lineRule="auto"/>
        <w:ind w:firstLine="708"/>
        <w:jc w:val="both"/>
        <w:rPr>
          <w:rFonts w:ascii="Garamond" w:eastAsia="Garamond" w:hAnsi="Garamond" w:cs="Garamond"/>
          <w:color w:val="000000"/>
          <w:sz w:val="24"/>
          <w:szCs w:val="24"/>
        </w:rPr>
      </w:pPr>
    </w:p>
    <w:p w14:paraId="38CE3FAF" w14:textId="77777777" w:rsidR="007F5E5A" w:rsidRDefault="007F5E5A">
      <w:pPr>
        <w:spacing w:after="0" w:line="360" w:lineRule="auto"/>
        <w:ind w:firstLine="708"/>
        <w:jc w:val="both"/>
        <w:rPr>
          <w:rFonts w:ascii="Garamond" w:eastAsia="Garamond" w:hAnsi="Garamond" w:cs="Garamond"/>
          <w:color w:val="000000"/>
          <w:sz w:val="24"/>
          <w:szCs w:val="24"/>
        </w:rPr>
      </w:pPr>
    </w:p>
    <w:p w14:paraId="3813338A" w14:textId="77777777" w:rsidR="007F5E5A" w:rsidRDefault="007F5E5A">
      <w:pPr>
        <w:spacing w:after="0" w:line="360" w:lineRule="auto"/>
        <w:ind w:firstLine="708"/>
        <w:jc w:val="both"/>
        <w:rPr>
          <w:rFonts w:ascii="Garamond" w:eastAsia="Garamond" w:hAnsi="Garamond" w:cs="Garamond"/>
          <w:color w:val="000000"/>
          <w:sz w:val="24"/>
          <w:szCs w:val="24"/>
        </w:rPr>
      </w:pPr>
    </w:p>
    <w:p w14:paraId="4F97EFB0" w14:textId="77777777" w:rsidR="007F5E5A" w:rsidRDefault="007F5E5A">
      <w:pPr>
        <w:spacing w:after="0" w:line="360" w:lineRule="auto"/>
        <w:ind w:firstLine="708"/>
        <w:jc w:val="both"/>
        <w:rPr>
          <w:rFonts w:ascii="Garamond" w:eastAsia="Garamond" w:hAnsi="Garamond" w:cs="Garamond"/>
          <w:color w:val="000000"/>
          <w:sz w:val="24"/>
          <w:szCs w:val="24"/>
        </w:rPr>
      </w:pPr>
    </w:p>
    <w:p w14:paraId="3212CCA1" w14:textId="77777777" w:rsidR="007F5E5A" w:rsidRDefault="007F5E5A">
      <w:pPr>
        <w:spacing w:after="0" w:line="360" w:lineRule="auto"/>
        <w:ind w:firstLine="708"/>
        <w:jc w:val="both"/>
        <w:rPr>
          <w:rFonts w:ascii="Garamond" w:eastAsia="Garamond" w:hAnsi="Garamond" w:cs="Garamond"/>
          <w:color w:val="000000"/>
          <w:sz w:val="24"/>
          <w:szCs w:val="24"/>
        </w:rPr>
      </w:pPr>
    </w:p>
    <w:p w14:paraId="083E2C61" w14:textId="77777777" w:rsidR="007F5E5A" w:rsidRDefault="007F5E5A">
      <w:pPr>
        <w:spacing w:after="0" w:line="360" w:lineRule="auto"/>
        <w:ind w:firstLine="708"/>
        <w:jc w:val="both"/>
        <w:rPr>
          <w:rFonts w:ascii="Garamond" w:eastAsia="Garamond" w:hAnsi="Garamond" w:cs="Garamond"/>
          <w:color w:val="000000"/>
          <w:sz w:val="24"/>
          <w:szCs w:val="24"/>
        </w:rPr>
      </w:pPr>
    </w:p>
    <w:p w14:paraId="15C794AC" w14:textId="77777777" w:rsidR="007F5E5A" w:rsidRDefault="007F5E5A">
      <w:pPr>
        <w:spacing w:after="0" w:line="360" w:lineRule="auto"/>
        <w:ind w:firstLine="708"/>
        <w:jc w:val="both"/>
        <w:rPr>
          <w:rFonts w:ascii="Garamond" w:eastAsia="Garamond" w:hAnsi="Garamond" w:cs="Garamond"/>
          <w:color w:val="000000"/>
          <w:sz w:val="24"/>
          <w:szCs w:val="24"/>
        </w:rPr>
      </w:pPr>
    </w:p>
    <w:p w14:paraId="7BC1E9FC" w14:textId="77777777" w:rsidR="007F5E5A" w:rsidRDefault="007F5E5A">
      <w:pPr>
        <w:spacing w:after="0" w:line="360" w:lineRule="auto"/>
        <w:ind w:firstLine="708"/>
        <w:jc w:val="both"/>
        <w:rPr>
          <w:rFonts w:ascii="Garamond" w:eastAsia="Garamond" w:hAnsi="Garamond" w:cs="Garamond"/>
          <w:color w:val="000000"/>
          <w:sz w:val="24"/>
          <w:szCs w:val="24"/>
        </w:rPr>
      </w:pPr>
    </w:p>
    <w:p w14:paraId="62988EC3" w14:textId="77777777" w:rsidR="007F5E5A" w:rsidRDefault="007F5E5A">
      <w:pPr>
        <w:spacing w:after="0" w:line="360" w:lineRule="auto"/>
        <w:ind w:firstLine="708"/>
        <w:jc w:val="both"/>
        <w:rPr>
          <w:rFonts w:ascii="Garamond" w:eastAsia="Garamond" w:hAnsi="Garamond" w:cs="Garamond"/>
          <w:color w:val="000000"/>
          <w:sz w:val="24"/>
          <w:szCs w:val="24"/>
        </w:rPr>
      </w:pPr>
    </w:p>
    <w:p w14:paraId="3341C6F4" w14:textId="77777777" w:rsidR="007F5E5A" w:rsidRDefault="007F5E5A">
      <w:pPr>
        <w:spacing w:after="0" w:line="360" w:lineRule="auto"/>
        <w:ind w:firstLine="708"/>
        <w:jc w:val="both"/>
        <w:rPr>
          <w:rFonts w:ascii="Garamond" w:eastAsia="Garamond" w:hAnsi="Garamond" w:cs="Garamond"/>
          <w:color w:val="000000"/>
          <w:sz w:val="24"/>
          <w:szCs w:val="24"/>
        </w:rPr>
      </w:pPr>
    </w:p>
    <w:p w14:paraId="059E4CC6" w14:textId="77777777" w:rsidR="007F5E5A" w:rsidRDefault="007F5E5A">
      <w:pPr>
        <w:spacing w:after="0" w:line="360" w:lineRule="auto"/>
        <w:ind w:firstLine="708"/>
        <w:jc w:val="both"/>
        <w:rPr>
          <w:rFonts w:ascii="Garamond" w:eastAsia="Garamond" w:hAnsi="Garamond" w:cs="Garamond"/>
          <w:color w:val="000000"/>
          <w:sz w:val="24"/>
          <w:szCs w:val="24"/>
        </w:rPr>
      </w:pPr>
    </w:p>
    <w:p w14:paraId="748A8F2F" w14:textId="77777777" w:rsidR="007F5E5A" w:rsidRDefault="007F5E5A">
      <w:pPr>
        <w:spacing w:after="0" w:line="360" w:lineRule="auto"/>
        <w:ind w:firstLine="708"/>
        <w:jc w:val="both"/>
        <w:rPr>
          <w:rFonts w:ascii="Garamond" w:eastAsia="Garamond" w:hAnsi="Garamond" w:cs="Garamond"/>
          <w:color w:val="000000"/>
          <w:sz w:val="24"/>
          <w:szCs w:val="24"/>
        </w:rPr>
      </w:pPr>
    </w:p>
    <w:p w14:paraId="2A9CA3BC" w14:textId="77777777" w:rsidR="00362EB5" w:rsidRDefault="00362EB5">
      <w:pPr>
        <w:spacing w:after="0" w:line="360" w:lineRule="auto"/>
        <w:ind w:firstLine="708"/>
        <w:jc w:val="both"/>
        <w:rPr>
          <w:rFonts w:ascii="Garamond" w:eastAsia="Garamond" w:hAnsi="Garamond" w:cs="Garamond"/>
          <w:color w:val="000000"/>
          <w:sz w:val="24"/>
          <w:szCs w:val="24"/>
        </w:rPr>
      </w:pPr>
    </w:p>
    <w:p w14:paraId="7CBBF7CC" w14:textId="77777777" w:rsidR="00362EB5" w:rsidRDefault="00362EB5">
      <w:pPr>
        <w:spacing w:after="0" w:line="360" w:lineRule="auto"/>
        <w:ind w:firstLine="708"/>
        <w:jc w:val="both"/>
        <w:rPr>
          <w:rFonts w:ascii="Garamond" w:eastAsia="Garamond" w:hAnsi="Garamond" w:cs="Garamond"/>
          <w:color w:val="000000"/>
          <w:sz w:val="24"/>
          <w:szCs w:val="24"/>
        </w:rPr>
      </w:pPr>
    </w:p>
    <w:p w14:paraId="2D214DDB" w14:textId="77777777" w:rsidR="00362EB5" w:rsidRDefault="00362EB5">
      <w:pPr>
        <w:spacing w:after="0" w:line="360" w:lineRule="auto"/>
        <w:ind w:firstLine="708"/>
        <w:jc w:val="both"/>
        <w:rPr>
          <w:rFonts w:ascii="Garamond" w:eastAsia="Garamond" w:hAnsi="Garamond" w:cs="Garamond"/>
          <w:color w:val="000000"/>
          <w:sz w:val="24"/>
          <w:szCs w:val="24"/>
        </w:rPr>
      </w:pPr>
    </w:p>
    <w:p w14:paraId="5DF26570" w14:textId="77777777" w:rsidR="007F5E5A" w:rsidRDefault="007F5E5A">
      <w:pPr>
        <w:spacing w:after="0" w:line="360" w:lineRule="auto"/>
        <w:ind w:firstLine="708"/>
        <w:jc w:val="both"/>
        <w:rPr>
          <w:rFonts w:ascii="Garamond" w:eastAsia="Garamond" w:hAnsi="Garamond" w:cs="Garamond"/>
          <w:color w:val="000000"/>
          <w:sz w:val="24"/>
          <w:szCs w:val="24"/>
        </w:rPr>
      </w:pPr>
    </w:p>
    <w:p w14:paraId="593F9550" w14:textId="77777777" w:rsidR="007F5E5A" w:rsidRDefault="007F5E5A">
      <w:pPr>
        <w:spacing w:after="0" w:line="360" w:lineRule="auto"/>
        <w:ind w:firstLine="708"/>
        <w:jc w:val="both"/>
        <w:rPr>
          <w:rFonts w:ascii="Garamond" w:eastAsia="Garamond" w:hAnsi="Garamond" w:cs="Garamond"/>
          <w:color w:val="000000"/>
          <w:sz w:val="24"/>
          <w:szCs w:val="24"/>
        </w:rPr>
      </w:pPr>
    </w:p>
    <w:p w14:paraId="236660D2" w14:textId="77777777" w:rsidR="00EC4499" w:rsidRDefault="00433EA7">
      <w:pPr>
        <w:pStyle w:val="Ttulo3"/>
        <w:spacing w:after="0" w:line="360" w:lineRule="auto"/>
        <w:rPr>
          <w:rFonts w:ascii="Garamond" w:eastAsia="Garamond" w:hAnsi="Garamond" w:cs="Garamond"/>
          <w:sz w:val="24"/>
          <w:szCs w:val="24"/>
        </w:rPr>
      </w:pPr>
      <w:bookmarkStart w:id="24" w:name="_heading=h.x7of1xv69qf2" w:colFirst="0" w:colLast="0"/>
      <w:bookmarkEnd w:id="24"/>
      <w:r>
        <w:rPr>
          <w:rFonts w:ascii="Garamond" w:eastAsia="Garamond" w:hAnsi="Garamond" w:cs="Garamond"/>
          <w:sz w:val="24"/>
          <w:szCs w:val="24"/>
        </w:rPr>
        <w:lastRenderedPageBreak/>
        <w:t>4.5.7</w:t>
      </w:r>
      <w:r>
        <w:rPr>
          <w:rFonts w:ascii="Garamond" w:eastAsia="Garamond" w:hAnsi="Garamond" w:cs="Garamond"/>
          <w:sz w:val="24"/>
          <w:szCs w:val="24"/>
        </w:rPr>
        <w:tab/>
        <w:t>Resultado Consolidado</w:t>
      </w:r>
    </w:p>
    <w:p w14:paraId="299D1E46" w14:textId="77777777" w:rsidR="00EC4499" w:rsidRDefault="00EC4499">
      <w:pPr>
        <w:spacing w:after="0" w:line="360" w:lineRule="auto"/>
        <w:rPr>
          <w:rFonts w:ascii="Garamond" w:eastAsia="Garamond" w:hAnsi="Garamond" w:cs="Garamond"/>
          <w:color w:val="000000"/>
          <w:sz w:val="24"/>
          <w:szCs w:val="24"/>
        </w:rPr>
      </w:pPr>
    </w:p>
    <w:p w14:paraId="74FEA8C1" w14:textId="349B0B39"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Para apresentação do resultado consolidado dividimos os resultados dos princípios que tinham duas perguntas vinculadas, para que tivessem o mesmo peso dos demais. Desta forma, a pontuação total possível era de 12 pontos, conforme tabela e gráfico a seguir.</w:t>
      </w:r>
    </w:p>
    <w:p w14:paraId="21254229" w14:textId="77777777" w:rsidR="00917BF8" w:rsidRDefault="00917BF8">
      <w:pPr>
        <w:spacing w:after="0" w:line="360" w:lineRule="auto"/>
        <w:jc w:val="center"/>
        <w:rPr>
          <w:rFonts w:ascii="Garamond" w:eastAsia="Garamond" w:hAnsi="Garamond" w:cs="Garamond"/>
          <w:color w:val="000000"/>
          <w:sz w:val="24"/>
          <w:szCs w:val="24"/>
        </w:rPr>
      </w:pPr>
    </w:p>
    <w:p w14:paraId="689CF882" w14:textId="1D7601F5" w:rsidR="00EC4499" w:rsidRDefault="00433EA7" w:rsidP="00627D02">
      <w:pPr>
        <w:spacing w:after="0" w:line="360" w:lineRule="auto"/>
        <w:ind w:left="2160" w:firstLine="720"/>
        <w:rPr>
          <w:rFonts w:ascii="Garamond" w:eastAsia="Garamond" w:hAnsi="Garamond" w:cs="Garamond"/>
          <w:color w:val="000000"/>
          <w:sz w:val="24"/>
          <w:szCs w:val="24"/>
        </w:rPr>
      </w:pPr>
      <w:r>
        <w:rPr>
          <w:rFonts w:ascii="Garamond" w:eastAsia="Garamond" w:hAnsi="Garamond" w:cs="Garamond"/>
          <w:color w:val="000000"/>
          <w:sz w:val="24"/>
          <w:szCs w:val="24"/>
        </w:rPr>
        <w:t>Tabela 2</w:t>
      </w:r>
      <w:r w:rsidR="004360BC">
        <w:rPr>
          <w:rFonts w:ascii="Garamond" w:eastAsia="Garamond" w:hAnsi="Garamond" w:cs="Garamond"/>
          <w:color w:val="000000"/>
          <w:sz w:val="24"/>
          <w:szCs w:val="24"/>
        </w:rPr>
        <w:t>8</w:t>
      </w:r>
      <w:r>
        <w:rPr>
          <w:rFonts w:ascii="Garamond" w:eastAsia="Garamond" w:hAnsi="Garamond" w:cs="Garamond"/>
          <w:color w:val="000000"/>
          <w:sz w:val="24"/>
          <w:szCs w:val="24"/>
        </w:rPr>
        <w:t xml:space="preserve"> - Resultado Consolidado</w:t>
      </w:r>
    </w:p>
    <w:p w14:paraId="45ABC233" w14:textId="77777777" w:rsidR="0008125C" w:rsidRDefault="0008125C">
      <w:pPr>
        <w:spacing w:after="0" w:line="360" w:lineRule="auto"/>
        <w:jc w:val="center"/>
        <w:rPr>
          <w:rFonts w:ascii="Garamond" w:eastAsia="Garamond" w:hAnsi="Garamond" w:cs="Garamond"/>
          <w:i/>
          <w:color w:val="000000"/>
          <w:sz w:val="24"/>
          <w:szCs w:val="24"/>
        </w:rPr>
      </w:pPr>
    </w:p>
    <w:tbl>
      <w:tblPr>
        <w:tblStyle w:val="af9"/>
        <w:tblW w:w="8669" w:type="dxa"/>
        <w:tblInd w:w="0" w:type="dxa"/>
        <w:tblLayout w:type="fixed"/>
        <w:tblLook w:val="0400" w:firstRow="0" w:lastRow="0" w:firstColumn="0" w:lastColumn="0" w:noHBand="0" w:noVBand="1"/>
      </w:tblPr>
      <w:tblGrid>
        <w:gridCol w:w="1160"/>
        <w:gridCol w:w="540"/>
        <w:gridCol w:w="940"/>
        <w:gridCol w:w="1046"/>
        <w:gridCol w:w="860"/>
        <w:gridCol w:w="983"/>
        <w:gridCol w:w="920"/>
        <w:gridCol w:w="1480"/>
        <w:gridCol w:w="740"/>
      </w:tblGrid>
      <w:tr w:rsidR="00EC4499" w14:paraId="7908CF86" w14:textId="77777777" w:rsidTr="002E629C">
        <w:trPr>
          <w:trHeight w:val="288"/>
        </w:trPr>
        <w:tc>
          <w:tcPr>
            <w:tcW w:w="1160" w:type="dxa"/>
            <w:tcBorders>
              <w:top w:val="nil"/>
              <w:left w:val="nil"/>
              <w:bottom w:val="single" w:sz="4" w:space="0" w:color="000000"/>
              <w:right w:val="nil"/>
            </w:tcBorders>
            <w:shd w:val="clear" w:color="auto" w:fill="auto"/>
            <w:vAlign w:val="bottom"/>
          </w:tcPr>
          <w:p w14:paraId="68F691EE"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Empresa</w:t>
            </w:r>
          </w:p>
        </w:tc>
        <w:tc>
          <w:tcPr>
            <w:tcW w:w="540" w:type="dxa"/>
            <w:tcBorders>
              <w:top w:val="nil"/>
              <w:left w:val="nil"/>
              <w:bottom w:val="single" w:sz="4" w:space="0" w:color="000000"/>
              <w:right w:val="nil"/>
            </w:tcBorders>
            <w:shd w:val="clear" w:color="auto" w:fill="auto"/>
            <w:vAlign w:val="bottom"/>
          </w:tcPr>
          <w:p w14:paraId="5649373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Ano</w:t>
            </w:r>
          </w:p>
        </w:tc>
        <w:tc>
          <w:tcPr>
            <w:tcW w:w="940" w:type="dxa"/>
            <w:tcBorders>
              <w:top w:val="nil"/>
              <w:left w:val="nil"/>
              <w:bottom w:val="single" w:sz="4" w:space="0" w:color="000000"/>
              <w:right w:val="nil"/>
            </w:tcBorders>
            <w:shd w:val="clear" w:color="auto" w:fill="auto"/>
            <w:vAlign w:val="bottom"/>
          </w:tcPr>
          <w:p w14:paraId="51D83E6D"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Equilíbrio</w:t>
            </w:r>
          </w:p>
        </w:tc>
        <w:tc>
          <w:tcPr>
            <w:tcW w:w="1046" w:type="dxa"/>
            <w:tcBorders>
              <w:top w:val="nil"/>
              <w:left w:val="nil"/>
              <w:bottom w:val="single" w:sz="4" w:space="0" w:color="000000"/>
              <w:right w:val="nil"/>
            </w:tcBorders>
            <w:shd w:val="clear" w:color="auto" w:fill="auto"/>
            <w:vAlign w:val="bottom"/>
          </w:tcPr>
          <w:p w14:paraId="6FDFC8B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Comparabilidade</w:t>
            </w:r>
          </w:p>
        </w:tc>
        <w:tc>
          <w:tcPr>
            <w:tcW w:w="860" w:type="dxa"/>
            <w:tcBorders>
              <w:top w:val="nil"/>
              <w:left w:val="nil"/>
              <w:bottom w:val="single" w:sz="4" w:space="0" w:color="000000"/>
              <w:right w:val="nil"/>
            </w:tcBorders>
            <w:shd w:val="clear" w:color="auto" w:fill="auto"/>
            <w:vAlign w:val="bottom"/>
          </w:tcPr>
          <w:p w14:paraId="77231A1F"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Exatidão</w:t>
            </w:r>
          </w:p>
        </w:tc>
        <w:tc>
          <w:tcPr>
            <w:tcW w:w="983" w:type="dxa"/>
            <w:tcBorders>
              <w:top w:val="nil"/>
              <w:left w:val="nil"/>
              <w:bottom w:val="single" w:sz="4" w:space="0" w:color="000000"/>
              <w:right w:val="nil"/>
            </w:tcBorders>
            <w:shd w:val="clear" w:color="auto" w:fill="auto"/>
            <w:vAlign w:val="bottom"/>
          </w:tcPr>
          <w:p w14:paraId="18ADFFCA"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Tempestividade</w:t>
            </w:r>
          </w:p>
        </w:tc>
        <w:tc>
          <w:tcPr>
            <w:tcW w:w="920" w:type="dxa"/>
            <w:tcBorders>
              <w:top w:val="nil"/>
              <w:left w:val="nil"/>
              <w:bottom w:val="single" w:sz="4" w:space="0" w:color="000000"/>
              <w:right w:val="nil"/>
            </w:tcBorders>
            <w:shd w:val="clear" w:color="auto" w:fill="auto"/>
            <w:vAlign w:val="bottom"/>
          </w:tcPr>
          <w:p w14:paraId="663AAAD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Clareza</w:t>
            </w:r>
          </w:p>
        </w:tc>
        <w:tc>
          <w:tcPr>
            <w:tcW w:w="1480" w:type="dxa"/>
            <w:tcBorders>
              <w:top w:val="nil"/>
              <w:left w:val="nil"/>
              <w:bottom w:val="single" w:sz="4" w:space="0" w:color="000000"/>
              <w:right w:val="nil"/>
            </w:tcBorders>
            <w:shd w:val="clear" w:color="auto" w:fill="auto"/>
            <w:vAlign w:val="bottom"/>
          </w:tcPr>
          <w:p w14:paraId="73B8FEBA"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Verificabilidade</w:t>
            </w:r>
          </w:p>
        </w:tc>
        <w:tc>
          <w:tcPr>
            <w:tcW w:w="740" w:type="dxa"/>
            <w:tcBorders>
              <w:top w:val="nil"/>
              <w:left w:val="nil"/>
              <w:bottom w:val="single" w:sz="4" w:space="0" w:color="000000"/>
              <w:right w:val="nil"/>
            </w:tcBorders>
            <w:shd w:val="clear" w:color="auto" w:fill="auto"/>
            <w:vAlign w:val="bottom"/>
          </w:tcPr>
          <w:p w14:paraId="1B1112BE"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Total</w:t>
            </w:r>
          </w:p>
        </w:tc>
      </w:tr>
      <w:tr w:rsidR="00EC4499" w14:paraId="23FC992C" w14:textId="77777777" w:rsidTr="002E629C">
        <w:trPr>
          <w:trHeight w:val="288"/>
        </w:trPr>
        <w:tc>
          <w:tcPr>
            <w:tcW w:w="1160" w:type="dxa"/>
            <w:vMerge w:val="restart"/>
            <w:tcBorders>
              <w:top w:val="single" w:sz="4" w:space="0" w:color="000000"/>
              <w:left w:val="nil"/>
              <w:bottom w:val="nil"/>
              <w:right w:val="nil"/>
            </w:tcBorders>
            <w:shd w:val="clear" w:color="auto" w:fill="auto"/>
            <w:vAlign w:val="bottom"/>
          </w:tcPr>
          <w:p w14:paraId="620E32FA" w14:textId="77777777" w:rsidR="00EC4499" w:rsidRDefault="00433EA7">
            <w:pPr>
              <w:spacing w:after="0" w:line="48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BB</w:t>
            </w:r>
          </w:p>
        </w:tc>
        <w:tc>
          <w:tcPr>
            <w:tcW w:w="540" w:type="dxa"/>
            <w:tcBorders>
              <w:top w:val="single" w:sz="4" w:space="0" w:color="000000"/>
              <w:left w:val="nil"/>
              <w:bottom w:val="nil"/>
              <w:right w:val="nil"/>
            </w:tcBorders>
            <w:shd w:val="clear" w:color="auto" w:fill="auto"/>
            <w:vAlign w:val="bottom"/>
          </w:tcPr>
          <w:p w14:paraId="55C67EDB"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940" w:type="dxa"/>
            <w:tcBorders>
              <w:top w:val="single" w:sz="4" w:space="0" w:color="000000"/>
              <w:left w:val="nil"/>
              <w:bottom w:val="nil"/>
              <w:right w:val="nil"/>
            </w:tcBorders>
            <w:shd w:val="clear" w:color="auto" w:fill="auto"/>
            <w:vAlign w:val="bottom"/>
          </w:tcPr>
          <w:p w14:paraId="3AFD6FD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046" w:type="dxa"/>
            <w:tcBorders>
              <w:top w:val="single" w:sz="4" w:space="0" w:color="000000"/>
              <w:left w:val="nil"/>
              <w:bottom w:val="nil"/>
              <w:right w:val="nil"/>
            </w:tcBorders>
            <w:shd w:val="clear" w:color="auto" w:fill="auto"/>
            <w:vAlign w:val="bottom"/>
          </w:tcPr>
          <w:p w14:paraId="27B7CA72"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860" w:type="dxa"/>
            <w:tcBorders>
              <w:top w:val="single" w:sz="4" w:space="0" w:color="000000"/>
              <w:left w:val="nil"/>
              <w:bottom w:val="nil"/>
              <w:right w:val="nil"/>
            </w:tcBorders>
            <w:shd w:val="clear" w:color="auto" w:fill="auto"/>
            <w:vAlign w:val="bottom"/>
          </w:tcPr>
          <w:p w14:paraId="50DE344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83" w:type="dxa"/>
            <w:tcBorders>
              <w:top w:val="single" w:sz="4" w:space="0" w:color="000000"/>
              <w:left w:val="nil"/>
              <w:bottom w:val="nil"/>
              <w:right w:val="nil"/>
            </w:tcBorders>
            <w:shd w:val="clear" w:color="auto" w:fill="auto"/>
            <w:vAlign w:val="bottom"/>
          </w:tcPr>
          <w:p w14:paraId="77878E55"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20" w:type="dxa"/>
            <w:tcBorders>
              <w:top w:val="single" w:sz="4" w:space="0" w:color="000000"/>
              <w:left w:val="nil"/>
              <w:bottom w:val="nil"/>
              <w:right w:val="nil"/>
            </w:tcBorders>
            <w:shd w:val="clear" w:color="auto" w:fill="auto"/>
            <w:vAlign w:val="bottom"/>
          </w:tcPr>
          <w:p w14:paraId="266C4239"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480" w:type="dxa"/>
            <w:tcBorders>
              <w:top w:val="single" w:sz="4" w:space="0" w:color="000000"/>
              <w:left w:val="nil"/>
              <w:bottom w:val="nil"/>
              <w:right w:val="nil"/>
            </w:tcBorders>
            <w:shd w:val="clear" w:color="auto" w:fill="auto"/>
            <w:vAlign w:val="bottom"/>
          </w:tcPr>
          <w:p w14:paraId="22355B8D"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1,5</w:t>
            </w:r>
          </w:p>
        </w:tc>
        <w:tc>
          <w:tcPr>
            <w:tcW w:w="740" w:type="dxa"/>
            <w:tcBorders>
              <w:top w:val="single" w:sz="4" w:space="0" w:color="000000"/>
              <w:left w:val="nil"/>
              <w:bottom w:val="nil"/>
              <w:right w:val="nil"/>
            </w:tcBorders>
            <w:shd w:val="clear" w:color="auto" w:fill="auto"/>
            <w:vAlign w:val="bottom"/>
          </w:tcPr>
          <w:p w14:paraId="7405F7B4"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10,5</w:t>
            </w:r>
          </w:p>
        </w:tc>
      </w:tr>
      <w:tr w:rsidR="00EC4499" w14:paraId="7968317B" w14:textId="77777777" w:rsidTr="002E629C">
        <w:trPr>
          <w:trHeight w:val="288"/>
        </w:trPr>
        <w:tc>
          <w:tcPr>
            <w:tcW w:w="1160" w:type="dxa"/>
            <w:vMerge/>
            <w:tcBorders>
              <w:top w:val="single" w:sz="4" w:space="0" w:color="000000"/>
              <w:left w:val="nil"/>
              <w:bottom w:val="nil"/>
              <w:right w:val="nil"/>
            </w:tcBorders>
            <w:shd w:val="clear" w:color="auto" w:fill="auto"/>
            <w:vAlign w:val="bottom"/>
          </w:tcPr>
          <w:p w14:paraId="2C8CEC4D"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b/>
                <w:color w:val="000000"/>
                <w:sz w:val="18"/>
                <w:szCs w:val="18"/>
              </w:rPr>
            </w:pPr>
          </w:p>
        </w:tc>
        <w:tc>
          <w:tcPr>
            <w:tcW w:w="540" w:type="dxa"/>
            <w:tcBorders>
              <w:top w:val="nil"/>
              <w:left w:val="nil"/>
              <w:bottom w:val="single" w:sz="4" w:space="0" w:color="000000"/>
              <w:right w:val="nil"/>
            </w:tcBorders>
            <w:shd w:val="clear" w:color="auto" w:fill="auto"/>
            <w:vAlign w:val="bottom"/>
          </w:tcPr>
          <w:p w14:paraId="35520C1B"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940" w:type="dxa"/>
            <w:tcBorders>
              <w:top w:val="nil"/>
              <w:left w:val="nil"/>
              <w:bottom w:val="single" w:sz="4" w:space="0" w:color="000000"/>
              <w:right w:val="nil"/>
            </w:tcBorders>
            <w:shd w:val="clear" w:color="auto" w:fill="auto"/>
            <w:vAlign w:val="bottom"/>
          </w:tcPr>
          <w:p w14:paraId="27A74240"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046" w:type="dxa"/>
            <w:tcBorders>
              <w:top w:val="nil"/>
              <w:left w:val="nil"/>
              <w:bottom w:val="single" w:sz="4" w:space="0" w:color="000000"/>
              <w:right w:val="nil"/>
            </w:tcBorders>
            <w:shd w:val="clear" w:color="auto" w:fill="auto"/>
            <w:vAlign w:val="bottom"/>
          </w:tcPr>
          <w:p w14:paraId="56A54DF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860" w:type="dxa"/>
            <w:tcBorders>
              <w:top w:val="nil"/>
              <w:left w:val="nil"/>
              <w:bottom w:val="single" w:sz="4" w:space="0" w:color="000000"/>
              <w:right w:val="nil"/>
            </w:tcBorders>
            <w:shd w:val="clear" w:color="auto" w:fill="auto"/>
            <w:vAlign w:val="bottom"/>
          </w:tcPr>
          <w:p w14:paraId="1EABF556"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83" w:type="dxa"/>
            <w:tcBorders>
              <w:top w:val="nil"/>
              <w:left w:val="nil"/>
              <w:bottom w:val="single" w:sz="4" w:space="0" w:color="000000"/>
              <w:right w:val="nil"/>
            </w:tcBorders>
            <w:shd w:val="clear" w:color="auto" w:fill="auto"/>
            <w:vAlign w:val="bottom"/>
          </w:tcPr>
          <w:p w14:paraId="45EFB577"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20" w:type="dxa"/>
            <w:tcBorders>
              <w:top w:val="nil"/>
              <w:left w:val="nil"/>
              <w:bottom w:val="single" w:sz="4" w:space="0" w:color="000000"/>
              <w:right w:val="nil"/>
            </w:tcBorders>
            <w:shd w:val="clear" w:color="auto" w:fill="auto"/>
            <w:vAlign w:val="bottom"/>
          </w:tcPr>
          <w:p w14:paraId="18116C2D"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480" w:type="dxa"/>
            <w:tcBorders>
              <w:top w:val="nil"/>
              <w:left w:val="nil"/>
              <w:bottom w:val="single" w:sz="4" w:space="0" w:color="000000"/>
              <w:right w:val="nil"/>
            </w:tcBorders>
            <w:shd w:val="clear" w:color="auto" w:fill="auto"/>
            <w:vAlign w:val="bottom"/>
          </w:tcPr>
          <w:p w14:paraId="6F6FBAEF"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1,5</w:t>
            </w:r>
          </w:p>
        </w:tc>
        <w:tc>
          <w:tcPr>
            <w:tcW w:w="740" w:type="dxa"/>
            <w:tcBorders>
              <w:top w:val="nil"/>
              <w:left w:val="nil"/>
              <w:bottom w:val="single" w:sz="4" w:space="0" w:color="000000"/>
              <w:right w:val="nil"/>
            </w:tcBorders>
            <w:shd w:val="clear" w:color="auto" w:fill="auto"/>
            <w:vAlign w:val="bottom"/>
          </w:tcPr>
          <w:p w14:paraId="2C6352B2"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10,5</w:t>
            </w:r>
          </w:p>
        </w:tc>
      </w:tr>
      <w:tr w:rsidR="00EC4499" w14:paraId="418E5283" w14:textId="77777777" w:rsidTr="002E629C">
        <w:trPr>
          <w:trHeight w:val="288"/>
        </w:trPr>
        <w:tc>
          <w:tcPr>
            <w:tcW w:w="1160" w:type="dxa"/>
            <w:vMerge w:val="restart"/>
            <w:tcBorders>
              <w:top w:val="nil"/>
              <w:left w:val="nil"/>
              <w:bottom w:val="nil"/>
              <w:right w:val="nil"/>
            </w:tcBorders>
            <w:shd w:val="clear" w:color="auto" w:fill="auto"/>
            <w:vAlign w:val="bottom"/>
          </w:tcPr>
          <w:p w14:paraId="2D3F2C14" w14:textId="77777777" w:rsidR="00EC4499" w:rsidRDefault="00433EA7">
            <w:pPr>
              <w:spacing w:after="0" w:line="48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 xml:space="preserve">BNB </w:t>
            </w:r>
          </w:p>
        </w:tc>
        <w:tc>
          <w:tcPr>
            <w:tcW w:w="540" w:type="dxa"/>
            <w:tcBorders>
              <w:top w:val="single" w:sz="4" w:space="0" w:color="000000"/>
              <w:left w:val="nil"/>
              <w:bottom w:val="nil"/>
              <w:right w:val="nil"/>
            </w:tcBorders>
            <w:shd w:val="clear" w:color="auto" w:fill="auto"/>
            <w:vAlign w:val="bottom"/>
          </w:tcPr>
          <w:p w14:paraId="6B8AC06C"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940" w:type="dxa"/>
            <w:tcBorders>
              <w:top w:val="single" w:sz="4" w:space="0" w:color="000000"/>
              <w:left w:val="nil"/>
              <w:bottom w:val="nil"/>
              <w:right w:val="nil"/>
            </w:tcBorders>
            <w:shd w:val="clear" w:color="auto" w:fill="auto"/>
            <w:vAlign w:val="bottom"/>
          </w:tcPr>
          <w:p w14:paraId="4504E22D"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046" w:type="dxa"/>
            <w:tcBorders>
              <w:top w:val="single" w:sz="4" w:space="0" w:color="000000"/>
              <w:left w:val="nil"/>
              <w:bottom w:val="nil"/>
              <w:right w:val="nil"/>
            </w:tcBorders>
            <w:shd w:val="clear" w:color="auto" w:fill="auto"/>
            <w:vAlign w:val="bottom"/>
          </w:tcPr>
          <w:p w14:paraId="6765A466"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1,5</w:t>
            </w:r>
          </w:p>
        </w:tc>
        <w:tc>
          <w:tcPr>
            <w:tcW w:w="860" w:type="dxa"/>
            <w:tcBorders>
              <w:top w:val="single" w:sz="4" w:space="0" w:color="000000"/>
              <w:left w:val="nil"/>
              <w:bottom w:val="nil"/>
              <w:right w:val="nil"/>
            </w:tcBorders>
            <w:shd w:val="clear" w:color="auto" w:fill="auto"/>
            <w:vAlign w:val="bottom"/>
          </w:tcPr>
          <w:p w14:paraId="4160C4E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83" w:type="dxa"/>
            <w:tcBorders>
              <w:top w:val="single" w:sz="4" w:space="0" w:color="000000"/>
              <w:left w:val="nil"/>
              <w:bottom w:val="nil"/>
              <w:right w:val="nil"/>
            </w:tcBorders>
            <w:shd w:val="clear" w:color="auto" w:fill="auto"/>
            <w:vAlign w:val="bottom"/>
          </w:tcPr>
          <w:p w14:paraId="386EC8AE"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920" w:type="dxa"/>
            <w:tcBorders>
              <w:top w:val="single" w:sz="4" w:space="0" w:color="000000"/>
              <w:left w:val="nil"/>
              <w:bottom w:val="nil"/>
              <w:right w:val="nil"/>
            </w:tcBorders>
            <w:shd w:val="clear" w:color="auto" w:fill="auto"/>
            <w:vAlign w:val="bottom"/>
          </w:tcPr>
          <w:p w14:paraId="0D15913B"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480" w:type="dxa"/>
            <w:tcBorders>
              <w:top w:val="single" w:sz="4" w:space="0" w:color="000000"/>
              <w:left w:val="nil"/>
              <w:bottom w:val="nil"/>
              <w:right w:val="nil"/>
            </w:tcBorders>
            <w:shd w:val="clear" w:color="auto" w:fill="auto"/>
            <w:vAlign w:val="bottom"/>
          </w:tcPr>
          <w:p w14:paraId="0F714BFE"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740" w:type="dxa"/>
            <w:tcBorders>
              <w:top w:val="single" w:sz="4" w:space="0" w:color="000000"/>
              <w:left w:val="nil"/>
              <w:bottom w:val="nil"/>
              <w:right w:val="nil"/>
            </w:tcBorders>
            <w:shd w:val="clear" w:color="auto" w:fill="auto"/>
            <w:vAlign w:val="bottom"/>
          </w:tcPr>
          <w:p w14:paraId="087D14A9"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7,5</w:t>
            </w:r>
          </w:p>
        </w:tc>
      </w:tr>
      <w:tr w:rsidR="00EC4499" w14:paraId="1F916035" w14:textId="77777777" w:rsidTr="002E629C">
        <w:trPr>
          <w:trHeight w:val="288"/>
        </w:trPr>
        <w:tc>
          <w:tcPr>
            <w:tcW w:w="1160" w:type="dxa"/>
            <w:vMerge/>
            <w:tcBorders>
              <w:top w:val="nil"/>
              <w:left w:val="nil"/>
              <w:bottom w:val="nil"/>
              <w:right w:val="nil"/>
            </w:tcBorders>
            <w:shd w:val="clear" w:color="auto" w:fill="auto"/>
            <w:vAlign w:val="bottom"/>
          </w:tcPr>
          <w:p w14:paraId="0C00517F"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b/>
                <w:color w:val="000000"/>
                <w:sz w:val="18"/>
                <w:szCs w:val="18"/>
              </w:rPr>
            </w:pPr>
          </w:p>
        </w:tc>
        <w:tc>
          <w:tcPr>
            <w:tcW w:w="540" w:type="dxa"/>
            <w:tcBorders>
              <w:top w:val="nil"/>
              <w:left w:val="nil"/>
              <w:bottom w:val="single" w:sz="4" w:space="0" w:color="000000"/>
              <w:right w:val="nil"/>
            </w:tcBorders>
            <w:shd w:val="clear" w:color="auto" w:fill="auto"/>
            <w:vAlign w:val="bottom"/>
          </w:tcPr>
          <w:p w14:paraId="034329D1"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940" w:type="dxa"/>
            <w:tcBorders>
              <w:top w:val="nil"/>
              <w:left w:val="nil"/>
              <w:bottom w:val="single" w:sz="4" w:space="0" w:color="000000"/>
              <w:right w:val="nil"/>
            </w:tcBorders>
            <w:shd w:val="clear" w:color="auto" w:fill="auto"/>
            <w:vAlign w:val="bottom"/>
          </w:tcPr>
          <w:p w14:paraId="42A7DEA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046" w:type="dxa"/>
            <w:tcBorders>
              <w:top w:val="nil"/>
              <w:left w:val="nil"/>
              <w:bottom w:val="single" w:sz="4" w:space="0" w:color="000000"/>
              <w:right w:val="nil"/>
            </w:tcBorders>
            <w:shd w:val="clear" w:color="auto" w:fill="auto"/>
            <w:vAlign w:val="bottom"/>
          </w:tcPr>
          <w:p w14:paraId="3D14F766"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1,5</w:t>
            </w:r>
          </w:p>
        </w:tc>
        <w:tc>
          <w:tcPr>
            <w:tcW w:w="860" w:type="dxa"/>
            <w:tcBorders>
              <w:top w:val="nil"/>
              <w:left w:val="nil"/>
              <w:bottom w:val="single" w:sz="4" w:space="0" w:color="000000"/>
              <w:right w:val="nil"/>
            </w:tcBorders>
            <w:shd w:val="clear" w:color="auto" w:fill="auto"/>
            <w:vAlign w:val="bottom"/>
          </w:tcPr>
          <w:p w14:paraId="6863C8E9"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83" w:type="dxa"/>
            <w:tcBorders>
              <w:top w:val="nil"/>
              <w:left w:val="nil"/>
              <w:bottom w:val="single" w:sz="4" w:space="0" w:color="000000"/>
              <w:right w:val="nil"/>
            </w:tcBorders>
            <w:shd w:val="clear" w:color="auto" w:fill="auto"/>
            <w:vAlign w:val="bottom"/>
          </w:tcPr>
          <w:p w14:paraId="571F901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0</w:t>
            </w:r>
          </w:p>
        </w:tc>
        <w:tc>
          <w:tcPr>
            <w:tcW w:w="920" w:type="dxa"/>
            <w:tcBorders>
              <w:top w:val="nil"/>
              <w:left w:val="nil"/>
              <w:bottom w:val="single" w:sz="4" w:space="0" w:color="000000"/>
              <w:right w:val="nil"/>
            </w:tcBorders>
            <w:shd w:val="clear" w:color="auto" w:fill="auto"/>
            <w:vAlign w:val="bottom"/>
          </w:tcPr>
          <w:p w14:paraId="70E70549"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480" w:type="dxa"/>
            <w:tcBorders>
              <w:top w:val="nil"/>
              <w:left w:val="nil"/>
              <w:bottom w:val="single" w:sz="4" w:space="0" w:color="000000"/>
              <w:right w:val="nil"/>
            </w:tcBorders>
            <w:shd w:val="clear" w:color="auto" w:fill="auto"/>
            <w:vAlign w:val="bottom"/>
          </w:tcPr>
          <w:p w14:paraId="69C2C04C"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740" w:type="dxa"/>
            <w:tcBorders>
              <w:top w:val="nil"/>
              <w:left w:val="nil"/>
              <w:bottom w:val="single" w:sz="4" w:space="0" w:color="000000"/>
              <w:right w:val="nil"/>
            </w:tcBorders>
            <w:shd w:val="clear" w:color="auto" w:fill="auto"/>
            <w:vAlign w:val="bottom"/>
          </w:tcPr>
          <w:p w14:paraId="6F580A55"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6,5</w:t>
            </w:r>
          </w:p>
        </w:tc>
      </w:tr>
      <w:tr w:rsidR="00EC4499" w14:paraId="57B6097E" w14:textId="77777777" w:rsidTr="002E629C">
        <w:trPr>
          <w:trHeight w:val="288"/>
        </w:trPr>
        <w:tc>
          <w:tcPr>
            <w:tcW w:w="1160" w:type="dxa"/>
            <w:vMerge w:val="restart"/>
            <w:tcBorders>
              <w:top w:val="nil"/>
              <w:left w:val="nil"/>
              <w:bottom w:val="nil"/>
              <w:right w:val="nil"/>
            </w:tcBorders>
            <w:shd w:val="clear" w:color="auto" w:fill="auto"/>
            <w:vAlign w:val="bottom"/>
          </w:tcPr>
          <w:p w14:paraId="27249883" w14:textId="77777777" w:rsidR="00EC4499" w:rsidRDefault="00433EA7">
            <w:pPr>
              <w:spacing w:after="0" w:line="48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BNDES</w:t>
            </w:r>
          </w:p>
        </w:tc>
        <w:tc>
          <w:tcPr>
            <w:tcW w:w="540" w:type="dxa"/>
            <w:tcBorders>
              <w:top w:val="single" w:sz="4" w:space="0" w:color="000000"/>
              <w:left w:val="nil"/>
              <w:bottom w:val="nil"/>
              <w:right w:val="nil"/>
            </w:tcBorders>
            <w:shd w:val="clear" w:color="auto" w:fill="auto"/>
            <w:vAlign w:val="bottom"/>
          </w:tcPr>
          <w:p w14:paraId="41FBA977"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940" w:type="dxa"/>
            <w:tcBorders>
              <w:top w:val="single" w:sz="4" w:space="0" w:color="000000"/>
              <w:left w:val="nil"/>
              <w:bottom w:val="nil"/>
              <w:right w:val="nil"/>
            </w:tcBorders>
            <w:shd w:val="clear" w:color="auto" w:fill="auto"/>
            <w:vAlign w:val="bottom"/>
          </w:tcPr>
          <w:p w14:paraId="6EA105D5"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046" w:type="dxa"/>
            <w:tcBorders>
              <w:top w:val="single" w:sz="4" w:space="0" w:color="000000"/>
              <w:left w:val="nil"/>
              <w:bottom w:val="nil"/>
              <w:right w:val="nil"/>
            </w:tcBorders>
            <w:shd w:val="clear" w:color="auto" w:fill="auto"/>
            <w:vAlign w:val="bottom"/>
          </w:tcPr>
          <w:p w14:paraId="3269A0C9"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1,5</w:t>
            </w:r>
          </w:p>
        </w:tc>
        <w:tc>
          <w:tcPr>
            <w:tcW w:w="860" w:type="dxa"/>
            <w:tcBorders>
              <w:top w:val="single" w:sz="4" w:space="0" w:color="000000"/>
              <w:left w:val="nil"/>
              <w:bottom w:val="nil"/>
              <w:right w:val="nil"/>
            </w:tcBorders>
            <w:shd w:val="clear" w:color="auto" w:fill="auto"/>
            <w:vAlign w:val="bottom"/>
          </w:tcPr>
          <w:p w14:paraId="194A01C9"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83" w:type="dxa"/>
            <w:tcBorders>
              <w:top w:val="single" w:sz="4" w:space="0" w:color="000000"/>
              <w:left w:val="nil"/>
              <w:bottom w:val="nil"/>
              <w:right w:val="nil"/>
            </w:tcBorders>
            <w:shd w:val="clear" w:color="auto" w:fill="auto"/>
            <w:vAlign w:val="bottom"/>
          </w:tcPr>
          <w:p w14:paraId="4733296D"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20" w:type="dxa"/>
            <w:tcBorders>
              <w:top w:val="single" w:sz="4" w:space="0" w:color="000000"/>
              <w:left w:val="nil"/>
              <w:bottom w:val="nil"/>
              <w:right w:val="nil"/>
            </w:tcBorders>
            <w:shd w:val="clear" w:color="auto" w:fill="auto"/>
            <w:vAlign w:val="bottom"/>
          </w:tcPr>
          <w:p w14:paraId="10C9174A"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480" w:type="dxa"/>
            <w:tcBorders>
              <w:top w:val="single" w:sz="4" w:space="0" w:color="000000"/>
              <w:left w:val="nil"/>
              <w:bottom w:val="nil"/>
              <w:right w:val="nil"/>
            </w:tcBorders>
            <w:shd w:val="clear" w:color="auto" w:fill="auto"/>
            <w:vAlign w:val="bottom"/>
          </w:tcPr>
          <w:p w14:paraId="0D8F197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1,5</w:t>
            </w:r>
          </w:p>
        </w:tc>
        <w:tc>
          <w:tcPr>
            <w:tcW w:w="740" w:type="dxa"/>
            <w:tcBorders>
              <w:top w:val="single" w:sz="4" w:space="0" w:color="000000"/>
              <w:left w:val="nil"/>
              <w:bottom w:val="nil"/>
              <w:right w:val="nil"/>
            </w:tcBorders>
            <w:shd w:val="clear" w:color="auto" w:fill="auto"/>
            <w:vAlign w:val="bottom"/>
          </w:tcPr>
          <w:p w14:paraId="45D000A8"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10</w:t>
            </w:r>
          </w:p>
        </w:tc>
      </w:tr>
      <w:tr w:rsidR="00EC4499" w14:paraId="783EF483" w14:textId="77777777" w:rsidTr="002E629C">
        <w:trPr>
          <w:trHeight w:val="288"/>
        </w:trPr>
        <w:tc>
          <w:tcPr>
            <w:tcW w:w="1160" w:type="dxa"/>
            <w:vMerge/>
            <w:tcBorders>
              <w:top w:val="nil"/>
              <w:left w:val="nil"/>
              <w:bottom w:val="nil"/>
              <w:right w:val="nil"/>
            </w:tcBorders>
            <w:shd w:val="clear" w:color="auto" w:fill="auto"/>
            <w:vAlign w:val="bottom"/>
          </w:tcPr>
          <w:p w14:paraId="7D970627"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b/>
                <w:color w:val="000000"/>
                <w:sz w:val="18"/>
                <w:szCs w:val="18"/>
              </w:rPr>
            </w:pPr>
          </w:p>
        </w:tc>
        <w:tc>
          <w:tcPr>
            <w:tcW w:w="540" w:type="dxa"/>
            <w:tcBorders>
              <w:top w:val="nil"/>
              <w:left w:val="nil"/>
              <w:bottom w:val="single" w:sz="4" w:space="0" w:color="000000"/>
              <w:right w:val="nil"/>
            </w:tcBorders>
            <w:shd w:val="clear" w:color="auto" w:fill="auto"/>
            <w:vAlign w:val="bottom"/>
          </w:tcPr>
          <w:p w14:paraId="25D40F24"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940" w:type="dxa"/>
            <w:tcBorders>
              <w:top w:val="nil"/>
              <w:left w:val="nil"/>
              <w:bottom w:val="single" w:sz="4" w:space="0" w:color="000000"/>
              <w:right w:val="nil"/>
            </w:tcBorders>
            <w:shd w:val="clear" w:color="auto" w:fill="auto"/>
            <w:vAlign w:val="bottom"/>
          </w:tcPr>
          <w:p w14:paraId="53558D0D"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046" w:type="dxa"/>
            <w:tcBorders>
              <w:top w:val="nil"/>
              <w:left w:val="nil"/>
              <w:bottom w:val="single" w:sz="4" w:space="0" w:color="000000"/>
              <w:right w:val="nil"/>
            </w:tcBorders>
            <w:shd w:val="clear" w:color="auto" w:fill="auto"/>
            <w:vAlign w:val="bottom"/>
          </w:tcPr>
          <w:p w14:paraId="141115AD"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860" w:type="dxa"/>
            <w:tcBorders>
              <w:top w:val="nil"/>
              <w:left w:val="nil"/>
              <w:bottom w:val="single" w:sz="4" w:space="0" w:color="000000"/>
              <w:right w:val="nil"/>
            </w:tcBorders>
            <w:shd w:val="clear" w:color="auto" w:fill="auto"/>
            <w:vAlign w:val="bottom"/>
          </w:tcPr>
          <w:p w14:paraId="6E793B2D"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83" w:type="dxa"/>
            <w:tcBorders>
              <w:top w:val="nil"/>
              <w:left w:val="nil"/>
              <w:bottom w:val="single" w:sz="4" w:space="0" w:color="000000"/>
              <w:right w:val="nil"/>
            </w:tcBorders>
            <w:shd w:val="clear" w:color="auto" w:fill="auto"/>
            <w:vAlign w:val="bottom"/>
          </w:tcPr>
          <w:p w14:paraId="3BE0296E"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20" w:type="dxa"/>
            <w:tcBorders>
              <w:top w:val="nil"/>
              <w:left w:val="nil"/>
              <w:bottom w:val="single" w:sz="4" w:space="0" w:color="000000"/>
              <w:right w:val="nil"/>
            </w:tcBorders>
            <w:shd w:val="clear" w:color="auto" w:fill="auto"/>
            <w:vAlign w:val="bottom"/>
          </w:tcPr>
          <w:p w14:paraId="21A23302"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480" w:type="dxa"/>
            <w:tcBorders>
              <w:top w:val="nil"/>
              <w:left w:val="nil"/>
              <w:bottom w:val="single" w:sz="4" w:space="0" w:color="000000"/>
              <w:right w:val="nil"/>
            </w:tcBorders>
            <w:shd w:val="clear" w:color="auto" w:fill="auto"/>
            <w:vAlign w:val="bottom"/>
          </w:tcPr>
          <w:p w14:paraId="668BA99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1,5</w:t>
            </w:r>
          </w:p>
        </w:tc>
        <w:tc>
          <w:tcPr>
            <w:tcW w:w="740" w:type="dxa"/>
            <w:tcBorders>
              <w:top w:val="nil"/>
              <w:left w:val="nil"/>
              <w:bottom w:val="single" w:sz="4" w:space="0" w:color="000000"/>
              <w:right w:val="nil"/>
            </w:tcBorders>
            <w:shd w:val="clear" w:color="auto" w:fill="auto"/>
            <w:vAlign w:val="bottom"/>
          </w:tcPr>
          <w:p w14:paraId="16F60C34"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10,5</w:t>
            </w:r>
          </w:p>
        </w:tc>
      </w:tr>
      <w:tr w:rsidR="00EC4499" w14:paraId="3AE23234" w14:textId="77777777" w:rsidTr="002E629C">
        <w:trPr>
          <w:trHeight w:val="288"/>
        </w:trPr>
        <w:tc>
          <w:tcPr>
            <w:tcW w:w="1160" w:type="dxa"/>
            <w:vMerge w:val="restart"/>
            <w:tcBorders>
              <w:top w:val="nil"/>
              <w:left w:val="nil"/>
              <w:bottom w:val="nil"/>
              <w:right w:val="nil"/>
            </w:tcBorders>
            <w:shd w:val="clear" w:color="auto" w:fill="auto"/>
            <w:vAlign w:val="bottom"/>
          </w:tcPr>
          <w:p w14:paraId="22374CB0" w14:textId="77777777" w:rsidR="00EC4499" w:rsidRDefault="00433EA7">
            <w:pPr>
              <w:spacing w:after="0" w:line="48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Bradesco</w:t>
            </w:r>
          </w:p>
        </w:tc>
        <w:tc>
          <w:tcPr>
            <w:tcW w:w="540" w:type="dxa"/>
            <w:tcBorders>
              <w:top w:val="single" w:sz="4" w:space="0" w:color="000000"/>
              <w:left w:val="nil"/>
              <w:bottom w:val="nil"/>
              <w:right w:val="nil"/>
            </w:tcBorders>
            <w:shd w:val="clear" w:color="auto" w:fill="auto"/>
            <w:vAlign w:val="bottom"/>
          </w:tcPr>
          <w:p w14:paraId="3E85C298"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940" w:type="dxa"/>
            <w:tcBorders>
              <w:top w:val="single" w:sz="4" w:space="0" w:color="000000"/>
              <w:left w:val="nil"/>
              <w:bottom w:val="nil"/>
              <w:right w:val="nil"/>
            </w:tcBorders>
            <w:shd w:val="clear" w:color="auto" w:fill="auto"/>
            <w:vAlign w:val="bottom"/>
          </w:tcPr>
          <w:p w14:paraId="2C87261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1,5</w:t>
            </w:r>
          </w:p>
        </w:tc>
        <w:tc>
          <w:tcPr>
            <w:tcW w:w="1046" w:type="dxa"/>
            <w:tcBorders>
              <w:top w:val="single" w:sz="4" w:space="0" w:color="000000"/>
              <w:left w:val="nil"/>
              <w:bottom w:val="nil"/>
              <w:right w:val="nil"/>
            </w:tcBorders>
            <w:shd w:val="clear" w:color="auto" w:fill="auto"/>
            <w:vAlign w:val="bottom"/>
          </w:tcPr>
          <w:p w14:paraId="57CC6D1C"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860" w:type="dxa"/>
            <w:tcBorders>
              <w:top w:val="single" w:sz="4" w:space="0" w:color="000000"/>
              <w:left w:val="nil"/>
              <w:bottom w:val="nil"/>
              <w:right w:val="nil"/>
            </w:tcBorders>
            <w:shd w:val="clear" w:color="auto" w:fill="auto"/>
            <w:vAlign w:val="bottom"/>
          </w:tcPr>
          <w:p w14:paraId="5882AC94"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83" w:type="dxa"/>
            <w:tcBorders>
              <w:top w:val="single" w:sz="4" w:space="0" w:color="000000"/>
              <w:left w:val="nil"/>
              <w:bottom w:val="nil"/>
              <w:right w:val="nil"/>
            </w:tcBorders>
            <w:shd w:val="clear" w:color="auto" w:fill="auto"/>
            <w:vAlign w:val="bottom"/>
          </w:tcPr>
          <w:p w14:paraId="282388B4"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920" w:type="dxa"/>
            <w:tcBorders>
              <w:top w:val="single" w:sz="4" w:space="0" w:color="000000"/>
              <w:left w:val="nil"/>
              <w:bottom w:val="nil"/>
              <w:right w:val="nil"/>
            </w:tcBorders>
            <w:shd w:val="clear" w:color="auto" w:fill="auto"/>
            <w:vAlign w:val="bottom"/>
          </w:tcPr>
          <w:p w14:paraId="76401A2F"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480" w:type="dxa"/>
            <w:tcBorders>
              <w:top w:val="single" w:sz="4" w:space="0" w:color="000000"/>
              <w:left w:val="nil"/>
              <w:bottom w:val="nil"/>
              <w:right w:val="nil"/>
            </w:tcBorders>
            <w:shd w:val="clear" w:color="auto" w:fill="auto"/>
            <w:vAlign w:val="bottom"/>
          </w:tcPr>
          <w:p w14:paraId="14397124"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1,5</w:t>
            </w:r>
          </w:p>
        </w:tc>
        <w:tc>
          <w:tcPr>
            <w:tcW w:w="740" w:type="dxa"/>
            <w:tcBorders>
              <w:top w:val="single" w:sz="4" w:space="0" w:color="000000"/>
              <w:left w:val="nil"/>
              <w:bottom w:val="nil"/>
              <w:right w:val="nil"/>
            </w:tcBorders>
            <w:shd w:val="clear" w:color="auto" w:fill="auto"/>
            <w:vAlign w:val="bottom"/>
          </w:tcPr>
          <w:p w14:paraId="7AB6337D"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10</w:t>
            </w:r>
          </w:p>
        </w:tc>
      </w:tr>
      <w:tr w:rsidR="00EC4499" w14:paraId="07F67FE4" w14:textId="77777777" w:rsidTr="002E629C">
        <w:trPr>
          <w:trHeight w:val="288"/>
        </w:trPr>
        <w:tc>
          <w:tcPr>
            <w:tcW w:w="1160" w:type="dxa"/>
            <w:vMerge/>
            <w:tcBorders>
              <w:top w:val="nil"/>
              <w:left w:val="nil"/>
              <w:bottom w:val="nil"/>
              <w:right w:val="nil"/>
            </w:tcBorders>
            <w:shd w:val="clear" w:color="auto" w:fill="auto"/>
            <w:vAlign w:val="bottom"/>
          </w:tcPr>
          <w:p w14:paraId="12ACCF08"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b/>
                <w:color w:val="000000"/>
                <w:sz w:val="18"/>
                <w:szCs w:val="18"/>
              </w:rPr>
            </w:pPr>
          </w:p>
        </w:tc>
        <w:tc>
          <w:tcPr>
            <w:tcW w:w="540" w:type="dxa"/>
            <w:tcBorders>
              <w:top w:val="nil"/>
              <w:left w:val="nil"/>
              <w:bottom w:val="single" w:sz="4" w:space="0" w:color="000000"/>
              <w:right w:val="nil"/>
            </w:tcBorders>
            <w:shd w:val="clear" w:color="auto" w:fill="auto"/>
            <w:vAlign w:val="bottom"/>
          </w:tcPr>
          <w:p w14:paraId="0A8F2D17"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940" w:type="dxa"/>
            <w:tcBorders>
              <w:top w:val="nil"/>
              <w:left w:val="nil"/>
              <w:bottom w:val="single" w:sz="4" w:space="0" w:color="000000"/>
              <w:right w:val="nil"/>
            </w:tcBorders>
            <w:shd w:val="clear" w:color="auto" w:fill="auto"/>
            <w:vAlign w:val="bottom"/>
          </w:tcPr>
          <w:p w14:paraId="31C1944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1,5</w:t>
            </w:r>
          </w:p>
        </w:tc>
        <w:tc>
          <w:tcPr>
            <w:tcW w:w="1046" w:type="dxa"/>
            <w:tcBorders>
              <w:top w:val="nil"/>
              <w:left w:val="nil"/>
              <w:bottom w:val="single" w:sz="4" w:space="0" w:color="000000"/>
              <w:right w:val="nil"/>
            </w:tcBorders>
            <w:shd w:val="clear" w:color="auto" w:fill="auto"/>
            <w:vAlign w:val="bottom"/>
          </w:tcPr>
          <w:p w14:paraId="6A619E10"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860" w:type="dxa"/>
            <w:tcBorders>
              <w:top w:val="nil"/>
              <w:left w:val="nil"/>
              <w:bottom w:val="single" w:sz="4" w:space="0" w:color="000000"/>
              <w:right w:val="nil"/>
            </w:tcBorders>
            <w:shd w:val="clear" w:color="auto" w:fill="auto"/>
            <w:vAlign w:val="bottom"/>
          </w:tcPr>
          <w:p w14:paraId="3DF9AFD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83" w:type="dxa"/>
            <w:tcBorders>
              <w:top w:val="nil"/>
              <w:left w:val="nil"/>
              <w:bottom w:val="single" w:sz="4" w:space="0" w:color="000000"/>
              <w:right w:val="nil"/>
            </w:tcBorders>
            <w:shd w:val="clear" w:color="auto" w:fill="auto"/>
            <w:vAlign w:val="bottom"/>
          </w:tcPr>
          <w:p w14:paraId="2EDBB7C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20" w:type="dxa"/>
            <w:tcBorders>
              <w:top w:val="nil"/>
              <w:left w:val="nil"/>
              <w:bottom w:val="single" w:sz="4" w:space="0" w:color="000000"/>
              <w:right w:val="nil"/>
            </w:tcBorders>
            <w:shd w:val="clear" w:color="auto" w:fill="auto"/>
            <w:vAlign w:val="bottom"/>
          </w:tcPr>
          <w:p w14:paraId="3E252920"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480" w:type="dxa"/>
            <w:tcBorders>
              <w:top w:val="nil"/>
              <w:left w:val="nil"/>
              <w:bottom w:val="single" w:sz="4" w:space="0" w:color="000000"/>
              <w:right w:val="nil"/>
            </w:tcBorders>
            <w:shd w:val="clear" w:color="auto" w:fill="auto"/>
            <w:vAlign w:val="bottom"/>
          </w:tcPr>
          <w:p w14:paraId="32A78B70"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1,5</w:t>
            </w:r>
          </w:p>
        </w:tc>
        <w:tc>
          <w:tcPr>
            <w:tcW w:w="740" w:type="dxa"/>
            <w:tcBorders>
              <w:top w:val="nil"/>
              <w:left w:val="nil"/>
              <w:bottom w:val="single" w:sz="4" w:space="0" w:color="000000"/>
              <w:right w:val="nil"/>
            </w:tcBorders>
            <w:shd w:val="clear" w:color="auto" w:fill="auto"/>
            <w:vAlign w:val="bottom"/>
          </w:tcPr>
          <w:p w14:paraId="609D2738"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11</w:t>
            </w:r>
          </w:p>
        </w:tc>
      </w:tr>
      <w:tr w:rsidR="00EC4499" w14:paraId="744F2547" w14:textId="77777777" w:rsidTr="002E629C">
        <w:trPr>
          <w:trHeight w:val="288"/>
        </w:trPr>
        <w:tc>
          <w:tcPr>
            <w:tcW w:w="1160" w:type="dxa"/>
            <w:vMerge w:val="restart"/>
            <w:tcBorders>
              <w:top w:val="nil"/>
              <w:left w:val="nil"/>
              <w:bottom w:val="nil"/>
              <w:right w:val="nil"/>
            </w:tcBorders>
            <w:shd w:val="clear" w:color="auto" w:fill="auto"/>
            <w:vAlign w:val="bottom"/>
          </w:tcPr>
          <w:p w14:paraId="1694FA90" w14:textId="77777777" w:rsidR="00EC4499" w:rsidRDefault="00433EA7">
            <w:pPr>
              <w:spacing w:after="0" w:line="48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BTG Pactual</w:t>
            </w:r>
          </w:p>
        </w:tc>
        <w:tc>
          <w:tcPr>
            <w:tcW w:w="540" w:type="dxa"/>
            <w:tcBorders>
              <w:top w:val="single" w:sz="4" w:space="0" w:color="000000"/>
              <w:left w:val="nil"/>
              <w:bottom w:val="nil"/>
              <w:right w:val="nil"/>
            </w:tcBorders>
            <w:shd w:val="clear" w:color="auto" w:fill="auto"/>
            <w:vAlign w:val="bottom"/>
          </w:tcPr>
          <w:p w14:paraId="6C5D2AA5"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940" w:type="dxa"/>
            <w:tcBorders>
              <w:top w:val="single" w:sz="4" w:space="0" w:color="000000"/>
              <w:left w:val="nil"/>
              <w:bottom w:val="nil"/>
              <w:right w:val="nil"/>
            </w:tcBorders>
            <w:shd w:val="clear" w:color="auto" w:fill="auto"/>
            <w:vAlign w:val="bottom"/>
          </w:tcPr>
          <w:p w14:paraId="4D39EEF5"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046" w:type="dxa"/>
            <w:tcBorders>
              <w:top w:val="single" w:sz="4" w:space="0" w:color="000000"/>
              <w:left w:val="nil"/>
              <w:bottom w:val="nil"/>
              <w:right w:val="nil"/>
            </w:tcBorders>
            <w:shd w:val="clear" w:color="auto" w:fill="auto"/>
            <w:vAlign w:val="bottom"/>
          </w:tcPr>
          <w:p w14:paraId="4290FFF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860" w:type="dxa"/>
            <w:tcBorders>
              <w:top w:val="single" w:sz="4" w:space="0" w:color="000000"/>
              <w:left w:val="nil"/>
              <w:bottom w:val="nil"/>
              <w:right w:val="nil"/>
            </w:tcBorders>
            <w:shd w:val="clear" w:color="auto" w:fill="auto"/>
            <w:vAlign w:val="bottom"/>
          </w:tcPr>
          <w:p w14:paraId="4FB7EA0A"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83" w:type="dxa"/>
            <w:tcBorders>
              <w:top w:val="single" w:sz="4" w:space="0" w:color="000000"/>
              <w:left w:val="nil"/>
              <w:bottom w:val="nil"/>
              <w:right w:val="nil"/>
            </w:tcBorders>
            <w:shd w:val="clear" w:color="auto" w:fill="auto"/>
            <w:vAlign w:val="bottom"/>
          </w:tcPr>
          <w:p w14:paraId="5D9A5686"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20" w:type="dxa"/>
            <w:tcBorders>
              <w:top w:val="single" w:sz="4" w:space="0" w:color="000000"/>
              <w:left w:val="nil"/>
              <w:bottom w:val="nil"/>
              <w:right w:val="nil"/>
            </w:tcBorders>
            <w:shd w:val="clear" w:color="auto" w:fill="auto"/>
            <w:vAlign w:val="bottom"/>
          </w:tcPr>
          <w:p w14:paraId="04F64B2B"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480" w:type="dxa"/>
            <w:tcBorders>
              <w:top w:val="single" w:sz="4" w:space="0" w:color="000000"/>
              <w:left w:val="nil"/>
              <w:bottom w:val="nil"/>
              <w:right w:val="nil"/>
            </w:tcBorders>
            <w:shd w:val="clear" w:color="auto" w:fill="auto"/>
            <w:vAlign w:val="bottom"/>
          </w:tcPr>
          <w:p w14:paraId="77AE6717"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740" w:type="dxa"/>
            <w:tcBorders>
              <w:top w:val="single" w:sz="4" w:space="0" w:color="000000"/>
              <w:left w:val="nil"/>
              <w:bottom w:val="nil"/>
              <w:right w:val="nil"/>
            </w:tcBorders>
            <w:shd w:val="clear" w:color="auto" w:fill="auto"/>
            <w:vAlign w:val="bottom"/>
          </w:tcPr>
          <w:p w14:paraId="78B5DF94"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9</w:t>
            </w:r>
          </w:p>
        </w:tc>
      </w:tr>
      <w:tr w:rsidR="00EC4499" w14:paraId="70C83DDE" w14:textId="77777777" w:rsidTr="002E629C">
        <w:trPr>
          <w:trHeight w:val="288"/>
        </w:trPr>
        <w:tc>
          <w:tcPr>
            <w:tcW w:w="1160" w:type="dxa"/>
            <w:vMerge/>
            <w:tcBorders>
              <w:top w:val="nil"/>
              <w:left w:val="nil"/>
              <w:bottom w:val="nil"/>
              <w:right w:val="nil"/>
            </w:tcBorders>
            <w:shd w:val="clear" w:color="auto" w:fill="auto"/>
            <w:vAlign w:val="bottom"/>
          </w:tcPr>
          <w:p w14:paraId="1B560005"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b/>
                <w:color w:val="000000"/>
                <w:sz w:val="18"/>
                <w:szCs w:val="18"/>
              </w:rPr>
            </w:pPr>
          </w:p>
        </w:tc>
        <w:tc>
          <w:tcPr>
            <w:tcW w:w="540" w:type="dxa"/>
            <w:tcBorders>
              <w:top w:val="nil"/>
              <w:left w:val="nil"/>
              <w:bottom w:val="single" w:sz="4" w:space="0" w:color="000000"/>
              <w:right w:val="nil"/>
            </w:tcBorders>
            <w:shd w:val="clear" w:color="auto" w:fill="auto"/>
            <w:vAlign w:val="bottom"/>
          </w:tcPr>
          <w:p w14:paraId="4D4B7098"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940" w:type="dxa"/>
            <w:tcBorders>
              <w:top w:val="nil"/>
              <w:left w:val="nil"/>
              <w:bottom w:val="single" w:sz="4" w:space="0" w:color="000000"/>
              <w:right w:val="nil"/>
            </w:tcBorders>
            <w:shd w:val="clear" w:color="auto" w:fill="auto"/>
            <w:vAlign w:val="bottom"/>
          </w:tcPr>
          <w:p w14:paraId="622B5A92"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046" w:type="dxa"/>
            <w:tcBorders>
              <w:top w:val="nil"/>
              <w:left w:val="nil"/>
              <w:bottom w:val="single" w:sz="4" w:space="0" w:color="000000"/>
              <w:right w:val="nil"/>
            </w:tcBorders>
            <w:shd w:val="clear" w:color="auto" w:fill="auto"/>
            <w:vAlign w:val="bottom"/>
          </w:tcPr>
          <w:p w14:paraId="343E8DB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860" w:type="dxa"/>
            <w:tcBorders>
              <w:top w:val="nil"/>
              <w:left w:val="nil"/>
              <w:bottom w:val="single" w:sz="4" w:space="0" w:color="000000"/>
              <w:right w:val="nil"/>
            </w:tcBorders>
            <w:shd w:val="clear" w:color="auto" w:fill="auto"/>
            <w:vAlign w:val="bottom"/>
          </w:tcPr>
          <w:p w14:paraId="5ECECCC4"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83" w:type="dxa"/>
            <w:tcBorders>
              <w:top w:val="nil"/>
              <w:left w:val="nil"/>
              <w:bottom w:val="single" w:sz="4" w:space="0" w:color="000000"/>
              <w:right w:val="nil"/>
            </w:tcBorders>
            <w:shd w:val="clear" w:color="auto" w:fill="auto"/>
            <w:vAlign w:val="bottom"/>
          </w:tcPr>
          <w:p w14:paraId="3E9252A5"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20" w:type="dxa"/>
            <w:tcBorders>
              <w:top w:val="nil"/>
              <w:left w:val="nil"/>
              <w:bottom w:val="single" w:sz="4" w:space="0" w:color="000000"/>
              <w:right w:val="nil"/>
            </w:tcBorders>
            <w:shd w:val="clear" w:color="auto" w:fill="auto"/>
            <w:vAlign w:val="bottom"/>
          </w:tcPr>
          <w:p w14:paraId="0E795CCF"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480" w:type="dxa"/>
            <w:tcBorders>
              <w:top w:val="nil"/>
              <w:left w:val="nil"/>
              <w:bottom w:val="single" w:sz="4" w:space="0" w:color="000000"/>
              <w:right w:val="nil"/>
            </w:tcBorders>
            <w:shd w:val="clear" w:color="auto" w:fill="auto"/>
            <w:vAlign w:val="bottom"/>
          </w:tcPr>
          <w:p w14:paraId="60EA3502"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740" w:type="dxa"/>
            <w:tcBorders>
              <w:top w:val="nil"/>
              <w:left w:val="nil"/>
              <w:bottom w:val="single" w:sz="4" w:space="0" w:color="000000"/>
              <w:right w:val="nil"/>
            </w:tcBorders>
            <w:shd w:val="clear" w:color="auto" w:fill="auto"/>
            <w:vAlign w:val="bottom"/>
          </w:tcPr>
          <w:p w14:paraId="14007654"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10</w:t>
            </w:r>
          </w:p>
        </w:tc>
      </w:tr>
      <w:tr w:rsidR="00EC4499" w14:paraId="3159F130" w14:textId="77777777" w:rsidTr="002E629C">
        <w:trPr>
          <w:trHeight w:val="288"/>
        </w:trPr>
        <w:tc>
          <w:tcPr>
            <w:tcW w:w="1160" w:type="dxa"/>
            <w:vMerge w:val="restart"/>
            <w:tcBorders>
              <w:top w:val="nil"/>
              <w:left w:val="nil"/>
              <w:bottom w:val="nil"/>
              <w:right w:val="nil"/>
            </w:tcBorders>
            <w:shd w:val="clear" w:color="auto" w:fill="auto"/>
            <w:vAlign w:val="bottom"/>
          </w:tcPr>
          <w:p w14:paraId="4CFA672F" w14:textId="77777777" w:rsidR="00EC4499" w:rsidRDefault="00433EA7">
            <w:pPr>
              <w:spacing w:after="0" w:line="48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CAIXA</w:t>
            </w:r>
          </w:p>
        </w:tc>
        <w:tc>
          <w:tcPr>
            <w:tcW w:w="540" w:type="dxa"/>
            <w:tcBorders>
              <w:top w:val="single" w:sz="4" w:space="0" w:color="000000"/>
              <w:left w:val="nil"/>
              <w:bottom w:val="nil"/>
              <w:right w:val="nil"/>
            </w:tcBorders>
            <w:shd w:val="clear" w:color="auto" w:fill="auto"/>
            <w:vAlign w:val="bottom"/>
          </w:tcPr>
          <w:p w14:paraId="3D554187"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940" w:type="dxa"/>
            <w:tcBorders>
              <w:top w:val="single" w:sz="4" w:space="0" w:color="000000"/>
              <w:left w:val="nil"/>
              <w:bottom w:val="nil"/>
              <w:right w:val="nil"/>
            </w:tcBorders>
            <w:shd w:val="clear" w:color="auto" w:fill="auto"/>
            <w:vAlign w:val="bottom"/>
          </w:tcPr>
          <w:p w14:paraId="0ABFAE84"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0,5</w:t>
            </w:r>
          </w:p>
        </w:tc>
        <w:tc>
          <w:tcPr>
            <w:tcW w:w="1046" w:type="dxa"/>
            <w:tcBorders>
              <w:top w:val="single" w:sz="4" w:space="0" w:color="000000"/>
              <w:left w:val="nil"/>
              <w:bottom w:val="nil"/>
              <w:right w:val="nil"/>
            </w:tcBorders>
            <w:shd w:val="clear" w:color="auto" w:fill="auto"/>
            <w:vAlign w:val="bottom"/>
          </w:tcPr>
          <w:p w14:paraId="7696A297"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1,5</w:t>
            </w:r>
          </w:p>
        </w:tc>
        <w:tc>
          <w:tcPr>
            <w:tcW w:w="860" w:type="dxa"/>
            <w:tcBorders>
              <w:top w:val="single" w:sz="4" w:space="0" w:color="000000"/>
              <w:left w:val="nil"/>
              <w:bottom w:val="nil"/>
              <w:right w:val="nil"/>
            </w:tcBorders>
            <w:shd w:val="clear" w:color="auto" w:fill="auto"/>
            <w:vAlign w:val="bottom"/>
          </w:tcPr>
          <w:p w14:paraId="0BE8743E"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83" w:type="dxa"/>
            <w:tcBorders>
              <w:top w:val="single" w:sz="4" w:space="0" w:color="000000"/>
              <w:left w:val="nil"/>
              <w:bottom w:val="nil"/>
              <w:right w:val="nil"/>
            </w:tcBorders>
            <w:shd w:val="clear" w:color="auto" w:fill="auto"/>
            <w:vAlign w:val="bottom"/>
          </w:tcPr>
          <w:p w14:paraId="6FC02BE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20" w:type="dxa"/>
            <w:tcBorders>
              <w:top w:val="single" w:sz="4" w:space="0" w:color="000000"/>
              <w:left w:val="nil"/>
              <w:bottom w:val="nil"/>
              <w:right w:val="nil"/>
            </w:tcBorders>
            <w:shd w:val="clear" w:color="auto" w:fill="auto"/>
            <w:vAlign w:val="bottom"/>
          </w:tcPr>
          <w:p w14:paraId="3A609A9A"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480" w:type="dxa"/>
            <w:tcBorders>
              <w:top w:val="single" w:sz="4" w:space="0" w:color="000000"/>
              <w:left w:val="nil"/>
              <w:bottom w:val="nil"/>
              <w:right w:val="nil"/>
            </w:tcBorders>
            <w:shd w:val="clear" w:color="auto" w:fill="auto"/>
            <w:vAlign w:val="bottom"/>
          </w:tcPr>
          <w:p w14:paraId="2717D89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740" w:type="dxa"/>
            <w:tcBorders>
              <w:top w:val="single" w:sz="4" w:space="0" w:color="000000"/>
              <w:left w:val="nil"/>
              <w:bottom w:val="nil"/>
              <w:right w:val="nil"/>
            </w:tcBorders>
            <w:shd w:val="clear" w:color="auto" w:fill="auto"/>
            <w:vAlign w:val="bottom"/>
          </w:tcPr>
          <w:p w14:paraId="58DD001B"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8</w:t>
            </w:r>
          </w:p>
        </w:tc>
      </w:tr>
      <w:tr w:rsidR="00EC4499" w14:paraId="08F298DF" w14:textId="77777777" w:rsidTr="002E629C">
        <w:trPr>
          <w:trHeight w:val="288"/>
        </w:trPr>
        <w:tc>
          <w:tcPr>
            <w:tcW w:w="1160" w:type="dxa"/>
            <w:vMerge/>
            <w:tcBorders>
              <w:top w:val="nil"/>
              <w:left w:val="nil"/>
              <w:bottom w:val="nil"/>
              <w:right w:val="nil"/>
            </w:tcBorders>
            <w:shd w:val="clear" w:color="auto" w:fill="auto"/>
            <w:vAlign w:val="bottom"/>
          </w:tcPr>
          <w:p w14:paraId="62868F0F"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b/>
                <w:color w:val="000000"/>
                <w:sz w:val="18"/>
                <w:szCs w:val="18"/>
              </w:rPr>
            </w:pPr>
          </w:p>
        </w:tc>
        <w:tc>
          <w:tcPr>
            <w:tcW w:w="540" w:type="dxa"/>
            <w:tcBorders>
              <w:top w:val="nil"/>
              <w:left w:val="nil"/>
              <w:bottom w:val="single" w:sz="4" w:space="0" w:color="000000"/>
              <w:right w:val="nil"/>
            </w:tcBorders>
            <w:shd w:val="clear" w:color="auto" w:fill="auto"/>
            <w:vAlign w:val="bottom"/>
          </w:tcPr>
          <w:p w14:paraId="5F2B1D5F"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940" w:type="dxa"/>
            <w:tcBorders>
              <w:top w:val="nil"/>
              <w:left w:val="nil"/>
              <w:bottom w:val="single" w:sz="4" w:space="0" w:color="000000"/>
              <w:right w:val="nil"/>
            </w:tcBorders>
            <w:shd w:val="clear" w:color="auto" w:fill="auto"/>
            <w:vAlign w:val="bottom"/>
          </w:tcPr>
          <w:p w14:paraId="1412A712"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0,5</w:t>
            </w:r>
          </w:p>
        </w:tc>
        <w:tc>
          <w:tcPr>
            <w:tcW w:w="1046" w:type="dxa"/>
            <w:tcBorders>
              <w:top w:val="nil"/>
              <w:left w:val="nil"/>
              <w:bottom w:val="single" w:sz="4" w:space="0" w:color="000000"/>
              <w:right w:val="nil"/>
            </w:tcBorders>
            <w:shd w:val="clear" w:color="auto" w:fill="auto"/>
            <w:vAlign w:val="bottom"/>
          </w:tcPr>
          <w:p w14:paraId="2AA0240C"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1,5</w:t>
            </w:r>
          </w:p>
        </w:tc>
        <w:tc>
          <w:tcPr>
            <w:tcW w:w="860" w:type="dxa"/>
            <w:tcBorders>
              <w:top w:val="nil"/>
              <w:left w:val="nil"/>
              <w:bottom w:val="single" w:sz="4" w:space="0" w:color="000000"/>
              <w:right w:val="nil"/>
            </w:tcBorders>
            <w:shd w:val="clear" w:color="auto" w:fill="auto"/>
            <w:vAlign w:val="bottom"/>
          </w:tcPr>
          <w:p w14:paraId="5C93B746"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83" w:type="dxa"/>
            <w:tcBorders>
              <w:top w:val="nil"/>
              <w:left w:val="nil"/>
              <w:bottom w:val="single" w:sz="4" w:space="0" w:color="000000"/>
              <w:right w:val="nil"/>
            </w:tcBorders>
            <w:shd w:val="clear" w:color="auto" w:fill="auto"/>
            <w:vAlign w:val="bottom"/>
          </w:tcPr>
          <w:p w14:paraId="29EAED3F"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0</w:t>
            </w:r>
          </w:p>
        </w:tc>
        <w:tc>
          <w:tcPr>
            <w:tcW w:w="920" w:type="dxa"/>
            <w:tcBorders>
              <w:top w:val="nil"/>
              <w:left w:val="nil"/>
              <w:bottom w:val="single" w:sz="4" w:space="0" w:color="000000"/>
              <w:right w:val="nil"/>
            </w:tcBorders>
            <w:shd w:val="clear" w:color="auto" w:fill="auto"/>
            <w:vAlign w:val="bottom"/>
          </w:tcPr>
          <w:p w14:paraId="349C442F"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480" w:type="dxa"/>
            <w:tcBorders>
              <w:top w:val="nil"/>
              <w:left w:val="nil"/>
              <w:bottom w:val="single" w:sz="4" w:space="0" w:color="000000"/>
              <w:right w:val="nil"/>
            </w:tcBorders>
            <w:shd w:val="clear" w:color="auto" w:fill="auto"/>
            <w:vAlign w:val="bottom"/>
          </w:tcPr>
          <w:p w14:paraId="69F07EB0"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1,5</w:t>
            </w:r>
          </w:p>
        </w:tc>
        <w:tc>
          <w:tcPr>
            <w:tcW w:w="740" w:type="dxa"/>
            <w:tcBorders>
              <w:top w:val="nil"/>
              <w:left w:val="nil"/>
              <w:bottom w:val="single" w:sz="4" w:space="0" w:color="000000"/>
              <w:right w:val="nil"/>
            </w:tcBorders>
            <w:shd w:val="clear" w:color="auto" w:fill="auto"/>
            <w:vAlign w:val="bottom"/>
          </w:tcPr>
          <w:p w14:paraId="4A3907F2"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7,5</w:t>
            </w:r>
          </w:p>
        </w:tc>
      </w:tr>
      <w:tr w:rsidR="00EC4499" w14:paraId="59D2429A" w14:textId="77777777" w:rsidTr="002E629C">
        <w:trPr>
          <w:trHeight w:val="288"/>
        </w:trPr>
        <w:tc>
          <w:tcPr>
            <w:tcW w:w="1160" w:type="dxa"/>
            <w:vMerge w:val="restart"/>
            <w:tcBorders>
              <w:top w:val="nil"/>
              <w:left w:val="nil"/>
              <w:bottom w:val="nil"/>
              <w:right w:val="nil"/>
            </w:tcBorders>
            <w:shd w:val="clear" w:color="auto" w:fill="auto"/>
            <w:vAlign w:val="bottom"/>
          </w:tcPr>
          <w:p w14:paraId="5DDF6133" w14:textId="77777777" w:rsidR="00EC4499" w:rsidRDefault="00433EA7">
            <w:pPr>
              <w:spacing w:after="0" w:line="48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Citibank</w:t>
            </w:r>
          </w:p>
        </w:tc>
        <w:tc>
          <w:tcPr>
            <w:tcW w:w="540" w:type="dxa"/>
            <w:tcBorders>
              <w:top w:val="single" w:sz="4" w:space="0" w:color="000000"/>
              <w:left w:val="nil"/>
              <w:bottom w:val="nil"/>
              <w:right w:val="nil"/>
            </w:tcBorders>
            <w:shd w:val="clear" w:color="auto" w:fill="auto"/>
            <w:vAlign w:val="bottom"/>
          </w:tcPr>
          <w:p w14:paraId="5DA0D896"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940" w:type="dxa"/>
            <w:tcBorders>
              <w:top w:val="single" w:sz="4" w:space="0" w:color="000000"/>
              <w:left w:val="nil"/>
              <w:bottom w:val="nil"/>
              <w:right w:val="nil"/>
            </w:tcBorders>
            <w:shd w:val="clear" w:color="auto" w:fill="auto"/>
            <w:vAlign w:val="bottom"/>
          </w:tcPr>
          <w:p w14:paraId="7EA1E46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1,5</w:t>
            </w:r>
          </w:p>
        </w:tc>
        <w:tc>
          <w:tcPr>
            <w:tcW w:w="1046" w:type="dxa"/>
            <w:tcBorders>
              <w:top w:val="single" w:sz="4" w:space="0" w:color="000000"/>
              <w:left w:val="nil"/>
              <w:bottom w:val="nil"/>
              <w:right w:val="nil"/>
            </w:tcBorders>
            <w:shd w:val="clear" w:color="auto" w:fill="auto"/>
            <w:vAlign w:val="bottom"/>
          </w:tcPr>
          <w:p w14:paraId="23C3610A"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860" w:type="dxa"/>
            <w:tcBorders>
              <w:top w:val="single" w:sz="4" w:space="0" w:color="000000"/>
              <w:left w:val="nil"/>
              <w:bottom w:val="nil"/>
              <w:right w:val="nil"/>
            </w:tcBorders>
            <w:shd w:val="clear" w:color="auto" w:fill="auto"/>
            <w:vAlign w:val="bottom"/>
          </w:tcPr>
          <w:p w14:paraId="196E839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83" w:type="dxa"/>
            <w:tcBorders>
              <w:top w:val="single" w:sz="4" w:space="0" w:color="000000"/>
              <w:left w:val="nil"/>
              <w:bottom w:val="nil"/>
              <w:right w:val="nil"/>
            </w:tcBorders>
            <w:shd w:val="clear" w:color="auto" w:fill="auto"/>
            <w:vAlign w:val="bottom"/>
          </w:tcPr>
          <w:p w14:paraId="3FBB123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20" w:type="dxa"/>
            <w:tcBorders>
              <w:top w:val="single" w:sz="4" w:space="0" w:color="000000"/>
              <w:left w:val="nil"/>
              <w:bottom w:val="nil"/>
              <w:right w:val="nil"/>
            </w:tcBorders>
            <w:shd w:val="clear" w:color="auto" w:fill="auto"/>
            <w:vAlign w:val="bottom"/>
          </w:tcPr>
          <w:p w14:paraId="06B6CA6F"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480" w:type="dxa"/>
            <w:tcBorders>
              <w:top w:val="single" w:sz="4" w:space="0" w:color="000000"/>
              <w:left w:val="nil"/>
              <w:bottom w:val="nil"/>
              <w:right w:val="nil"/>
            </w:tcBorders>
            <w:shd w:val="clear" w:color="auto" w:fill="auto"/>
            <w:vAlign w:val="bottom"/>
          </w:tcPr>
          <w:p w14:paraId="2D80C0DE"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740" w:type="dxa"/>
            <w:tcBorders>
              <w:top w:val="single" w:sz="4" w:space="0" w:color="000000"/>
              <w:left w:val="nil"/>
              <w:bottom w:val="nil"/>
              <w:right w:val="nil"/>
            </w:tcBorders>
            <w:shd w:val="clear" w:color="auto" w:fill="auto"/>
            <w:vAlign w:val="bottom"/>
          </w:tcPr>
          <w:p w14:paraId="3F73D57F"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8,5</w:t>
            </w:r>
          </w:p>
        </w:tc>
      </w:tr>
      <w:tr w:rsidR="00EC4499" w14:paraId="7FE35457" w14:textId="77777777" w:rsidTr="002E629C">
        <w:trPr>
          <w:trHeight w:val="288"/>
        </w:trPr>
        <w:tc>
          <w:tcPr>
            <w:tcW w:w="1160" w:type="dxa"/>
            <w:vMerge/>
            <w:tcBorders>
              <w:top w:val="nil"/>
              <w:left w:val="nil"/>
              <w:bottom w:val="nil"/>
              <w:right w:val="nil"/>
            </w:tcBorders>
            <w:shd w:val="clear" w:color="auto" w:fill="auto"/>
            <w:vAlign w:val="bottom"/>
          </w:tcPr>
          <w:p w14:paraId="7251E323"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b/>
                <w:color w:val="000000"/>
                <w:sz w:val="18"/>
                <w:szCs w:val="18"/>
              </w:rPr>
            </w:pPr>
          </w:p>
        </w:tc>
        <w:tc>
          <w:tcPr>
            <w:tcW w:w="540" w:type="dxa"/>
            <w:tcBorders>
              <w:top w:val="nil"/>
              <w:left w:val="nil"/>
              <w:bottom w:val="single" w:sz="4" w:space="0" w:color="000000"/>
              <w:right w:val="nil"/>
            </w:tcBorders>
            <w:shd w:val="clear" w:color="auto" w:fill="auto"/>
            <w:vAlign w:val="bottom"/>
          </w:tcPr>
          <w:p w14:paraId="4A83A3B6"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940" w:type="dxa"/>
            <w:tcBorders>
              <w:top w:val="nil"/>
              <w:left w:val="nil"/>
              <w:bottom w:val="single" w:sz="4" w:space="0" w:color="000000"/>
              <w:right w:val="nil"/>
            </w:tcBorders>
            <w:shd w:val="clear" w:color="auto" w:fill="auto"/>
            <w:vAlign w:val="bottom"/>
          </w:tcPr>
          <w:p w14:paraId="372C497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1,5</w:t>
            </w:r>
          </w:p>
        </w:tc>
        <w:tc>
          <w:tcPr>
            <w:tcW w:w="1046" w:type="dxa"/>
            <w:tcBorders>
              <w:top w:val="nil"/>
              <w:left w:val="nil"/>
              <w:bottom w:val="single" w:sz="4" w:space="0" w:color="000000"/>
              <w:right w:val="nil"/>
            </w:tcBorders>
            <w:shd w:val="clear" w:color="auto" w:fill="auto"/>
            <w:vAlign w:val="bottom"/>
          </w:tcPr>
          <w:p w14:paraId="390B5DF5"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1,5</w:t>
            </w:r>
          </w:p>
        </w:tc>
        <w:tc>
          <w:tcPr>
            <w:tcW w:w="860" w:type="dxa"/>
            <w:tcBorders>
              <w:top w:val="nil"/>
              <w:left w:val="nil"/>
              <w:bottom w:val="single" w:sz="4" w:space="0" w:color="000000"/>
              <w:right w:val="nil"/>
            </w:tcBorders>
            <w:shd w:val="clear" w:color="auto" w:fill="auto"/>
            <w:vAlign w:val="bottom"/>
          </w:tcPr>
          <w:p w14:paraId="04203FEC"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83" w:type="dxa"/>
            <w:tcBorders>
              <w:top w:val="nil"/>
              <w:left w:val="nil"/>
              <w:bottom w:val="single" w:sz="4" w:space="0" w:color="000000"/>
              <w:right w:val="nil"/>
            </w:tcBorders>
            <w:shd w:val="clear" w:color="auto" w:fill="auto"/>
            <w:vAlign w:val="bottom"/>
          </w:tcPr>
          <w:p w14:paraId="6440F1E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20" w:type="dxa"/>
            <w:tcBorders>
              <w:top w:val="nil"/>
              <w:left w:val="nil"/>
              <w:bottom w:val="single" w:sz="4" w:space="0" w:color="000000"/>
              <w:right w:val="nil"/>
            </w:tcBorders>
            <w:shd w:val="clear" w:color="auto" w:fill="auto"/>
            <w:vAlign w:val="bottom"/>
          </w:tcPr>
          <w:p w14:paraId="2A8C714D"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480" w:type="dxa"/>
            <w:tcBorders>
              <w:top w:val="nil"/>
              <w:left w:val="nil"/>
              <w:bottom w:val="single" w:sz="4" w:space="0" w:color="000000"/>
              <w:right w:val="nil"/>
            </w:tcBorders>
            <w:shd w:val="clear" w:color="auto" w:fill="auto"/>
            <w:vAlign w:val="bottom"/>
          </w:tcPr>
          <w:p w14:paraId="68E356A9"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740" w:type="dxa"/>
            <w:tcBorders>
              <w:top w:val="nil"/>
              <w:left w:val="nil"/>
              <w:bottom w:val="single" w:sz="4" w:space="0" w:color="000000"/>
              <w:right w:val="nil"/>
            </w:tcBorders>
            <w:shd w:val="clear" w:color="auto" w:fill="auto"/>
            <w:vAlign w:val="bottom"/>
          </w:tcPr>
          <w:p w14:paraId="74807A5E"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9</w:t>
            </w:r>
          </w:p>
        </w:tc>
      </w:tr>
      <w:tr w:rsidR="00EC4499" w14:paraId="2E3596E9" w14:textId="77777777" w:rsidTr="002E629C">
        <w:trPr>
          <w:trHeight w:val="288"/>
        </w:trPr>
        <w:tc>
          <w:tcPr>
            <w:tcW w:w="1160" w:type="dxa"/>
            <w:vMerge w:val="restart"/>
            <w:tcBorders>
              <w:top w:val="nil"/>
              <w:left w:val="nil"/>
              <w:bottom w:val="nil"/>
              <w:right w:val="nil"/>
            </w:tcBorders>
            <w:shd w:val="clear" w:color="auto" w:fill="auto"/>
            <w:vAlign w:val="bottom"/>
          </w:tcPr>
          <w:p w14:paraId="4F2798E6" w14:textId="77777777" w:rsidR="00EC4499" w:rsidRDefault="00433EA7">
            <w:pPr>
              <w:spacing w:after="0" w:line="48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Inter</w:t>
            </w:r>
          </w:p>
        </w:tc>
        <w:tc>
          <w:tcPr>
            <w:tcW w:w="540" w:type="dxa"/>
            <w:tcBorders>
              <w:top w:val="single" w:sz="4" w:space="0" w:color="000000"/>
              <w:left w:val="nil"/>
              <w:bottom w:val="nil"/>
              <w:right w:val="nil"/>
            </w:tcBorders>
            <w:shd w:val="clear" w:color="auto" w:fill="auto"/>
            <w:vAlign w:val="bottom"/>
          </w:tcPr>
          <w:p w14:paraId="3D217CCE"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940" w:type="dxa"/>
            <w:tcBorders>
              <w:top w:val="single" w:sz="4" w:space="0" w:color="000000"/>
              <w:left w:val="nil"/>
              <w:bottom w:val="nil"/>
              <w:right w:val="nil"/>
            </w:tcBorders>
            <w:shd w:val="clear" w:color="auto" w:fill="auto"/>
            <w:vAlign w:val="bottom"/>
          </w:tcPr>
          <w:p w14:paraId="48BDCF17"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0,5</w:t>
            </w:r>
          </w:p>
        </w:tc>
        <w:tc>
          <w:tcPr>
            <w:tcW w:w="1046" w:type="dxa"/>
            <w:tcBorders>
              <w:top w:val="single" w:sz="4" w:space="0" w:color="000000"/>
              <w:left w:val="nil"/>
              <w:bottom w:val="nil"/>
              <w:right w:val="nil"/>
            </w:tcBorders>
            <w:shd w:val="clear" w:color="auto" w:fill="auto"/>
            <w:vAlign w:val="bottom"/>
          </w:tcPr>
          <w:p w14:paraId="34BE808B"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860" w:type="dxa"/>
            <w:tcBorders>
              <w:top w:val="single" w:sz="4" w:space="0" w:color="000000"/>
              <w:left w:val="nil"/>
              <w:bottom w:val="nil"/>
              <w:right w:val="nil"/>
            </w:tcBorders>
            <w:shd w:val="clear" w:color="auto" w:fill="auto"/>
            <w:vAlign w:val="bottom"/>
          </w:tcPr>
          <w:p w14:paraId="0B56308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83" w:type="dxa"/>
            <w:tcBorders>
              <w:top w:val="single" w:sz="4" w:space="0" w:color="000000"/>
              <w:left w:val="nil"/>
              <w:bottom w:val="nil"/>
              <w:right w:val="nil"/>
            </w:tcBorders>
            <w:shd w:val="clear" w:color="auto" w:fill="auto"/>
            <w:vAlign w:val="bottom"/>
          </w:tcPr>
          <w:p w14:paraId="048FC72B"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20" w:type="dxa"/>
            <w:tcBorders>
              <w:top w:val="single" w:sz="4" w:space="0" w:color="000000"/>
              <w:left w:val="nil"/>
              <w:bottom w:val="nil"/>
              <w:right w:val="nil"/>
            </w:tcBorders>
            <w:shd w:val="clear" w:color="auto" w:fill="auto"/>
            <w:vAlign w:val="bottom"/>
          </w:tcPr>
          <w:p w14:paraId="1AD86B3B"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480" w:type="dxa"/>
            <w:tcBorders>
              <w:top w:val="single" w:sz="4" w:space="0" w:color="000000"/>
              <w:left w:val="nil"/>
              <w:bottom w:val="nil"/>
              <w:right w:val="nil"/>
            </w:tcBorders>
            <w:shd w:val="clear" w:color="auto" w:fill="auto"/>
            <w:vAlign w:val="bottom"/>
          </w:tcPr>
          <w:p w14:paraId="7B96692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740" w:type="dxa"/>
            <w:tcBorders>
              <w:top w:val="single" w:sz="4" w:space="0" w:color="000000"/>
              <w:left w:val="nil"/>
              <w:bottom w:val="nil"/>
              <w:right w:val="nil"/>
            </w:tcBorders>
            <w:shd w:val="clear" w:color="auto" w:fill="auto"/>
            <w:vAlign w:val="bottom"/>
          </w:tcPr>
          <w:p w14:paraId="544D229C"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8,5</w:t>
            </w:r>
          </w:p>
        </w:tc>
      </w:tr>
      <w:tr w:rsidR="00EC4499" w14:paraId="65C8ADC3" w14:textId="77777777" w:rsidTr="002E629C">
        <w:trPr>
          <w:trHeight w:val="288"/>
        </w:trPr>
        <w:tc>
          <w:tcPr>
            <w:tcW w:w="1160" w:type="dxa"/>
            <w:vMerge/>
            <w:tcBorders>
              <w:top w:val="nil"/>
              <w:left w:val="nil"/>
              <w:bottom w:val="nil"/>
              <w:right w:val="nil"/>
            </w:tcBorders>
            <w:shd w:val="clear" w:color="auto" w:fill="auto"/>
            <w:vAlign w:val="bottom"/>
          </w:tcPr>
          <w:p w14:paraId="58EB331F"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b/>
                <w:color w:val="000000"/>
                <w:sz w:val="18"/>
                <w:szCs w:val="18"/>
              </w:rPr>
            </w:pPr>
          </w:p>
        </w:tc>
        <w:tc>
          <w:tcPr>
            <w:tcW w:w="540" w:type="dxa"/>
            <w:tcBorders>
              <w:top w:val="nil"/>
              <w:left w:val="nil"/>
              <w:bottom w:val="single" w:sz="4" w:space="0" w:color="000000"/>
              <w:right w:val="nil"/>
            </w:tcBorders>
            <w:shd w:val="clear" w:color="auto" w:fill="auto"/>
            <w:vAlign w:val="bottom"/>
          </w:tcPr>
          <w:p w14:paraId="52151B3B"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940" w:type="dxa"/>
            <w:tcBorders>
              <w:top w:val="nil"/>
              <w:left w:val="nil"/>
              <w:bottom w:val="single" w:sz="4" w:space="0" w:color="000000"/>
              <w:right w:val="nil"/>
            </w:tcBorders>
            <w:shd w:val="clear" w:color="auto" w:fill="auto"/>
            <w:vAlign w:val="bottom"/>
          </w:tcPr>
          <w:p w14:paraId="0EC280A7"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0,5</w:t>
            </w:r>
          </w:p>
        </w:tc>
        <w:tc>
          <w:tcPr>
            <w:tcW w:w="1046" w:type="dxa"/>
            <w:tcBorders>
              <w:top w:val="nil"/>
              <w:left w:val="nil"/>
              <w:bottom w:val="single" w:sz="4" w:space="0" w:color="000000"/>
              <w:right w:val="nil"/>
            </w:tcBorders>
            <w:shd w:val="clear" w:color="auto" w:fill="auto"/>
            <w:vAlign w:val="bottom"/>
          </w:tcPr>
          <w:p w14:paraId="56CE2E74"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1,5</w:t>
            </w:r>
          </w:p>
        </w:tc>
        <w:tc>
          <w:tcPr>
            <w:tcW w:w="860" w:type="dxa"/>
            <w:tcBorders>
              <w:top w:val="nil"/>
              <w:left w:val="nil"/>
              <w:bottom w:val="single" w:sz="4" w:space="0" w:color="000000"/>
              <w:right w:val="nil"/>
            </w:tcBorders>
            <w:shd w:val="clear" w:color="auto" w:fill="auto"/>
            <w:vAlign w:val="bottom"/>
          </w:tcPr>
          <w:p w14:paraId="3ED9034A"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83" w:type="dxa"/>
            <w:tcBorders>
              <w:top w:val="nil"/>
              <w:left w:val="nil"/>
              <w:bottom w:val="single" w:sz="4" w:space="0" w:color="000000"/>
              <w:right w:val="nil"/>
            </w:tcBorders>
            <w:shd w:val="clear" w:color="auto" w:fill="auto"/>
            <w:vAlign w:val="bottom"/>
          </w:tcPr>
          <w:p w14:paraId="265FFDFC"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20" w:type="dxa"/>
            <w:tcBorders>
              <w:top w:val="nil"/>
              <w:left w:val="nil"/>
              <w:bottom w:val="single" w:sz="4" w:space="0" w:color="000000"/>
              <w:right w:val="nil"/>
            </w:tcBorders>
            <w:shd w:val="clear" w:color="auto" w:fill="auto"/>
            <w:vAlign w:val="bottom"/>
          </w:tcPr>
          <w:p w14:paraId="4B9F66B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480" w:type="dxa"/>
            <w:tcBorders>
              <w:top w:val="nil"/>
              <w:left w:val="nil"/>
              <w:bottom w:val="single" w:sz="4" w:space="0" w:color="000000"/>
              <w:right w:val="nil"/>
            </w:tcBorders>
            <w:shd w:val="clear" w:color="auto" w:fill="auto"/>
            <w:vAlign w:val="bottom"/>
          </w:tcPr>
          <w:p w14:paraId="3D336C5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740" w:type="dxa"/>
            <w:tcBorders>
              <w:top w:val="nil"/>
              <w:left w:val="nil"/>
              <w:bottom w:val="single" w:sz="4" w:space="0" w:color="000000"/>
              <w:right w:val="nil"/>
            </w:tcBorders>
            <w:shd w:val="clear" w:color="auto" w:fill="auto"/>
            <w:vAlign w:val="bottom"/>
          </w:tcPr>
          <w:p w14:paraId="78D02FDA"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9</w:t>
            </w:r>
          </w:p>
        </w:tc>
      </w:tr>
      <w:tr w:rsidR="00EC4499" w14:paraId="43AEA15C" w14:textId="77777777" w:rsidTr="002E629C">
        <w:trPr>
          <w:trHeight w:val="288"/>
        </w:trPr>
        <w:tc>
          <w:tcPr>
            <w:tcW w:w="1160" w:type="dxa"/>
            <w:vMerge w:val="restart"/>
            <w:tcBorders>
              <w:top w:val="nil"/>
              <w:left w:val="nil"/>
              <w:bottom w:val="nil"/>
              <w:right w:val="nil"/>
            </w:tcBorders>
            <w:shd w:val="clear" w:color="auto" w:fill="auto"/>
            <w:vAlign w:val="bottom"/>
          </w:tcPr>
          <w:p w14:paraId="5EBEFD83" w14:textId="77777777" w:rsidR="00EC4499" w:rsidRDefault="00433EA7">
            <w:pPr>
              <w:spacing w:after="0" w:line="48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Itaú</w:t>
            </w:r>
          </w:p>
        </w:tc>
        <w:tc>
          <w:tcPr>
            <w:tcW w:w="540" w:type="dxa"/>
            <w:tcBorders>
              <w:top w:val="single" w:sz="4" w:space="0" w:color="000000"/>
              <w:left w:val="nil"/>
              <w:bottom w:val="nil"/>
              <w:right w:val="nil"/>
            </w:tcBorders>
            <w:shd w:val="clear" w:color="auto" w:fill="auto"/>
            <w:vAlign w:val="bottom"/>
          </w:tcPr>
          <w:p w14:paraId="6010651A"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940" w:type="dxa"/>
            <w:tcBorders>
              <w:top w:val="single" w:sz="4" w:space="0" w:color="000000"/>
              <w:left w:val="nil"/>
              <w:bottom w:val="nil"/>
              <w:right w:val="nil"/>
            </w:tcBorders>
            <w:shd w:val="clear" w:color="auto" w:fill="auto"/>
            <w:vAlign w:val="bottom"/>
          </w:tcPr>
          <w:p w14:paraId="70038077"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1,5</w:t>
            </w:r>
          </w:p>
        </w:tc>
        <w:tc>
          <w:tcPr>
            <w:tcW w:w="1046" w:type="dxa"/>
            <w:tcBorders>
              <w:top w:val="single" w:sz="4" w:space="0" w:color="000000"/>
              <w:left w:val="nil"/>
              <w:bottom w:val="nil"/>
              <w:right w:val="nil"/>
            </w:tcBorders>
            <w:shd w:val="clear" w:color="auto" w:fill="auto"/>
            <w:vAlign w:val="bottom"/>
          </w:tcPr>
          <w:p w14:paraId="51645642"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860" w:type="dxa"/>
            <w:tcBorders>
              <w:top w:val="single" w:sz="4" w:space="0" w:color="000000"/>
              <w:left w:val="nil"/>
              <w:bottom w:val="nil"/>
              <w:right w:val="nil"/>
            </w:tcBorders>
            <w:shd w:val="clear" w:color="auto" w:fill="auto"/>
            <w:vAlign w:val="bottom"/>
          </w:tcPr>
          <w:p w14:paraId="114DF3BA"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83" w:type="dxa"/>
            <w:tcBorders>
              <w:top w:val="single" w:sz="4" w:space="0" w:color="000000"/>
              <w:left w:val="nil"/>
              <w:bottom w:val="nil"/>
              <w:right w:val="nil"/>
            </w:tcBorders>
            <w:shd w:val="clear" w:color="auto" w:fill="auto"/>
            <w:vAlign w:val="bottom"/>
          </w:tcPr>
          <w:p w14:paraId="768BE090"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20" w:type="dxa"/>
            <w:tcBorders>
              <w:top w:val="single" w:sz="4" w:space="0" w:color="000000"/>
              <w:left w:val="nil"/>
              <w:bottom w:val="nil"/>
              <w:right w:val="nil"/>
            </w:tcBorders>
            <w:shd w:val="clear" w:color="auto" w:fill="auto"/>
            <w:vAlign w:val="bottom"/>
          </w:tcPr>
          <w:p w14:paraId="6F32E4C7"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480" w:type="dxa"/>
            <w:tcBorders>
              <w:top w:val="single" w:sz="4" w:space="0" w:color="000000"/>
              <w:left w:val="nil"/>
              <w:bottom w:val="nil"/>
              <w:right w:val="nil"/>
            </w:tcBorders>
            <w:shd w:val="clear" w:color="auto" w:fill="auto"/>
            <w:vAlign w:val="bottom"/>
          </w:tcPr>
          <w:p w14:paraId="0E7F98DD"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1,5</w:t>
            </w:r>
          </w:p>
        </w:tc>
        <w:tc>
          <w:tcPr>
            <w:tcW w:w="740" w:type="dxa"/>
            <w:tcBorders>
              <w:top w:val="single" w:sz="4" w:space="0" w:color="000000"/>
              <w:left w:val="nil"/>
              <w:bottom w:val="nil"/>
              <w:right w:val="nil"/>
            </w:tcBorders>
            <w:shd w:val="clear" w:color="auto" w:fill="auto"/>
            <w:vAlign w:val="bottom"/>
          </w:tcPr>
          <w:p w14:paraId="5017FF6C"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11</w:t>
            </w:r>
          </w:p>
        </w:tc>
      </w:tr>
      <w:tr w:rsidR="00EC4499" w14:paraId="35807983" w14:textId="77777777" w:rsidTr="002E629C">
        <w:trPr>
          <w:trHeight w:val="288"/>
        </w:trPr>
        <w:tc>
          <w:tcPr>
            <w:tcW w:w="1160" w:type="dxa"/>
            <w:vMerge/>
            <w:tcBorders>
              <w:top w:val="nil"/>
              <w:left w:val="nil"/>
              <w:bottom w:val="nil"/>
              <w:right w:val="nil"/>
            </w:tcBorders>
            <w:shd w:val="clear" w:color="auto" w:fill="auto"/>
            <w:vAlign w:val="bottom"/>
          </w:tcPr>
          <w:p w14:paraId="1D711912"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b/>
                <w:color w:val="000000"/>
                <w:sz w:val="18"/>
                <w:szCs w:val="18"/>
              </w:rPr>
            </w:pPr>
          </w:p>
        </w:tc>
        <w:tc>
          <w:tcPr>
            <w:tcW w:w="540" w:type="dxa"/>
            <w:tcBorders>
              <w:top w:val="nil"/>
              <w:left w:val="nil"/>
              <w:bottom w:val="single" w:sz="4" w:space="0" w:color="000000"/>
              <w:right w:val="nil"/>
            </w:tcBorders>
            <w:shd w:val="clear" w:color="auto" w:fill="auto"/>
            <w:vAlign w:val="bottom"/>
          </w:tcPr>
          <w:p w14:paraId="16DB886E"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940" w:type="dxa"/>
            <w:tcBorders>
              <w:top w:val="nil"/>
              <w:left w:val="nil"/>
              <w:bottom w:val="single" w:sz="4" w:space="0" w:color="000000"/>
              <w:right w:val="nil"/>
            </w:tcBorders>
            <w:shd w:val="clear" w:color="auto" w:fill="auto"/>
            <w:vAlign w:val="bottom"/>
          </w:tcPr>
          <w:p w14:paraId="7F0DA2F9"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1,5</w:t>
            </w:r>
          </w:p>
        </w:tc>
        <w:tc>
          <w:tcPr>
            <w:tcW w:w="1046" w:type="dxa"/>
            <w:tcBorders>
              <w:top w:val="nil"/>
              <w:left w:val="nil"/>
              <w:bottom w:val="single" w:sz="4" w:space="0" w:color="000000"/>
              <w:right w:val="nil"/>
            </w:tcBorders>
            <w:shd w:val="clear" w:color="auto" w:fill="auto"/>
            <w:vAlign w:val="bottom"/>
          </w:tcPr>
          <w:p w14:paraId="4932217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860" w:type="dxa"/>
            <w:tcBorders>
              <w:top w:val="nil"/>
              <w:left w:val="nil"/>
              <w:bottom w:val="single" w:sz="4" w:space="0" w:color="000000"/>
              <w:right w:val="nil"/>
            </w:tcBorders>
            <w:shd w:val="clear" w:color="auto" w:fill="auto"/>
            <w:vAlign w:val="bottom"/>
          </w:tcPr>
          <w:p w14:paraId="2339D6FA"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83" w:type="dxa"/>
            <w:tcBorders>
              <w:top w:val="nil"/>
              <w:left w:val="nil"/>
              <w:bottom w:val="single" w:sz="4" w:space="0" w:color="000000"/>
              <w:right w:val="nil"/>
            </w:tcBorders>
            <w:shd w:val="clear" w:color="auto" w:fill="auto"/>
            <w:vAlign w:val="bottom"/>
          </w:tcPr>
          <w:p w14:paraId="7CF8F00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20" w:type="dxa"/>
            <w:tcBorders>
              <w:top w:val="nil"/>
              <w:left w:val="nil"/>
              <w:bottom w:val="single" w:sz="4" w:space="0" w:color="000000"/>
              <w:right w:val="nil"/>
            </w:tcBorders>
            <w:shd w:val="clear" w:color="auto" w:fill="auto"/>
            <w:vAlign w:val="bottom"/>
          </w:tcPr>
          <w:p w14:paraId="751C8FF5"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480" w:type="dxa"/>
            <w:tcBorders>
              <w:top w:val="nil"/>
              <w:left w:val="nil"/>
              <w:bottom w:val="single" w:sz="4" w:space="0" w:color="000000"/>
              <w:right w:val="nil"/>
            </w:tcBorders>
            <w:shd w:val="clear" w:color="auto" w:fill="auto"/>
            <w:vAlign w:val="bottom"/>
          </w:tcPr>
          <w:p w14:paraId="63CBA75B"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1,5</w:t>
            </w:r>
          </w:p>
        </w:tc>
        <w:tc>
          <w:tcPr>
            <w:tcW w:w="740" w:type="dxa"/>
            <w:tcBorders>
              <w:top w:val="nil"/>
              <w:left w:val="nil"/>
              <w:bottom w:val="single" w:sz="4" w:space="0" w:color="000000"/>
              <w:right w:val="nil"/>
            </w:tcBorders>
            <w:shd w:val="clear" w:color="auto" w:fill="auto"/>
            <w:vAlign w:val="bottom"/>
          </w:tcPr>
          <w:p w14:paraId="16E049EB"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11</w:t>
            </w:r>
          </w:p>
        </w:tc>
      </w:tr>
      <w:tr w:rsidR="00EC4499" w14:paraId="7C48BFC9" w14:textId="77777777" w:rsidTr="002E629C">
        <w:trPr>
          <w:trHeight w:val="288"/>
        </w:trPr>
        <w:tc>
          <w:tcPr>
            <w:tcW w:w="1160" w:type="dxa"/>
            <w:vMerge w:val="restart"/>
            <w:tcBorders>
              <w:top w:val="nil"/>
              <w:left w:val="nil"/>
              <w:bottom w:val="nil"/>
              <w:right w:val="nil"/>
            </w:tcBorders>
            <w:shd w:val="clear" w:color="auto" w:fill="auto"/>
            <w:vAlign w:val="bottom"/>
          </w:tcPr>
          <w:p w14:paraId="1CC278D3" w14:textId="77777777" w:rsidR="00EC4499" w:rsidRDefault="00433EA7">
            <w:pPr>
              <w:spacing w:after="0" w:line="48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 xml:space="preserve">J.P. Morgan </w:t>
            </w:r>
          </w:p>
        </w:tc>
        <w:tc>
          <w:tcPr>
            <w:tcW w:w="540" w:type="dxa"/>
            <w:tcBorders>
              <w:top w:val="single" w:sz="4" w:space="0" w:color="000000"/>
              <w:left w:val="nil"/>
              <w:bottom w:val="nil"/>
              <w:right w:val="nil"/>
            </w:tcBorders>
            <w:shd w:val="clear" w:color="auto" w:fill="auto"/>
            <w:vAlign w:val="bottom"/>
          </w:tcPr>
          <w:p w14:paraId="6BA1EF25"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940" w:type="dxa"/>
            <w:tcBorders>
              <w:top w:val="single" w:sz="4" w:space="0" w:color="000000"/>
              <w:left w:val="nil"/>
              <w:bottom w:val="nil"/>
              <w:right w:val="nil"/>
            </w:tcBorders>
            <w:shd w:val="clear" w:color="auto" w:fill="auto"/>
            <w:vAlign w:val="bottom"/>
          </w:tcPr>
          <w:p w14:paraId="3E605CFF"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046" w:type="dxa"/>
            <w:tcBorders>
              <w:top w:val="single" w:sz="4" w:space="0" w:color="000000"/>
              <w:left w:val="nil"/>
              <w:bottom w:val="nil"/>
              <w:right w:val="nil"/>
            </w:tcBorders>
            <w:shd w:val="clear" w:color="auto" w:fill="auto"/>
            <w:vAlign w:val="bottom"/>
          </w:tcPr>
          <w:p w14:paraId="11DC7489"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860" w:type="dxa"/>
            <w:tcBorders>
              <w:top w:val="single" w:sz="4" w:space="0" w:color="000000"/>
              <w:left w:val="nil"/>
              <w:bottom w:val="nil"/>
              <w:right w:val="nil"/>
            </w:tcBorders>
            <w:shd w:val="clear" w:color="auto" w:fill="auto"/>
            <w:vAlign w:val="bottom"/>
          </w:tcPr>
          <w:p w14:paraId="516F73B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83" w:type="dxa"/>
            <w:tcBorders>
              <w:top w:val="single" w:sz="4" w:space="0" w:color="000000"/>
              <w:left w:val="nil"/>
              <w:bottom w:val="nil"/>
              <w:right w:val="nil"/>
            </w:tcBorders>
            <w:shd w:val="clear" w:color="auto" w:fill="auto"/>
            <w:vAlign w:val="bottom"/>
          </w:tcPr>
          <w:p w14:paraId="3BB6824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20" w:type="dxa"/>
            <w:tcBorders>
              <w:top w:val="single" w:sz="4" w:space="0" w:color="000000"/>
              <w:left w:val="nil"/>
              <w:bottom w:val="nil"/>
              <w:right w:val="nil"/>
            </w:tcBorders>
            <w:shd w:val="clear" w:color="auto" w:fill="auto"/>
            <w:vAlign w:val="bottom"/>
          </w:tcPr>
          <w:p w14:paraId="63AFC47D"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480" w:type="dxa"/>
            <w:tcBorders>
              <w:top w:val="single" w:sz="4" w:space="0" w:color="000000"/>
              <w:left w:val="nil"/>
              <w:bottom w:val="nil"/>
              <w:right w:val="nil"/>
            </w:tcBorders>
            <w:shd w:val="clear" w:color="auto" w:fill="auto"/>
            <w:vAlign w:val="bottom"/>
          </w:tcPr>
          <w:p w14:paraId="6911D72F"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0,5</w:t>
            </w:r>
          </w:p>
        </w:tc>
        <w:tc>
          <w:tcPr>
            <w:tcW w:w="740" w:type="dxa"/>
            <w:tcBorders>
              <w:top w:val="single" w:sz="4" w:space="0" w:color="000000"/>
              <w:left w:val="nil"/>
              <w:bottom w:val="nil"/>
              <w:right w:val="nil"/>
            </w:tcBorders>
            <w:shd w:val="clear" w:color="auto" w:fill="auto"/>
            <w:vAlign w:val="bottom"/>
          </w:tcPr>
          <w:p w14:paraId="6C7915DD"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7,5</w:t>
            </w:r>
          </w:p>
        </w:tc>
      </w:tr>
      <w:tr w:rsidR="00EC4499" w14:paraId="4A7B9267" w14:textId="77777777" w:rsidTr="002E629C">
        <w:trPr>
          <w:trHeight w:val="288"/>
        </w:trPr>
        <w:tc>
          <w:tcPr>
            <w:tcW w:w="1160" w:type="dxa"/>
            <w:vMerge/>
            <w:tcBorders>
              <w:top w:val="nil"/>
              <w:left w:val="nil"/>
              <w:bottom w:val="nil"/>
              <w:right w:val="nil"/>
            </w:tcBorders>
            <w:shd w:val="clear" w:color="auto" w:fill="auto"/>
            <w:vAlign w:val="bottom"/>
          </w:tcPr>
          <w:p w14:paraId="0DF26FA5"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b/>
                <w:color w:val="000000"/>
                <w:sz w:val="18"/>
                <w:szCs w:val="18"/>
              </w:rPr>
            </w:pPr>
          </w:p>
        </w:tc>
        <w:tc>
          <w:tcPr>
            <w:tcW w:w="540" w:type="dxa"/>
            <w:tcBorders>
              <w:top w:val="nil"/>
              <w:left w:val="nil"/>
              <w:bottom w:val="single" w:sz="4" w:space="0" w:color="000000"/>
              <w:right w:val="nil"/>
            </w:tcBorders>
            <w:shd w:val="clear" w:color="auto" w:fill="auto"/>
            <w:vAlign w:val="bottom"/>
          </w:tcPr>
          <w:p w14:paraId="28B1B687"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940" w:type="dxa"/>
            <w:tcBorders>
              <w:top w:val="nil"/>
              <w:left w:val="nil"/>
              <w:bottom w:val="single" w:sz="4" w:space="0" w:color="000000"/>
              <w:right w:val="nil"/>
            </w:tcBorders>
            <w:shd w:val="clear" w:color="auto" w:fill="auto"/>
            <w:vAlign w:val="bottom"/>
          </w:tcPr>
          <w:p w14:paraId="44B42B9D"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046" w:type="dxa"/>
            <w:tcBorders>
              <w:top w:val="nil"/>
              <w:left w:val="nil"/>
              <w:bottom w:val="single" w:sz="4" w:space="0" w:color="000000"/>
              <w:right w:val="nil"/>
            </w:tcBorders>
            <w:shd w:val="clear" w:color="auto" w:fill="auto"/>
            <w:vAlign w:val="bottom"/>
          </w:tcPr>
          <w:p w14:paraId="4EFA065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860" w:type="dxa"/>
            <w:tcBorders>
              <w:top w:val="nil"/>
              <w:left w:val="nil"/>
              <w:bottom w:val="single" w:sz="4" w:space="0" w:color="000000"/>
              <w:right w:val="nil"/>
            </w:tcBorders>
            <w:shd w:val="clear" w:color="auto" w:fill="auto"/>
            <w:vAlign w:val="bottom"/>
          </w:tcPr>
          <w:p w14:paraId="68D13AEC"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83" w:type="dxa"/>
            <w:tcBorders>
              <w:top w:val="nil"/>
              <w:left w:val="nil"/>
              <w:bottom w:val="single" w:sz="4" w:space="0" w:color="000000"/>
              <w:right w:val="nil"/>
            </w:tcBorders>
            <w:shd w:val="clear" w:color="auto" w:fill="auto"/>
            <w:vAlign w:val="bottom"/>
          </w:tcPr>
          <w:p w14:paraId="3DCE6659"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20" w:type="dxa"/>
            <w:tcBorders>
              <w:top w:val="nil"/>
              <w:left w:val="nil"/>
              <w:bottom w:val="single" w:sz="4" w:space="0" w:color="000000"/>
              <w:right w:val="nil"/>
            </w:tcBorders>
            <w:shd w:val="clear" w:color="auto" w:fill="auto"/>
            <w:vAlign w:val="bottom"/>
          </w:tcPr>
          <w:p w14:paraId="32392C6A"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480" w:type="dxa"/>
            <w:tcBorders>
              <w:top w:val="nil"/>
              <w:left w:val="nil"/>
              <w:bottom w:val="single" w:sz="4" w:space="0" w:color="000000"/>
              <w:right w:val="nil"/>
            </w:tcBorders>
            <w:shd w:val="clear" w:color="auto" w:fill="auto"/>
            <w:vAlign w:val="bottom"/>
          </w:tcPr>
          <w:p w14:paraId="5669AE4E"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0,5</w:t>
            </w:r>
          </w:p>
        </w:tc>
        <w:tc>
          <w:tcPr>
            <w:tcW w:w="740" w:type="dxa"/>
            <w:tcBorders>
              <w:top w:val="nil"/>
              <w:left w:val="nil"/>
              <w:bottom w:val="single" w:sz="4" w:space="0" w:color="000000"/>
              <w:right w:val="nil"/>
            </w:tcBorders>
            <w:shd w:val="clear" w:color="auto" w:fill="auto"/>
            <w:vAlign w:val="bottom"/>
          </w:tcPr>
          <w:p w14:paraId="2F50D156"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7,5</w:t>
            </w:r>
          </w:p>
        </w:tc>
      </w:tr>
      <w:tr w:rsidR="00EC4499" w14:paraId="77E74561" w14:textId="77777777" w:rsidTr="002E629C">
        <w:trPr>
          <w:trHeight w:val="288"/>
        </w:trPr>
        <w:tc>
          <w:tcPr>
            <w:tcW w:w="1160" w:type="dxa"/>
            <w:vMerge w:val="restart"/>
            <w:tcBorders>
              <w:top w:val="nil"/>
              <w:left w:val="nil"/>
              <w:bottom w:val="nil"/>
              <w:right w:val="nil"/>
            </w:tcBorders>
            <w:shd w:val="clear" w:color="auto" w:fill="auto"/>
            <w:vAlign w:val="bottom"/>
          </w:tcPr>
          <w:p w14:paraId="01AC622C" w14:textId="77777777" w:rsidR="00EC4499" w:rsidRDefault="00433EA7">
            <w:pPr>
              <w:spacing w:after="0" w:line="48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Santander</w:t>
            </w:r>
          </w:p>
        </w:tc>
        <w:tc>
          <w:tcPr>
            <w:tcW w:w="540" w:type="dxa"/>
            <w:tcBorders>
              <w:top w:val="single" w:sz="4" w:space="0" w:color="000000"/>
              <w:left w:val="nil"/>
              <w:bottom w:val="nil"/>
              <w:right w:val="nil"/>
            </w:tcBorders>
            <w:shd w:val="clear" w:color="auto" w:fill="auto"/>
            <w:vAlign w:val="bottom"/>
          </w:tcPr>
          <w:p w14:paraId="4D3EE2E9"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940" w:type="dxa"/>
            <w:tcBorders>
              <w:top w:val="single" w:sz="4" w:space="0" w:color="000000"/>
              <w:left w:val="nil"/>
              <w:bottom w:val="nil"/>
              <w:right w:val="nil"/>
            </w:tcBorders>
            <w:shd w:val="clear" w:color="auto" w:fill="auto"/>
            <w:vAlign w:val="bottom"/>
          </w:tcPr>
          <w:p w14:paraId="0093F5F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046" w:type="dxa"/>
            <w:tcBorders>
              <w:top w:val="single" w:sz="4" w:space="0" w:color="000000"/>
              <w:left w:val="nil"/>
              <w:bottom w:val="nil"/>
              <w:right w:val="nil"/>
            </w:tcBorders>
            <w:shd w:val="clear" w:color="auto" w:fill="auto"/>
            <w:vAlign w:val="bottom"/>
          </w:tcPr>
          <w:p w14:paraId="474EDB3E"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860" w:type="dxa"/>
            <w:tcBorders>
              <w:top w:val="single" w:sz="4" w:space="0" w:color="000000"/>
              <w:left w:val="nil"/>
              <w:bottom w:val="nil"/>
              <w:right w:val="nil"/>
            </w:tcBorders>
            <w:shd w:val="clear" w:color="auto" w:fill="auto"/>
            <w:vAlign w:val="bottom"/>
          </w:tcPr>
          <w:p w14:paraId="373DB84F"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83" w:type="dxa"/>
            <w:tcBorders>
              <w:top w:val="single" w:sz="4" w:space="0" w:color="000000"/>
              <w:left w:val="nil"/>
              <w:bottom w:val="nil"/>
              <w:right w:val="nil"/>
            </w:tcBorders>
            <w:shd w:val="clear" w:color="auto" w:fill="auto"/>
            <w:vAlign w:val="bottom"/>
          </w:tcPr>
          <w:p w14:paraId="55D48B62"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920" w:type="dxa"/>
            <w:tcBorders>
              <w:top w:val="single" w:sz="4" w:space="0" w:color="000000"/>
              <w:left w:val="nil"/>
              <w:bottom w:val="nil"/>
              <w:right w:val="nil"/>
            </w:tcBorders>
            <w:shd w:val="clear" w:color="auto" w:fill="auto"/>
            <w:vAlign w:val="bottom"/>
          </w:tcPr>
          <w:p w14:paraId="55F422E4"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480" w:type="dxa"/>
            <w:tcBorders>
              <w:top w:val="single" w:sz="4" w:space="0" w:color="000000"/>
              <w:left w:val="nil"/>
              <w:bottom w:val="nil"/>
              <w:right w:val="nil"/>
            </w:tcBorders>
            <w:shd w:val="clear" w:color="auto" w:fill="auto"/>
            <w:vAlign w:val="bottom"/>
          </w:tcPr>
          <w:p w14:paraId="11EB5B1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740" w:type="dxa"/>
            <w:tcBorders>
              <w:top w:val="single" w:sz="4" w:space="0" w:color="000000"/>
              <w:left w:val="nil"/>
              <w:bottom w:val="nil"/>
              <w:right w:val="nil"/>
            </w:tcBorders>
            <w:shd w:val="clear" w:color="auto" w:fill="auto"/>
            <w:vAlign w:val="bottom"/>
          </w:tcPr>
          <w:p w14:paraId="0D119E01"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9</w:t>
            </w:r>
          </w:p>
        </w:tc>
      </w:tr>
      <w:tr w:rsidR="00EC4499" w14:paraId="55717C36" w14:textId="77777777" w:rsidTr="002E629C">
        <w:trPr>
          <w:trHeight w:val="288"/>
        </w:trPr>
        <w:tc>
          <w:tcPr>
            <w:tcW w:w="1160" w:type="dxa"/>
            <w:vMerge/>
            <w:tcBorders>
              <w:top w:val="nil"/>
              <w:left w:val="nil"/>
              <w:bottom w:val="nil"/>
              <w:right w:val="nil"/>
            </w:tcBorders>
            <w:shd w:val="clear" w:color="auto" w:fill="auto"/>
            <w:vAlign w:val="bottom"/>
          </w:tcPr>
          <w:p w14:paraId="7E5DA334"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b/>
                <w:color w:val="000000"/>
                <w:sz w:val="18"/>
                <w:szCs w:val="18"/>
              </w:rPr>
            </w:pPr>
          </w:p>
        </w:tc>
        <w:tc>
          <w:tcPr>
            <w:tcW w:w="540" w:type="dxa"/>
            <w:tcBorders>
              <w:top w:val="nil"/>
              <w:left w:val="nil"/>
              <w:bottom w:val="single" w:sz="4" w:space="0" w:color="000000"/>
              <w:right w:val="nil"/>
            </w:tcBorders>
            <w:shd w:val="clear" w:color="auto" w:fill="auto"/>
            <w:vAlign w:val="bottom"/>
          </w:tcPr>
          <w:p w14:paraId="694B0397"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940" w:type="dxa"/>
            <w:tcBorders>
              <w:top w:val="nil"/>
              <w:left w:val="nil"/>
              <w:bottom w:val="single" w:sz="4" w:space="0" w:color="000000"/>
              <w:right w:val="nil"/>
            </w:tcBorders>
            <w:shd w:val="clear" w:color="auto" w:fill="auto"/>
            <w:vAlign w:val="bottom"/>
          </w:tcPr>
          <w:p w14:paraId="7DD5A1E0"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1,5</w:t>
            </w:r>
          </w:p>
        </w:tc>
        <w:tc>
          <w:tcPr>
            <w:tcW w:w="1046" w:type="dxa"/>
            <w:tcBorders>
              <w:top w:val="nil"/>
              <w:left w:val="nil"/>
              <w:bottom w:val="single" w:sz="4" w:space="0" w:color="000000"/>
              <w:right w:val="nil"/>
            </w:tcBorders>
            <w:shd w:val="clear" w:color="auto" w:fill="auto"/>
            <w:vAlign w:val="bottom"/>
          </w:tcPr>
          <w:p w14:paraId="07B00F6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860" w:type="dxa"/>
            <w:tcBorders>
              <w:top w:val="nil"/>
              <w:left w:val="nil"/>
              <w:bottom w:val="single" w:sz="4" w:space="0" w:color="000000"/>
              <w:right w:val="nil"/>
            </w:tcBorders>
            <w:shd w:val="clear" w:color="auto" w:fill="auto"/>
            <w:vAlign w:val="bottom"/>
          </w:tcPr>
          <w:p w14:paraId="084BB42B"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83" w:type="dxa"/>
            <w:tcBorders>
              <w:top w:val="nil"/>
              <w:left w:val="nil"/>
              <w:bottom w:val="single" w:sz="4" w:space="0" w:color="000000"/>
              <w:right w:val="nil"/>
            </w:tcBorders>
            <w:shd w:val="clear" w:color="auto" w:fill="auto"/>
            <w:vAlign w:val="bottom"/>
          </w:tcPr>
          <w:p w14:paraId="5B4B8F9D"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20" w:type="dxa"/>
            <w:tcBorders>
              <w:top w:val="nil"/>
              <w:left w:val="nil"/>
              <w:bottom w:val="single" w:sz="4" w:space="0" w:color="000000"/>
              <w:right w:val="nil"/>
            </w:tcBorders>
            <w:shd w:val="clear" w:color="auto" w:fill="auto"/>
            <w:vAlign w:val="bottom"/>
          </w:tcPr>
          <w:p w14:paraId="7CD16A80"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480" w:type="dxa"/>
            <w:tcBorders>
              <w:top w:val="nil"/>
              <w:left w:val="nil"/>
              <w:bottom w:val="single" w:sz="4" w:space="0" w:color="000000"/>
              <w:right w:val="nil"/>
            </w:tcBorders>
            <w:shd w:val="clear" w:color="auto" w:fill="auto"/>
            <w:vAlign w:val="bottom"/>
          </w:tcPr>
          <w:p w14:paraId="08EFA2FE"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740" w:type="dxa"/>
            <w:tcBorders>
              <w:top w:val="nil"/>
              <w:left w:val="nil"/>
              <w:bottom w:val="single" w:sz="4" w:space="0" w:color="000000"/>
              <w:right w:val="nil"/>
            </w:tcBorders>
            <w:shd w:val="clear" w:color="auto" w:fill="auto"/>
            <w:vAlign w:val="bottom"/>
          </w:tcPr>
          <w:p w14:paraId="6C4CB2BA"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10,5</w:t>
            </w:r>
          </w:p>
        </w:tc>
      </w:tr>
      <w:tr w:rsidR="00EC4499" w14:paraId="2A75D417" w14:textId="77777777" w:rsidTr="002E629C">
        <w:trPr>
          <w:trHeight w:val="288"/>
        </w:trPr>
        <w:tc>
          <w:tcPr>
            <w:tcW w:w="1160" w:type="dxa"/>
            <w:vMerge w:val="restart"/>
            <w:tcBorders>
              <w:top w:val="nil"/>
              <w:left w:val="nil"/>
              <w:bottom w:val="nil"/>
              <w:right w:val="nil"/>
            </w:tcBorders>
            <w:shd w:val="clear" w:color="auto" w:fill="auto"/>
            <w:vAlign w:val="bottom"/>
          </w:tcPr>
          <w:p w14:paraId="7DB6FA28" w14:textId="77777777" w:rsidR="00EC4499" w:rsidRDefault="00433EA7">
            <w:pPr>
              <w:spacing w:after="0" w:line="48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Sicredi</w:t>
            </w:r>
          </w:p>
        </w:tc>
        <w:tc>
          <w:tcPr>
            <w:tcW w:w="540" w:type="dxa"/>
            <w:tcBorders>
              <w:top w:val="single" w:sz="4" w:space="0" w:color="000000"/>
              <w:left w:val="nil"/>
              <w:bottom w:val="nil"/>
              <w:right w:val="nil"/>
            </w:tcBorders>
            <w:shd w:val="clear" w:color="auto" w:fill="auto"/>
            <w:vAlign w:val="bottom"/>
          </w:tcPr>
          <w:p w14:paraId="6FA7C8DD"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2021</w:t>
            </w:r>
          </w:p>
        </w:tc>
        <w:tc>
          <w:tcPr>
            <w:tcW w:w="940" w:type="dxa"/>
            <w:tcBorders>
              <w:top w:val="single" w:sz="4" w:space="0" w:color="000000"/>
              <w:left w:val="nil"/>
              <w:bottom w:val="nil"/>
              <w:right w:val="nil"/>
            </w:tcBorders>
            <w:shd w:val="clear" w:color="auto" w:fill="auto"/>
            <w:vAlign w:val="bottom"/>
          </w:tcPr>
          <w:p w14:paraId="12D1BBB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0,5</w:t>
            </w:r>
          </w:p>
        </w:tc>
        <w:tc>
          <w:tcPr>
            <w:tcW w:w="1046" w:type="dxa"/>
            <w:tcBorders>
              <w:top w:val="single" w:sz="4" w:space="0" w:color="000000"/>
              <w:left w:val="nil"/>
              <w:bottom w:val="nil"/>
              <w:right w:val="nil"/>
            </w:tcBorders>
            <w:shd w:val="clear" w:color="auto" w:fill="auto"/>
            <w:vAlign w:val="bottom"/>
          </w:tcPr>
          <w:p w14:paraId="131A8DC8"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860" w:type="dxa"/>
            <w:tcBorders>
              <w:top w:val="single" w:sz="4" w:space="0" w:color="000000"/>
              <w:left w:val="nil"/>
              <w:bottom w:val="nil"/>
              <w:right w:val="nil"/>
            </w:tcBorders>
            <w:shd w:val="clear" w:color="auto" w:fill="auto"/>
            <w:vAlign w:val="bottom"/>
          </w:tcPr>
          <w:p w14:paraId="7CBDFDA1"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83" w:type="dxa"/>
            <w:tcBorders>
              <w:top w:val="single" w:sz="4" w:space="0" w:color="000000"/>
              <w:left w:val="nil"/>
              <w:bottom w:val="nil"/>
              <w:right w:val="nil"/>
            </w:tcBorders>
            <w:shd w:val="clear" w:color="auto" w:fill="auto"/>
            <w:vAlign w:val="bottom"/>
          </w:tcPr>
          <w:p w14:paraId="1FB810BC"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20" w:type="dxa"/>
            <w:tcBorders>
              <w:top w:val="single" w:sz="4" w:space="0" w:color="000000"/>
              <w:left w:val="nil"/>
              <w:bottom w:val="nil"/>
              <w:right w:val="nil"/>
            </w:tcBorders>
            <w:shd w:val="clear" w:color="auto" w:fill="auto"/>
            <w:vAlign w:val="bottom"/>
          </w:tcPr>
          <w:p w14:paraId="7366D0E3"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480" w:type="dxa"/>
            <w:tcBorders>
              <w:top w:val="single" w:sz="4" w:space="0" w:color="000000"/>
              <w:left w:val="nil"/>
              <w:bottom w:val="nil"/>
              <w:right w:val="nil"/>
            </w:tcBorders>
            <w:shd w:val="clear" w:color="auto" w:fill="auto"/>
            <w:vAlign w:val="bottom"/>
          </w:tcPr>
          <w:p w14:paraId="4A689770"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1,5</w:t>
            </w:r>
          </w:p>
        </w:tc>
        <w:tc>
          <w:tcPr>
            <w:tcW w:w="740" w:type="dxa"/>
            <w:tcBorders>
              <w:top w:val="single" w:sz="4" w:space="0" w:color="000000"/>
              <w:left w:val="nil"/>
              <w:bottom w:val="nil"/>
              <w:right w:val="nil"/>
            </w:tcBorders>
            <w:shd w:val="clear" w:color="auto" w:fill="auto"/>
            <w:vAlign w:val="bottom"/>
          </w:tcPr>
          <w:p w14:paraId="29869102"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10</w:t>
            </w:r>
          </w:p>
        </w:tc>
      </w:tr>
      <w:tr w:rsidR="00EC4499" w14:paraId="0715A92B" w14:textId="77777777" w:rsidTr="002E629C">
        <w:trPr>
          <w:trHeight w:val="288"/>
        </w:trPr>
        <w:tc>
          <w:tcPr>
            <w:tcW w:w="1160" w:type="dxa"/>
            <w:vMerge/>
            <w:tcBorders>
              <w:top w:val="nil"/>
              <w:left w:val="nil"/>
              <w:bottom w:val="nil"/>
              <w:right w:val="nil"/>
            </w:tcBorders>
            <w:shd w:val="clear" w:color="auto" w:fill="auto"/>
            <w:vAlign w:val="bottom"/>
          </w:tcPr>
          <w:p w14:paraId="05565272"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b/>
                <w:color w:val="000000"/>
                <w:sz w:val="18"/>
                <w:szCs w:val="18"/>
              </w:rPr>
            </w:pPr>
          </w:p>
        </w:tc>
        <w:tc>
          <w:tcPr>
            <w:tcW w:w="540" w:type="dxa"/>
            <w:tcBorders>
              <w:top w:val="nil"/>
              <w:left w:val="nil"/>
              <w:bottom w:val="single" w:sz="4" w:space="0" w:color="000000"/>
              <w:right w:val="nil"/>
            </w:tcBorders>
            <w:shd w:val="clear" w:color="auto" w:fill="auto"/>
            <w:vAlign w:val="bottom"/>
          </w:tcPr>
          <w:p w14:paraId="5BA59BF4" w14:textId="77777777" w:rsidR="00EC4499" w:rsidRDefault="00433EA7">
            <w:pPr>
              <w:spacing w:after="0" w:line="240" w:lineRule="auto"/>
              <w:jc w:val="right"/>
              <w:rPr>
                <w:rFonts w:ascii="Garamond" w:eastAsia="Garamond" w:hAnsi="Garamond" w:cs="Garamond"/>
                <w:color w:val="000000"/>
                <w:sz w:val="18"/>
                <w:szCs w:val="18"/>
              </w:rPr>
            </w:pPr>
            <w:r>
              <w:rPr>
                <w:rFonts w:ascii="Garamond" w:eastAsia="Garamond" w:hAnsi="Garamond" w:cs="Garamond"/>
                <w:color w:val="000000"/>
                <w:sz w:val="18"/>
                <w:szCs w:val="18"/>
              </w:rPr>
              <w:t>2022</w:t>
            </w:r>
          </w:p>
        </w:tc>
        <w:tc>
          <w:tcPr>
            <w:tcW w:w="940" w:type="dxa"/>
            <w:tcBorders>
              <w:top w:val="nil"/>
              <w:left w:val="nil"/>
              <w:bottom w:val="single" w:sz="4" w:space="0" w:color="000000"/>
              <w:right w:val="nil"/>
            </w:tcBorders>
            <w:shd w:val="clear" w:color="auto" w:fill="auto"/>
            <w:vAlign w:val="bottom"/>
          </w:tcPr>
          <w:p w14:paraId="7B5CD6D9"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w:t>
            </w:r>
          </w:p>
        </w:tc>
        <w:tc>
          <w:tcPr>
            <w:tcW w:w="1046" w:type="dxa"/>
            <w:tcBorders>
              <w:top w:val="nil"/>
              <w:left w:val="nil"/>
              <w:bottom w:val="single" w:sz="4" w:space="0" w:color="000000"/>
              <w:right w:val="nil"/>
            </w:tcBorders>
            <w:shd w:val="clear" w:color="auto" w:fill="auto"/>
            <w:vAlign w:val="bottom"/>
          </w:tcPr>
          <w:p w14:paraId="33AB42A9"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860" w:type="dxa"/>
            <w:tcBorders>
              <w:top w:val="nil"/>
              <w:left w:val="nil"/>
              <w:bottom w:val="single" w:sz="4" w:space="0" w:color="000000"/>
              <w:right w:val="nil"/>
            </w:tcBorders>
            <w:shd w:val="clear" w:color="auto" w:fill="auto"/>
            <w:vAlign w:val="bottom"/>
          </w:tcPr>
          <w:p w14:paraId="4C2922BD"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83" w:type="dxa"/>
            <w:tcBorders>
              <w:top w:val="nil"/>
              <w:left w:val="nil"/>
              <w:bottom w:val="single" w:sz="4" w:space="0" w:color="000000"/>
              <w:right w:val="nil"/>
            </w:tcBorders>
            <w:shd w:val="clear" w:color="auto" w:fill="auto"/>
            <w:vAlign w:val="bottom"/>
          </w:tcPr>
          <w:p w14:paraId="6126823A"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920" w:type="dxa"/>
            <w:tcBorders>
              <w:top w:val="nil"/>
              <w:left w:val="nil"/>
              <w:bottom w:val="single" w:sz="4" w:space="0" w:color="000000"/>
              <w:right w:val="nil"/>
            </w:tcBorders>
            <w:shd w:val="clear" w:color="auto" w:fill="auto"/>
            <w:vAlign w:val="bottom"/>
          </w:tcPr>
          <w:p w14:paraId="1D5ED58C"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2</w:t>
            </w:r>
          </w:p>
        </w:tc>
        <w:tc>
          <w:tcPr>
            <w:tcW w:w="1480" w:type="dxa"/>
            <w:tcBorders>
              <w:top w:val="nil"/>
              <w:left w:val="nil"/>
              <w:bottom w:val="single" w:sz="4" w:space="0" w:color="000000"/>
              <w:right w:val="nil"/>
            </w:tcBorders>
            <w:shd w:val="clear" w:color="auto" w:fill="auto"/>
            <w:vAlign w:val="bottom"/>
          </w:tcPr>
          <w:p w14:paraId="5A33139B"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1,5</w:t>
            </w:r>
          </w:p>
        </w:tc>
        <w:tc>
          <w:tcPr>
            <w:tcW w:w="740" w:type="dxa"/>
            <w:tcBorders>
              <w:top w:val="nil"/>
              <w:left w:val="nil"/>
              <w:bottom w:val="single" w:sz="4" w:space="0" w:color="000000"/>
              <w:right w:val="nil"/>
            </w:tcBorders>
            <w:shd w:val="clear" w:color="auto" w:fill="auto"/>
            <w:vAlign w:val="bottom"/>
          </w:tcPr>
          <w:p w14:paraId="7484008A"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10,5</w:t>
            </w:r>
          </w:p>
        </w:tc>
      </w:tr>
    </w:tbl>
    <w:p w14:paraId="650793FC" w14:textId="77777777" w:rsidR="00EC4499" w:rsidRDefault="00433EA7">
      <w:pPr>
        <w:spacing w:after="0" w:line="360" w:lineRule="auto"/>
        <w:rPr>
          <w:rFonts w:ascii="Garamond" w:eastAsia="Garamond" w:hAnsi="Garamond" w:cs="Garamond"/>
          <w:b/>
          <w:color w:val="000000"/>
          <w:sz w:val="20"/>
          <w:szCs w:val="20"/>
        </w:rPr>
      </w:pPr>
      <w:r>
        <w:rPr>
          <w:rFonts w:ascii="Garamond" w:eastAsia="Garamond" w:hAnsi="Garamond" w:cs="Garamond"/>
          <w:color w:val="000000"/>
          <w:sz w:val="24"/>
          <w:szCs w:val="24"/>
        </w:rPr>
        <w:t xml:space="preserve">                    </w:t>
      </w:r>
      <w:r>
        <w:rPr>
          <w:rFonts w:ascii="Garamond" w:eastAsia="Garamond" w:hAnsi="Garamond" w:cs="Garamond"/>
          <w:b/>
          <w:color w:val="000000"/>
          <w:sz w:val="20"/>
          <w:szCs w:val="20"/>
        </w:rPr>
        <w:t xml:space="preserve">Média      1,04 (52%)      1,65 (83%)      2 (100%)        1,71 (86%)      1,71 (86%)   1,19 (60%)     </w:t>
      </w:r>
    </w:p>
    <w:p w14:paraId="6EC521AE" w14:textId="77777777" w:rsidR="00EC4499" w:rsidRDefault="00EC4499">
      <w:pPr>
        <w:spacing w:after="0" w:line="360" w:lineRule="auto"/>
        <w:rPr>
          <w:rFonts w:ascii="Garamond" w:eastAsia="Garamond" w:hAnsi="Garamond" w:cs="Garamond"/>
          <w:color w:val="000000"/>
          <w:sz w:val="24"/>
          <w:szCs w:val="24"/>
        </w:rPr>
      </w:pPr>
    </w:p>
    <w:p w14:paraId="1BAA0913" w14:textId="13F32350" w:rsidR="00EC4499" w:rsidRDefault="002E629C">
      <w:pPr>
        <w:spacing w:after="0" w:line="360" w:lineRule="auto"/>
        <w:jc w:val="center"/>
        <w:rPr>
          <w:rFonts w:ascii="Garamond" w:eastAsia="Garamond" w:hAnsi="Garamond" w:cs="Garamond"/>
          <w:color w:val="000000"/>
          <w:sz w:val="24"/>
          <w:szCs w:val="24"/>
        </w:rPr>
      </w:pPr>
      <w:r>
        <w:rPr>
          <w:noProof/>
        </w:rPr>
        <w:lastRenderedPageBreak/>
        <w:drawing>
          <wp:anchor distT="0" distB="0" distL="114300" distR="114300" simplePos="0" relativeHeight="251661312" behindDoc="1" locked="0" layoutInCell="1" allowOverlap="1" wp14:anchorId="2C8CECA3" wp14:editId="1F85169E">
            <wp:simplePos x="0" y="0"/>
            <wp:positionH relativeFrom="column">
              <wp:posOffset>0</wp:posOffset>
            </wp:positionH>
            <wp:positionV relativeFrom="paragraph">
              <wp:posOffset>254635</wp:posOffset>
            </wp:positionV>
            <wp:extent cx="5562600" cy="2348230"/>
            <wp:effectExtent l="0" t="0" r="0" b="13970"/>
            <wp:wrapTight wrapText="bothSides">
              <wp:wrapPolygon edited="0">
                <wp:start x="0" y="0"/>
                <wp:lineTo x="0" y="21553"/>
                <wp:lineTo x="21526" y="21553"/>
                <wp:lineTo x="21526" y="0"/>
                <wp:lineTo x="0" y="0"/>
              </wp:wrapPolygon>
            </wp:wrapTight>
            <wp:docPr id="2133657964" name="Gráfico 213365796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Pr>
          <w:rFonts w:ascii="Garamond" w:eastAsia="Garamond" w:hAnsi="Garamond" w:cs="Garamond"/>
          <w:color w:val="000000"/>
          <w:sz w:val="24"/>
          <w:szCs w:val="24"/>
        </w:rPr>
        <w:t xml:space="preserve">Figura </w:t>
      </w:r>
      <w:r w:rsidR="005D54DE">
        <w:rPr>
          <w:rFonts w:ascii="Garamond" w:eastAsia="Garamond" w:hAnsi="Garamond" w:cs="Garamond"/>
          <w:color w:val="000000"/>
          <w:sz w:val="24"/>
          <w:szCs w:val="24"/>
        </w:rPr>
        <w:t>8</w:t>
      </w:r>
      <w:r>
        <w:rPr>
          <w:rFonts w:ascii="Garamond" w:eastAsia="Garamond" w:hAnsi="Garamond" w:cs="Garamond"/>
          <w:color w:val="000000"/>
          <w:sz w:val="24"/>
          <w:szCs w:val="24"/>
        </w:rPr>
        <w:t xml:space="preserve"> – Gráfico do Resultado Consolidado</w:t>
      </w:r>
    </w:p>
    <w:p w14:paraId="7119807B" w14:textId="77777777" w:rsidR="002E629C" w:rsidRDefault="002E629C">
      <w:pPr>
        <w:pBdr>
          <w:top w:val="nil"/>
          <w:left w:val="nil"/>
          <w:bottom w:val="nil"/>
          <w:right w:val="nil"/>
          <w:between w:val="nil"/>
        </w:pBdr>
        <w:spacing w:after="0" w:line="360" w:lineRule="auto"/>
        <w:ind w:left="720"/>
        <w:rPr>
          <w:rFonts w:ascii="Garamond" w:eastAsia="Garamond" w:hAnsi="Garamond" w:cs="Garamond"/>
          <w:b/>
          <w:color w:val="000000"/>
          <w:sz w:val="28"/>
          <w:szCs w:val="28"/>
        </w:rPr>
      </w:pPr>
    </w:p>
    <w:p w14:paraId="67C013B0"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As instituições com melhor desempenho geral nos princípios foram o Itaú, Banco do Brasil e Bradesco e as piores a Caixa, Banco do Nordeste e J.P. Morgan. Comparando o desempenho de 2021 com 2022, observa-se evolução no desempenho do BNDES, Bradesco, BTG, Citibank, Inter, Santander e Sicredi, involução no BNB e Caixa e manutenção no Banco do Brasil, Itaú e J.P. Morgan. No cômputo final os relatórios das instituições avançaram em aderência aos princípios já que em 2021 somaram 109,5 contra 113,5 de 2022</w:t>
      </w:r>
    </w:p>
    <w:p w14:paraId="4EC03947"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Os piores resultados ficaram para os princípios do Equilíbrio (52%) e da Verificabilidade (60%), enquanto os melhores foram Exatidão (100%), Clareza (86%) e Tempestividade (86%). Os resultados são parcialmente aderentes aos achados de Ismail </w:t>
      </w:r>
      <w:r w:rsidRPr="007057CC">
        <w:rPr>
          <w:rFonts w:ascii="Garamond" w:eastAsia="Garamond" w:hAnsi="Garamond" w:cs="Garamond"/>
          <w:i/>
          <w:iCs/>
          <w:color w:val="000000"/>
          <w:sz w:val="24"/>
          <w:szCs w:val="24"/>
        </w:rPr>
        <w:t>et al</w:t>
      </w:r>
      <w:r>
        <w:rPr>
          <w:rFonts w:ascii="Garamond" w:eastAsia="Garamond" w:hAnsi="Garamond" w:cs="Garamond"/>
          <w:color w:val="000000"/>
          <w:sz w:val="24"/>
          <w:szCs w:val="24"/>
        </w:rPr>
        <w:t>. (2021) que também destacaram Tempestividade e Clareza como os princípios com melhores pontuações e Equilíbrio como um dos piores. Guarda, porém, alguma distância para o resultado relativo ao princípio da Exatidão, que no trabalho atual obteve nota máxima e no anterior foi um dos piores.</w:t>
      </w:r>
    </w:p>
    <w:p w14:paraId="3F6239AD" w14:textId="4B2158B3" w:rsidR="00EC4499" w:rsidRDefault="00433EA7">
      <w:pPr>
        <w:spacing w:after="0" w:line="360" w:lineRule="auto"/>
        <w:ind w:firstLine="708"/>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Os resultados corroboram a percepção de 98% dos investidores brasileiros que acreditam que os relatórios corporativos contêm </w:t>
      </w:r>
      <w:proofErr w:type="spellStart"/>
      <w:r>
        <w:rPr>
          <w:rFonts w:ascii="Garamond" w:eastAsia="Garamond" w:hAnsi="Garamond" w:cs="Garamond"/>
          <w:i/>
          <w:color w:val="000000"/>
          <w:sz w:val="24"/>
          <w:szCs w:val="24"/>
        </w:rPr>
        <w:t>greenwashing</w:t>
      </w:r>
      <w:proofErr w:type="spellEnd"/>
      <w:r>
        <w:rPr>
          <w:rFonts w:ascii="Garamond" w:eastAsia="Garamond" w:hAnsi="Garamond" w:cs="Garamond"/>
          <w:i/>
          <w:color w:val="000000"/>
          <w:sz w:val="24"/>
          <w:szCs w:val="24"/>
        </w:rPr>
        <w:t xml:space="preserve"> </w:t>
      </w:r>
      <w:r>
        <w:rPr>
          <w:rFonts w:ascii="Garamond" w:eastAsia="Garamond" w:hAnsi="Garamond" w:cs="Garamond"/>
          <w:color w:val="000000"/>
          <w:sz w:val="24"/>
          <w:szCs w:val="24"/>
        </w:rPr>
        <w:t>(P</w:t>
      </w:r>
      <w:r w:rsidR="00CF773E">
        <w:rPr>
          <w:rFonts w:ascii="Garamond" w:eastAsia="Garamond" w:hAnsi="Garamond" w:cs="Garamond"/>
          <w:color w:val="000000"/>
          <w:sz w:val="24"/>
          <w:szCs w:val="24"/>
        </w:rPr>
        <w:t>W</w:t>
      </w:r>
      <w:r>
        <w:rPr>
          <w:rFonts w:ascii="Garamond" w:eastAsia="Garamond" w:hAnsi="Garamond" w:cs="Garamond"/>
          <w:color w:val="000000"/>
          <w:sz w:val="24"/>
          <w:szCs w:val="24"/>
        </w:rPr>
        <w:t>C, 202</w:t>
      </w:r>
      <w:r w:rsidR="008D1202">
        <w:rPr>
          <w:rFonts w:ascii="Garamond" w:eastAsia="Garamond" w:hAnsi="Garamond" w:cs="Garamond"/>
          <w:color w:val="000000"/>
          <w:sz w:val="24"/>
          <w:szCs w:val="24"/>
        </w:rPr>
        <w:t>4</w:t>
      </w:r>
      <w:r>
        <w:rPr>
          <w:rFonts w:ascii="Garamond" w:eastAsia="Garamond" w:hAnsi="Garamond" w:cs="Garamond"/>
          <w:color w:val="000000"/>
          <w:sz w:val="24"/>
          <w:szCs w:val="24"/>
        </w:rPr>
        <w:t>)</w:t>
      </w:r>
      <w:r>
        <w:rPr>
          <w:rFonts w:ascii="Garamond" w:eastAsia="Garamond" w:hAnsi="Garamond" w:cs="Garamond"/>
          <w:i/>
          <w:color w:val="000000"/>
          <w:sz w:val="24"/>
          <w:szCs w:val="24"/>
        </w:rPr>
        <w:t xml:space="preserve">, </w:t>
      </w:r>
      <w:r>
        <w:rPr>
          <w:rFonts w:ascii="Garamond" w:eastAsia="Garamond" w:hAnsi="Garamond" w:cs="Garamond"/>
          <w:color w:val="000000"/>
          <w:sz w:val="24"/>
          <w:szCs w:val="24"/>
        </w:rPr>
        <w:t>o que seria mitigado caso os relatórios fossem mais equilibrados e contassem com verificação externa de maior escopo e garantia.</w:t>
      </w:r>
      <w:r>
        <w:rPr>
          <w:rFonts w:ascii="Garamond" w:eastAsia="Garamond" w:hAnsi="Garamond" w:cs="Garamond"/>
          <w:i/>
          <w:color w:val="000000"/>
          <w:sz w:val="24"/>
          <w:szCs w:val="24"/>
        </w:rPr>
        <w:t xml:space="preserve"> </w:t>
      </w:r>
    </w:p>
    <w:p w14:paraId="0808C9CC" w14:textId="77777777" w:rsidR="00EC4499" w:rsidRDefault="00EC4499">
      <w:pPr>
        <w:spacing w:after="0" w:line="360" w:lineRule="auto"/>
        <w:rPr>
          <w:rFonts w:ascii="Garamond" w:eastAsia="Garamond" w:hAnsi="Garamond" w:cs="Garamond"/>
          <w:b/>
          <w:sz w:val="28"/>
          <w:szCs w:val="28"/>
          <w:highlight w:val="yellow"/>
        </w:rPr>
      </w:pPr>
    </w:p>
    <w:p w14:paraId="513FC58C" w14:textId="77777777" w:rsidR="007F5E5A" w:rsidRDefault="007F5E5A">
      <w:pPr>
        <w:spacing w:after="0" w:line="360" w:lineRule="auto"/>
        <w:rPr>
          <w:rFonts w:ascii="Garamond" w:eastAsia="Garamond" w:hAnsi="Garamond" w:cs="Garamond"/>
          <w:b/>
          <w:sz w:val="28"/>
          <w:szCs w:val="28"/>
          <w:highlight w:val="yellow"/>
        </w:rPr>
      </w:pPr>
    </w:p>
    <w:p w14:paraId="219EBDE2" w14:textId="77777777" w:rsidR="007F5E5A" w:rsidRDefault="007F5E5A">
      <w:pPr>
        <w:spacing w:after="0" w:line="360" w:lineRule="auto"/>
        <w:rPr>
          <w:rFonts w:ascii="Garamond" w:eastAsia="Garamond" w:hAnsi="Garamond" w:cs="Garamond"/>
          <w:b/>
          <w:sz w:val="28"/>
          <w:szCs w:val="28"/>
          <w:highlight w:val="yellow"/>
        </w:rPr>
      </w:pPr>
    </w:p>
    <w:p w14:paraId="54323BD3" w14:textId="3FBC3B95" w:rsidR="00EC4499" w:rsidRDefault="00433EA7">
      <w:pPr>
        <w:spacing w:after="0" w:line="360" w:lineRule="auto"/>
        <w:jc w:val="center"/>
        <w:rPr>
          <w:rFonts w:ascii="Garamond" w:eastAsia="Garamond" w:hAnsi="Garamond" w:cs="Garamond"/>
          <w:i/>
          <w:color w:val="000000"/>
          <w:sz w:val="24"/>
          <w:szCs w:val="24"/>
        </w:rPr>
      </w:pPr>
      <w:r>
        <w:rPr>
          <w:rFonts w:ascii="Garamond" w:eastAsia="Garamond" w:hAnsi="Garamond" w:cs="Garamond"/>
          <w:color w:val="000000"/>
          <w:sz w:val="24"/>
          <w:szCs w:val="24"/>
        </w:rPr>
        <w:lastRenderedPageBreak/>
        <w:t>Tabela 2</w:t>
      </w:r>
      <w:r w:rsidR="004360BC">
        <w:rPr>
          <w:rFonts w:ascii="Garamond" w:eastAsia="Garamond" w:hAnsi="Garamond" w:cs="Garamond"/>
          <w:color w:val="000000"/>
          <w:sz w:val="24"/>
          <w:szCs w:val="24"/>
        </w:rPr>
        <w:t>9</w:t>
      </w:r>
      <w:r>
        <w:rPr>
          <w:rFonts w:ascii="Garamond" w:eastAsia="Garamond" w:hAnsi="Garamond" w:cs="Garamond"/>
          <w:color w:val="000000"/>
          <w:sz w:val="24"/>
          <w:szCs w:val="24"/>
        </w:rPr>
        <w:t xml:space="preserve"> - Pontuação média por grupo</w:t>
      </w:r>
    </w:p>
    <w:tbl>
      <w:tblPr>
        <w:tblStyle w:val="afa"/>
        <w:tblW w:w="8505" w:type="dxa"/>
        <w:tblInd w:w="0" w:type="dxa"/>
        <w:tblLayout w:type="fixed"/>
        <w:tblLook w:val="0400" w:firstRow="0" w:lastRow="0" w:firstColumn="0" w:lastColumn="0" w:noHBand="0" w:noVBand="1"/>
      </w:tblPr>
      <w:tblGrid>
        <w:gridCol w:w="3710"/>
        <w:gridCol w:w="2527"/>
        <w:gridCol w:w="2268"/>
      </w:tblGrid>
      <w:tr w:rsidR="00EC4499" w14:paraId="2D5FD178" w14:textId="77777777" w:rsidTr="002E629C">
        <w:trPr>
          <w:trHeight w:val="312"/>
        </w:trPr>
        <w:tc>
          <w:tcPr>
            <w:tcW w:w="3710" w:type="dxa"/>
            <w:tcBorders>
              <w:top w:val="nil"/>
              <w:left w:val="nil"/>
              <w:bottom w:val="single" w:sz="4" w:space="0" w:color="000000"/>
              <w:right w:val="nil"/>
            </w:tcBorders>
            <w:shd w:val="clear" w:color="auto" w:fill="auto"/>
            <w:vAlign w:val="bottom"/>
          </w:tcPr>
          <w:p w14:paraId="262DE7A5" w14:textId="77777777" w:rsidR="00EC4499" w:rsidRDefault="00433EA7">
            <w:pPr>
              <w:spacing w:after="0" w:line="240" w:lineRule="auto"/>
              <w:ind w:left="850"/>
              <w:jc w:val="center"/>
              <w:rPr>
                <w:rFonts w:ascii="Garamond" w:eastAsia="Garamond" w:hAnsi="Garamond" w:cs="Garamond"/>
                <w:b/>
                <w:color w:val="000000"/>
                <w:sz w:val="18"/>
                <w:szCs w:val="18"/>
              </w:rPr>
            </w:pPr>
            <w:r>
              <w:rPr>
                <w:rFonts w:ascii="Garamond" w:eastAsia="Garamond" w:hAnsi="Garamond" w:cs="Garamond"/>
                <w:b/>
                <w:color w:val="000000"/>
                <w:sz w:val="18"/>
                <w:szCs w:val="18"/>
              </w:rPr>
              <w:t>Características</w:t>
            </w:r>
          </w:p>
        </w:tc>
        <w:tc>
          <w:tcPr>
            <w:tcW w:w="2527" w:type="dxa"/>
            <w:tcBorders>
              <w:top w:val="nil"/>
              <w:left w:val="nil"/>
              <w:bottom w:val="single" w:sz="4" w:space="0" w:color="000000"/>
              <w:right w:val="nil"/>
            </w:tcBorders>
            <w:shd w:val="clear" w:color="auto" w:fill="auto"/>
            <w:vAlign w:val="bottom"/>
          </w:tcPr>
          <w:p w14:paraId="4A1C5E30" w14:textId="77777777" w:rsidR="00EC4499" w:rsidRDefault="00433EA7">
            <w:pPr>
              <w:spacing w:after="0" w:line="240" w:lineRule="auto"/>
              <w:ind w:left="850"/>
              <w:jc w:val="center"/>
              <w:rPr>
                <w:rFonts w:ascii="Garamond" w:eastAsia="Garamond" w:hAnsi="Garamond" w:cs="Garamond"/>
                <w:b/>
                <w:color w:val="000000"/>
                <w:sz w:val="18"/>
                <w:szCs w:val="18"/>
              </w:rPr>
            </w:pPr>
            <w:r>
              <w:rPr>
                <w:rFonts w:ascii="Garamond" w:eastAsia="Garamond" w:hAnsi="Garamond" w:cs="Garamond"/>
                <w:b/>
                <w:color w:val="000000"/>
                <w:sz w:val="18"/>
                <w:szCs w:val="18"/>
              </w:rPr>
              <w:t>2021</w:t>
            </w:r>
          </w:p>
        </w:tc>
        <w:tc>
          <w:tcPr>
            <w:tcW w:w="2268" w:type="dxa"/>
            <w:tcBorders>
              <w:top w:val="nil"/>
              <w:left w:val="nil"/>
              <w:bottom w:val="single" w:sz="4" w:space="0" w:color="000000"/>
              <w:right w:val="nil"/>
            </w:tcBorders>
            <w:shd w:val="clear" w:color="auto" w:fill="auto"/>
            <w:vAlign w:val="bottom"/>
          </w:tcPr>
          <w:p w14:paraId="3D562896" w14:textId="77777777" w:rsidR="00EC4499" w:rsidRDefault="00433EA7">
            <w:pPr>
              <w:spacing w:after="0" w:line="240" w:lineRule="auto"/>
              <w:ind w:left="850"/>
              <w:rPr>
                <w:rFonts w:ascii="Garamond" w:eastAsia="Garamond" w:hAnsi="Garamond" w:cs="Garamond"/>
                <w:b/>
                <w:color w:val="000000"/>
                <w:sz w:val="18"/>
                <w:szCs w:val="18"/>
              </w:rPr>
            </w:pPr>
            <w:r>
              <w:rPr>
                <w:rFonts w:ascii="Garamond" w:eastAsia="Garamond" w:hAnsi="Garamond" w:cs="Garamond"/>
                <w:b/>
                <w:color w:val="000000"/>
                <w:sz w:val="18"/>
                <w:szCs w:val="18"/>
              </w:rPr>
              <w:t xml:space="preserve">          2022</w:t>
            </w:r>
          </w:p>
        </w:tc>
      </w:tr>
      <w:tr w:rsidR="00EC4499" w14:paraId="29436697" w14:textId="77777777" w:rsidTr="002E629C">
        <w:trPr>
          <w:trHeight w:val="312"/>
        </w:trPr>
        <w:tc>
          <w:tcPr>
            <w:tcW w:w="3710" w:type="dxa"/>
            <w:tcBorders>
              <w:top w:val="single" w:sz="4" w:space="0" w:color="000000"/>
              <w:left w:val="nil"/>
              <w:bottom w:val="nil"/>
              <w:right w:val="nil"/>
            </w:tcBorders>
            <w:shd w:val="clear" w:color="auto" w:fill="auto"/>
            <w:vAlign w:val="bottom"/>
          </w:tcPr>
          <w:p w14:paraId="4FF3AD4D" w14:textId="77777777" w:rsidR="00EC4499" w:rsidRDefault="00433EA7">
            <w:pPr>
              <w:spacing w:after="0" w:line="240" w:lineRule="auto"/>
              <w:ind w:left="850"/>
              <w:jc w:val="center"/>
              <w:rPr>
                <w:rFonts w:ascii="Garamond" w:eastAsia="Garamond" w:hAnsi="Garamond" w:cs="Garamond"/>
                <w:color w:val="000000"/>
                <w:sz w:val="18"/>
                <w:szCs w:val="18"/>
              </w:rPr>
            </w:pPr>
            <w:r>
              <w:rPr>
                <w:rFonts w:ascii="Garamond" w:eastAsia="Garamond" w:hAnsi="Garamond" w:cs="Garamond"/>
                <w:color w:val="000000"/>
                <w:sz w:val="18"/>
                <w:szCs w:val="18"/>
              </w:rPr>
              <w:t>Privado</w:t>
            </w:r>
          </w:p>
        </w:tc>
        <w:tc>
          <w:tcPr>
            <w:tcW w:w="2527" w:type="dxa"/>
            <w:tcBorders>
              <w:top w:val="single" w:sz="4" w:space="0" w:color="000000"/>
              <w:left w:val="nil"/>
              <w:bottom w:val="nil"/>
              <w:right w:val="nil"/>
            </w:tcBorders>
            <w:shd w:val="clear" w:color="auto" w:fill="auto"/>
            <w:vAlign w:val="bottom"/>
          </w:tcPr>
          <w:p w14:paraId="524C5277" w14:textId="77777777" w:rsidR="00EC4499" w:rsidRDefault="00433EA7">
            <w:pPr>
              <w:spacing w:after="0" w:line="240" w:lineRule="auto"/>
              <w:ind w:left="850"/>
              <w:jc w:val="center"/>
              <w:rPr>
                <w:rFonts w:ascii="Garamond" w:eastAsia="Garamond" w:hAnsi="Garamond" w:cs="Garamond"/>
                <w:b/>
                <w:color w:val="000000"/>
                <w:sz w:val="18"/>
                <w:szCs w:val="18"/>
              </w:rPr>
            </w:pPr>
            <w:r>
              <w:rPr>
                <w:rFonts w:ascii="Garamond" w:eastAsia="Garamond" w:hAnsi="Garamond" w:cs="Garamond"/>
                <w:b/>
                <w:color w:val="000000"/>
                <w:sz w:val="18"/>
                <w:szCs w:val="18"/>
              </w:rPr>
              <w:t>9,2</w:t>
            </w:r>
          </w:p>
        </w:tc>
        <w:tc>
          <w:tcPr>
            <w:tcW w:w="2268" w:type="dxa"/>
            <w:tcBorders>
              <w:top w:val="single" w:sz="4" w:space="0" w:color="000000"/>
              <w:left w:val="nil"/>
              <w:bottom w:val="nil"/>
              <w:right w:val="nil"/>
            </w:tcBorders>
            <w:shd w:val="clear" w:color="auto" w:fill="auto"/>
            <w:vAlign w:val="bottom"/>
          </w:tcPr>
          <w:p w14:paraId="550483DC" w14:textId="77777777" w:rsidR="00EC4499" w:rsidRDefault="00433EA7">
            <w:pPr>
              <w:spacing w:after="0" w:line="240" w:lineRule="auto"/>
              <w:ind w:left="850"/>
              <w:rPr>
                <w:rFonts w:ascii="Garamond" w:eastAsia="Garamond" w:hAnsi="Garamond" w:cs="Garamond"/>
                <w:color w:val="000000"/>
                <w:sz w:val="18"/>
                <w:szCs w:val="18"/>
              </w:rPr>
            </w:pPr>
            <w:r>
              <w:rPr>
                <w:rFonts w:ascii="Garamond" w:eastAsia="Garamond" w:hAnsi="Garamond" w:cs="Garamond"/>
                <w:b/>
                <w:color w:val="000000"/>
                <w:sz w:val="18"/>
                <w:szCs w:val="18"/>
              </w:rPr>
              <w:t xml:space="preserve">            9,8</w:t>
            </w:r>
          </w:p>
        </w:tc>
      </w:tr>
      <w:tr w:rsidR="00EC4499" w14:paraId="712AE545" w14:textId="77777777" w:rsidTr="002E629C">
        <w:trPr>
          <w:trHeight w:val="312"/>
        </w:trPr>
        <w:tc>
          <w:tcPr>
            <w:tcW w:w="3710" w:type="dxa"/>
            <w:tcBorders>
              <w:top w:val="nil"/>
              <w:left w:val="nil"/>
              <w:bottom w:val="nil"/>
              <w:right w:val="nil"/>
            </w:tcBorders>
            <w:shd w:val="clear" w:color="auto" w:fill="auto"/>
            <w:vAlign w:val="bottom"/>
          </w:tcPr>
          <w:p w14:paraId="19C37644" w14:textId="77777777" w:rsidR="00EC4499" w:rsidRDefault="00433EA7">
            <w:pPr>
              <w:spacing w:after="0" w:line="240" w:lineRule="auto"/>
              <w:ind w:left="850"/>
              <w:jc w:val="center"/>
              <w:rPr>
                <w:rFonts w:ascii="Garamond" w:eastAsia="Garamond" w:hAnsi="Garamond" w:cs="Garamond"/>
                <w:color w:val="000000"/>
                <w:sz w:val="18"/>
                <w:szCs w:val="18"/>
              </w:rPr>
            </w:pPr>
            <w:r>
              <w:rPr>
                <w:rFonts w:ascii="Garamond" w:eastAsia="Garamond" w:hAnsi="Garamond" w:cs="Garamond"/>
                <w:color w:val="000000"/>
                <w:sz w:val="18"/>
                <w:szCs w:val="18"/>
              </w:rPr>
              <w:t>Público</w:t>
            </w:r>
          </w:p>
        </w:tc>
        <w:tc>
          <w:tcPr>
            <w:tcW w:w="2527" w:type="dxa"/>
            <w:tcBorders>
              <w:top w:val="nil"/>
              <w:left w:val="nil"/>
              <w:bottom w:val="nil"/>
              <w:right w:val="nil"/>
            </w:tcBorders>
            <w:shd w:val="clear" w:color="auto" w:fill="auto"/>
            <w:vAlign w:val="bottom"/>
          </w:tcPr>
          <w:p w14:paraId="7A9CC626" w14:textId="77777777" w:rsidR="00EC4499" w:rsidRDefault="00433EA7">
            <w:pPr>
              <w:spacing w:after="0" w:line="240" w:lineRule="auto"/>
              <w:ind w:left="850"/>
              <w:jc w:val="center"/>
              <w:rPr>
                <w:rFonts w:ascii="Garamond" w:eastAsia="Garamond" w:hAnsi="Garamond" w:cs="Garamond"/>
                <w:color w:val="000000"/>
                <w:sz w:val="18"/>
                <w:szCs w:val="18"/>
              </w:rPr>
            </w:pPr>
            <w:r>
              <w:rPr>
                <w:rFonts w:ascii="Garamond" w:eastAsia="Garamond" w:hAnsi="Garamond" w:cs="Garamond"/>
                <w:color w:val="000000"/>
                <w:sz w:val="18"/>
                <w:szCs w:val="18"/>
              </w:rPr>
              <w:t>9,0</w:t>
            </w:r>
          </w:p>
        </w:tc>
        <w:tc>
          <w:tcPr>
            <w:tcW w:w="2268" w:type="dxa"/>
            <w:tcBorders>
              <w:top w:val="nil"/>
              <w:left w:val="nil"/>
              <w:bottom w:val="nil"/>
              <w:right w:val="nil"/>
            </w:tcBorders>
            <w:shd w:val="clear" w:color="auto" w:fill="auto"/>
            <w:vAlign w:val="bottom"/>
          </w:tcPr>
          <w:p w14:paraId="6B6A8987" w14:textId="77777777" w:rsidR="00EC4499" w:rsidRDefault="00433EA7">
            <w:pPr>
              <w:spacing w:after="0" w:line="240" w:lineRule="auto"/>
              <w:ind w:left="850"/>
              <w:rPr>
                <w:rFonts w:ascii="Garamond" w:eastAsia="Garamond" w:hAnsi="Garamond" w:cs="Garamond"/>
                <w:color w:val="000000"/>
                <w:sz w:val="18"/>
                <w:szCs w:val="18"/>
              </w:rPr>
            </w:pPr>
            <w:r>
              <w:rPr>
                <w:rFonts w:ascii="Garamond" w:eastAsia="Garamond" w:hAnsi="Garamond" w:cs="Garamond"/>
                <w:color w:val="000000"/>
                <w:sz w:val="18"/>
                <w:szCs w:val="18"/>
              </w:rPr>
              <w:t xml:space="preserve">            8,8</w:t>
            </w:r>
          </w:p>
        </w:tc>
      </w:tr>
      <w:tr w:rsidR="00EC4499" w14:paraId="004CB864" w14:textId="77777777" w:rsidTr="002E629C">
        <w:trPr>
          <w:trHeight w:val="312"/>
        </w:trPr>
        <w:tc>
          <w:tcPr>
            <w:tcW w:w="3710" w:type="dxa"/>
            <w:tcBorders>
              <w:top w:val="nil"/>
              <w:left w:val="nil"/>
              <w:bottom w:val="nil"/>
              <w:right w:val="nil"/>
            </w:tcBorders>
            <w:shd w:val="clear" w:color="auto" w:fill="auto"/>
            <w:vAlign w:val="bottom"/>
          </w:tcPr>
          <w:p w14:paraId="15AA7132" w14:textId="77777777" w:rsidR="00EC4499" w:rsidRDefault="00433EA7">
            <w:pPr>
              <w:spacing w:after="0" w:line="240" w:lineRule="auto"/>
              <w:ind w:left="850"/>
              <w:jc w:val="center"/>
              <w:rPr>
                <w:rFonts w:ascii="Garamond" w:eastAsia="Garamond" w:hAnsi="Garamond" w:cs="Garamond"/>
                <w:color w:val="000000"/>
                <w:sz w:val="18"/>
                <w:szCs w:val="18"/>
              </w:rPr>
            </w:pPr>
            <w:r>
              <w:rPr>
                <w:rFonts w:ascii="Garamond" w:eastAsia="Garamond" w:hAnsi="Garamond" w:cs="Garamond"/>
                <w:color w:val="000000"/>
                <w:sz w:val="18"/>
                <w:szCs w:val="18"/>
              </w:rPr>
              <w:t>Capital aberto</w:t>
            </w:r>
          </w:p>
        </w:tc>
        <w:tc>
          <w:tcPr>
            <w:tcW w:w="2527" w:type="dxa"/>
            <w:tcBorders>
              <w:top w:val="nil"/>
              <w:left w:val="nil"/>
              <w:bottom w:val="nil"/>
              <w:right w:val="nil"/>
            </w:tcBorders>
            <w:shd w:val="clear" w:color="auto" w:fill="auto"/>
            <w:vAlign w:val="bottom"/>
          </w:tcPr>
          <w:p w14:paraId="46C538A5" w14:textId="77777777" w:rsidR="00EC4499" w:rsidRDefault="00433EA7">
            <w:pPr>
              <w:spacing w:after="0" w:line="240" w:lineRule="auto"/>
              <w:ind w:left="850"/>
              <w:jc w:val="center"/>
              <w:rPr>
                <w:rFonts w:ascii="Garamond" w:eastAsia="Garamond" w:hAnsi="Garamond" w:cs="Garamond"/>
                <w:color w:val="000000"/>
                <w:sz w:val="18"/>
                <w:szCs w:val="18"/>
              </w:rPr>
            </w:pPr>
            <w:r>
              <w:rPr>
                <w:rFonts w:ascii="Garamond" w:eastAsia="Garamond" w:hAnsi="Garamond" w:cs="Garamond"/>
                <w:color w:val="000000"/>
                <w:sz w:val="18"/>
                <w:szCs w:val="18"/>
              </w:rPr>
              <w:t>9,1</w:t>
            </w:r>
          </w:p>
        </w:tc>
        <w:tc>
          <w:tcPr>
            <w:tcW w:w="2268" w:type="dxa"/>
            <w:tcBorders>
              <w:top w:val="nil"/>
              <w:left w:val="nil"/>
              <w:bottom w:val="nil"/>
              <w:right w:val="nil"/>
            </w:tcBorders>
            <w:shd w:val="clear" w:color="auto" w:fill="auto"/>
            <w:vAlign w:val="bottom"/>
          </w:tcPr>
          <w:p w14:paraId="171AF599" w14:textId="77777777" w:rsidR="00EC4499" w:rsidRDefault="00433EA7">
            <w:pPr>
              <w:spacing w:after="0" w:line="240" w:lineRule="auto"/>
              <w:ind w:left="850"/>
              <w:rPr>
                <w:rFonts w:ascii="Garamond" w:eastAsia="Garamond" w:hAnsi="Garamond" w:cs="Garamond"/>
                <w:color w:val="000000"/>
                <w:sz w:val="18"/>
                <w:szCs w:val="18"/>
              </w:rPr>
            </w:pPr>
            <w:r>
              <w:rPr>
                <w:rFonts w:ascii="Garamond" w:eastAsia="Garamond" w:hAnsi="Garamond" w:cs="Garamond"/>
                <w:b/>
                <w:color w:val="000000"/>
                <w:sz w:val="18"/>
                <w:szCs w:val="18"/>
              </w:rPr>
              <w:t xml:space="preserve">            </w:t>
            </w:r>
            <w:r>
              <w:rPr>
                <w:rFonts w:ascii="Garamond" w:eastAsia="Garamond" w:hAnsi="Garamond" w:cs="Garamond"/>
                <w:color w:val="000000"/>
                <w:sz w:val="18"/>
                <w:szCs w:val="18"/>
              </w:rPr>
              <w:t>9,4</w:t>
            </w:r>
          </w:p>
        </w:tc>
      </w:tr>
      <w:tr w:rsidR="00EC4499" w14:paraId="1EDA8921" w14:textId="77777777" w:rsidTr="002E629C">
        <w:trPr>
          <w:trHeight w:val="312"/>
        </w:trPr>
        <w:tc>
          <w:tcPr>
            <w:tcW w:w="3710" w:type="dxa"/>
            <w:tcBorders>
              <w:top w:val="nil"/>
              <w:left w:val="nil"/>
              <w:bottom w:val="nil"/>
              <w:right w:val="nil"/>
            </w:tcBorders>
            <w:shd w:val="clear" w:color="auto" w:fill="auto"/>
            <w:vAlign w:val="bottom"/>
          </w:tcPr>
          <w:p w14:paraId="1A4A8496" w14:textId="77777777" w:rsidR="00EC4499" w:rsidRDefault="00433EA7">
            <w:pPr>
              <w:spacing w:after="0" w:line="240" w:lineRule="auto"/>
              <w:ind w:left="850"/>
              <w:jc w:val="center"/>
              <w:rPr>
                <w:rFonts w:ascii="Garamond" w:eastAsia="Garamond" w:hAnsi="Garamond" w:cs="Garamond"/>
                <w:color w:val="000000"/>
                <w:sz w:val="18"/>
                <w:szCs w:val="18"/>
              </w:rPr>
            </w:pPr>
            <w:r>
              <w:rPr>
                <w:rFonts w:ascii="Garamond" w:eastAsia="Garamond" w:hAnsi="Garamond" w:cs="Garamond"/>
                <w:color w:val="000000"/>
                <w:sz w:val="18"/>
                <w:szCs w:val="18"/>
              </w:rPr>
              <w:t>Capital fechado</w:t>
            </w:r>
          </w:p>
        </w:tc>
        <w:tc>
          <w:tcPr>
            <w:tcW w:w="2527" w:type="dxa"/>
            <w:tcBorders>
              <w:top w:val="nil"/>
              <w:left w:val="nil"/>
              <w:bottom w:val="nil"/>
              <w:right w:val="nil"/>
            </w:tcBorders>
            <w:shd w:val="clear" w:color="auto" w:fill="auto"/>
            <w:vAlign w:val="bottom"/>
          </w:tcPr>
          <w:p w14:paraId="37CD2112" w14:textId="77777777" w:rsidR="00EC4499" w:rsidRDefault="00433EA7">
            <w:pPr>
              <w:spacing w:after="0" w:line="240" w:lineRule="auto"/>
              <w:ind w:left="850"/>
              <w:jc w:val="center"/>
              <w:rPr>
                <w:rFonts w:ascii="Garamond" w:eastAsia="Garamond" w:hAnsi="Garamond" w:cs="Garamond"/>
                <w:b/>
                <w:color w:val="000000"/>
                <w:sz w:val="18"/>
                <w:szCs w:val="18"/>
              </w:rPr>
            </w:pPr>
            <w:r>
              <w:rPr>
                <w:rFonts w:ascii="Garamond" w:eastAsia="Garamond" w:hAnsi="Garamond" w:cs="Garamond"/>
                <w:b/>
                <w:color w:val="000000"/>
                <w:sz w:val="18"/>
                <w:szCs w:val="18"/>
              </w:rPr>
              <w:t>9,3</w:t>
            </w:r>
          </w:p>
        </w:tc>
        <w:tc>
          <w:tcPr>
            <w:tcW w:w="2268" w:type="dxa"/>
            <w:tcBorders>
              <w:top w:val="nil"/>
              <w:left w:val="nil"/>
              <w:bottom w:val="nil"/>
              <w:right w:val="nil"/>
            </w:tcBorders>
            <w:shd w:val="clear" w:color="auto" w:fill="auto"/>
            <w:vAlign w:val="bottom"/>
          </w:tcPr>
          <w:p w14:paraId="537A88AF" w14:textId="77777777" w:rsidR="00EC4499" w:rsidRDefault="00433EA7">
            <w:pPr>
              <w:spacing w:after="0" w:line="240" w:lineRule="auto"/>
              <w:ind w:left="850"/>
              <w:rPr>
                <w:rFonts w:ascii="Garamond" w:eastAsia="Garamond" w:hAnsi="Garamond" w:cs="Garamond"/>
                <w:b/>
                <w:color w:val="000000"/>
                <w:sz w:val="18"/>
                <w:szCs w:val="18"/>
              </w:rPr>
            </w:pPr>
            <w:r>
              <w:rPr>
                <w:rFonts w:ascii="Garamond" w:eastAsia="Garamond" w:hAnsi="Garamond" w:cs="Garamond"/>
                <w:color w:val="000000"/>
                <w:sz w:val="18"/>
                <w:szCs w:val="18"/>
              </w:rPr>
              <w:t xml:space="preserve">            </w:t>
            </w:r>
            <w:r>
              <w:rPr>
                <w:rFonts w:ascii="Garamond" w:eastAsia="Garamond" w:hAnsi="Garamond" w:cs="Garamond"/>
                <w:b/>
                <w:color w:val="000000"/>
                <w:sz w:val="18"/>
                <w:szCs w:val="18"/>
              </w:rPr>
              <w:t>9,5</w:t>
            </w:r>
          </w:p>
        </w:tc>
      </w:tr>
      <w:tr w:rsidR="00EC4499" w14:paraId="0794AAC4" w14:textId="77777777" w:rsidTr="002E629C">
        <w:trPr>
          <w:trHeight w:val="312"/>
        </w:trPr>
        <w:tc>
          <w:tcPr>
            <w:tcW w:w="3710" w:type="dxa"/>
            <w:tcBorders>
              <w:top w:val="nil"/>
              <w:left w:val="nil"/>
              <w:bottom w:val="nil"/>
              <w:right w:val="nil"/>
            </w:tcBorders>
            <w:shd w:val="clear" w:color="auto" w:fill="auto"/>
            <w:vAlign w:val="bottom"/>
          </w:tcPr>
          <w:p w14:paraId="40CB6B83" w14:textId="77777777" w:rsidR="00EC4499" w:rsidRDefault="00433EA7">
            <w:pPr>
              <w:spacing w:after="0" w:line="240" w:lineRule="auto"/>
              <w:ind w:left="850"/>
              <w:jc w:val="center"/>
              <w:rPr>
                <w:rFonts w:ascii="Garamond" w:eastAsia="Garamond" w:hAnsi="Garamond" w:cs="Garamond"/>
                <w:color w:val="000000"/>
                <w:sz w:val="18"/>
                <w:szCs w:val="18"/>
              </w:rPr>
            </w:pPr>
            <w:r>
              <w:rPr>
                <w:rFonts w:ascii="Garamond" w:eastAsia="Garamond" w:hAnsi="Garamond" w:cs="Garamond"/>
                <w:color w:val="000000"/>
                <w:sz w:val="18"/>
                <w:szCs w:val="18"/>
              </w:rPr>
              <w:t>Sede no Brasil</w:t>
            </w:r>
          </w:p>
        </w:tc>
        <w:tc>
          <w:tcPr>
            <w:tcW w:w="2527" w:type="dxa"/>
            <w:tcBorders>
              <w:top w:val="nil"/>
              <w:left w:val="nil"/>
              <w:bottom w:val="nil"/>
              <w:right w:val="nil"/>
            </w:tcBorders>
            <w:shd w:val="clear" w:color="auto" w:fill="auto"/>
            <w:vAlign w:val="bottom"/>
          </w:tcPr>
          <w:p w14:paraId="56E86717" w14:textId="77777777" w:rsidR="00EC4499" w:rsidRDefault="00433EA7">
            <w:pPr>
              <w:spacing w:after="0" w:line="240" w:lineRule="auto"/>
              <w:ind w:left="850"/>
              <w:jc w:val="center"/>
              <w:rPr>
                <w:rFonts w:ascii="Garamond" w:eastAsia="Garamond" w:hAnsi="Garamond" w:cs="Garamond"/>
                <w:b/>
                <w:color w:val="000000"/>
                <w:sz w:val="18"/>
                <w:szCs w:val="18"/>
              </w:rPr>
            </w:pPr>
            <w:r>
              <w:rPr>
                <w:rFonts w:ascii="Garamond" w:eastAsia="Garamond" w:hAnsi="Garamond" w:cs="Garamond"/>
                <w:b/>
                <w:color w:val="000000"/>
                <w:sz w:val="18"/>
                <w:szCs w:val="18"/>
              </w:rPr>
              <w:t>9,4</w:t>
            </w:r>
          </w:p>
        </w:tc>
        <w:tc>
          <w:tcPr>
            <w:tcW w:w="2268" w:type="dxa"/>
            <w:tcBorders>
              <w:top w:val="nil"/>
              <w:left w:val="nil"/>
              <w:bottom w:val="nil"/>
              <w:right w:val="nil"/>
            </w:tcBorders>
            <w:shd w:val="clear" w:color="auto" w:fill="auto"/>
            <w:vAlign w:val="bottom"/>
          </w:tcPr>
          <w:p w14:paraId="2CC7C9C7" w14:textId="77777777" w:rsidR="00EC4499" w:rsidRDefault="00433EA7">
            <w:pPr>
              <w:spacing w:after="0" w:line="240" w:lineRule="auto"/>
              <w:ind w:left="850"/>
              <w:rPr>
                <w:rFonts w:ascii="Garamond" w:eastAsia="Garamond" w:hAnsi="Garamond" w:cs="Garamond"/>
                <w:b/>
                <w:color w:val="000000"/>
                <w:sz w:val="18"/>
                <w:szCs w:val="18"/>
              </w:rPr>
            </w:pPr>
            <w:r>
              <w:rPr>
                <w:rFonts w:ascii="Garamond" w:eastAsia="Garamond" w:hAnsi="Garamond" w:cs="Garamond"/>
                <w:b/>
                <w:color w:val="000000"/>
                <w:sz w:val="18"/>
                <w:szCs w:val="18"/>
              </w:rPr>
              <w:t xml:space="preserve">            9,6</w:t>
            </w:r>
          </w:p>
        </w:tc>
      </w:tr>
      <w:tr w:rsidR="00EC4499" w14:paraId="55D61717" w14:textId="77777777" w:rsidTr="002E629C">
        <w:trPr>
          <w:trHeight w:val="312"/>
        </w:trPr>
        <w:tc>
          <w:tcPr>
            <w:tcW w:w="3710" w:type="dxa"/>
            <w:tcBorders>
              <w:top w:val="nil"/>
              <w:left w:val="nil"/>
              <w:bottom w:val="nil"/>
              <w:right w:val="nil"/>
            </w:tcBorders>
            <w:shd w:val="clear" w:color="auto" w:fill="auto"/>
            <w:vAlign w:val="bottom"/>
          </w:tcPr>
          <w:p w14:paraId="6D67E203" w14:textId="77777777" w:rsidR="00EC4499" w:rsidRDefault="00433EA7">
            <w:pPr>
              <w:spacing w:after="0" w:line="240" w:lineRule="auto"/>
              <w:ind w:left="850"/>
              <w:jc w:val="center"/>
              <w:rPr>
                <w:rFonts w:ascii="Garamond" w:eastAsia="Garamond" w:hAnsi="Garamond" w:cs="Garamond"/>
                <w:color w:val="000000"/>
                <w:sz w:val="18"/>
                <w:szCs w:val="18"/>
              </w:rPr>
            </w:pPr>
            <w:r>
              <w:rPr>
                <w:rFonts w:ascii="Garamond" w:eastAsia="Garamond" w:hAnsi="Garamond" w:cs="Garamond"/>
                <w:color w:val="000000"/>
                <w:sz w:val="18"/>
                <w:szCs w:val="18"/>
              </w:rPr>
              <w:t>Sede no exterior</w:t>
            </w:r>
          </w:p>
        </w:tc>
        <w:tc>
          <w:tcPr>
            <w:tcW w:w="2527" w:type="dxa"/>
            <w:tcBorders>
              <w:top w:val="nil"/>
              <w:left w:val="nil"/>
              <w:bottom w:val="nil"/>
              <w:right w:val="nil"/>
            </w:tcBorders>
            <w:shd w:val="clear" w:color="auto" w:fill="auto"/>
            <w:vAlign w:val="bottom"/>
          </w:tcPr>
          <w:p w14:paraId="455691DD" w14:textId="77777777" w:rsidR="00EC4499" w:rsidRDefault="00433EA7">
            <w:pPr>
              <w:spacing w:after="0" w:line="240" w:lineRule="auto"/>
              <w:ind w:left="850"/>
              <w:jc w:val="center"/>
              <w:rPr>
                <w:rFonts w:ascii="Garamond" w:eastAsia="Garamond" w:hAnsi="Garamond" w:cs="Garamond"/>
                <w:color w:val="000000"/>
                <w:sz w:val="18"/>
                <w:szCs w:val="18"/>
              </w:rPr>
            </w:pPr>
            <w:r>
              <w:rPr>
                <w:rFonts w:ascii="Garamond" w:eastAsia="Garamond" w:hAnsi="Garamond" w:cs="Garamond"/>
                <w:color w:val="000000"/>
                <w:sz w:val="18"/>
                <w:szCs w:val="18"/>
              </w:rPr>
              <w:t>8,3</w:t>
            </w:r>
          </w:p>
        </w:tc>
        <w:tc>
          <w:tcPr>
            <w:tcW w:w="2268" w:type="dxa"/>
            <w:tcBorders>
              <w:top w:val="nil"/>
              <w:left w:val="nil"/>
              <w:bottom w:val="nil"/>
              <w:right w:val="nil"/>
            </w:tcBorders>
            <w:shd w:val="clear" w:color="auto" w:fill="auto"/>
            <w:vAlign w:val="bottom"/>
          </w:tcPr>
          <w:p w14:paraId="2526A008" w14:textId="77777777" w:rsidR="00EC4499" w:rsidRDefault="00433EA7">
            <w:pPr>
              <w:spacing w:after="0" w:line="240" w:lineRule="auto"/>
              <w:ind w:left="850"/>
              <w:rPr>
                <w:rFonts w:ascii="Garamond" w:eastAsia="Garamond" w:hAnsi="Garamond" w:cs="Garamond"/>
                <w:color w:val="000000"/>
                <w:sz w:val="18"/>
                <w:szCs w:val="18"/>
              </w:rPr>
            </w:pPr>
            <w:r>
              <w:rPr>
                <w:rFonts w:ascii="Garamond" w:eastAsia="Garamond" w:hAnsi="Garamond" w:cs="Garamond"/>
                <w:color w:val="000000"/>
                <w:sz w:val="18"/>
                <w:szCs w:val="18"/>
              </w:rPr>
              <w:t xml:space="preserve">            9,0</w:t>
            </w:r>
          </w:p>
        </w:tc>
      </w:tr>
      <w:tr w:rsidR="00EC4499" w14:paraId="43FC8E11" w14:textId="77777777" w:rsidTr="002E629C">
        <w:trPr>
          <w:trHeight w:val="312"/>
        </w:trPr>
        <w:tc>
          <w:tcPr>
            <w:tcW w:w="3710" w:type="dxa"/>
            <w:tcBorders>
              <w:top w:val="nil"/>
              <w:left w:val="nil"/>
              <w:bottom w:val="nil"/>
              <w:right w:val="nil"/>
            </w:tcBorders>
            <w:shd w:val="clear" w:color="auto" w:fill="auto"/>
            <w:vAlign w:val="bottom"/>
          </w:tcPr>
          <w:p w14:paraId="1140B270" w14:textId="77777777" w:rsidR="00EC4499" w:rsidRDefault="00433EA7">
            <w:pPr>
              <w:spacing w:after="0" w:line="240" w:lineRule="auto"/>
              <w:ind w:left="850"/>
              <w:jc w:val="center"/>
              <w:rPr>
                <w:rFonts w:ascii="Garamond" w:eastAsia="Garamond" w:hAnsi="Garamond" w:cs="Garamond"/>
                <w:color w:val="000000"/>
                <w:sz w:val="18"/>
                <w:szCs w:val="18"/>
              </w:rPr>
            </w:pPr>
            <w:r>
              <w:rPr>
                <w:rFonts w:ascii="Garamond" w:eastAsia="Garamond" w:hAnsi="Garamond" w:cs="Garamond"/>
                <w:color w:val="000000"/>
                <w:sz w:val="18"/>
                <w:szCs w:val="18"/>
              </w:rPr>
              <w:t>Desenvolvimento</w:t>
            </w:r>
          </w:p>
        </w:tc>
        <w:tc>
          <w:tcPr>
            <w:tcW w:w="2527" w:type="dxa"/>
            <w:tcBorders>
              <w:top w:val="nil"/>
              <w:left w:val="nil"/>
              <w:bottom w:val="nil"/>
              <w:right w:val="nil"/>
            </w:tcBorders>
            <w:shd w:val="clear" w:color="auto" w:fill="auto"/>
            <w:vAlign w:val="bottom"/>
          </w:tcPr>
          <w:p w14:paraId="7A0A276F" w14:textId="77777777" w:rsidR="00EC4499" w:rsidRDefault="00433EA7">
            <w:pPr>
              <w:spacing w:after="0" w:line="240" w:lineRule="auto"/>
              <w:ind w:left="850"/>
              <w:jc w:val="center"/>
              <w:rPr>
                <w:rFonts w:ascii="Garamond" w:eastAsia="Garamond" w:hAnsi="Garamond" w:cs="Garamond"/>
                <w:color w:val="000000"/>
                <w:sz w:val="18"/>
                <w:szCs w:val="18"/>
              </w:rPr>
            </w:pPr>
            <w:r>
              <w:rPr>
                <w:rFonts w:ascii="Garamond" w:eastAsia="Garamond" w:hAnsi="Garamond" w:cs="Garamond"/>
                <w:color w:val="000000"/>
                <w:sz w:val="18"/>
                <w:szCs w:val="18"/>
              </w:rPr>
              <w:t>8,8</w:t>
            </w:r>
          </w:p>
        </w:tc>
        <w:tc>
          <w:tcPr>
            <w:tcW w:w="2268" w:type="dxa"/>
            <w:tcBorders>
              <w:top w:val="nil"/>
              <w:left w:val="nil"/>
              <w:bottom w:val="nil"/>
              <w:right w:val="nil"/>
            </w:tcBorders>
            <w:shd w:val="clear" w:color="auto" w:fill="auto"/>
            <w:vAlign w:val="bottom"/>
          </w:tcPr>
          <w:p w14:paraId="7297C8BA" w14:textId="77777777" w:rsidR="00EC4499" w:rsidRDefault="00433EA7">
            <w:pPr>
              <w:spacing w:after="0" w:line="240" w:lineRule="auto"/>
              <w:ind w:left="850"/>
              <w:rPr>
                <w:rFonts w:ascii="Garamond" w:eastAsia="Garamond" w:hAnsi="Garamond" w:cs="Garamond"/>
                <w:color w:val="000000"/>
                <w:sz w:val="18"/>
                <w:szCs w:val="18"/>
              </w:rPr>
            </w:pPr>
            <w:r>
              <w:rPr>
                <w:rFonts w:ascii="Garamond" w:eastAsia="Garamond" w:hAnsi="Garamond" w:cs="Garamond"/>
                <w:b/>
                <w:color w:val="000000"/>
                <w:sz w:val="18"/>
                <w:szCs w:val="18"/>
              </w:rPr>
              <w:t xml:space="preserve">            </w:t>
            </w:r>
            <w:r>
              <w:rPr>
                <w:rFonts w:ascii="Garamond" w:eastAsia="Garamond" w:hAnsi="Garamond" w:cs="Garamond"/>
                <w:color w:val="000000"/>
                <w:sz w:val="18"/>
                <w:szCs w:val="18"/>
              </w:rPr>
              <w:t>8,5</w:t>
            </w:r>
          </w:p>
        </w:tc>
      </w:tr>
      <w:tr w:rsidR="00EC4499" w14:paraId="57F2CC8B" w14:textId="77777777" w:rsidTr="002E629C">
        <w:trPr>
          <w:trHeight w:val="312"/>
        </w:trPr>
        <w:tc>
          <w:tcPr>
            <w:tcW w:w="3710" w:type="dxa"/>
            <w:tcBorders>
              <w:top w:val="nil"/>
              <w:left w:val="nil"/>
              <w:bottom w:val="nil"/>
              <w:right w:val="nil"/>
            </w:tcBorders>
            <w:shd w:val="clear" w:color="auto" w:fill="auto"/>
            <w:vAlign w:val="bottom"/>
          </w:tcPr>
          <w:p w14:paraId="4AE2FDD0" w14:textId="77777777" w:rsidR="00EC4499" w:rsidRDefault="00433EA7">
            <w:pPr>
              <w:spacing w:after="0" w:line="240" w:lineRule="auto"/>
              <w:ind w:left="850"/>
              <w:jc w:val="center"/>
              <w:rPr>
                <w:rFonts w:ascii="Garamond" w:eastAsia="Garamond" w:hAnsi="Garamond" w:cs="Garamond"/>
                <w:color w:val="000000"/>
                <w:sz w:val="18"/>
                <w:szCs w:val="18"/>
              </w:rPr>
            </w:pPr>
            <w:r>
              <w:rPr>
                <w:rFonts w:ascii="Garamond" w:eastAsia="Garamond" w:hAnsi="Garamond" w:cs="Garamond"/>
                <w:color w:val="000000"/>
                <w:sz w:val="18"/>
                <w:szCs w:val="18"/>
              </w:rPr>
              <w:t>Múltiplo</w:t>
            </w:r>
          </w:p>
        </w:tc>
        <w:tc>
          <w:tcPr>
            <w:tcW w:w="2527" w:type="dxa"/>
            <w:tcBorders>
              <w:top w:val="nil"/>
              <w:left w:val="nil"/>
              <w:bottom w:val="nil"/>
              <w:right w:val="nil"/>
            </w:tcBorders>
            <w:shd w:val="clear" w:color="auto" w:fill="auto"/>
            <w:vAlign w:val="bottom"/>
          </w:tcPr>
          <w:p w14:paraId="012FF406" w14:textId="77777777" w:rsidR="00EC4499" w:rsidRDefault="00433EA7">
            <w:pPr>
              <w:spacing w:after="0" w:line="240" w:lineRule="auto"/>
              <w:ind w:left="850"/>
              <w:jc w:val="center"/>
              <w:rPr>
                <w:rFonts w:ascii="Garamond" w:eastAsia="Garamond" w:hAnsi="Garamond" w:cs="Garamond"/>
                <w:b/>
                <w:color w:val="000000"/>
                <w:sz w:val="18"/>
                <w:szCs w:val="18"/>
              </w:rPr>
            </w:pPr>
            <w:r>
              <w:rPr>
                <w:rFonts w:ascii="Garamond" w:eastAsia="Garamond" w:hAnsi="Garamond" w:cs="Garamond"/>
                <w:b/>
                <w:color w:val="000000"/>
                <w:sz w:val="18"/>
                <w:szCs w:val="18"/>
              </w:rPr>
              <w:t>9,2</w:t>
            </w:r>
          </w:p>
        </w:tc>
        <w:tc>
          <w:tcPr>
            <w:tcW w:w="2268" w:type="dxa"/>
            <w:tcBorders>
              <w:top w:val="nil"/>
              <w:left w:val="nil"/>
              <w:bottom w:val="nil"/>
              <w:right w:val="nil"/>
            </w:tcBorders>
            <w:shd w:val="clear" w:color="auto" w:fill="auto"/>
            <w:vAlign w:val="bottom"/>
          </w:tcPr>
          <w:p w14:paraId="27B14D64" w14:textId="77777777" w:rsidR="00EC4499" w:rsidRDefault="00433EA7">
            <w:pPr>
              <w:spacing w:after="0" w:line="240" w:lineRule="auto"/>
              <w:ind w:left="850"/>
              <w:rPr>
                <w:rFonts w:ascii="Garamond" w:eastAsia="Garamond" w:hAnsi="Garamond" w:cs="Garamond"/>
                <w:b/>
                <w:color w:val="000000"/>
                <w:sz w:val="18"/>
                <w:szCs w:val="18"/>
              </w:rPr>
            </w:pPr>
            <w:r>
              <w:rPr>
                <w:rFonts w:ascii="Garamond" w:eastAsia="Garamond" w:hAnsi="Garamond" w:cs="Garamond"/>
                <w:color w:val="000000"/>
                <w:sz w:val="18"/>
                <w:szCs w:val="18"/>
              </w:rPr>
              <w:t xml:space="preserve">            </w:t>
            </w:r>
            <w:r>
              <w:rPr>
                <w:rFonts w:ascii="Garamond" w:eastAsia="Garamond" w:hAnsi="Garamond" w:cs="Garamond"/>
                <w:b/>
                <w:color w:val="000000"/>
                <w:sz w:val="18"/>
                <w:szCs w:val="18"/>
              </w:rPr>
              <w:t>9,7</w:t>
            </w:r>
          </w:p>
        </w:tc>
      </w:tr>
      <w:tr w:rsidR="00EC4499" w14:paraId="2B319809" w14:textId="77777777" w:rsidTr="001E31F9">
        <w:trPr>
          <w:trHeight w:val="312"/>
        </w:trPr>
        <w:tc>
          <w:tcPr>
            <w:tcW w:w="3710" w:type="dxa"/>
            <w:tcBorders>
              <w:top w:val="nil"/>
              <w:left w:val="nil"/>
              <w:right w:val="nil"/>
            </w:tcBorders>
            <w:shd w:val="clear" w:color="auto" w:fill="auto"/>
            <w:vAlign w:val="bottom"/>
          </w:tcPr>
          <w:p w14:paraId="189DE653" w14:textId="77777777" w:rsidR="00EC4499" w:rsidRDefault="00433EA7">
            <w:pPr>
              <w:spacing w:after="0" w:line="240" w:lineRule="auto"/>
              <w:ind w:left="850"/>
              <w:jc w:val="center"/>
              <w:rPr>
                <w:rFonts w:ascii="Garamond" w:eastAsia="Garamond" w:hAnsi="Garamond" w:cs="Garamond"/>
                <w:color w:val="000000"/>
                <w:sz w:val="18"/>
                <w:szCs w:val="18"/>
              </w:rPr>
            </w:pPr>
            <w:r>
              <w:rPr>
                <w:rFonts w:ascii="Garamond" w:eastAsia="Garamond" w:hAnsi="Garamond" w:cs="Garamond"/>
                <w:color w:val="000000"/>
                <w:sz w:val="18"/>
                <w:szCs w:val="18"/>
              </w:rPr>
              <w:t>Relato Integrado</w:t>
            </w:r>
          </w:p>
        </w:tc>
        <w:tc>
          <w:tcPr>
            <w:tcW w:w="2527" w:type="dxa"/>
            <w:tcBorders>
              <w:top w:val="nil"/>
              <w:left w:val="nil"/>
              <w:right w:val="nil"/>
            </w:tcBorders>
            <w:shd w:val="clear" w:color="auto" w:fill="auto"/>
            <w:vAlign w:val="bottom"/>
          </w:tcPr>
          <w:p w14:paraId="7C99B6A5" w14:textId="77777777" w:rsidR="00EC4499" w:rsidRDefault="00433EA7">
            <w:pPr>
              <w:spacing w:after="0" w:line="240" w:lineRule="auto"/>
              <w:ind w:left="850"/>
              <w:jc w:val="center"/>
              <w:rPr>
                <w:rFonts w:ascii="Garamond" w:eastAsia="Garamond" w:hAnsi="Garamond" w:cs="Garamond"/>
                <w:b/>
                <w:color w:val="000000"/>
                <w:sz w:val="18"/>
                <w:szCs w:val="18"/>
              </w:rPr>
            </w:pPr>
            <w:r>
              <w:rPr>
                <w:rFonts w:ascii="Garamond" w:eastAsia="Garamond" w:hAnsi="Garamond" w:cs="Garamond"/>
                <w:b/>
                <w:color w:val="000000"/>
                <w:sz w:val="18"/>
                <w:szCs w:val="18"/>
              </w:rPr>
              <w:t>9,3</w:t>
            </w:r>
          </w:p>
        </w:tc>
        <w:tc>
          <w:tcPr>
            <w:tcW w:w="2268" w:type="dxa"/>
            <w:tcBorders>
              <w:top w:val="nil"/>
              <w:left w:val="nil"/>
              <w:right w:val="nil"/>
            </w:tcBorders>
            <w:shd w:val="clear" w:color="auto" w:fill="auto"/>
            <w:vAlign w:val="bottom"/>
          </w:tcPr>
          <w:p w14:paraId="3000D67F" w14:textId="77777777" w:rsidR="00EC4499" w:rsidRDefault="00433EA7">
            <w:pPr>
              <w:spacing w:after="0" w:line="240" w:lineRule="auto"/>
              <w:ind w:left="850"/>
              <w:rPr>
                <w:rFonts w:ascii="Garamond" w:eastAsia="Garamond" w:hAnsi="Garamond" w:cs="Garamond"/>
                <w:b/>
                <w:color w:val="000000"/>
                <w:sz w:val="18"/>
                <w:szCs w:val="18"/>
              </w:rPr>
            </w:pPr>
            <w:r>
              <w:rPr>
                <w:rFonts w:ascii="Garamond" w:eastAsia="Garamond" w:hAnsi="Garamond" w:cs="Garamond"/>
                <w:b/>
                <w:color w:val="000000"/>
                <w:sz w:val="18"/>
                <w:szCs w:val="18"/>
              </w:rPr>
              <w:t xml:space="preserve">            10,3</w:t>
            </w:r>
          </w:p>
        </w:tc>
      </w:tr>
      <w:tr w:rsidR="00EC4499" w14:paraId="08DC52D7" w14:textId="77777777" w:rsidTr="001E31F9">
        <w:trPr>
          <w:trHeight w:val="312"/>
        </w:trPr>
        <w:tc>
          <w:tcPr>
            <w:tcW w:w="3710" w:type="dxa"/>
            <w:tcBorders>
              <w:top w:val="nil"/>
              <w:left w:val="nil"/>
              <w:bottom w:val="single" w:sz="4" w:space="0" w:color="auto"/>
              <w:right w:val="nil"/>
            </w:tcBorders>
            <w:shd w:val="clear" w:color="auto" w:fill="auto"/>
            <w:vAlign w:val="bottom"/>
          </w:tcPr>
          <w:p w14:paraId="28A25934" w14:textId="53F0AEFE" w:rsidR="00EC4499" w:rsidRDefault="00433EA7">
            <w:pPr>
              <w:spacing w:after="0" w:line="240" w:lineRule="auto"/>
              <w:ind w:left="850"/>
              <w:jc w:val="center"/>
              <w:rPr>
                <w:rFonts w:ascii="Garamond" w:eastAsia="Garamond" w:hAnsi="Garamond" w:cs="Garamond"/>
                <w:color w:val="000000"/>
                <w:sz w:val="18"/>
                <w:szCs w:val="18"/>
              </w:rPr>
            </w:pPr>
            <w:r>
              <w:rPr>
                <w:rFonts w:ascii="Garamond" w:eastAsia="Garamond" w:hAnsi="Garamond" w:cs="Garamond"/>
                <w:color w:val="000000"/>
                <w:sz w:val="18"/>
                <w:szCs w:val="18"/>
              </w:rPr>
              <w:t>Relato ESG</w:t>
            </w:r>
            <w:r w:rsidR="004360BC">
              <w:rPr>
                <w:rFonts w:ascii="Garamond" w:eastAsia="Garamond" w:hAnsi="Garamond" w:cs="Garamond"/>
                <w:color w:val="000000"/>
                <w:sz w:val="18"/>
                <w:szCs w:val="18"/>
              </w:rPr>
              <w:t>/Sustentabilidade</w:t>
            </w:r>
          </w:p>
        </w:tc>
        <w:tc>
          <w:tcPr>
            <w:tcW w:w="2527" w:type="dxa"/>
            <w:tcBorders>
              <w:top w:val="nil"/>
              <w:left w:val="nil"/>
              <w:bottom w:val="single" w:sz="4" w:space="0" w:color="auto"/>
              <w:right w:val="nil"/>
            </w:tcBorders>
            <w:shd w:val="clear" w:color="auto" w:fill="auto"/>
            <w:vAlign w:val="bottom"/>
          </w:tcPr>
          <w:p w14:paraId="7744E1C0" w14:textId="1AB7CB82" w:rsidR="00EC4499" w:rsidRDefault="009A58CA">
            <w:pPr>
              <w:spacing w:after="0" w:line="240" w:lineRule="auto"/>
              <w:ind w:left="850"/>
              <w:jc w:val="center"/>
              <w:rPr>
                <w:rFonts w:ascii="Garamond" w:eastAsia="Garamond" w:hAnsi="Garamond" w:cs="Garamond"/>
                <w:color w:val="000000"/>
                <w:sz w:val="18"/>
                <w:szCs w:val="18"/>
              </w:rPr>
            </w:pPr>
            <w:r>
              <w:rPr>
                <w:rFonts w:ascii="Garamond" w:eastAsia="Garamond" w:hAnsi="Garamond" w:cs="Garamond"/>
                <w:color w:val="000000"/>
                <w:sz w:val="18"/>
                <w:szCs w:val="18"/>
              </w:rPr>
              <w:t>8,9</w:t>
            </w:r>
          </w:p>
        </w:tc>
        <w:tc>
          <w:tcPr>
            <w:tcW w:w="2268" w:type="dxa"/>
            <w:tcBorders>
              <w:top w:val="nil"/>
              <w:left w:val="nil"/>
              <w:bottom w:val="single" w:sz="4" w:space="0" w:color="auto"/>
              <w:right w:val="nil"/>
            </w:tcBorders>
            <w:shd w:val="clear" w:color="auto" w:fill="auto"/>
            <w:vAlign w:val="bottom"/>
          </w:tcPr>
          <w:p w14:paraId="289575FE" w14:textId="6DA4A5A4" w:rsidR="00EC4499" w:rsidRDefault="00433EA7">
            <w:pPr>
              <w:spacing w:after="0" w:line="240" w:lineRule="auto"/>
              <w:ind w:left="850"/>
              <w:rPr>
                <w:rFonts w:ascii="Garamond" w:eastAsia="Garamond" w:hAnsi="Garamond" w:cs="Garamond"/>
                <w:color w:val="000000"/>
                <w:sz w:val="18"/>
                <w:szCs w:val="18"/>
              </w:rPr>
            </w:pPr>
            <w:r>
              <w:rPr>
                <w:rFonts w:ascii="Garamond" w:eastAsia="Garamond" w:hAnsi="Garamond" w:cs="Garamond"/>
                <w:color w:val="000000"/>
                <w:sz w:val="18"/>
                <w:szCs w:val="18"/>
              </w:rPr>
              <w:t xml:space="preserve">            </w:t>
            </w:r>
            <w:r w:rsidR="00BB6AA8">
              <w:rPr>
                <w:rFonts w:ascii="Garamond" w:eastAsia="Garamond" w:hAnsi="Garamond" w:cs="Garamond"/>
                <w:color w:val="000000"/>
                <w:sz w:val="18"/>
                <w:szCs w:val="18"/>
              </w:rPr>
              <w:t>8</w:t>
            </w:r>
            <w:r>
              <w:rPr>
                <w:rFonts w:ascii="Garamond" w:eastAsia="Garamond" w:hAnsi="Garamond" w:cs="Garamond"/>
                <w:color w:val="000000"/>
                <w:sz w:val="18"/>
                <w:szCs w:val="18"/>
              </w:rPr>
              <w:t>,</w:t>
            </w:r>
            <w:r w:rsidR="00BB6AA8">
              <w:rPr>
                <w:rFonts w:ascii="Garamond" w:eastAsia="Garamond" w:hAnsi="Garamond" w:cs="Garamond"/>
                <w:color w:val="000000"/>
                <w:sz w:val="18"/>
                <w:szCs w:val="18"/>
              </w:rPr>
              <w:t>7</w:t>
            </w:r>
          </w:p>
        </w:tc>
      </w:tr>
    </w:tbl>
    <w:p w14:paraId="795DBD2A" w14:textId="77777777" w:rsidR="00EC4499" w:rsidRDefault="00EC4499">
      <w:pPr>
        <w:pBdr>
          <w:top w:val="nil"/>
          <w:left w:val="nil"/>
          <w:bottom w:val="nil"/>
          <w:right w:val="nil"/>
          <w:between w:val="nil"/>
        </w:pBdr>
        <w:spacing w:after="0" w:line="360" w:lineRule="auto"/>
        <w:ind w:left="720"/>
        <w:rPr>
          <w:rFonts w:ascii="Garamond" w:eastAsia="Garamond" w:hAnsi="Garamond" w:cs="Garamond"/>
          <w:b/>
          <w:color w:val="000000"/>
          <w:sz w:val="28"/>
          <w:szCs w:val="28"/>
          <w:highlight w:val="yellow"/>
        </w:rPr>
      </w:pPr>
    </w:p>
    <w:p w14:paraId="1C2EDC09" w14:textId="77777777" w:rsidR="00EC4499" w:rsidRDefault="00433EA7">
      <w:pPr>
        <w:spacing w:after="0" w:line="360" w:lineRule="auto"/>
        <w:ind w:firstLine="708"/>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Os resultados indicam que os relatos de mais qualidade quanto à aderência aos princípios GRI são aqueles elaborados por bancos privados, com sede no Brasil e na modalidade “Integrado”, indo ao encontro dos demais resultados deste trabalho. Desta vez os bancos de capital fechado ficaram ligeiramente à frente dos de capital aberto, puxados pelas boas pontuações recebidas pelo BNDES e Sicredi e os bancos de desenvolvimento ficaram abaixo dos múltiplos. </w:t>
      </w:r>
    </w:p>
    <w:p w14:paraId="55CE208C" w14:textId="06FA8B1B" w:rsidR="00594589" w:rsidRDefault="00594589" w:rsidP="00594589">
      <w:pPr>
        <w:pStyle w:val="Ttulo2"/>
        <w:spacing w:after="0" w:line="360" w:lineRule="auto"/>
        <w:rPr>
          <w:rFonts w:ascii="Garamond" w:eastAsia="Garamond" w:hAnsi="Garamond" w:cs="Garamond"/>
          <w:color w:val="000000"/>
          <w:sz w:val="24"/>
          <w:szCs w:val="24"/>
        </w:rPr>
      </w:pPr>
      <w:r>
        <w:rPr>
          <w:rFonts w:ascii="Garamond" w:eastAsia="Garamond" w:hAnsi="Garamond" w:cs="Garamond"/>
          <w:sz w:val="26"/>
          <w:szCs w:val="26"/>
        </w:rPr>
        <w:t>4.6</w:t>
      </w:r>
      <w:r>
        <w:rPr>
          <w:rFonts w:ascii="Garamond" w:eastAsia="Garamond" w:hAnsi="Garamond" w:cs="Garamond"/>
          <w:sz w:val="26"/>
          <w:szCs w:val="26"/>
        </w:rPr>
        <w:tab/>
      </w:r>
      <w:r w:rsidR="000E1472">
        <w:rPr>
          <w:rFonts w:ascii="Garamond" w:eastAsia="Garamond" w:hAnsi="Garamond" w:cs="Garamond"/>
          <w:sz w:val="26"/>
          <w:szCs w:val="26"/>
        </w:rPr>
        <w:t>Questões de investigação</w:t>
      </w:r>
    </w:p>
    <w:p w14:paraId="291A79AB" w14:textId="77777777" w:rsidR="00594589" w:rsidRDefault="00594589">
      <w:pPr>
        <w:spacing w:after="0" w:line="360" w:lineRule="auto"/>
        <w:ind w:firstLine="708"/>
        <w:jc w:val="both"/>
        <w:rPr>
          <w:rFonts w:ascii="Garamond" w:eastAsia="Garamond" w:hAnsi="Garamond" w:cs="Garamond"/>
          <w:b/>
          <w:color w:val="000000"/>
          <w:sz w:val="28"/>
          <w:szCs w:val="28"/>
        </w:rPr>
      </w:pPr>
    </w:p>
    <w:p w14:paraId="56AAF687" w14:textId="77777777" w:rsidR="0075735E" w:rsidRDefault="0075735E" w:rsidP="0075735E">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De forma geral os bancos apresentaram relatórios de baixa qualidade, se assemelhando aos achados de Chagas </w:t>
      </w:r>
      <w:r w:rsidRPr="007057CC">
        <w:rPr>
          <w:rFonts w:ascii="Garamond" w:eastAsia="Garamond" w:hAnsi="Garamond" w:cs="Garamond"/>
          <w:i/>
          <w:iCs/>
          <w:color w:val="000000"/>
          <w:sz w:val="24"/>
          <w:szCs w:val="24"/>
        </w:rPr>
        <w:t>et al</w:t>
      </w:r>
      <w:r>
        <w:rPr>
          <w:rFonts w:ascii="Garamond" w:eastAsia="Garamond" w:hAnsi="Garamond" w:cs="Garamond"/>
          <w:color w:val="000000"/>
          <w:sz w:val="24"/>
          <w:szCs w:val="24"/>
        </w:rPr>
        <w:t xml:space="preserve">. (2022) que analisaram os relatórios de 2020 dos mesmos bancos, exceto o banco Inter, e de Avrampou </w:t>
      </w:r>
      <w:r w:rsidRPr="003C14E5">
        <w:rPr>
          <w:rFonts w:ascii="Garamond" w:eastAsia="Garamond" w:hAnsi="Garamond" w:cs="Garamond"/>
          <w:i/>
          <w:iCs/>
          <w:color w:val="000000"/>
          <w:sz w:val="24"/>
          <w:szCs w:val="24"/>
        </w:rPr>
        <w:t>et al</w:t>
      </w:r>
      <w:r>
        <w:rPr>
          <w:rFonts w:ascii="Garamond" w:eastAsia="Garamond" w:hAnsi="Garamond" w:cs="Garamond"/>
          <w:color w:val="000000"/>
          <w:sz w:val="24"/>
          <w:szCs w:val="24"/>
        </w:rPr>
        <w:t xml:space="preserve">. (2019) que avaliaram os reportes de 5 grandes bancos europeus e para quem a divulgação dos ODS foi consideravelmente baixa, com nota média de 0,78 na escala de 0 a 4. São, porém, um pouco melhores do que as conclusões de Tsalis </w:t>
      </w:r>
      <w:r>
        <w:rPr>
          <w:rFonts w:ascii="Garamond" w:eastAsia="Garamond" w:hAnsi="Garamond" w:cs="Garamond"/>
          <w:i/>
          <w:color w:val="000000"/>
          <w:sz w:val="24"/>
          <w:szCs w:val="24"/>
        </w:rPr>
        <w:t>et al</w:t>
      </w:r>
      <w:r>
        <w:rPr>
          <w:rFonts w:ascii="Garamond" w:eastAsia="Garamond" w:hAnsi="Garamond" w:cs="Garamond"/>
          <w:color w:val="000000"/>
          <w:sz w:val="24"/>
          <w:szCs w:val="24"/>
        </w:rPr>
        <w:t xml:space="preserve">. (2020) que mostraram os relatórios do setor financeiro grego com DQPI médio de 103 pontos, ou seja, de muito baixa qualidade.  </w:t>
      </w:r>
    </w:p>
    <w:p w14:paraId="77C08623" w14:textId="77777777" w:rsidR="0075735E" w:rsidRDefault="0075735E" w:rsidP="0075735E">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Os ODS mais bem pontuados foram aqueles relacionados ao trabalho digno e crescimento econômico (ODS 8) e igualdade de gênero (ODS 5), e aqueles que obtiveram as piores pontuações foram os ODS 2 – acabar com a fome, ODS 9 – inovação e infraestruturas, ODS 11 – cidades de comunidades sustentáveis e ODS 17 – parcerias para o desenvolvimento, guardando relação com Chagas </w:t>
      </w:r>
      <w:r w:rsidRPr="007057CC">
        <w:rPr>
          <w:rFonts w:ascii="Garamond" w:eastAsia="Garamond" w:hAnsi="Garamond" w:cs="Garamond"/>
          <w:i/>
          <w:iCs/>
          <w:color w:val="000000"/>
          <w:sz w:val="24"/>
          <w:szCs w:val="24"/>
        </w:rPr>
        <w:t>et al</w:t>
      </w:r>
      <w:r>
        <w:rPr>
          <w:rFonts w:ascii="Garamond" w:eastAsia="Garamond" w:hAnsi="Garamond" w:cs="Garamond"/>
          <w:color w:val="000000"/>
          <w:sz w:val="24"/>
          <w:szCs w:val="24"/>
        </w:rPr>
        <w:t>. (2022) que identificou o ODS 8 como o mais bem pontuado e o ODS 11 como o pior.</w:t>
      </w:r>
    </w:p>
    <w:p w14:paraId="2FE6D88A" w14:textId="77777777" w:rsidR="0075735E" w:rsidRDefault="0075735E" w:rsidP="0075735E">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lastRenderedPageBreak/>
        <w:t xml:space="preserve">Os conteúdos com melhor aproveitamento (relação entre pontos possíveis x pontos alcançados) foram os Econômicos, com 37%, seguido dos Sociais, com 36% e dos Ambientais, com 29%. </w:t>
      </w:r>
    </w:p>
    <w:p w14:paraId="460DE84B" w14:textId="77777777" w:rsidR="0075735E" w:rsidRDefault="0075735E" w:rsidP="0075735E">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Utilizando a correlação com os ODS proposta em Tsalis </w:t>
      </w:r>
      <w:r>
        <w:rPr>
          <w:rFonts w:ascii="Garamond" w:eastAsia="Garamond" w:hAnsi="Garamond" w:cs="Garamond"/>
          <w:i/>
          <w:color w:val="000000"/>
          <w:sz w:val="24"/>
          <w:szCs w:val="24"/>
        </w:rPr>
        <w:t>et al</w:t>
      </w:r>
      <w:r>
        <w:rPr>
          <w:rFonts w:ascii="Garamond" w:eastAsia="Garamond" w:hAnsi="Garamond" w:cs="Garamond"/>
          <w:color w:val="000000"/>
          <w:sz w:val="24"/>
          <w:szCs w:val="24"/>
        </w:rPr>
        <w:t xml:space="preserve">. (2020), os relatórios considerados de qualidade média foram os do banco Bradesco (2021 e 2022) e BNDES (2022), resultado diferente de Chagas </w:t>
      </w:r>
      <w:r w:rsidRPr="007057CC">
        <w:rPr>
          <w:rFonts w:ascii="Garamond" w:eastAsia="Garamond" w:hAnsi="Garamond" w:cs="Garamond"/>
          <w:i/>
          <w:iCs/>
          <w:color w:val="000000"/>
          <w:sz w:val="24"/>
          <w:szCs w:val="24"/>
        </w:rPr>
        <w:t>et al</w:t>
      </w:r>
      <w:r>
        <w:rPr>
          <w:rFonts w:ascii="Garamond" w:eastAsia="Garamond" w:hAnsi="Garamond" w:cs="Garamond"/>
          <w:color w:val="000000"/>
          <w:sz w:val="24"/>
          <w:szCs w:val="24"/>
        </w:rPr>
        <w:t xml:space="preserve">. (2022) que teve Bradesco e Citibank. Para os relatórios de qualidade muito baixa Chagas </w:t>
      </w:r>
      <w:r w:rsidRPr="007057CC">
        <w:rPr>
          <w:rFonts w:ascii="Garamond" w:eastAsia="Garamond" w:hAnsi="Garamond" w:cs="Garamond"/>
          <w:i/>
          <w:iCs/>
          <w:color w:val="000000"/>
          <w:sz w:val="24"/>
          <w:szCs w:val="24"/>
        </w:rPr>
        <w:t>et al</w:t>
      </w:r>
      <w:r>
        <w:rPr>
          <w:rFonts w:ascii="Garamond" w:eastAsia="Garamond" w:hAnsi="Garamond" w:cs="Garamond"/>
          <w:color w:val="000000"/>
          <w:sz w:val="24"/>
          <w:szCs w:val="24"/>
        </w:rPr>
        <w:t>. (2022) identificaram Caixa e BTG Pactual, enquanto o presente estudo teve Caixa e J.P. Morgan em ambos os anos analisados.</w:t>
      </w:r>
    </w:p>
    <w:p w14:paraId="1E956E00" w14:textId="77777777" w:rsidR="0075735E" w:rsidRDefault="0075735E" w:rsidP="0075735E">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Quanto aos princípios, verifica-se que a média geral foi de 9,3 pontos, equivalente a 77,5% da pontuação máxima possível (12 pontos), demonstrando oportunidades de melhoria na confecção dos relatos. Concordando com os achados em Ismail </w:t>
      </w:r>
      <w:r>
        <w:rPr>
          <w:rFonts w:ascii="Garamond" w:eastAsia="Garamond" w:hAnsi="Garamond" w:cs="Garamond"/>
          <w:i/>
          <w:color w:val="000000"/>
          <w:sz w:val="24"/>
          <w:szCs w:val="24"/>
        </w:rPr>
        <w:t>et al</w:t>
      </w:r>
      <w:r>
        <w:rPr>
          <w:rFonts w:ascii="Garamond" w:eastAsia="Garamond" w:hAnsi="Garamond" w:cs="Garamond"/>
          <w:color w:val="000000"/>
          <w:sz w:val="24"/>
          <w:szCs w:val="24"/>
        </w:rPr>
        <w:t>. (2021), a maior parte das empresas divulga informações claras e fáceis de encontrar e dados de contato para que as partes interessadas possam verificar as informações, porém carecem de informações equilibradas sobre acontecimentos positivos x negativos, destacando apenas dados favoráveis para preservar ou melhorar a sua imagem e reputação.</w:t>
      </w:r>
    </w:p>
    <w:p w14:paraId="65A9A6ED" w14:textId="77777777" w:rsidR="0075735E" w:rsidRDefault="0075735E" w:rsidP="0075735E">
      <w:pPr>
        <w:spacing w:after="0" w:line="360" w:lineRule="auto"/>
        <w:ind w:firstLine="708"/>
        <w:jc w:val="both"/>
        <w:rPr>
          <w:rFonts w:ascii="Garamond" w:eastAsia="Garamond" w:hAnsi="Garamond" w:cs="Garamond"/>
          <w:sz w:val="24"/>
          <w:szCs w:val="24"/>
        </w:rPr>
      </w:pPr>
      <w:r>
        <w:rPr>
          <w:rFonts w:ascii="Garamond" w:eastAsia="Garamond" w:hAnsi="Garamond" w:cs="Garamond"/>
          <w:b/>
          <w:color w:val="000000"/>
          <w:sz w:val="24"/>
          <w:szCs w:val="24"/>
        </w:rPr>
        <w:t>Q1:</w:t>
      </w:r>
      <w:r>
        <w:rPr>
          <w:rFonts w:ascii="Garamond" w:eastAsia="Garamond" w:hAnsi="Garamond" w:cs="Garamond"/>
          <w:color w:val="000000"/>
          <w:sz w:val="24"/>
          <w:szCs w:val="24"/>
        </w:rPr>
        <w:t xml:space="preserve"> Há diferenças na qualidade dos Relatórios considerando o controle (público x privado), capital (aberto x fechado), sede (brasileiros x estrangeiros) ou atuação (múltiplos x desenvolvimento)?</w:t>
      </w:r>
    </w:p>
    <w:p w14:paraId="3875C364" w14:textId="73D4327F" w:rsidR="0075735E" w:rsidRDefault="0075735E" w:rsidP="0075735E">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Sim. Os relatórios de mais qualidade foram aqueles elaborados por bancos com controle </w:t>
      </w:r>
      <w:r>
        <w:rPr>
          <w:rFonts w:ascii="Garamond" w:eastAsia="Garamond" w:hAnsi="Garamond" w:cs="Garamond"/>
          <w:b/>
          <w:color w:val="000000"/>
          <w:sz w:val="24"/>
          <w:szCs w:val="24"/>
        </w:rPr>
        <w:t>privado</w:t>
      </w:r>
      <w:r>
        <w:rPr>
          <w:rFonts w:ascii="Garamond" w:eastAsia="Garamond" w:hAnsi="Garamond" w:cs="Garamond"/>
          <w:color w:val="000000"/>
          <w:sz w:val="24"/>
          <w:szCs w:val="24"/>
        </w:rPr>
        <w:t xml:space="preserve">, de capital </w:t>
      </w:r>
      <w:r>
        <w:rPr>
          <w:rFonts w:ascii="Garamond" w:eastAsia="Garamond" w:hAnsi="Garamond" w:cs="Garamond"/>
          <w:b/>
          <w:color w:val="000000"/>
          <w:sz w:val="24"/>
          <w:szCs w:val="24"/>
        </w:rPr>
        <w:t>aberto</w:t>
      </w:r>
      <w:r>
        <w:rPr>
          <w:rFonts w:ascii="Garamond" w:eastAsia="Garamond" w:hAnsi="Garamond" w:cs="Garamond"/>
          <w:color w:val="000000"/>
          <w:sz w:val="24"/>
          <w:szCs w:val="24"/>
        </w:rPr>
        <w:t xml:space="preserve"> e sede no </w:t>
      </w:r>
      <w:r>
        <w:rPr>
          <w:rFonts w:ascii="Garamond" w:eastAsia="Garamond" w:hAnsi="Garamond" w:cs="Garamond"/>
          <w:b/>
          <w:color w:val="000000"/>
          <w:sz w:val="24"/>
          <w:szCs w:val="24"/>
        </w:rPr>
        <w:t>Brasil</w:t>
      </w:r>
      <w:r>
        <w:rPr>
          <w:rFonts w:ascii="Garamond" w:eastAsia="Garamond" w:hAnsi="Garamond" w:cs="Garamond"/>
          <w:color w:val="000000"/>
          <w:sz w:val="24"/>
          <w:szCs w:val="24"/>
        </w:rPr>
        <w:t xml:space="preserve">, ainda que na avaliação dos princípios GRI os bancos de capital fechado tenham obtido nota média um pouco maior. Com relação à atuação, nos relatórios de 2021 e nas avaliações dos princípios GRI foram mais bem avaliados os bancos </w:t>
      </w:r>
      <w:r>
        <w:rPr>
          <w:rFonts w:ascii="Garamond" w:eastAsia="Garamond" w:hAnsi="Garamond" w:cs="Garamond"/>
          <w:b/>
          <w:color w:val="000000"/>
          <w:sz w:val="24"/>
          <w:szCs w:val="24"/>
        </w:rPr>
        <w:t>múltiplos</w:t>
      </w:r>
      <w:r>
        <w:rPr>
          <w:rFonts w:ascii="Garamond" w:eastAsia="Garamond" w:hAnsi="Garamond" w:cs="Garamond"/>
          <w:color w:val="000000"/>
          <w:sz w:val="24"/>
          <w:szCs w:val="24"/>
        </w:rPr>
        <w:t xml:space="preserve">, porém em 2022 os bancos de </w:t>
      </w:r>
      <w:r>
        <w:rPr>
          <w:rFonts w:ascii="Garamond" w:eastAsia="Garamond" w:hAnsi="Garamond" w:cs="Garamond"/>
          <w:b/>
          <w:color w:val="000000"/>
          <w:sz w:val="24"/>
          <w:szCs w:val="24"/>
        </w:rPr>
        <w:t>desenvolvimento</w:t>
      </w:r>
      <w:r>
        <w:rPr>
          <w:rFonts w:ascii="Garamond" w:eastAsia="Garamond" w:hAnsi="Garamond" w:cs="Garamond"/>
          <w:color w:val="000000"/>
          <w:sz w:val="24"/>
          <w:szCs w:val="24"/>
        </w:rPr>
        <w:t xml:space="preserve"> obtiveram notas médias melhores. </w:t>
      </w:r>
    </w:p>
    <w:p w14:paraId="18D59F62" w14:textId="1CD1E932" w:rsidR="0075735E" w:rsidRDefault="0075735E" w:rsidP="0075735E">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Com relação à análise dos conteúdos econômicos, ambientais e sociais divulgados os bancos com controle privado tiveram melhor performance que os públicos, ainda que a diferença tenha reduzido em 2022, havendo inclusive empate na avaliação dos conteúdos sem vincular com os ODS. A pontuação média total (DQPI + AI) obtida pelos bancos privados no somatório dos dois anos foi de 740 pontos </w:t>
      </w:r>
      <w:r>
        <w:rPr>
          <w:rFonts w:ascii="Garamond" w:eastAsia="Garamond" w:hAnsi="Garamond" w:cs="Garamond"/>
          <w:i/>
          <w:color w:val="000000"/>
          <w:sz w:val="24"/>
          <w:szCs w:val="24"/>
        </w:rPr>
        <w:t xml:space="preserve">versus </w:t>
      </w:r>
      <w:r>
        <w:rPr>
          <w:rFonts w:ascii="Garamond" w:eastAsia="Garamond" w:hAnsi="Garamond" w:cs="Garamond"/>
          <w:color w:val="000000"/>
          <w:sz w:val="24"/>
          <w:szCs w:val="24"/>
        </w:rPr>
        <w:t>672,2 dos públicos.</w:t>
      </w:r>
    </w:p>
    <w:p w14:paraId="56503416" w14:textId="77777777" w:rsidR="0075735E" w:rsidRDefault="0075735E" w:rsidP="0075735E">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A conclusão é distinta daquela obtida por Kumar e Prakash (2019) que a partir da análise de relatórios de 42 bancos indianos concluíram que não há uma diferença significativa </w:t>
      </w:r>
      <w:r>
        <w:rPr>
          <w:rFonts w:ascii="Garamond" w:eastAsia="Garamond" w:hAnsi="Garamond" w:cs="Garamond"/>
          <w:color w:val="000000"/>
          <w:sz w:val="24"/>
          <w:szCs w:val="24"/>
        </w:rPr>
        <w:lastRenderedPageBreak/>
        <w:t xml:space="preserve">entre bancos públicos e privados, mas similar à de Chagas </w:t>
      </w:r>
      <w:r w:rsidRPr="007057CC">
        <w:rPr>
          <w:rFonts w:ascii="Garamond" w:eastAsia="Garamond" w:hAnsi="Garamond" w:cs="Garamond"/>
          <w:i/>
          <w:iCs/>
          <w:color w:val="000000"/>
          <w:sz w:val="24"/>
          <w:szCs w:val="24"/>
        </w:rPr>
        <w:t>et al</w:t>
      </w:r>
      <w:r>
        <w:rPr>
          <w:rFonts w:ascii="Garamond" w:eastAsia="Garamond" w:hAnsi="Garamond" w:cs="Garamond"/>
          <w:color w:val="000000"/>
          <w:sz w:val="24"/>
          <w:szCs w:val="24"/>
        </w:rPr>
        <w:t xml:space="preserve">. (2022) para quem o conjunto de bancos privados teve média de 164 pontos enquanto os públicos 119.  </w:t>
      </w:r>
    </w:p>
    <w:p w14:paraId="5DEB26C1" w14:textId="05DE6E53" w:rsidR="0075735E" w:rsidRDefault="0075735E" w:rsidP="0075735E">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Os bancos de capital aberto também tiveram melhor</w:t>
      </w:r>
      <w:r w:rsidR="009A6CA1">
        <w:rPr>
          <w:rFonts w:ascii="Garamond" w:eastAsia="Garamond" w:hAnsi="Garamond" w:cs="Garamond"/>
          <w:color w:val="000000"/>
          <w:sz w:val="24"/>
          <w:szCs w:val="24"/>
        </w:rPr>
        <w:t>es</w:t>
      </w:r>
      <w:r>
        <w:rPr>
          <w:rFonts w:ascii="Garamond" w:eastAsia="Garamond" w:hAnsi="Garamond" w:cs="Garamond"/>
          <w:color w:val="000000"/>
          <w:sz w:val="24"/>
          <w:szCs w:val="24"/>
        </w:rPr>
        <w:t xml:space="preserve"> resultados, ainda que em 2022 também tenham visto a distância diminuir. No total tiveram 751,1 pontos </w:t>
      </w:r>
      <w:r>
        <w:rPr>
          <w:rFonts w:ascii="Garamond" w:eastAsia="Garamond" w:hAnsi="Garamond" w:cs="Garamond"/>
          <w:i/>
          <w:color w:val="000000"/>
          <w:sz w:val="24"/>
          <w:szCs w:val="24"/>
        </w:rPr>
        <w:t xml:space="preserve">versus </w:t>
      </w:r>
      <w:r>
        <w:rPr>
          <w:rFonts w:ascii="Garamond" w:eastAsia="Garamond" w:hAnsi="Garamond" w:cs="Garamond"/>
          <w:color w:val="000000"/>
          <w:sz w:val="24"/>
          <w:szCs w:val="24"/>
        </w:rPr>
        <w:t>616.</w:t>
      </w:r>
    </w:p>
    <w:p w14:paraId="213A9022" w14:textId="77777777" w:rsidR="0075735E" w:rsidRDefault="0075735E" w:rsidP="0075735E">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Vale ressaltar que os bancos privados são quase todos de capital aberto (exceto o Sicredi) e dos bancos públicos dois têm capital aberto e dois fechado. Os bancos de desenvolvimento tiveram 805 pontos e os múltiplos 699,8, com troca de posição de um ano para o outro. </w:t>
      </w:r>
    </w:p>
    <w:p w14:paraId="5EB82FE8" w14:textId="77777777" w:rsidR="0075735E" w:rsidRDefault="0075735E" w:rsidP="0075735E">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Os bancos com sede no Brasil obtiveram pontuação média total de 775,8 e os com sede no exterior (Santander, J.P. Morgan e Citibank) 541,6, sendo a maior diferença dentre as características avaliadas, resultado distinto do verificado por Chagas </w:t>
      </w:r>
      <w:r w:rsidRPr="007057CC">
        <w:rPr>
          <w:rFonts w:ascii="Garamond" w:eastAsia="Garamond" w:hAnsi="Garamond" w:cs="Garamond"/>
          <w:i/>
          <w:iCs/>
          <w:color w:val="000000"/>
          <w:sz w:val="24"/>
          <w:szCs w:val="24"/>
        </w:rPr>
        <w:t>et al</w:t>
      </w:r>
      <w:r>
        <w:rPr>
          <w:rFonts w:ascii="Garamond" w:eastAsia="Garamond" w:hAnsi="Garamond" w:cs="Garamond"/>
          <w:color w:val="000000"/>
          <w:sz w:val="24"/>
          <w:szCs w:val="24"/>
        </w:rPr>
        <w:t xml:space="preserve">. (2022) que constatou uma média de pontos para os bancos com controle estrangeiro maior que os com matriz no Brasil. </w:t>
      </w:r>
    </w:p>
    <w:p w14:paraId="5B12C307" w14:textId="77777777" w:rsidR="0075735E" w:rsidRDefault="0075735E" w:rsidP="0075735E">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Na dimensão qualitativa relacionada aos princípios GRI identificamos que os cinco bancos que se destacam com maiores notas médias dos dois anos foram Banco do Brasil, BNDES, Bradesco, Itaú e Sicredi. Três têm capital aberto e dois de capital fechado; dois são controlados pelo Estado e três são privados, todos com sede no Brasil. </w:t>
      </w:r>
    </w:p>
    <w:p w14:paraId="79D0C505" w14:textId="77777777" w:rsidR="0075735E" w:rsidRDefault="0075735E" w:rsidP="0075735E">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Nas últimas quatro posições estão o Banco do Nordeste, Caixa Econômica Federal, Inter e J.P. Morgan. Dois têm controle público, embora a Caixa seja de capital fechado e o Banco do Nordeste aberto, e os outros dois são de capital aberto e controle privado, sendo um com sede nos EUA (J.P. Morgan).</w:t>
      </w:r>
    </w:p>
    <w:p w14:paraId="59235D15" w14:textId="77777777" w:rsidR="0075735E" w:rsidRDefault="0075735E" w:rsidP="0075735E">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De quatro bancos com controle público da amostra, Caixa e BNB ocupam as três piores posições. A pontuação média dos relatórios dos bancos com controle privado foi de 9,5 contra 8,9 daqueles com controle público. A pontuação média dos relatórios de bancos com capital aberto foi de 9,3 contra 9,4 dos com capital fechado.</w:t>
      </w:r>
    </w:p>
    <w:p w14:paraId="3CB6C9AB" w14:textId="77777777" w:rsidR="0075735E" w:rsidRDefault="0075735E" w:rsidP="0075735E">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Nenhum dos três bancos com sede fora do Brasil figurou entre os mais bem pontuados, sendo que um deles está entre os quatro com piores avaliações. A pontuação média dos relatórios dos bancos com sede no exterior foi de 8,7 contra 9,5 dos brasileiros.</w:t>
      </w:r>
    </w:p>
    <w:p w14:paraId="4B637332" w14:textId="77777777" w:rsidR="0075735E" w:rsidRDefault="0075735E" w:rsidP="0075735E">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Quanto aos dois bancos de desenvolvimento da amostra, verifica-se que o BNDES tem a quarta melhor média (10,25) enquanto o BNB ocupa a última posição com 7. Na média os relatórios dos bancos de desenvolvimento ficaram com 8,6 pontos frente a 9,4 dos demais relatórios.</w:t>
      </w:r>
    </w:p>
    <w:p w14:paraId="41472958" w14:textId="37CB611F" w:rsidR="0075735E" w:rsidRDefault="0075735E" w:rsidP="0075735E">
      <w:pPr>
        <w:spacing w:after="0" w:line="360" w:lineRule="auto"/>
        <w:ind w:firstLine="708"/>
        <w:jc w:val="both"/>
        <w:rPr>
          <w:rFonts w:ascii="Garamond" w:eastAsia="Garamond" w:hAnsi="Garamond" w:cs="Garamond"/>
          <w:sz w:val="24"/>
          <w:szCs w:val="24"/>
        </w:rPr>
      </w:pPr>
      <w:r>
        <w:rPr>
          <w:rFonts w:ascii="Garamond" w:eastAsia="Garamond" w:hAnsi="Garamond" w:cs="Garamond"/>
          <w:b/>
          <w:color w:val="000000"/>
          <w:sz w:val="24"/>
          <w:szCs w:val="24"/>
        </w:rPr>
        <w:lastRenderedPageBreak/>
        <w:t>Q2:</w:t>
      </w:r>
      <w:r>
        <w:rPr>
          <w:rFonts w:ascii="Garamond" w:eastAsia="Garamond" w:hAnsi="Garamond" w:cs="Garamond"/>
          <w:color w:val="000000"/>
          <w:sz w:val="24"/>
          <w:szCs w:val="24"/>
        </w:rPr>
        <w:t xml:space="preserve"> Há diferenças na qualidade considerando o tipo de Relatório (Integrado</w:t>
      </w:r>
      <w:r w:rsidR="002768EE">
        <w:rPr>
          <w:rFonts w:ascii="Garamond" w:eastAsia="Garamond" w:hAnsi="Garamond" w:cs="Garamond"/>
          <w:color w:val="000000"/>
          <w:sz w:val="24"/>
          <w:szCs w:val="24"/>
        </w:rPr>
        <w:t xml:space="preserve"> ou</w:t>
      </w:r>
      <w:r>
        <w:rPr>
          <w:rFonts w:ascii="Garamond" w:eastAsia="Garamond" w:hAnsi="Garamond" w:cs="Garamond"/>
          <w:color w:val="000000"/>
          <w:sz w:val="24"/>
          <w:szCs w:val="24"/>
        </w:rPr>
        <w:t xml:space="preserve"> Sustentabilidade</w:t>
      </w:r>
      <w:r w:rsidR="002768EE">
        <w:rPr>
          <w:rFonts w:ascii="Garamond" w:eastAsia="Garamond" w:hAnsi="Garamond" w:cs="Garamond"/>
          <w:color w:val="000000"/>
          <w:sz w:val="24"/>
          <w:szCs w:val="24"/>
        </w:rPr>
        <w:t>/</w:t>
      </w:r>
      <w:r>
        <w:rPr>
          <w:rFonts w:ascii="Garamond" w:eastAsia="Garamond" w:hAnsi="Garamond" w:cs="Garamond"/>
          <w:color w:val="000000"/>
          <w:sz w:val="24"/>
          <w:szCs w:val="24"/>
        </w:rPr>
        <w:t>ESG)?</w:t>
      </w:r>
    </w:p>
    <w:p w14:paraId="6209E930" w14:textId="77777777" w:rsidR="0075735E" w:rsidRDefault="0075735E" w:rsidP="0075735E">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Sim. Os relatórios de mais qualidade foram aqueles que utilizaram o modelo </w:t>
      </w:r>
      <w:r>
        <w:rPr>
          <w:rFonts w:ascii="Garamond" w:eastAsia="Garamond" w:hAnsi="Garamond" w:cs="Garamond"/>
          <w:b/>
          <w:color w:val="000000"/>
          <w:sz w:val="24"/>
          <w:szCs w:val="24"/>
        </w:rPr>
        <w:t>Integrado</w:t>
      </w:r>
      <w:r>
        <w:rPr>
          <w:rFonts w:ascii="Garamond" w:eastAsia="Garamond" w:hAnsi="Garamond" w:cs="Garamond"/>
          <w:color w:val="000000"/>
          <w:sz w:val="24"/>
          <w:szCs w:val="24"/>
        </w:rPr>
        <w:t>.</w:t>
      </w:r>
    </w:p>
    <w:p w14:paraId="3143B692" w14:textId="77777777" w:rsidR="0075735E" w:rsidRDefault="0075735E" w:rsidP="0075735E">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A maior parte dos bancos utilizou o Relato Integrado (52%), número similar ao observado em Chagas </w:t>
      </w:r>
      <w:r w:rsidRPr="001A7312">
        <w:rPr>
          <w:rFonts w:ascii="Garamond" w:eastAsia="Garamond" w:hAnsi="Garamond" w:cs="Garamond"/>
          <w:i/>
          <w:iCs/>
          <w:color w:val="000000"/>
          <w:sz w:val="24"/>
          <w:szCs w:val="24"/>
        </w:rPr>
        <w:t>et al</w:t>
      </w:r>
      <w:r>
        <w:rPr>
          <w:rFonts w:ascii="Garamond" w:eastAsia="Garamond" w:hAnsi="Garamond" w:cs="Garamond"/>
          <w:color w:val="000000"/>
          <w:sz w:val="24"/>
          <w:szCs w:val="24"/>
        </w:rPr>
        <w:t>. (2022) que foi de 56%. Dos quatro bancos que mais aparecem com as melhores pontuações DQPI e de conteúdos sem estabelecer conexão com os ODS, três (75%) reportaram via Relato Integrado. Com relação à avaliação dos princípios GRI, dos cinco que obtiveram nota 10 em ambos os anos avaliados, três (60%) utilizaram o modelo Integrado.</w:t>
      </w:r>
    </w:p>
    <w:p w14:paraId="0DBFDA9B" w14:textId="6459F4E6" w:rsidR="0075735E" w:rsidRDefault="0075735E" w:rsidP="0075735E">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Com relação ao indicador de qualidade DQPI, verificamos que as médias tanto em 2021 quanto em 2022 apontam para melhores resultados pelos reportes que utilizam o tipo “Integrado”. Em </w:t>
      </w:r>
      <w:r w:rsidRPr="00FB541B">
        <w:rPr>
          <w:rFonts w:ascii="Garamond" w:eastAsia="Garamond" w:hAnsi="Garamond" w:cs="Garamond"/>
          <w:color w:val="000000"/>
          <w:sz w:val="24"/>
          <w:szCs w:val="24"/>
        </w:rPr>
        <w:t>2021 a média dos relatos “Integrados” foi de 1</w:t>
      </w:r>
      <w:r w:rsidR="006D31C6" w:rsidRPr="00ED4D8D">
        <w:rPr>
          <w:rFonts w:ascii="Garamond" w:eastAsia="Garamond" w:hAnsi="Garamond" w:cs="Garamond"/>
          <w:color w:val="000000"/>
          <w:sz w:val="24"/>
          <w:szCs w:val="24"/>
        </w:rPr>
        <w:t>57</w:t>
      </w:r>
      <w:r w:rsidRPr="00FB541B">
        <w:rPr>
          <w:rFonts w:ascii="Garamond" w:eastAsia="Garamond" w:hAnsi="Garamond" w:cs="Garamond"/>
          <w:color w:val="000000"/>
          <w:sz w:val="24"/>
          <w:szCs w:val="24"/>
        </w:rPr>
        <w:t>,</w:t>
      </w:r>
      <w:r w:rsidR="006D31C6" w:rsidRPr="00ED4D8D">
        <w:rPr>
          <w:rFonts w:ascii="Garamond" w:eastAsia="Garamond" w:hAnsi="Garamond" w:cs="Garamond"/>
          <w:color w:val="000000"/>
          <w:sz w:val="24"/>
          <w:szCs w:val="24"/>
        </w:rPr>
        <w:t>9</w:t>
      </w:r>
      <w:r w:rsidRPr="00FB541B">
        <w:rPr>
          <w:rFonts w:ascii="Garamond" w:eastAsia="Garamond" w:hAnsi="Garamond" w:cs="Garamond"/>
          <w:color w:val="000000"/>
          <w:sz w:val="24"/>
          <w:szCs w:val="24"/>
        </w:rPr>
        <w:t xml:space="preserve"> pontos</w:t>
      </w:r>
      <w:r w:rsidR="00EF7C38" w:rsidRPr="00ED4D8D">
        <w:rPr>
          <w:rFonts w:ascii="Garamond" w:eastAsia="Garamond" w:hAnsi="Garamond" w:cs="Garamond"/>
          <w:color w:val="000000"/>
          <w:sz w:val="24"/>
          <w:szCs w:val="24"/>
        </w:rPr>
        <w:t xml:space="preserve"> </w:t>
      </w:r>
      <w:r w:rsidRPr="00FB541B">
        <w:rPr>
          <w:rFonts w:ascii="Garamond" w:eastAsia="Garamond" w:hAnsi="Garamond" w:cs="Garamond"/>
          <w:color w:val="000000"/>
          <w:sz w:val="24"/>
          <w:szCs w:val="24"/>
        </w:rPr>
        <w:t>contra 1</w:t>
      </w:r>
      <w:r w:rsidR="009232D2" w:rsidRPr="00ED4D8D">
        <w:rPr>
          <w:rFonts w:ascii="Garamond" w:eastAsia="Garamond" w:hAnsi="Garamond" w:cs="Garamond"/>
          <w:color w:val="000000"/>
          <w:sz w:val="24"/>
          <w:szCs w:val="24"/>
        </w:rPr>
        <w:t>3</w:t>
      </w:r>
      <w:r w:rsidRPr="00FB541B">
        <w:rPr>
          <w:rFonts w:ascii="Garamond" w:eastAsia="Garamond" w:hAnsi="Garamond" w:cs="Garamond"/>
          <w:color w:val="000000"/>
          <w:sz w:val="24"/>
          <w:szCs w:val="24"/>
        </w:rPr>
        <w:t>0,</w:t>
      </w:r>
      <w:r w:rsidR="009232D2" w:rsidRPr="00ED4D8D">
        <w:rPr>
          <w:rFonts w:ascii="Garamond" w:eastAsia="Garamond" w:hAnsi="Garamond" w:cs="Garamond"/>
          <w:color w:val="000000"/>
          <w:sz w:val="24"/>
          <w:szCs w:val="24"/>
        </w:rPr>
        <w:t>8</w:t>
      </w:r>
      <w:r w:rsidRPr="00FB541B">
        <w:rPr>
          <w:rFonts w:ascii="Garamond" w:eastAsia="Garamond" w:hAnsi="Garamond" w:cs="Garamond"/>
          <w:color w:val="000000"/>
          <w:sz w:val="24"/>
          <w:szCs w:val="24"/>
        </w:rPr>
        <w:t xml:space="preserve"> do tipo “Sustentabilidade</w:t>
      </w:r>
      <w:r w:rsidR="009232D2" w:rsidRPr="00ED4D8D">
        <w:rPr>
          <w:rFonts w:ascii="Garamond" w:eastAsia="Garamond" w:hAnsi="Garamond" w:cs="Garamond"/>
          <w:color w:val="000000"/>
          <w:sz w:val="24"/>
          <w:szCs w:val="24"/>
        </w:rPr>
        <w:t>/</w:t>
      </w:r>
      <w:r w:rsidRPr="00FB541B">
        <w:rPr>
          <w:rFonts w:ascii="Garamond" w:eastAsia="Garamond" w:hAnsi="Garamond" w:cs="Garamond"/>
          <w:color w:val="000000"/>
          <w:sz w:val="24"/>
          <w:szCs w:val="24"/>
        </w:rPr>
        <w:t>ESG”. Já em 2022 a diferença aumentou para DQPI médio de 1</w:t>
      </w:r>
      <w:r w:rsidR="000F28FD" w:rsidRPr="00ED4D8D">
        <w:rPr>
          <w:rFonts w:ascii="Garamond" w:eastAsia="Garamond" w:hAnsi="Garamond" w:cs="Garamond"/>
          <w:color w:val="000000"/>
          <w:sz w:val="24"/>
          <w:szCs w:val="24"/>
        </w:rPr>
        <w:t>78</w:t>
      </w:r>
      <w:r w:rsidRPr="00FB541B">
        <w:rPr>
          <w:rFonts w:ascii="Garamond" w:eastAsia="Garamond" w:hAnsi="Garamond" w:cs="Garamond"/>
          <w:color w:val="000000"/>
          <w:sz w:val="24"/>
          <w:szCs w:val="24"/>
        </w:rPr>
        <w:t>,</w:t>
      </w:r>
      <w:r w:rsidR="000F28FD" w:rsidRPr="00ED4D8D">
        <w:rPr>
          <w:rFonts w:ascii="Garamond" w:eastAsia="Garamond" w:hAnsi="Garamond" w:cs="Garamond"/>
          <w:color w:val="000000"/>
          <w:sz w:val="24"/>
          <w:szCs w:val="24"/>
        </w:rPr>
        <w:t>2</w:t>
      </w:r>
      <w:r w:rsidRPr="00FB541B">
        <w:rPr>
          <w:rFonts w:ascii="Garamond" w:eastAsia="Garamond" w:hAnsi="Garamond" w:cs="Garamond"/>
          <w:color w:val="000000"/>
          <w:sz w:val="24"/>
          <w:szCs w:val="24"/>
        </w:rPr>
        <w:t xml:space="preserve"> para relatórios tipo “Integrado”</w:t>
      </w:r>
      <w:r w:rsidR="00EF7C38" w:rsidRPr="00ED4D8D">
        <w:rPr>
          <w:rFonts w:ascii="Garamond" w:eastAsia="Garamond" w:hAnsi="Garamond" w:cs="Garamond"/>
          <w:color w:val="000000"/>
          <w:sz w:val="24"/>
          <w:szCs w:val="24"/>
        </w:rPr>
        <w:t xml:space="preserve"> e </w:t>
      </w:r>
      <w:r w:rsidR="00D42888" w:rsidRPr="00ED4D8D">
        <w:rPr>
          <w:rFonts w:ascii="Garamond" w:eastAsia="Garamond" w:hAnsi="Garamond" w:cs="Garamond"/>
          <w:color w:val="000000"/>
          <w:sz w:val="24"/>
          <w:szCs w:val="24"/>
        </w:rPr>
        <w:t>132</w:t>
      </w:r>
      <w:r w:rsidR="00FB541B" w:rsidRPr="00ED4D8D">
        <w:rPr>
          <w:rFonts w:ascii="Garamond" w:eastAsia="Garamond" w:hAnsi="Garamond" w:cs="Garamond"/>
          <w:color w:val="000000"/>
          <w:sz w:val="24"/>
          <w:szCs w:val="24"/>
        </w:rPr>
        <w:t>,0</w:t>
      </w:r>
      <w:r w:rsidRPr="00FB541B">
        <w:rPr>
          <w:rFonts w:ascii="Garamond" w:eastAsia="Garamond" w:hAnsi="Garamond" w:cs="Garamond"/>
          <w:color w:val="000000"/>
          <w:sz w:val="24"/>
          <w:szCs w:val="24"/>
        </w:rPr>
        <w:t xml:space="preserve"> </w:t>
      </w:r>
      <w:r w:rsidR="00EF7C38" w:rsidRPr="00ED4D8D">
        <w:rPr>
          <w:rFonts w:ascii="Garamond" w:eastAsia="Garamond" w:hAnsi="Garamond" w:cs="Garamond"/>
          <w:color w:val="000000"/>
          <w:sz w:val="24"/>
          <w:szCs w:val="24"/>
        </w:rPr>
        <w:t xml:space="preserve">de </w:t>
      </w:r>
      <w:r w:rsidRPr="00FB541B">
        <w:rPr>
          <w:rFonts w:ascii="Garamond" w:eastAsia="Garamond" w:hAnsi="Garamond" w:cs="Garamond"/>
          <w:color w:val="000000"/>
          <w:sz w:val="24"/>
          <w:szCs w:val="24"/>
        </w:rPr>
        <w:t>“Sustentabilidade</w:t>
      </w:r>
      <w:r w:rsidR="00EF7C38" w:rsidRPr="00ED4D8D">
        <w:rPr>
          <w:rFonts w:ascii="Garamond" w:eastAsia="Garamond" w:hAnsi="Garamond" w:cs="Garamond"/>
          <w:color w:val="000000"/>
          <w:sz w:val="24"/>
          <w:szCs w:val="24"/>
        </w:rPr>
        <w:t>/</w:t>
      </w:r>
      <w:r w:rsidRPr="00FB541B">
        <w:rPr>
          <w:rFonts w:ascii="Garamond" w:eastAsia="Garamond" w:hAnsi="Garamond" w:cs="Garamond"/>
          <w:color w:val="000000"/>
          <w:sz w:val="24"/>
          <w:szCs w:val="24"/>
        </w:rPr>
        <w:t>ESG”.</w:t>
      </w:r>
      <w:r>
        <w:rPr>
          <w:rFonts w:ascii="Garamond" w:eastAsia="Garamond" w:hAnsi="Garamond" w:cs="Garamond"/>
          <w:color w:val="000000"/>
          <w:sz w:val="24"/>
          <w:szCs w:val="24"/>
        </w:rPr>
        <w:t xml:space="preserve"> Também na avaliação dos conteúdos relatados sem relacionar com os ODS, verificamos que os bancos que utilizaram o modelo Integrado obtiveram notas melhores que os demais.</w:t>
      </w:r>
    </w:p>
    <w:p w14:paraId="14321E70" w14:textId="26C30BE1" w:rsidR="0075735E" w:rsidRDefault="0075735E" w:rsidP="0075735E">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Na dimensão qualitativa relacionada aos princípios GRI, dos oito relatórios que se destacaram com as maiores notas (10,5 ou 11), cinco são do tipo “Integrado”</w:t>
      </w:r>
      <w:r w:rsidR="00E336A2">
        <w:rPr>
          <w:rFonts w:ascii="Garamond" w:eastAsia="Garamond" w:hAnsi="Garamond" w:cs="Garamond"/>
          <w:color w:val="000000"/>
          <w:sz w:val="24"/>
          <w:szCs w:val="24"/>
        </w:rPr>
        <w:t xml:space="preserve"> e três</w:t>
      </w:r>
      <w:r w:rsidR="008F46CB">
        <w:rPr>
          <w:rFonts w:ascii="Garamond" w:eastAsia="Garamond" w:hAnsi="Garamond" w:cs="Garamond"/>
          <w:color w:val="000000"/>
          <w:sz w:val="24"/>
          <w:szCs w:val="24"/>
        </w:rPr>
        <w:t xml:space="preserve"> “Sustentabilidade/</w:t>
      </w:r>
      <w:r>
        <w:rPr>
          <w:rFonts w:ascii="Garamond" w:eastAsia="Garamond" w:hAnsi="Garamond" w:cs="Garamond"/>
          <w:color w:val="000000"/>
          <w:sz w:val="24"/>
          <w:szCs w:val="24"/>
        </w:rPr>
        <w:t>ESG”</w:t>
      </w:r>
      <w:r w:rsidR="008F46CB">
        <w:rPr>
          <w:rFonts w:ascii="Garamond" w:eastAsia="Garamond" w:hAnsi="Garamond" w:cs="Garamond"/>
          <w:color w:val="000000"/>
          <w:sz w:val="24"/>
          <w:szCs w:val="24"/>
        </w:rPr>
        <w:t>.</w:t>
      </w:r>
      <w:r>
        <w:rPr>
          <w:rFonts w:ascii="Garamond" w:eastAsia="Garamond" w:hAnsi="Garamond" w:cs="Garamond"/>
          <w:color w:val="000000"/>
          <w:sz w:val="24"/>
          <w:szCs w:val="24"/>
        </w:rPr>
        <w:t xml:space="preserve"> </w:t>
      </w:r>
    </w:p>
    <w:p w14:paraId="61C67604" w14:textId="77777777" w:rsidR="0075735E" w:rsidRDefault="0075735E" w:rsidP="0075735E">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Os achados corroboram estudo anterior que afirmou que a adoção de Relatórios Integrados gerou um aumento constante na quantidade e qualidade das divulgações de sustentabilidade (Montecalvo </w:t>
      </w:r>
      <w:r>
        <w:rPr>
          <w:rFonts w:ascii="Garamond" w:eastAsia="Garamond" w:hAnsi="Garamond" w:cs="Garamond"/>
          <w:i/>
          <w:color w:val="000000"/>
          <w:sz w:val="24"/>
          <w:szCs w:val="24"/>
        </w:rPr>
        <w:t>et al</w:t>
      </w:r>
      <w:r>
        <w:rPr>
          <w:rFonts w:ascii="Garamond" w:eastAsia="Garamond" w:hAnsi="Garamond" w:cs="Garamond"/>
          <w:color w:val="000000"/>
          <w:sz w:val="24"/>
          <w:szCs w:val="24"/>
        </w:rPr>
        <w:t>., 2018).</w:t>
      </w:r>
    </w:p>
    <w:p w14:paraId="15AA74A9" w14:textId="045D791C" w:rsidR="0075735E" w:rsidRDefault="0075735E" w:rsidP="0075735E">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Já dentre os seis com menores pontuações (6,5 a 8), </w:t>
      </w:r>
      <w:r w:rsidR="003461AD">
        <w:rPr>
          <w:rFonts w:ascii="Garamond" w:eastAsia="Garamond" w:hAnsi="Garamond" w:cs="Garamond"/>
          <w:color w:val="000000"/>
          <w:sz w:val="24"/>
          <w:szCs w:val="24"/>
        </w:rPr>
        <w:t>cinco</w:t>
      </w:r>
      <w:r>
        <w:rPr>
          <w:rFonts w:ascii="Garamond" w:eastAsia="Garamond" w:hAnsi="Garamond" w:cs="Garamond"/>
          <w:color w:val="000000"/>
          <w:sz w:val="24"/>
          <w:szCs w:val="24"/>
        </w:rPr>
        <w:t xml:space="preserve"> são do tipo “Sustentabilidade</w:t>
      </w:r>
      <w:r w:rsidR="003461AD">
        <w:rPr>
          <w:rFonts w:ascii="Garamond" w:eastAsia="Garamond" w:hAnsi="Garamond" w:cs="Garamond"/>
          <w:color w:val="000000"/>
          <w:sz w:val="24"/>
          <w:szCs w:val="24"/>
        </w:rPr>
        <w:t>/</w:t>
      </w:r>
      <w:r>
        <w:rPr>
          <w:rFonts w:ascii="Garamond" w:eastAsia="Garamond" w:hAnsi="Garamond" w:cs="Garamond"/>
          <w:color w:val="000000"/>
          <w:sz w:val="24"/>
          <w:szCs w:val="24"/>
        </w:rPr>
        <w:t>ESG” e um “Integrado”. A pontuação média dos relatórios Integrados foi 9,8</w:t>
      </w:r>
      <w:r w:rsidR="000C4CD1">
        <w:rPr>
          <w:rFonts w:ascii="Garamond" w:eastAsia="Garamond" w:hAnsi="Garamond" w:cs="Garamond"/>
          <w:color w:val="000000"/>
          <w:sz w:val="24"/>
          <w:szCs w:val="24"/>
        </w:rPr>
        <w:t xml:space="preserve"> e Sustentabilidade/</w:t>
      </w:r>
      <w:r w:rsidRPr="00885FC8">
        <w:rPr>
          <w:rFonts w:ascii="Garamond" w:eastAsia="Garamond" w:hAnsi="Garamond" w:cs="Garamond"/>
          <w:color w:val="000000"/>
          <w:sz w:val="24"/>
          <w:szCs w:val="24"/>
        </w:rPr>
        <w:t xml:space="preserve">ESG </w:t>
      </w:r>
      <w:r w:rsidR="00885FC8" w:rsidRPr="00885FC8">
        <w:rPr>
          <w:rFonts w:ascii="Garamond" w:eastAsia="Garamond" w:hAnsi="Garamond" w:cs="Garamond"/>
          <w:color w:val="000000"/>
          <w:sz w:val="24"/>
          <w:szCs w:val="24"/>
        </w:rPr>
        <w:t>8,8</w:t>
      </w:r>
      <w:r w:rsidRPr="00885FC8">
        <w:rPr>
          <w:rFonts w:ascii="Garamond" w:eastAsia="Garamond" w:hAnsi="Garamond" w:cs="Garamond"/>
          <w:color w:val="000000"/>
          <w:sz w:val="24"/>
          <w:szCs w:val="24"/>
        </w:rPr>
        <w:t>,</w:t>
      </w:r>
      <w:r>
        <w:rPr>
          <w:rFonts w:ascii="Garamond" w:eastAsia="Garamond" w:hAnsi="Garamond" w:cs="Garamond"/>
          <w:color w:val="000000"/>
          <w:sz w:val="24"/>
          <w:szCs w:val="24"/>
        </w:rPr>
        <w:t xml:space="preserve"> sendo possível concluir que os relatórios Integrados atendem melhor aos princípios GRI. </w:t>
      </w:r>
    </w:p>
    <w:p w14:paraId="474A3EE0" w14:textId="77777777" w:rsidR="0075735E" w:rsidRDefault="0075735E" w:rsidP="0075735E">
      <w:pPr>
        <w:spacing w:after="0" w:line="360" w:lineRule="auto"/>
        <w:ind w:firstLine="708"/>
        <w:jc w:val="both"/>
        <w:rPr>
          <w:rFonts w:ascii="Garamond" w:eastAsia="Garamond" w:hAnsi="Garamond" w:cs="Garamond"/>
          <w:sz w:val="24"/>
          <w:szCs w:val="24"/>
        </w:rPr>
      </w:pPr>
      <w:r>
        <w:rPr>
          <w:rFonts w:ascii="Garamond" w:eastAsia="Garamond" w:hAnsi="Garamond" w:cs="Garamond"/>
          <w:b/>
          <w:color w:val="000000"/>
          <w:sz w:val="24"/>
          <w:szCs w:val="24"/>
        </w:rPr>
        <w:t>Q3:</w:t>
      </w:r>
      <w:r>
        <w:rPr>
          <w:rFonts w:ascii="Garamond" w:eastAsia="Garamond" w:hAnsi="Garamond" w:cs="Garamond"/>
          <w:color w:val="000000"/>
          <w:sz w:val="24"/>
          <w:szCs w:val="24"/>
        </w:rPr>
        <w:t xml:space="preserve"> Houve evolução na qualidade dos Relatórios?</w:t>
      </w:r>
    </w:p>
    <w:p w14:paraId="065AFC28" w14:textId="72FFC9C9" w:rsidR="0075735E" w:rsidRDefault="0075735E" w:rsidP="0075735E">
      <w:pPr>
        <w:spacing w:after="0" w:line="360" w:lineRule="auto"/>
        <w:ind w:firstLine="708"/>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Sim. Com relação às avaliações da divulgação dos conteúdos econômicos, ambientais e sociais, correlacionada ou não com os ODS, verificou-se que em todos os cenários </w:t>
      </w:r>
      <w:r w:rsidRPr="00150DAC">
        <w:rPr>
          <w:rFonts w:ascii="Garamond" w:eastAsia="Garamond" w:hAnsi="Garamond" w:cs="Garamond"/>
          <w:b/>
          <w:bCs/>
          <w:color w:val="000000"/>
          <w:sz w:val="24"/>
          <w:szCs w:val="24"/>
        </w:rPr>
        <w:t>houve evolução</w:t>
      </w:r>
      <w:r>
        <w:rPr>
          <w:rFonts w:ascii="Garamond" w:eastAsia="Garamond" w:hAnsi="Garamond" w:cs="Garamond"/>
          <w:color w:val="000000"/>
          <w:sz w:val="24"/>
          <w:szCs w:val="24"/>
        </w:rPr>
        <w:t xml:space="preserve">. Utilizando a correlação </w:t>
      </w:r>
      <w:r w:rsidR="00A13520">
        <w:rPr>
          <w:rFonts w:ascii="Garamond" w:eastAsia="Garamond" w:hAnsi="Garamond" w:cs="Garamond"/>
          <w:color w:val="000000"/>
          <w:sz w:val="24"/>
          <w:szCs w:val="24"/>
        </w:rPr>
        <w:t>de</w:t>
      </w:r>
      <w:r>
        <w:rPr>
          <w:rFonts w:ascii="Garamond" w:eastAsia="Garamond" w:hAnsi="Garamond" w:cs="Garamond"/>
          <w:color w:val="000000"/>
          <w:sz w:val="24"/>
          <w:szCs w:val="24"/>
        </w:rPr>
        <w:t xml:space="preserve"> Tsalis</w:t>
      </w:r>
      <w:r w:rsidR="00A13520">
        <w:rPr>
          <w:rFonts w:ascii="Garamond" w:eastAsia="Garamond" w:hAnsi="Garamond" w:cs="Garamond"/>
          <w:color w:val="000000"/>
          <w:sz w:val="24"/>
          <w:szCs w:val="24"/>
        </w:rPr>
        <w:t xml:space="preserve"> </w:t>
      </w:r>
      <w:r w:rsidR="00A13520" w:rsidRPr="002D6830">
        <w:rPr>
          <w:rFonts w:ascii="Garamond" w:eastAsia="Garamond" w:hAnsi="Garamond" w:cs="Garamond"/>
          <w:i/>
          <w:iCs/>
          <w:color w:val="000000"/>
          <w:sz w:val="24"/>
          <w:szCs w:val="24"/>
        </w:rPr>
        <w:t xml:space="preserve">et </w:t>
      </w:r>
      <w:r w:rsidR="002D6830" w:rsidRPr="002D6830">
        <w:rPr>
          <w:rFonts w:ascii="Garamond" w:eastAsia="Garamond" w:hAnsi="Garamond" w:cs="Garamond"/>
          <w:i/>
          <w:iCs/>
          <w:color w:val="000000"/>
          <w:sz w:val="24"/>
          <w:szCs w:val="24"/>
        </w:rPr>
        <w:t>al</w:t>
      </w:r>
      <w:r w:rsidR="002D6830">
        <w:rPr>
          <w:rFonts w:ascii="Garamond" w:eastAsia="Garamond" w:hAnsi="Garamond" w:cs="Garamond"/>
          <w:color w:val="000000"/>
          <w:sz w:val="24"/>
          <w:szCs w:val="24"/>
        </w:rPr>
        <w:t>.</w:t>
      </w:r>
      <w:r w:rsidR="00A13520">
        <w:rPr>
          <w:rFonts w:ascii="Garamond" w:eastAsia="Garamond" w:hAnsi="Garamond" w:cs="Garamond"/>
          <w:color w:val="000000"/>
          <w:sz w:val="24"/>
          <w:szCs w:val="24"/>
        </w:rPr>
        <w:t xml:space="preserve"> (2020)</w:t>
      </w:r>
      <w:r>
        <w:rPr>
          <w:rFonts w:ascii="Garamond" w:eastAsia="Garamond" w:hAnsi="Garamond" w:cs="Garamond"/>
          <w:color w:val="000000"/>
          <w:sz w:val="24"/>
          <w:szCs w:val="24"/>
        </w:rPr>
        <w:t xml:space="preserve"> o DQPI médio saiu de 147,5 em </w:t>
      </w:r>
      <w:r>
        <w:rPr>
          <w:rFonts w:ascii="Garamond" w:eastAsia="Garamond" w:hAnsi="Garamond" w:cs="Garamond"/>
          <w:color w:val="000000"/>
          <w:sz w:val="24"/>
          <w:szCs w:val="24"/>
        </w:rPr>
        <w:lastRenderedPageBreak/>
        <w:t xml:space="preserve">2020 para 154,8 em 2021 e 165,2 em 2022. Pela definição da GRI foi de 133,8 em 2021 para 145 em 2022 e pela avaliação do AI foi de 57,6 para 61 pontos.  </w:t>
      </w:r>
    </w:p>
    <w:p w14:paraId="6B8849C5" w14:textId="1212675E" w:rsidR="0075735E" w:rsidRDefault="0075735E" w:rsidP="0075735E">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Os bancos que se destacaram foram BNDES, Itaú e BTG Pactual que conseguiram mudar de classificação, tendo os dois primeiros saído de baixa para média qualidade e o último de muito baixa para baixa</w:t>
      </w:r>
      <w:r w:rsidR="005E1D9E">
        <w:rPr>
          <w:rFonts w:ascii="Garamond" w:eastAsia="Garamond" w:hAnsi="Garamond" w:cs="Garamond"/>
          <w:color w:val="000000"/>
          <w:sz w:val="24"/>
          <w:szCs w:val="24"/>
        </w:rPr>
        <w:t xml:space="preserve"> em 2021</w:t>
      </w:r>
      <w:r>
        <w:rPr>
          <w:rFonts w:ascii="Garamond" w:eastAsia="Garamond" w:hAnsi="Garamond" w:cs="Garamond"/>
          <w:color w:val="000000"/>
          <w:sz w:val="24"/>
          <w:szCs w:val="24"/>
        </w:rPr>
        <w:t xml:space="preserve"> e média</w:t>
      </w:r>
      <w:r w:rsidR="005E1D9E">
        <w:rPr>
          <w:rFonts w:ascii="Garamond" w:eastAsia="Garamond" w:hAnsi="Garamond" w:cs="Garamond"/>
          <w:color w:val="000000"/>
          <w:sz w:val="24"/>
          <w:szCs w:val="24"/>
        </w:rPr>
        <w:t xml:space="preserve"> em 2022</w:t>
      </w:r>
      <w:r>
        <w:rPr>
          <w:rFonts w:ascii="Garamond" w:eastAsia="Garamond" w:hAnsi="Garamond" w:cs="Garamond"/>
          <w:color w:val="000000"/>
          <w:sz w:val="24"/>
          <w:szCs w:val="24"/>
        </w:rPr>
        <w:t>.</w:t>
      </w:r>
    </w:p>
    <w:p w14:paraId="6682F018" w14:textId="77777777" w:rsidR="0075735E" w:rsidRDefault="0075735E" w:rsidP="0075735E">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Na dimensão qualitativa relacionada aos princípios GRI a pontuação média em 2021 foi de 9,1 e em 2022 9,5 em um máximo de 12 pontos, o que equivale a 3,4% de evolução. O princípio com maior aumento foi Comparabilidade, com + 10,5% na pontuação média, e o único princípio em que se observou involução foi o da Tempestividade, com - 4%.</w:t>
      </w:r>
    </w:p>
    <w:p w14:paraId="4841A75A" w14:textId="77777777" w:rsidR="0075735E" w:rsidRDefault="0075735E" w:rsidP="0075735E">
      <w:pPr>
        <w:spacing w:after="0" w:line="360" w:lineRule="auto"/>
        <w:ind w:firstLine="708"/>
        <w:jc w:val="both"/>
        <w:rPr>
          <w:rFonts w:ascii="Garamond" w:eastAsia="Garamond" w:hAnsi="Garamond" w:cs="Garamond"/>
          <w:sz w:val="24"/>
          <w:szCs w:val="24"/>
        </w:rPr>
      </w:pPr>
      <w:r>
        <w:rPr>
          <w:rFonts w:ascii="Garamond" w:eastAsia="Garamond" w:hAnsi="Garamond" w:cs="Garamond"/>
          <w:b/>
          <w:color w:val="000000"/>
          <w:sz w:val="24"/>
          <w:szCs w:val="24"/>
        </w:rPr>
        <w:t xml:space="preserve">Q4: </w:t>
      </w:r>
      <w:r>
        <w:rPr>
          <w:rFonts w:ascii="Garamond" w:eastAsia="Garamond" w:hAnsi="Garamond" w:cs="Garamond"/>
          <w:color w:val="000000"/>
          <w:sz w:val="24"/>
          <w:szCs w:val="24"/>
        </w:rPr>
        <w:t>Quais bancos se destacaram positiva e negativamente?</w:t>
      </w:r>
    </w:p>
    <w:p w14:paraId="19BE1159" w14:textId="77777777" w:rsidR="0075735E" w:rsidRDefault="0075735E" w:rsidP="0075735E">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Os bancos que apresentaram os melhores relatórios foram o </w:t>
      </w:r>
      <w:r>
        <w:rPr>
          <w:rFonts w:ascii="Garamond" w:eastAsia="Garamond" w:hAnsi="Garamond" w:cs="Garamond"/>
          <w:b/>
          <w:color w:val="000000"/>
          <w:sz w:val="24"/>
          <w:szCs w:val="24"/>
        </w:rPr>
        <w:t>Bradesco</w:t>
      </w:r>
      <w:r>
        <w:rPr>
          <w:rFonts w:ascii="Garamond" w:eastAsia="Garamond" w:hAnsi="Garamond" w:cs="Garamond"/>
          <w:color w:val="000000"/>
          <w:sz w:val="24"/>
          <w:szCs w:val="24"/>
        </w:rPr>
        <w:t xml:space="preserve">, </w:t>
      </w:r>
      <w:r>
        <w:rPr>
          <w:rFonts w:ascii="Garamond" w:eastAsia="Garamond" w:hAnsi="Garamond" w:cs="Garamond"/>
          <w:b/>
          <w:color w:val="000000"/>
          <w:sz w:val="24"/>
          <w:szCs w:val="24"/>
        </w:rPr>
        <w:t>Itaú</w:t>
      </w:r>
      <w:r>
        <w:rPr>
          <w:rFonts w:ascii="Garamond" w:eastAsia="Garamond" w:hAnsi="Garamond" w:cs="Garamond"/>
          <w:color w:val="000000"/>
          <w:sz w:val="24"/>
          <w:szCs w:val="24"/>
        </w:rPr>
        <w:t xml:space="preserve">, </w:t>
      </w:r>
      <w:r>
        <w:rPr>
          <w:rFonts w:ascii="Garamond" w:eastAsia="Garamond" w:hAnsi="Garamond" w:cs="Garamond"/>
          <w:b/>
          <w:color w:val="000000"/>
          <w:sz w:val="24"/>
          <w:szCs w:val="24"/>
        </w:rPr>
        <w:t>BNDES e</w:t>
      </w:r>
      <w:r>
        <w:rPr>
          <w:rFonts w:ascii="Garamond" w:eastAsia="Garamond" w:hAnsi="Garamond" w:cs="Garamond"/>
          <w:color w:val="000000"/>
          <w:sz w:val="24"/>
          <w:szCs w:val="24"/>
        </w:rPr>
        <w:t xml:space="preserve"> </w:t>
      </w:r>
      <w:r>
        <w:rPr>
          <w:rFonts w:ascii="Garamond" w:eastAsia="Garamond" w:hAnsi="Garamond" w:cs="Garamond"/>
          <w:b/>
          <w:color w:val="000000"/>
          <w:sz w:val="24"/>
          <w:szCs w:val="24"/>
        </w:rPr>
        <w:t xml:space="preserve">BTG Pactual </w:t>
      </w:r>
      <w:r>
        <w:rPr>
          <w:rFonts w:ascii="Garamond" w:eastAsia="Garamond" w:hAnsi="Garamond" w:cs="Garamond"/>
          <w:color w:val="000000"/>
          <w:sz w:val="24"/>
          <w:szCs w:val="24"/>
        </w:rPr>
        <w:t xml:space="preserve">e os piores desempenhos foram do </w:t>
      </w:r>
      <w:r>
        <w:rPr>
          <w:rFonts w:ascii="Garamond" w:eastAsia="Garamond" w:hAnsi="Garamond" w:cs="Garamond"/>
          <w:b/>
          <w:color w:val="000000"/>
          <w:sz w:val="24"/>
          <w:szCs w:val="24"/>
        </w:rPr>
        <w:t>J.P. Morgan</w:t>
      </w:r>
      <w:r>
        <w:rPr>
          <w:rFonts w:ascii="Garamond" w:eastAsia="Garamond" w:hAnsi="Garamond" w:cs="Garamond"/>
          <w:color w:val="000000"/>
          <w:sz w:val="24"/>
          <w:szCs w:val="24"/>
        </w:rPr>
        <w:t xml:space="preserve"> e da </w:t>
      </w:r>
      <w:r>
        <w:rPr>
          <w:rFonts w:ascii="Garamond" w:eastAsia="Garamond" w:hAnsi="Garamond" w:cs="Garamond"/>
          <w:b/>
          <w:color w:val="000000"/>
          <w:sz w:val="24"/>
          <w:szCs w:val="24"/>
        </w:rPr>
        <w:t>Caixa</w:t>
      </w:r>
      <w:r>
        <w:rPr>
          <w:rFonts w:ascii="Garamond" w:eastAsia="Garamond" w:hAnsi="Garamond" w:cs="Garamond"/>
          <w:color w:val="000000"/>
          <w:sz w:val="24"/>
          <w:szCs w:val="24"/>
        </w:rPr>
        <w:t xml:space="preserve">. </w:t>
      </w:r>
    </w:p>
    <w:p w14:paraId="2BAC3B28" w14:textId="4EA1BC2A" w:rsidR="0075735E" w:rsidRDefault="0075735E" w:rsidP="0075735E">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O Bradesco ocupou a primeira posição no indicador de qualidade DQPI dos dois anos, seja na correlação dos conteúdos x ODS </w:t>
      </w:r>
      <w:r w:rsidR="006672F6">
        <w:rPr>
          <w:rFonts w:ascii="Garamond" w:eastAsia="Garamond" w:hAnsi="Garamond" w:cs="Garamond"/>
          <w:color w:val="000000"/>
          <w:sz w:val="24"/>
          <w:szCs w:val="24"/>
        </w:rPr>
        <w:t xml:space="preserve">de </w:t>
      </w:r>
      <w:r>
        <w:rPr>
          <w:rFonts w:ascii="Garamond" w:eastAsia="Garamond" w:hAnsi="Garamond" w:cs="Garamond"/>
          <w:color w:val="000000"/>
          <w:sz w:val="24"/>
          <w:szCs w:val="24"/>
        </w:rPr>
        <w:t xml:space="preserve"> Tsalis</w:t>
      </w:r>
      <w:r w:rsidR="006672F6">
        <w:rPr>
          <w:rFonts w:ascii="Garamond" w:eastAsia="Garamond" w:hAnsi="Garamond" w:cs="Garamond"/>
          <w:color w:val="000000"/>
          <w:sz w:val="24"/>
          <w:szCs w:val="24"/>
        </w:rPr>
        <w:t xml:space="preserve"> </w:t>
      </w:r>
      <w:r w:rsidR="006672F6" w:rsidRPr="00EC76BC">
        <w:rPr>
          <w:rFonts w:ascii="Garamond" w:eastAsia="Garamond" w:hAnsi="Garamond" w:cs="Garamond"/>
          <w:i/>
          <w:iCs/>
          <w:color w:val="000000"/>
          <w:sz w:val="24"/>
          <w:szCs w:val="24"/>
        </w:rPr>
        <w:t>et al</w:t>
      </w:r>
      <w:r w:rsidR="002D6830" w:rsidRPr="00EC76BC">
        <w:rPr>
          <w:rFonts w:ascii="Garamond" w:eastAsia="Garamond" w:hAnsi="Garamond" w:cs="Garamond"/>
          <w:i/>
          <w:iCs/>
          <w:color w:val="000000"/>
          <w:sz w:val="24"/>
          <w:szCs w:val="24"/>
        </w:rPr>
        <w:t>.</w:t>
      </w:r>
      <w:r w:rsidR="006672F6" w:rsidRPr="00EC76BC">
        <w:rPr>
          <w:rFonts w:ascii="Garamond" w:eastAsia="Garamond" w:hAnsi="Garamond" w:cs="Garamond"/>
          <w:i/>
          <w:iCs/>
          <w:color w:val="000000"/>
          <w:sz w:val="24"/>
          <w:szCs w:val="24"/>
        </w:rPr>
        <w:t xml:space="preserve"> </w:t>
      </w:r>
      <w:r w:rsidR="006672F6">
        <w:rPr>
          <w:rFonts w:ascii="Garamond" w:eastAsia="Garamond" w:hAnsi="Garamond" w:cs="Garamond"/>
          <w:color w:val="000000"/>
          <w:sz w:val="24"/>
          <w:szCs w:val="24"/>
        </w:rPr>
        <w:t>(2020)</w:t>
      </w:r>
      <w:r>
        <w:rPr>
          <w:rFonts w:ascii="Garamond" w:eastAsia="Garamond" w:hAnsi="Garamond" w:cs="Garamond"/>
          <w:color w:val="000000"/>
          <w:sz w:val="24"/>
          <w:szCs w:val="24"/>
        </w:rPr>
        <w:t xml:space="preserve"> seja naquela definida pela GRI, sempre com </w:t>
      </w:r>
      <w:r>
        <w:rPr>
          <w:rFonts w:ascii="Garamond" w:eastAsia="Garamond" w:hAnsi="Garamond" w:cs="Garamond"/>
          <w:b/>
          <w:color w:val="000000"/>
          <w:sz w:val="24"/>
          <w:szCs w:val="24"/>
        </w:rPr>
        <w:t>qualidade</w:t>
      </w:r>
      <w:r>
        <w:rPr>
          <w:rFonts w:ascii="Garamond" w:eastAsia="Garamond" w:hAnsi="Garamond" w:cs="Garamond"/>
          <w:color w:val="000000"/>
          <w:sz w:val="24"/>
          <w:szCs w:val="24"/>
        </w:rPr>
        <w:t xml:space="preserve"> </w:t>
      </w:r>
      <w:r>
        <w:rPr>
          <w:rFonts w:ascii="Garamond" w:eastAsia="Garamond" w:hAnsi="Garamond" w:cs="Garamond"/>
          <w:b/>
          <w:color w:val="000000"/>
          <w:sz w:val="24"/>
          <w:szCs w:val="24"/>
        </w:rPr>
        <w:t>média</w:t>
      </w:r>
      <w:r>
        <w:rPr>
          <w:rFonts w:ascii="Garamond" w:eastAsia="Garamond" w:hAnsi="Garamond" w:cs="Garamond"/>
          <w:color w:val="000000"/>
          <w:sz w:val="24"/>
          <w:szCs w:val="24"/>
        </w:rPr>
        <w:t>. Na avaliação dos conteúdos relatados (AI) também obteve as melhores pontuações em 2021 e 2022. Já na avaliação quanto à observância dos princípios GRI obteve a segunda posição no somatório dos anos, atrás apenas do Itaú.</w:t>
      </w:r>
    </w:p>
    <w:p w14:paraId="09662D60" w14:textId="77777777" w:rsidR="0075735E" w:rsidRDefault="0075735E" w:rsidP="0075735E">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O Itaú é o melhor banco com relação à aderência aos princípios da GRI e obteve </w:t>
      </w:r>
      <w:r>
        <w:rPr>
          <w:rFonts w:ascii="Garamond" w:eastAsia="Garamond" w:hAnsi="Garamond" w:cs="Garamond"/>
          <w:b/>
          <w:color w:val="000000"/>
          <w:sz w:val="24"/>
          <w:szCs w:val="24"/>
        </w:rPr>
        <w:t>qualidade média</w:t>
      </w:r>
      <w:r>
        <w:rPr>
          <w:rFonts w:ascii="Garamond" w:eastAsia="Garamond" w:hAnsi="Garamond" w:cs="Garamond"/>
          <w:color w:val="000000"/>
          <w:sz w:val="24"/>
          <w:szCs w:val="24"/>
        </w:rPr>
        <w:t xml:space="preserve"> para o relatório de 2022 na correlação conteúdos x ODS definida pela GRI. O BTG Pactual e o BNDES também obtiveram </w:t>
      </w:r>
      <w:r>
        <w:rPr>
          <w:rFonts w:ascii="Garamond" w:eastAsia="Garamond" w:hAnsi="Garamond" w:cs="Garamond"/>
          <w:b/>
          <w:color w:val="000000"/>
          <w:sz w:val="24"/>
          <w:szCs w:val="24"/>
        </w:rPr>
        <w:t>qualidade média</w:t>
      </w:r>
      <w:r>
        <w:rPr>
          <w:rFonts w:ascii="Garamond" w:eastAsia="Garamond" w:hAnsi="Garamond" w:cs="Garamond"/>
          <w:color w:val="000000"/>
          <w:sz w:val="24"/>
          <w:szCs w:val="24"/>
        </w:rPr>
        <w:t xml:space="preserve"> na mesma avaliação e ano. Todos os três ocuparam posições de destaque na avaliação dos conteúdos relatados (AI).</w:t>
      </w:r>
    </w:p>
    <w:p w14:paraId="412B4FA7" w14:textId="16EEBD14" w:rsidR="00EB5BFF" w:rsidRDefault="0075735E" w:rsidP="0075735E">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O J.P. Morgan teve </w:t>
      </w:r>
      <w:r>
        <w:rPr>
          <w:rFonts w:ascii="Garamond" w:eastAsia="Garamond" w:hAnsi="Garamond" w:cs="Garamond"/>
          <w:b/>
          <w:color w:val="000000"/>
          <w:sz w:val="24"/>
          <w:szCs w:val="24"/>
        </w:rPr>
        <w:t>qualidade muito baixa</w:t>
      </w:r>
      <w:r>
        <w:rPr>
          <w:rFonts w:ascii="Garamond" w:eastAsia="Garamond" w:hAnsi="Garamond" w:cs="Garamond"/>
          <w:color w:val="000000"/>
          <w:sz w:val="24"/>
          <w:szCs w:val="24"/>
        </w:rPr>
        <w:t xml:space="preserve"> em todas as avaliações relacionadas aos ODS, tendo ocupado a pior posição no DQPI em 2021 na correlação </w:t>
      </w:r>
      <w:r w:rsidR="00986AD4">
        <w:rPr>
          <w:rFonts w:ascii="Garamond" w:eastAsia="Garamond" w:hAnsi="Garamond" w:cs="Garamond"/>
          <w:color w:val="000000"/>
          <w:sz w:val="24"/>
          <w:szCs w:val="24"/>
        </w:rPr>
        <w:t xml:space="preserve">de </w:t>
      </w:r>
      <w:r>
        <w:rPr>
          <w:rFonts w:ascii="Garamond" w:eastAsia="Garamond" w:hAnsi="Garamond" w:cs="Garamond"/>
          <w:color w:val="000000"/>
          <w:sz w:val="24"/>
          <w:szCs w:val="24"/>
        </w:rPr>
        <w:t xml:space="preserve"> Tsalis</w:t>
      </w:r>
      <w:r w:rsidR="00986AD4">
        <w:rPr>
          <w:rFonts w:ascii="Garamond" w:eastAsia="Garamond" w:hAnsi="Garamond" w:cs="Garamond"/>
          <w:color w:val="000000"/>
          <w:sz w:val="24"/>
          <w:szCs w:val="24"/>
        </w:rPr>
        <w:t xml:space="preserve"> </w:t>
      </w:r>
      <w:r w:rsidR="00986AD4" w:rsidRPr="00EC76BC">
        <w:rPr>
          <w:rFonts w:ascii="Garamond" w:eastAsia="Garamond" w:hAnsi="Garamond" w:cs="Garamond"/>
          <w:i/>
          <w:iCs/>
          <w:color w:val="000000"/>
          <w:sz w:val="24"/>
          <w:szCs w:val="24"/>
        </w:rPr>
        <w:t>et al</w:t>
      </w:r>
      <w:r w:rsidR="00EC76BC">
        <w:rPr>
          <w:rFonts w:ascii="Garamond" w:eastAsia="Garamond" w:hAnsi="Garamond" w:cs="Garamond"/>
          <w:color w:val="000000"/>
          <w:sz w:val="24"/>
          <w:szCs w:val="24"/>
        </w:rPr>
        <w:t>.</w:t>
      </w:r>
      <w:r w:rsidR="00986AD4">
        <w:rPr>
          <w:rFonts w:ascii="Garamond" w:eastAsia="Garamond" w:hAnsi="Garamond" w:cs="Garamond"/>
          <w:color w:val="000000"/>
          <w:sz w:val="24"/>
          <w:szCs w:val="24"/>
        </w:rPr>
        <w:t xml:space="preserve"> (2020)</w:t>
      </w:r>
      <w:r>
        <w:rPr>
          <w:rFonts w:ascii="Garamond" w:eastAsia="Garamond" w:hAnsi="Garamond" w:cs="Garamond"/>
          <w:color w:val="000000"/>
          <w:sz w:val="24"/>
          <w:szCs w:val="24"/>
        </w:rPr>
        <w:t xml:space="preserve"> e em 2022 em ambas as formas de correlação; teve as piores avaliações dos conteúdos isoladamente (AI), além de ser o penúltimo colocado com relação à aderência aos princípios da GRI. </w:t>
      </w:r>
    </w:p>
    <w:p w14:paraId="07670A5A" w14:textId="31418AAE" w:rsidR="008347B5" w:rsidRDefault="0075735E" w:rsidP="006A42DC">
      <w:pPr>
        <w:pBdr>
          <w:top w:val="nil"/>
          <w:left w:val="nil"/>
          <w:bottom w:val="nil"/>
          <w:right w:val="nil"/>
          <w:between w:val="nil"/>
        </w:pBdr>
        <w:spacing w:after="0" w:line="360" w:lineRule="auto"/>
        <w:ind w:firstLine="709"/>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A Caixa também teve </w:t>
      </w:r>
      <w:r>
        <w:rPr>
          <w:rFonts w:ascii="Garamond" w:eastAsia="Garamond" w:hAnsi="Garamond" w:cs="Garamond"/>
          <w:b/>
          <w:color w:val="000000"/>
          <w:sz w:val="24"/>
          <w:szCs w:val="24"/>
        </w:rPr>
        <w:t>qualidade muito baixa</w:t>
      </w:r>
      <w:r>
        <w:rPr>
          <w:rFonts w:ascii="Garamond" w:eastAsia="Garamond" w:hAnsi="Garamond" w:cs="Garamond"/>
          <w:color w:val="000000"/>
          <w:sz w:val="24"/>
          <w:szCs w:val="24"/>
        </w:rPr>
        <w:t xml:space="preserve"> em todas as avaliações relacionadas aos ODS, tendo sido a última colocada em 2021 na correlação </w:t>
      </w:r>
      <w:r w:rsidR="00986AD4">
        <w:rPr>
          <w:rFonts w:ascii="Garamond" w:eastAsia="Garamond" w:hAnsi="Garamond" w:cs="Garamond"/>
          <w:color w:val="000000"/>
          <w:sz w:val="24"/>
          <w:szCs w:val="24"/>
        </w:rPr>
        <w:t>de</w:t>
      </w:r>
      <w:r>
        <w:rPr>
          <w:rFonts w:ascii="Garamond" w:eastAsia="Garamond" w:hAnsi="Garamond" w:cs="Garamond"/>
          <w:color w:val="000000"/>
          <w:sz w:val="24"/>
          <w:szCs w:val="24"/>
        </w:rPr>
        <w:t xml:space="preserve"> Tsalis</w:t>
      </w:r>
      <w:r w:rsidR="00986AD4">
        <w:rPr>
          <w:rFonts w:ascii="Garamond" w:eastAsia="Garamond" w:hAnsi="Garamond" w:cs="Garamond"/>
          <w:color w:val="000000"/>
          <w:sz w:val="24"/>
          <w:szCs w:val="24"/>
        </w:rPr>
        <w:t xml:space="preserve"> </w:t>
      </w:r>
      <w:r w:rsidR="00986AD4" w:rsidRPr="00EC76BC">
        <w:rPr>
          <w:rFonts w:ascii="Garamond" w:eastAsia="Garamond" w:hAnsi="Garamond" w:cs="Garamond"/>
          <w:i/>
          <w:iCs/>
          <w:color w:val="000000"/>
          <w:sz w:val="24"/>
          <w:szCs w:val="24"/>
        </w:rPr>
        <w:t>et al</w:t>
      </w:r>
      <w:r w:rsidR="00EC76BC">
        <w:rPr>
          <w:rFonts w:ascii="Garamond" w:eastAsia="Garamond" w:hAnsi="Garamond" w:cs="Garamond"/>
          <w:color w:val="000000"/>
          <w:sz w:val="24"/>
          <w:szCs w:val="24"/>
        </w:rPr>
        <w:t>.</w:t>
      </w:r>
      <w:r w:rsidR="00986AD4">
        <w:rPr>
          <w:rFonts w:ascii="Garamond" w:eastAsia="Garamond" w:hAnsi="Garamond" w:cs="Garamond"/>
          <w:color w:val="000000"/>
          <w:sz w:val="24"/>
          <w:szCs w:val="24"/>
        </w:rPr>
        <w:t xml:space="preserve"> (2020)</w:t>
      </w:r>
      <w:r>
        <w:rPr>
          <w:rFonts w:ascii="Garamond" w:eastAsia="Garamond" w:hAnsi="Garamond" w:cs="Garamond"/>
          <w:color w:val="000000"/>
          <w:sz w:val="24"/>
          <w:szCs w:val="24"/>
        </w:rPr>
        <w:t>, ocupado a penúltima colocação com relação aos conteúdos (AI) e terceira pior posição na análise de aderência aos princípios da GRI.</w:t>
      </w:r>
    </w:p>
    <w:p w14:paraId="35DBA4CD" w14:textId="792DAFD8" w:rsidR="008347B5" w:rsidRDefault="008347B5" w:rsidP="008347B5">
      <w:pPr>
        <w:pStyle w:val="Ttulo1"/>
      </w:pPr>
      <w:r>
        <w:lastRenderedPageBreak/>
        <w:t xml:space="preserve">Conclusões </w:t>
      </w:r>
    </w:p>
    <w:p w14:paraId="526E79B1" w14:textId="70D85D03" w:rsidR="00EC4499" w:rsidRPr="008347B5" w:rsidRDefault="00433EA7" w:rsidP="008347B5">
      <w:pPr>
        <w:pStyle w:val="Ttulo2"/>
        <w:spacing w:after="0" w:line="360" w:lineRule="auto"/>
        <w:rPr>
          <w:rFonts w:ascii="Garamond" w:eastAsia="Garamond" w:hAnsi="Garamond" w:cs="Garamond"/>
          <w:sz w:val="26"/>
          <w:szCs w:val="26"/>
        </w:rPr>
      </w:pPr>
      <w:bookmarkStart w:id="25" w:name="_heading=h.wx4bv9k3ssdz" w:colFirst="0" w:colLast="0"/>
      <w:bookmarkStart w:id="26" w:name="_heading=h.rvfgfl9r18f3" w:colFirst="0" w:colLast="0"/>
      <w:bookmarkEnd w:id="25"/>
      <w:bookmarkEnd w:id="26"/>
      <w:r w:rsidRPr="008347B5">
        <w:rPr>
          <w:rFonts w:ascii="Garamond" w:eastAsia="Garamond" w:hAnsi="Garamond" w:cs="Garamond"/>
          <w:sz w:val="26"/>
          <w:szCs w:val="26"/>
        </w:rPr>
        <w:t>5.1</w:t>
      </w:r>
      <w:r w:rsidR="008347B5">
        <w:rPr>
          <w:rFonts w:ascii="Garamond" w:eastAsia="Garamond" w:hAnsi="Garamond" w:cs="Garamond"/>
          <w:sz w:val="26"/>
          <w:szCs w:val="26"/>
        </w:rPr>
        <w:t xml:space="preserve">  </w:t>
      </w:r>
      <w:r w:rsidRPr="008347B5">
        <w:rPr>
          <w:rFonts w:ascii="Garamond" w:eastAsia="Garamond" w:hAnsi="Garamond" w:cs="Garamond"/>
          <w:sz w:val="26"/>
          <w:szCs w:val="26"/>
        </w:rPr>
        <w:t>Conclusões</w:t>
      </w:r>
    </w:p>
    <w:p w14:paraId="733F6AF1" w14:textId="77777777" w:rsidR="00EC4499" w:rsidRDefault="00EC4499">
      <w:pPr>
        <w:pBdr>
          <w:top w:val="nil"/>
          <w:left w:val="nil"/>
          <w:bottom w:val="nil"/>
          <w:right w:val="nil"/>
          <w:between w:val="nil"/>
        </w:pBdr>
        <w:spacing w:after="0" w:line="360" w:lineRule="auto"/>
        <w:ind w:left="720"/>
        <w:rPr>
          <w:rFonts w:ascii="Garamond" w:eastAsia="Garamond" w:hAnsi="Garamond" w:cs="Garamond"/>
          <w:b/>
          <w:color w:val="000000"/>
          <w:sz w:val="24"/>
          <w:szCs w:val="24"/>
        </w:rPr>
      </w:pPr>
    </w:p>
    <w:p w14:paraId="00B825CD" w14:textId="16980B6A" w:rsidR="00037607" w:rsidRDefault="00100882" w:rsidP="00037607">
      <w:pPr>
        <w:spacing w:after="0" w:line="360" w:lineRule="auto"/>
        <w:ind w:firstLine="708"/>
        <w:jc w:val="both"/>
        <w:rPr>
          <w:rFonts w:ascii="Garamond" w:eastAsia="Garamond" w:hAnsi="Garamond" w:cs="Garamond"/>
          <w:color w:val="000000"/>
          <w:sz w:val="24"/>
          <w:szCs w:val="24"/>
        </w:rPr>
      </w:pPr>
      <w:r>
        <w:rPr>
          <w:rFonts w:ascii="Garamond" w:eastAsia="Garamond" w:hAnsi="Garamond" w:cs="Garamond"/>
          <w:color w:val="000000"/>
          <w:sz w:val="24"/>
          <w:szCs w:val="24"/>
        </w:rPr>
        <w:t>As análises realizadas em 25 relatórios de 12 grandes bancos com atuação no território brasileiro</w:t>
      </w:r>
      <w:r w:rsidR="003C000A">
        <w:rPr>
          <w:rFonts w:ascii="Garamond" w:eastAsia="Garamond" w:hAnsi="Garamond" w:cs="Garamond"/>
          <w:color w:val="000000"/>
          <w:sz w:val="24"/>
          <w:szCs w:val="24"/>
        </w:rPr>
        <w:t xml:space="preserve"> permitem concluir que os bancos privados, com ações em bolsa de valores</w:t>
      </w:r>
      <w:r w:rsidR="00E73450">
        <w:rPr>
          <w:rFonts w:ascii="Garamond" w:eastAsia="Garamond" w:hAnsi="Garamond" w:cs="Garamond"/>
          <w:color w:val="000000"/>
          <w:sz w:val="24"/>
          <w:szCs w:val="24"/>
        </w:rPr>
        <w:t xml:space="preserve">, </w:t>
      </w:r>
      <w:r w:rsidR="00C405B3">
        <w:rPr>
          <w:rFonts w:ascii="Garamond" w:eastAsia="Garamond" w:hAnsi="Garamond" w:cs="Garamond"/>
          <w:color w:val="000000"/>
          <w:sz w:val="24"/>
          <w:szCs w:val="24"/>
        </w:rPr>
        <w:t>sede no Brasil</w:t>
      </w:r>
      <w:r w:rsidR="00E73450">
        <w:rPr>
          <w:rFonts w:ascii="Garamond" w:eastAsia="Garamond" w:hAnsi="Garamond" w:cs="Garamond"/>
          <w:color w:val="000000"/>
          <w:sz w:val="24"/>
          <w:szCs w:val="24"/>
        </w:rPr>
        <w:t xml:space="preserve"> e cujo relatório utilizou o modelo “Integrado”</w:t>
      </w:r>
      <w:r w:rsidR="00C405B3">
        <w:rPr>
          <w:rFonts w:ascii="Garamond" w:eastAsia="Garamond" w:hAnsi="Garamond" w:cs="Garamond"/>
          <w:color w:val="000000"/>
          <w:sz w:val="24"/>
          <w:szCs w:val="24"/>
        </w:rPr>
        <w:t xml:space="preserve"> produziram os melhores relat</w:t>
      </w:r>
      <w:r w:rsidR="00A31073">
        <w:rPr>
          <w:rFonts w:ascii="Garamond" w:eastAsia="Garamond" w:hAnsi="Garamond" w:cs="Garamond"/>
          <w:color w:val="000000"/>
          <w:sz w:val="24"/>
          <w:szCs w:val="24"/>
        </w:rPr>
        <w:t>os de sustentabilidade</w:t>
      </w:r>
      <w:r w:rsidR="00C405B3">
        <w:rPr>
          <w:rFonts w:ascii="Garamond" w:eastAsia="Garamond" w:hAnsi="Garamond" w:cs="Garamond"/>
          <w:color w:val="000000"/>
          <w:sz w:val="24"/>
          <w:szCs w:val="24"/>
        </w:rPr>
        <w:t xml:space="preserve"> em 2021 e 2022.</w:t>
      </w:r>
      <w:r w:rsidR="00037607">
        <w:rPr>
          <w:rFonts w:ascii="Garamond" w:eastAsia="Garamond" w:hAnsi="Garamond" w:cs="Garamond"/>
          <w:color w:val="000000"/>
          <w:sz w:val="24"/>
          <w:szCs w:val="24"/>
        </w:rPr>
        <w:t xml:space="preserve"> </w:t>
      </w:r>
      <w:r w:rsidR="00424F66">
        <w:rPr>
          <w:rFonts w:ascii="Garamond" w:eastAsia="Garamond" w:hAnsi="Garamond" w:cs="Garamond"/>
          <w:color w:val="000000"/>
          <w:sz w:val="24"/>
          <w:szCs w:val="24"/>
        </w:rPr>
        <w:t>A</w:t>
      </w:r>
      <w:r w:rsidR="00037607">
        <w:rPr>
          <w:rFonts w:ascii="Garamond" w:eastAsia="Garamond" w:hAnsi="Garamond" w:cs="Garamond"/>
          <w:color w:val="000000"/>
          <w:sz w:val="24"/>
          <w:szCs w:val="24"/>
        </w:rPr>
        <w:t xml:space="preserve">s </w:t>
      </w:r>
      <w:r w:rsidR="00424F66">
        <w:rPr>
          <w:rFonts w:ascii="Garamond" w:eastAsia="Garamond" w:hAnsi="Garamond" w:cs="Garamond"/>
          <w:color w:val="000000"/>
          <w:sz w:val="24"/>
          <w:szCs w:val="24"/>
        </w:rPr>
        <w:t xml:space="preserve">melhores performances foram de </w:t>
      </w:r>
      <w:r w:rsidR="00037607">
        <w:rPr>
          <w:rFonts w:ascii="Garamond" w:eastAsia="Garamond" w:hAnsi="Garamond" w:cs="Garamond"/>
          <w:color w:val="000000"/>
          <w:sz w:val="24"/>
          <w:szCs w:val="24"/>
        </w:rPr>
        <w:t>3 bancos privados e 1 públic</w:t>
      </w:r>
      <w:r w:rsidR="008B548D">
        <w:rPr>
          <w:rFonts w:ascii="Garamond" w:eastAsia="Garamond" w:hAnsi="Garamond" w:cs="Garamond"/>
          <w:color w:val="000000"/>
          <w:sz w:val="24"/>
          <w:szCs w:val="24"/>
        </w:rPr>
        <w:t>o</w:t>
      </w:r>
      <w:r w:rsidR="00037607">
        <w:rPr>
          <w:rFonts w:ascii="Garamond" w:eastAsia="Garamond" w:hAnsi="Garamond" w:cs="Garamond"/>
          <w:color w:val="000000"/>
          <w:sz w:val="24"/>
          <w:szCs w:val="24"/>
        </w:rPr>
        <w:t xml:space="preserve">, todos brasileiros, já </w:t>
      </w:r>
      <w:r w:rsidR="009B7933">
        <w:rPr>
          <w:rFonts w:ascii="Garamond" w:eastAsia="Garamond" w:hAnsi="Garamond" w:cs="Garamond"/>
          <w:color w:val="000000"/>
          <w:sz w:val="24"/>
          <w:szCs w:val="24"/>
        </w:rPr>
        <w:t>a</w:t>
      </w:r>
      <w:r w:rsidR="00037607">
        <w:rPr>
          <w:rFonts w:ascii="Garamond" w:eastAsia="Garamond" w:hAnsi="Garamond" w:cs="Garamond"/>
          <w:color w:val="000000"/>
          <w:sz w:val="24"/>
          <w:szCs w:val="24"/>
        </w:rPr>
        <w:t>s</w:t>
      </w:r>
      <w:r w:rsidR="002147D1">
        <w:rPr>
          <w:rFonts w:ascii="Garamond" w:eastAsia="Garamond" w:hAnsi="Garamond" w:cs="Garamond"/>
          <w:color w:val="000000"/>
          <w:sz w:val="24"/>
          <w:szCs w:val="24"/>
        </w:rPr>
        <w:t xml:space="preserve"> piores</w:t>
      </w:r>
      <w:r w:rsidR="00037607">
        <w:rPr>
          <w:rFonts w:ascii="Garamond" w:eastAsia="Garamond" w:hAnsi="Garamond" w:cs="Garamond"/>
          <w:color w:val="000000"/>
          <w:sz w:val="24"/>
          <w:szCs w:val="24"/>
        </w:rPr>
        <w:t xml:space="preserve"> foram </w:t>
      </w:r>
      <w:r w:rsidR="009B7933">
        <w:rPr>
          <w:rFonts w:ascii="Garamond" w:eastAsia="Garamond" w:hAnsi="Garamond" w:cs="Garamond"/>
          <w:color w:val="000000"/>
          <w:sz w:val="24"/>
          <w:szCs w:val="24"/>
        </w:rPr>
        <w:t>de</w:t>
      </w:r>
      <w:r w:rsidR="00037607">
        <w:rPr>
          <w:rFonts w:ascii="Garamond" w:eastAsia="Garamond" w:hAnsi="Garamond" w:cs="Garamond"/>
          <w:color w:val="000000"/>
          <w:sz w:val="24"/>
          <w:szCs w:val="24"/>
        </w:rPr>
        <w:t xml:space="preserve"> 1 banco estrangeiro</w:t>
      </w:r>
      <w:r w:rsidR="0088341F">
        <w:rPr>
          <w:rFonts w:ascii="Garamond" w:eastAsia="Garamond" w:hAnsi="Garamond" w:cs="Garamond"/>
          <w:color w:val="000000"/>
          <w:sz w:val="24"/>
          <w:szCs w:val="24"/>
        </w:rPr>
        <w:t xml:space="preserve"> </w:t>
      </w:r>
      <w:r w:rsidR="00037607">
        <w:rPr>
          <w:rFonts w:ascii="Garamond" w:eastAsia="Garamond" w:hAnsi="Garamond" w:cs="Garamond"/>
          <w:color w:val="000000"/>
          <w:sz w:val="24"/>
          <w:szCs w:val="24"/>
        </w:rPr>
        <w:t>e 1 brasileiro púbico.</w:t>
      </w:r>
    </w:p>
    <w:p w14:paraId="3F85F10C" w14:textId="0E6CCFE3" w:rsidR="00AF5A16" w:rsidRDefault="00DB4C5C">
      <w:pPr>
        <w:spacing w:after="0" w:line="360" w:lineRule="auto"/>
        <w:ind w:firstLine="708"/>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É possível concluir, também, </w:t>
      </w:r>
      <w:r w:rsidR="00D974ED">
        <w:rPr>
          <w:rFonts w:ascii="Garamond" w:eastAsia="Garamond" w:hAnsi="Garamond" w:cs="Garamond"/>
          <w:color w:val="000000"/>
          <w:sz w:val="24"/>
          <w:szCs w:val="24"/>
        </w:rPr>
        <w:t xml:space="preserve">que houve evolução da qualidade dos relatórios, considerando </w:t>
      </w:r>
      <w:r w:rsidR="001C0F09">
        <w:rPr>
          <w:rFonts w:ascii="Garamond" w:eastAsia="Garamond" w:hAnsi="Garamond" w:cs="Garamond"/>
          <w:color w:val="000000"/>
          <w:sz w:val="24"/>
          <w:szCs w:val="24"/>
        </w:rPr>
        <w:t>tanto os conteúdos econômicos, ambientais e sociais e sua correlação com os ODS quanto</w:t>
      </w:r>
      <w:r w:rsidR="00EA05FD">
        <w:rPr>
          <w:rFonts w:ascii="Garamond" w:eastAsia="Garamond" w:hAnsi="Garamond" w:cs="Garamond"/>
          <w:color w:val="000000"/>
          <w:sz w:val="24"/>
          <w:szCs w:val="24"/>
        </w:rPr>
        <w:t xml:space="preserve"> a aderência aos princípios de relato da GRI.</w:t>
      </w:r>
      <w:r w:rsidR="003379CB">
        <w:rPr>
          <w:rFonts w:ascii="Garamond" w:eastAsia="Garamond" w:hAnsi="Garamond" w:cs="Garamond"/>
          <w:color w:val="000000"/>
          <w:sz w:val="24"/>
          <w:szCs w:val="24"/>
        </w:rPr>
        <w:t xml:space="preserve"> </w:t>
      </w:r>
    </w:p>
    <w:p w14:paraId="62F6921D" w14:textId="4357060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O presente estudo contribui para a discussão a respeito da preparação dos relatórios de sustentabilidade pelos bancos, auxiliando-os nas suas abordagens para tornar os relatos uma ferramenta de comunicação eficaz que aprimora a sustentabilidade</w:t>
      </w:r>
      <w:r w:rsidR="004155A1">
        <w:rPr>
          <w:rFonts w:ascii="Garamond" w:eastAsia="Garamond" w:hAnsi="Garamond" w:cs="Garamond"/>
          <w:color w:val="000000"/>
          <w:sz w:val="24"/>
          <w:szCs w:val="24"/>
        </w:rPr>
        <w:t>,</w:t>
      </w:r>
      <w:r>
        <w:rPr>
          <w:rFonts w:ascii="Garamond" w:eastAsia="Garamond" w:hAnsi="Garamond" w:cs="Garamond"/>
          <w:color w:val="000000"/>
          <w:sz w:val="24"/>
          <w:szCs w:val="24"/>
        </w:rPr>
        <w:t xml:space="preserve"> contando, inclusive, com a possibilidade de realizar comparações com seus concorrentes (Tsalis </w:t>
      </w:r>
      <w:r>
        <w:rPr>
          <w:rFonts w:ascii="Garamond" w:eastAsia="Garamond" w:hAnsi="Garamond" w:cs="Garamond"/>
          <w:i/>
          <w:color w:val="000000"/>
          <w:sz w:val="24"/>
          <w:szCs w:val="24"/>
        </w:rPr>
        <w:t>et al</w:t>
      </w:r>
      <w:r>
        <w:rPr>
          <w:rFonts w:ascii="Garamond" w:eastAsia="Garamond" w:hAnsi="Garamond" w:cs="Garamond"/>
          <w:color w:val="000000"/>
          <w:sz w:val="24"/>
          <w:szCs w:val="24"/>
        </w:rPr>
        <w:t>., 2020).</w:t>
      </w:r>
    </w:p>
    <w:p w14:paraId="34CA290C" w14:textId="4C92D302" w:rsidR="00EC4499" w:rsidRPr="002E629C" w:rsidRDefault="00433EA7" w:rsidP="002E629C">
      <w:pPr>
        <w:spacing w:after="0" w:line="360" w:lineRule="auto"/>
        <w:ind w:firstLine="708"/>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Outra contribuição, na esteira da conclusão de Chagas </w:t>
      </w:r>
      <w:r w:rsidRPr="001A7312">
        <w:rPr>
          <w:rFonts w:ascii="Garamond" w:eastAsia="Garamond" w:hAnsi="Garamond" w:cs="Garamond"/>
          <w:i/>
          <w:iCs/>
          <w:color w:val="000000"/>
          <w:sz w:val="24"/>
          <w:szCs w:val="24"/>
        </w:rPr>
        <w:t>et al</w:t>
      </w:r>
      <w:r>
        <w:rPr>
          <w:rFonts w:ascii="Garamond" w:eastAsia="Garamond" w:hAnsi="Garamond" w:cs="Garamond"/>
          <w:color w:val="000000"/>
          <w:sz w:val="24"/>
          <w:szCs w:val="24"/>
        </w:rPr>
        <w:t xml:space="preserve">. (2022), é a relação direta e positiva entre o número de conteúdos relatados e o Indicador de Desempenho da Qualidade da Divulgação (DQPI), ou seja, quanto mais conteúdos maior o DQPI.   </w:t>
      </w:r>
    </w:p>
    <w:p w14:paraId="4A959264" w14:textId="36212146" w:rsidR="00EC4499" w:rsidRDefault="00433EA7">
      <w:pPr>
        <w:pStyle w:val="Ttulo2"/>
        <w:spacing w:after="0" w:line="360" w:lineRule="auto"/>
        <w:rPr>
          <w:rFonts w:ascii="Garamond" w:eastAsia="Garamond" w:hAnsi="Garamond" w:cs="Garamond"/>
          <w:sz w:val="26"/>
          <w:szCs w:val="26"/>
        </w:rPr>
      </w:pPr>
      <w:bookmarkStart w:id="27" w:name="_heading=h.zbgjrzawpy5a" w:colFirst="0" w:colLast="0"/>
      <w:bookmarkEnd w:id="27"/>
      <w:r>
        <w:rPr>
          <w:rFonts w:ascii="Garamond" w:eastAsia="Garamond" w:hAnsi="Garamond" w:cs="Garamond"/>
          <w:sz w:val="26"/>
          <w:szCs w:val="26"/>
        </w:rPr>
        <w:t>5.2  Limitações e sug</w:t>
      </w:r>
      <w:r w:rsidR="002E629C">
        <w:rPr>
          <w:rFonts w:ascii="Garamond" w:eastAsia="Garamond" w:hAnsi="Garamond" w:cs="Garamond"/>
          <w:sz w:val="26"/>
          <w:szCs w:val="26"/>
        </w:rPr>
        <w:t>e</w:t>
      </w:r>
      <w:r>
        <w:rPr>
          <w:rFonts w:ascii="Garamond" w:eastAsia="Garamond" w:hAnsi="Garamond" w:cs="Garamond"/>
          <w:sz w:val="26"/>
          <w:szCs w:val="26"/>
        </w:rPr>
        <w:t>stões para investigações futuras</w:t>
      </w:r>
    </w:p>
    <w:p w14:paraId="671DE8C8" w14:textId="77777777" w:rsidR="00EC4499" w:rsidRDefault="00EC4499">
      <w:pPr>
        <w:spacing w:after="0" w:line="360" w:lineRule="auto"/>
        <w:rPr>
          <w:rFonts w:ascii="Garamond" w:eastAsia="Garamond" w:hAnsi="Garamond" w:cs="Garamond"/>
          <w:color w:val="000000"/>
          <w:sz w:val="24"/>
          <w:szCs w:val="24"/>
        </w:rPr>
      </w:pPr>
    </w:p>
    <w:p w14:paraId="0178346D"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Algumas limitações identificadas durante a pesquisa foram o fato de terem sido analisados apenas os relatórios de 2021 e 2022, de um setor econômico específico e de uma amostra de 12 organizações. Futuras investigações podem explorar um período mais longo e comparar setores distintos da economia brasileira, além de utilizar outros padrões, frameworks ou standards além da GRI.</w:t>
      </w:r>
    </w:p>
    <w:p w14:paraId="7B7FDF0F"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Embora todos os bancos da amostra utilizem os relatórios de sustentabilidade para dar transparências às suas ações, é fato que também se utilizam de outros recursos como formulários, </w:t>
      </w:r>
      <w:r>
        <w:rPr>
          <w:rFonts w:ascii="Garamond" w:eastAsia="Garamond" w:hAnsi="Garamond" w:cs="Garamond"/>
          <w:i/>
          <w:color w:val="000000"/>
          <w:sz w:val="24"/>
          <w:szCs w:val="24"/>
        </w:rPr>
        <w:t>sites</w:t>
      </w:r>
      <w:r>
        <w:rPr>
          <w:rFonts w:ascii="Garamond" w:eastAsia="Garamond" w:hAnsi="Garamond" w:cs="Garamond"/>
          <w:color w:val="000000"/>
          <w:sz w:val="24"/>
          <w:szCs w:val="24"/>
        </w:rPr>
        <w:t xml:space="preserve">, repositórios etc. e, desta forma, ter utilizado apenas os relatórios como fonte de informações foi também um fator limitador. </w:t>
      </w:r>
    </w:p>
    <w:p w14:paraId="739D3BC2"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lastRenderedPageBreak/>
        <w:t xml:space="preserve">Outra limitação encontrada foi o fato de no curso da investigação os bancos terem lançado novas versões de seus relatórios sem que isso esteja explícito no documento produzido e, assim, as análises realizadas podem ter sido em versões distintas daquelas disponíveis atualmente. </w:t>
      </w:r>
    </w:p>
    <w:p w14:paraId="720A69D9"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Por fim, os sumários GRI nem sempre indicavam a temática tratada naquele conteúdo isoladamente, mas agregava vários outros, tornando difícil separar os assuntos para posteriormente atribuir a pontuação.</w:t>
      </w:r>
    </w:p>
    <w:p w14:paraId="148BAB16" w14:textId="77777777" w:rsidR="00EC4499" w:rsidRDefault="00433EA7">
      <w:pPr>
        <w:spacing w:after="0" w:line="360" w:lineRule="auto"/>
        <w:ind w:firstLine="708"/>
        <w:jc w:val="both"/>
        <w:rPr>
          <w:rFonts w:ascii="Garamond" w:eastAsia="Garamond" w:hAnsi="Garamond" w:cs="Garamond"/>
          <w:sz w:val="24"/>
          <w:szCs w:val="24"/>
        </w:rPr>
      </w:pPr>
      <w:r>
        <w:rPr>
          <w:rFonts w:ascii="Garamond" w:eastAsia="Garamond" w:hAnsi="Garamond" w:cs="Garamond"/>
          <w:color w:val="000000"/>
          <w:sz w:val="24"/>
          <w:szCs w:val="24"/>
        </w:rPr>
        <w:t xml:space="preserve">Outros assuntos que podem gerar futuras investigações seriam a identificação das metodologias aplicadas na seleção e engajamento dos stakeholders para definição dos temas materiais e como isso influencia o resultado, além da análise da qualidade dos relatórios a partir de </w:t>
      </w:r>
      <w:r>
        <w:rPr>
          <w:rFonts w:ascii="Garamond" w:eastAsia="Garamond" w:hAnsi="Garamond" w:cs="Garamond"/>
          <w:i/>
          <w:color w:val="000000"/>
          <w:sz w:val="24"/>
          <w:szCs w:val="24"/>
        </w:rPr>
        <w:t>feedbacks</w:t>
      </w:r>
      <w:r>
        <w:rPr>
          <w:rFonts w:ascii="Garamond" w:eastAsia="Garamond" w:hAnsi="Garamond" w:cs="Garamond"/>
          <w:color w:val="000000"/>
          <w:sz w:val="24"/>
          <w:szCs w:val="24"/>
        </w:rPr>
        <w:t xml:space="preserve"> desses mesmos stakeholders. </w:t>
      </w:r>
    </w:p>
    <w:p w14:paraId="4D2F2B35" w14:textId="77646EAF" w:rsidR="00EC4499" w:rsidRDefault="00433EA7">
      <w:pPr>
        <w:spacing w:after="0" w:line="360" w:lineRule="auto"/>
        <w:ind w:firstLine="708"/>
        <w:jc w:val="both"/>
        <w:rPr>
          <w:rFonts w:ascii="Garamond" w:eastAsia="Garamond" w:hAnsi="Garamond" w:cs="Garamond"/>
          <w:color w:val="000000"/>
          <w:sz w:val="24"/>
          <w:szCs w:val="24"/>
        </w:rPr>
      </w:pPr>
      <w:r>
        <w:rPr>
          <w:rFonts w:ascii="Garamond" w:eastAsia="Garamond" w:hAnsi="Garamond" w:cs="Garamond"/>
          <w:color w:val="222222"/>
          <w:sz w:val="24"/>
          <w:szCs w:val="24"/>
          <w:highlight w:val="white"/>
        </w:rPr>
        <w:t xml:space="preserve">Pode-se, ainda, buscar explicações </w:t>
      </w:r>
      <w:r>
        <w:rPr>
          <w:rFonts w:ascii="Garamond" w:eastAsia="Garamond" w:hAnsi="Garamond" w:cs="Garamond"/>
          <w:color w:val="000000"/>
          <w:sz w:val="24"/>
          <w:szCs w:val="24"/>
        </w:rPr>
        <w:t>para a melhor qualidade dos relatórios dos bancos de capital aberto e dos privados</w:t>
      </w:r>
      <w:r w:rsidR="004155A1">
        <w:rPr>
          <w:rFonts w:ascii="Garamond" w:eastAsia="Garamond" w:hAnsi="Garamond" w:cs="Garamond"/>
          <w:color w:val="000000"/>
          <w:sz w:val="24"/>
          <w:szCs w:val="24"/>
        </w:rPr>
        <w:t>. P</w:t>
      </w:r>
      <w:r>
        <w:rPr>
          <w:rFonts w:ascii="Garamond" w:eastAsia="Garamond" w:hAnsi="Garamond" w:cs="Garamond"/>
          <w:color w:val="000000"/>
          <w:sz w:val="24"/>
          <w:szCs w:val="24"/>
        </w:rPr>
        <w:t xml:space="preserve">ressão dos acionistas por transparência? O fato de terem dois reguladores, o bancário e o de mercado de capitais? É possível que haja relação com a continuidade da gestão, já que o </w:t>
      </w:r>
      <w:r>
        <w:rPr>
          <w:rFonts w:ascii="Garamond" w:eastAsia="Garamond" w:hAnsi="Garamond" w:cs="Garamond"/>
          <w:i/>
          <w:color w:val="000000"/>
          <w:sz w:val="24"/>
          <w:szCs w:val="24"/>
        </w:rPr>
        <w:t>c-level</w:t>
      </w:r>
      <w:r>
        <w:rPr>
          <w:rFonts w:ascii="Garamond" w:eastAsia="Garamond" w:hAnsi="Garamond" w:cs="Garamond"/>
          <w:color w:val="000000"/>
          <w:sz w:val="24"/>
          <w:szCs w:val="24"/>
        </w:rPr>
        <w:t xml:space="preserve"> das instituições públicas é alterado pelo menos a cada troca de governo? Pode ter relação com a facilidade de contratação no mercado de pessoas ou empresas de consultoria e/ou elaboração dos relatórios com mais </w:t>
      </w:r>
      <w:r>
        <w:rPr>
          <w:rFonts w:ascii="Garamond" w:eastAsia="Garamond" w:hAnsi="Garamond" w:cs="Garamond"/>
          <w:i/>
          <w:color w:val="000000"/>
          <w:sz w:val="24"/>
          <w:szCs w:val="24"/>
        </w:rPr>
        <w:t xml:space="preserve">expertise </w:t>
      </w:r>
      <w:r>
        <w:rPr>
          <w:rFonts w:ascii="Garamond" w:eastAsia="Garamond" w:hAnsi="Garamond" w:cs="Garamond"/>
          <w:color w:val="000000"/>
          <w:sz w:val="24"/>
          <w:szCs w:val="24"/>
        </w:rPr>
        <w:t xml:space="preserve">pelos bancos privados contrastando com a necessidade de concurso e licitação pelas instituições públicas? </w:t>
      </w:r>
    </w:p>
    <w:p w14:paraId="25995D48" w14:textId="77777777" w:rsidR="00EC4499" w:rsidRDefault="00EC4499">
      <w:pPr>
        <w:spacing w:after="0" w:line="360" w:lineRule="auto"/>
        <w:rPr>
          <w:rFonts w:ascii="Garamond" w:eastAsia="Garamond" w:hAnsi="Garamond" w:cs="Garamond"/>
          <w:color w:val="000000"/>
          <w:sz w:val="24"/>
          <w:szCs w:val="24"/>
        </w:rPr>
      </w:pPr>
    </w:p>
    <w:p w14:paraId="079C6282" w14:textId="77777777" w:rsidR="00EC4499" w:rsidRDefault="00EC4499">
      <w:pPr>
        <w:spacing w:after="0" w:line="360" w:lineRule="auto"/>
        <w:rPr>
          <w:rFonts w:ascii="Garamond" w:eastAsia="Garamond" w:hAnsi="Garamond" w:cs="Garamond"/>
          <w:color w:val="000000"/>
          <w:sz w:val="24"/>
          <w:szCs w:val="24"/>
        </w:rPr>
      </w:pPr>
    </w:p>
    <w:p w14:paraId="157BD66B" w14:textId="77777777" w:rsidR="00EC4499" w:rsidRDefault="00EC4499">
      <w:pPr>
        <w:spacing w:after="0" w:line="360" w:lineRule="auto"/>
        <w:rPr>
          <w:rFonts w:ascii="Garamond" w:eastAsia="Garamond" w:hAnsi="Garamond" w:cs="Garamond"/>
          <w:color w:val="000000"/>
          <w:sz w:val="24"/>
          <w:szCs w:val="24"/>
        </w:rPr>
      </w:pPr>
    </w:p>
    <w:p w14:paraId="3DC039D0" w14:textId="77777777" w:rsidR="002E629C" w:rsidRDefault="002E629C">
      <w:pPr>
        <w:rPr>
          <w:rFonts w:ascii="Garamond" w:eastAsia="Garamond" w:hAnsi="Garamond" w:cs="Garamond"/>
          <w:b/>
          <w:sz w:val="36"/>
          <w:szCs w:val="36"/>
        </w:rPr>
      </w:pPr>
      <w:bookmarkStart w:id="28" w:name="_heading=h.4fh0olmcs9vz" w:colFirst="0" w:colLast="0"/>
      <w:bookmarkEnd w:id="28"/>
      <w:r>
        <w:rPr>
          <w:rFonts w:ascii="Garamond" w:eastAsia="Garamond" w:hAnsi="Garamond" w:cs="Garamond"/>
          <w:sz w:val="36"/>
          <w:szCs w:val="36"/>
        </w:rPr>
        <w:br w:type="page"/>
      </w:r>
    </w:p>
    <w:p w14:paraId="4ADD7B65" w14:textId="135EFA97" w:rsidR="00EC4499" w:rsidRDefault="00433EA7">
      <w:pPr>
        <w:pStyle w:val="Ttulo"/>
        <w:spacing w:after="0" w:line="360" w:lineRule="auto"/>
        <w:rPr>
          <w:rFonts w:ascii="Garamond" w:eastAsia="Garamond" w:hAnsi="Garamond" w:cs="Garamond"/>
          <w:sz w:val="36"/>
          <w:szCs w:val="36"/>
        </w:rPr>
      </w:pPr>
      <w:r>
        <w:rPr>
          <w:rFonts w:ascii="Garamond" w:eastAsia="Garamond" w:hAnsi="Garamond" w:cs="Garamond"/>
          <w:sz w:val="36"/>
          <w:szCs w:val="36"/>
        </w:rPr>
        <w:lastRenderedPageBreak/>
        <w:t>Apêndices</w:t>
      </w:r>
    </w:p>
    <w:p w14:paraId="2E4E1C39" w14:textId="77777777" w:rsidR="00EC4499" w:rsidRDefault="00433EA7" w:rsidP="0077090D">
      <w:pPr>
        <w:spacing w:after="0" w:line="240" w:lineRule="auto"/>
        <w:jc w:val="center"/>
        <w:rPr>
          <w:rFonts w:ascii="Garamond" w:eastAsia="Garamond" w:hAnsi="Garamond" w:cs="Garamond"/>
          <w:color w:val="000000"/>
          <w:sz w:val="24"/>
          <w:szCs w:val="24"/>
        </w:rPr>
      </w:pPr>
      <w:r>
        <w:rPr>
          <w:rFonts w:ascii="Garamond" w:eastAsia="Garamond" w:hAnsi="Garamond" w:cs="Garamond"/>
          <w:color w:val="000000"/>
          <w:sz w:val="24"/>
          <w:szCs w:val="24"/>
        </w:rPr>
        <w:t>Apêndice I - Pontuação de Qualidade</w:t>
      </w:r>
    </w:p>
    <w:tbl>
      <w:tblPr>
        <w:tblStyle w:val="afb"/>
        <w:tblW w:w="8600" w:type="dxa"/>
        <w:tblInd w:w="0" w:type="dxa"/>
        <w:tblLayout w:type="fixed"/>
        <w:tblLook w:val="0400" w:firstRow="0" w:lastRow="0" w:firstColumn="0" w:lastColumn="0" w:noHBand="0" w:noVBand="1"/>
      </w:tblPr>
      <w:tblGrid>
        <w:gridCol w:w="1653"/>
        <w:gridCol w:w="4017"/>
        <w:gridCol w:w="2930"/>
      </w:tblGrid>
      <w:tr w:rsidR="00EC4499" w14:paraId="263BCD1A" w14:textId="77777777" w:rsidTr="0077090D">
        <w:trPr>
          <w:trHeight w:val="70"/>
        </w:trPr>
        <w:tc>
          <w:tcPr>
            <w:tcW w:w="1653" w:type="dxa"/>
            <w:tcBorders>
              <w:top w:val="single" w:sz="4" w:space="0" w:color="000000"/>
              <w:bottom w:val="single" w:sz="4" w:space="0" w:color="000000"/>
            </w:tcBorders>
            <w:shd w:val="clear" w:color="auto" w:fill="auto"/>
            <w:vAlign w:val="center"/>
          </w:tcPr>
          <w:p w14:paraId="059D8A2E" w14:textId="77777777" w:rsidR="00EC4499" w:rsidRDefault="00433EA7">
            <w:pPr>
              <w:spacing w:after="0" w:line="240" w:lineRule="auto"/>
              <w:rPr>
                <w:rFonts w:ascii="Garamond" w:eastAsia="Garamond" w:hAnsi="Garamond" w:cs="Garamond"/>
                <w:b/>
                <w:color w:val="000000"/>
                <w:sz w:val="18"/>
                <w:szCs w:val="18"/>
              </w:rPr>
            </w:pPr>
            <w:r>
              <w:rPr>
                <w:rFonts w:ascii="Garamond" w:eastAsia="Garamond" w:hAnsi="Garamond" w:cs="Garamond"/>
                <w:b/>
                <w:color w:val="000000"/>
                <w:sz w:val="18"/>
                <w:szCs w:val="18"/>
              </w:rPr>
              <w:t>Princípio GRI</w:t>
            </w:r>
          </w:p>
        </w:tc>
        <w:tc>
          <w:tcPr>
            <w:tcW w:w="4017" w:type="dxa"/>
            <w:tcBorders>
              <w:top w:val="single" w:sz="4" w:space="0" w:color="000000"/>
              <w:bottom w:val="single" w:sz="4" w:space="0" w:color="000000"/>
            </w:tcBorders>
            <w:shd w:val="clear" w:color="auto" w:fill="auto"/>
            <w:vAlign w:val="center"/>
          </w:tcPr>
          <w:p w14:paraId="07CAC787"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Perguntas</w:t>
            </w:r>
          </w:p>
        </w:tc>
        <w:tc>
          <w:tcPr>
            <w:tcW w:w="2930" w:type="dxa"/>
            <w:tcBorders>
              <w:top w:val="single" w:sz="4" w:space="0" w:color="000000"/>
              <w:bottom w:val="single" w:sz="4" w:space="0" w:color="000000"/>
            </w:tcBorders>
            <w:shd w:val="clear" w:color="auto" w:fill="auto"/>
            <w:vAlign w:val="center"/>
          </w:tcPr>
          <w:p w14:paraId="09553E18" w14:textId="77777777" w:rsidR="00EC4499" w:rsidRDefault="00433EA7">
            <w:pPr>
              <w:spacing w:after="0" w:line="240" w:lineRule="auto"/>
              <w:jc w:val="center"/>
              <w:rPr>
                <w:rFonts w:ascii="Garamond" w:eastAsia="Garamond" w:hAnsi="Garamond" w:cs="Garamond"/>
                <w:b/>
                <w:color w:val="000000"/>
                <w:sz w:val="18"/>
                <w:szCs w:val="18"/>
              </w:rPr>
            </w:pPr>
            <w:r>
              <w:rPr>
                <w:rFonts w:ascii="Garamond" w:eastAsia="Garamond" w:hAnsi="Garamond" w:cs="Garamond"/>
                <w:b/>
                <w:color w:val="000000"/>
                <w:sz w:val="18"/>
                <w:szCs w:val="18"/>
              </w:rPr>
              <w:t>Pontuação</w:t>
            </w:r>
          </w:p>
        </w:tc>
      </w:tr>
      <w:tr w:rsidR="00EC4499" w14:paraId="3543D26D" w14:textId="77777777" w:rsidTr="0077090D">
        <w:trPr>
          <w:trHeight w:val="1467"/>
        </w:trPr>
        <w:tc>
          <w:tcPr>
            <w:tcW w:w="1653" w:type="dxa"/>
            <w:vMerge w:val="restart"/>
            <w:tcBorders>
              <w:top w:val="single" w:sz="4" w:space="0" w:color="000000"/>
            </w:tcBorders>
            <w:shd w:val="clear" w:color="auto" w:fill="auto"/>
            <w:vAlign w:val="center"/>
          </w:tcPr>
          <w:p w14:paraId="5F3822A1" w14:textId="77777777" w:rsidR="00EC4499" w:rsidRDefault="00433EA7">
            <w:pPr>
              <w:spacing w:after="0" w:line="240" w:lineRule="auto"/>
              <w:rPr>
                <w:rFonts w:ascii="Garamond" w:eastAsia="Garamond" w:hAnsi="Garamond" w:cs="Garamond"/>
                <w:b/>
                <w:color w:val="000000"/>
                <w:sz w:val="18"/>
                <w:szCs w:val="18"/>
              </w:rPr>
            </w:pPr>
            <w:r>
              <w:rPr>
                <w:rFonts w:ascii="Garamond" w:eastAsia="Garamond" w:hAnsi="Garamond" w:cs="Garamond"/>
                <w:b/>
                <w:color w:val="000000"/>
                <w:sz w:val="18"/>
                <w:szCs w:val="18"/>
              </w:rPr>
              <w:t>Equilíbrio</w:t>
            </w:r>
          </w:p>
        </w:tc>
        <w:tc>
          <w:tcPr>
            <w:tcW w:w="4017" w:type="dxa"/>
            <w:tcBorders>
              <w:top w:val="single" w:sz="4" w:space="0" w:color="000000"/>
            </w:tcBorders>
            <w:shd w:val="clear" w:color="auto" w:fill="auto"/>
            <w:vAlign w:val="center"/>
          </w:tcPr>
          <w:p w14:paraId="07955F92"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P1: Até que ponto a organização destaca tanto os eventos/impactos positivos quanto os negativos?</w:t>
            </w:r>
          </w:p>
        </w:tc>
        <w:tc>
          <w:tcPr>
            <w:tcW w:w="2930" w:type="dxa"/>
            <w:tcBorders>
              <w:top w:val="single" w:sz="4" w:space="0" w:color="000000"/>
              <w:bottom w:val="single" w:sz="4" w:space="0" w:color="000000"/>
            </w:tcBorders>
            <w:shd w:val="clear" w:color="auto" w:fill="auto"/>
            <w:vAlign w:val="center"/>
          </w:tcPr>
          <w:p w14:paraId="088018CB"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0 = Não há menção a eventos/impactos negativos</w:t>
            </w:r>
            <w:r>
              <w:rPr>
                <w:rFonts w:ascii="Garamond" w:eastAsia="Garamond" w:hAnsi="Garamond" w:cs="Garamond"/>
                <w:color w:val="000000"/>
                <w:sz w:val="18"/>
                <w:szCs w:val="18"/>
              </w:rPr>
              <w:br/>
              <w:t>1 = Eventos/impactos negativos mencionados com menor destaque e/ou profundidade</w:t>
            </w:r>
            <w:r>
              <w:rPr>
                <w:rFonts w:ascii="Garamond" w:eastAsia="Garamond" w:hAnsi="Garamond" w:cs="Garamond"/>
                <w:color w:val="000000"/>
                <w:sz w:val="18"/>
                <w:szCs w:val="18"/>
              </w:rPr>
              <w:br/>
              <w:t xml:space="preserve">2 = Equilíbrio entre impactos/eventos positivos e negativos         </w:t>
            </w:r>
          </w:p>
        </w:tc>
      </w:tr>
      <w:tr w:rsidR="00EC4499" w14:paraId="1BB91B9F" w14:textId="77777777" w:rsidTr="0077090D">
        <w:trPr>
          <w:trHeight w:val="1461"/>
        </w:trPr>
        <w:tc>
          <w:tcPr>
            <w:tcW w:w="1653" w:type="dxa"/>
            <w:vMerge/>
            <w:tcBorders>
              <w:top w:val="single" w:sz="4" w:space="0" w:color="000000"/>
            </w:tcBorders>
            <w:shd w:val="clear" w:color="auto" w:fill="auto"/>
            <w:vAlign w:val="center"/>
          </w:tcPr>
          <w:p w14:paraId="05EC7FA9"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017" w:type="dxa"/>
            <w:tcBorders>
              <w:bottom w:val="single" w:sz="4" w:space="0" w:color="000000"/>
            </w:tcBorders>
            <w:shd w:val="clear" w:color="auto" w:fill="auto"/>
            <w:vAlign w:val="center"/>
          </w:tcPr>
          <w:p w14:paraId="5CEA24A0"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sz w:val="18"/>
                <w:szCs w:val="18"/>
              </w:rPr>
              <w:t>P2: A organização relata o principal desafio do setor relacionado à sustentabilidade, incluindo exemplos e dados</w:t>
            </w:r>
            <w:r>
              <w:rPr>
                <w:rFonts w:ascii="Garamond" w:eastAsia="Garamond" w:hAnsi="Garamond" w:cs="Garamond"/>
                <w:color w:val="000000"/>
                <w:sz w:val="18"/>
                <w:szCs w:val="18"/>
              </w:rPr>
              <w:t>?</w:t>
            </w:r>
          </w:p>
        </w:tc>
        <w:tc>
          <w:tcPr>
            <w:tcW w:w="2930" w:type="dxa"/>
            <w:tcBorders>
              <w:top w:val="single" w:sz="4" w:space="0" w:color="000000"/>
              <w:bottom w:val="single" w:sz="4" w:space="0" w:color="000000"/>
            </w:tcBorders>
            <w:shd w:val="clear" w:color="auto" w:fill="auto"/>
            <w:vAlign w:val="center"/>
          </w:tcPr>
          <w:p w14:paraId="1D8BEABD"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0 = Não há menção ao principal desafio do setor</w:t>
            </w:r>
            <w:r>
              <w:rPr>
                <w:rFonts w:ascii="Garamond" w:eastAsia="Garamond" w:hAnsi="Garamond" w:cs="Garamond"/>
                <w:color w:val="000000"/>
                <w:sz w:val="18"/>
                <w:szCs w:val="18"/>
              </w:rPr>
              <w:br/>
              <w:t xml:space="preserve">1 = Há menção, porém sem exemplos e dados </w:t>
            </w:r>
            <w:r>
              <w:rPr>
                <w:rFonts w:ascii="Garamond" w:eastAsia="Garamond" w:hAnsi="Garamond" w:cs="Garamond"/>
                <w:color w:val="000000"/>
                <w:sz w:val="18"/>
                <w:szCs w:val="18"/>
              </w:rPr>
              <w:br/>
              <w:t>2 = Há menção e exemplos e dados</w:t>
            </w:r>
          </w:p>
        </w:tc>
      </w:tr>
      <w:tr w:rsidR="00EC4499" w14:paraId="4DE4C436" w14:textId="77777777" w:rsidTr="0077090D">
        <w:trPr>
          <w:trHeight w:val="1254"/>
        </w:trPr>
        <w:tc>
          <w:tcPr>
            <w:tcW w:w="1653" w:type="dxa"/>
            <w:vMerge w:val="restart"/>
            <w:tcBorders>
              <w:top w:val="single" w:sz="4" w:space="0" w:color="000000"/>
            </w:tcBorders>
            <w:shd w:val="clear" w:color="auto" w:fill="auto"/>
            <w:vAlign w:val="center"/>
          </w:tcPr>
          <w:p w14:paraId="276556C4" w14:textId="77777777" w:rsidR="00EC4499" w:rsidRDefault="00433EA7">
            <w:pPr>
              <w:spacing w:after="0" w:line="240" w:lineRule="auto"/>
              <w:rPr>
                <w:rFonts w:ascii="Garamond" w:eastAsia="Garamond" w:hAnsi="Garamond" w:cs="Garamond"/>
                <w:b/>
                <w:color w:val="000000"/>
                <w:sz w:val="18"/>
                <w:szCs w:val="18"/>
              </w:rPr>
            </w:pPr>
            <w:r>
              <w:rPr>
                <w:rFonts w:ascii="Garamond" w:eastAsia="Garamond" w:hAnsi="Garamond" w:cs="Garamond"/>
                <w:b/>
                <w:color w:val="000000"/>
                <w:sz w:val="18"/>
                <w:szCs w:val="18"/>
              </w:rPr>
              <w:t>Comparabilidade</w:t>
            </w:r>
          </w:p>
        </w:tc>
        <w:tc>
          <w:tcPr>
            <w:tcW w:w="4017" w:type="dxa"/>
            <w:tcBorders>
              <w:top w:val="single" w:sz="4" w:space="0" w:color="000000"/>
            </w:tcBorders>
            <w:shd w:val="clear" w:color="auto" w:fill="auto"/>
            <w:vAlign w:val="center"/>
          </w:tcPr>
          <w:p w14:paraId="75BE52EC"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P1: A organização adota diretrizes, standards ou frameworks que permitam que as informações sejam comparáveis às de outras organizações?</w:t>
            </w:r>
          </w:p>
        </w:tc>
        <w:tc>
          <w:tcPr>
            <w:tcW w:w="2930" w:type="dxa"/>
            <w:tcBorders>
              <w:top w:val="single" w:sz="4" w:space="0" w:color="000000"/>
              <w:bottom w:val="single" w:sz="4" w:space="0" w:color="000000"/>
            </w:tcBorders>
            <w:shd w:val="clear" w:color="auto" w:fill="auto"/>
            <w:vAlign w:val="center"/>
          </w:tcPr>
          <w:p w14:paraId="21803101"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0 = Não adota nenhum standard ou framework</w:t>
            </w:r>
            <w:r>
              <w:rPr>
                <w:rFonts w:ascii="Garamond" w:eastAsia="Garamond" w:hAnsi="Garamond" w:cs="Garamond"/>
                <w:color w:val="000000"/>
                <w:sz w:val="18"/>
                <w:szCs w:val="18"/>
              </w:rPr>
              <w:br/>
              <w:t>1 = Adota um standard ou framework</w:t>
            </w:r>
            <w:r>
              <w:rPr>
                <w:rFonts w:ascii="Garamond" w:eastAsia="Garamond" w:hAnsi="Garamond" w:cs="Garamond"/>
                <w:color w:val="000000"/>
                <w:sz w:val="18"/>
                <w:szCs w:val="18"/>
              </w:rPr>
              <w:br/>
              <w:t xml:space="preserve">2 = Adota dois ou mais standards ou frameworks </w:t>
            </w:r>
          </w:p>
        </w:tc>
      </w:tr>
      <w:tr w:rsidR="00EC4499" w14:paraId="4BCACDDF" w14:textId="77777777" w:rsidTr="0077090D">
        <w:trPr>
          <w:trHeight w:val="1272"/>
        </w:trPr>
        <w:tc>
          <w:tcPr>
            <w:tcW w:w="1653" w:type="dxa"/>
            <w:vMerge/>
            <w:tcBorders>
              <w:top w:val="single" w:sz="4" w:space="0" w:color="000000"/>
            </w:tcBorders>
            <w:shd w:val="clear" w:color="auto" w:fill="auto"/>
            <w:vAlign w:val="center"/>
          </w:tcPr>
          <w:p w14:paraId="5C482515"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017" w:type="dxa"/>
            <w:tcBorders>
              <w:bottom w:val="single" w:sz="4" w:space="0" w:color="000000"/>
            </w:tcBorders>
            <w:shd w:val="clear" w:color="auto" w:fill="auto"/>
            <w:vAlign w:val="center"/>
          </w:tcPr>
          <w:p w14:paraId="56C36BD2"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P2: No relatório há comparação das informações ano a ano?</w:t>
            </w:r>
          </w:p>
        </w:tc>
        <w:tc>
          <w:tcPr>
            <w:tcW w:w="2930" w:type="dxa"/>
            <w:tcBorders>
              <w:top w:val="single" w:sz="4" w:space="0" w:color="000000"/>
              <w:bottom w:val="single" w:sz="4" w:space="0" w:color="000000"/>
            </w:tcBorders>
            <w:shd w:val="clear" w:color="auto" w:fill="auto"/>
            <w:vAlign w:val="center"/>
          </w:tcPr>
          <w:p w14:paraId="220C4549"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0 = Sem comparação</w:t>
            </w:r>
            <w:r>
              <w:rPr>
                <w:rFonts w:ascii="Garamond" w:eastAsia="Garamond" w:hAnsi="Garamond" w:cs="Garamond"/>
                <w:color w:val="000000"/>
                <w:sz w:val="18"/>
                <w:szCs w:val="18"/>
              </w:rPr>
              <w:br/>
              <w:t>1 = Comparação na maior parte com o ano anterior</w:t>
            </w:r>
            <w:r>
              <w:rPr>
                <w:rFonts w:ascii="Garamond" w:eastAsia="Garamond" w:hAnsi="Garamond" w:cs="Garamond"/>
                <w:color w:val="000000"/>
                <w:sz w:val="18"/>
                <w:szCs w:val="18"/>
              </w:rPr>
              <w:br/>
              <w:t>2 = Comparação na maior parte com dois ou mais anos anteriores</w:t>
            </w:r>
          </w:p>
        </w:tc>
      </w:tr>
      <w:tr w:rsidR="00EC4499" w14:paraId="2F9BFA64" w14:textId="77777777" w:rsidTr="0077090D">
        <w:trPr>
          <w:trHeight w:val="1260"/>
        </w:trPr>
        <w:tc>
          <w:tcPr>
            <w:tcW w:w="1653" w:type="dxa"/>
            <w:tcBorders>
              <w:top w:val="single" w:sz="4" w:space="0" w:color="000000"/>
              <w:bottom w:val="single" w:sz="4" w:space="0" w:color="000000"/>
            </w:tcBorders>
            <w:shd w:val="clear" w:color="auto" w:fill="auto"/>
            <w:vAlign w:val="center"/>
          </w:tcPr>
          <w:p w14:paraId="3E48C15F" w14:textId="77777777" w:rsidR="00EC4499" w:rsidRDefault="00433EA7">
            <w:pPr>
              <w:spacing w:after="0" w:line="240" w:lineRule="auto"/>
              <w:rPr>
                <w:rFonts w:ascii="Garamond" w:eastAsia="Garamond" w:hAnsi="Garamond" w:cs="Garamond"/>
                <w:b/>
                <w:color w:val="000000"/>
                <w:sz w:val="18"/>
                <w:szCs w:val="18"/>
              </w:rPr>
            </w:pPr>
            <w:r>
              <w:rPr>
                <w:rFonts w:ascii="Garamond" w:eastAsia="Garamond" w:hAnsi="Garamond" w:cs="Garamond"/>
                <w:b/>
                <w:color w:val="000000"/>
                <w:sz w:val="18"/>
                <w:szCs w:val="18"/>
              </w:rPr>
              <w:t>Exatidão</w:t>
            </w:r>
          </w:p>
        </w:tc>
        <w:tc>
          <w:tcPr>
            <w:tcW w:w="4017" w:type="dxa"/>
            <w:tcBorders>
              <w:top w:val="single" w:sz="4" w:space="0" w:color="000000"/>
              <w:bottom w:val="single" w:sz="4" w:space="0" w:color="000000"/>
            </w:tcBorders>
            <w:shd w:val="clear" w:color="auto" w:fill="auto"/>
            <w:vAlign w:val="center"/>
          </w:tcPr>
          <w:p w14:paraId="082F3FCB"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P1: As técnicas de medição e bases de cálculo das informações estão descritas?</w:t>
            </w:r>
          </w:p>
        </w:tc>
        <w:tc>
          <w:tcPr>
            <w:tcW w:w="2930" w:type="dxa"/>
            <w:tcBorders>
              <w:top w:val="single" w:sz="4" w:space="0" w:color="000000"/>
              <w:bottom w:val="single" w:sz="4" w:space="0" w:color="000000"/>
            </w:tcBorders>
            <w:shd w:val="clear" w:color="auto" w:fill="auto"/>
            <w:vAlign w:val="center"/>
          </w:tcPr>
          <w:p w14:paraId="17AEFFE7"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0 = Não estão descritas </w:t>
            </w:r>
            <w:r>
              <w:rPr>
                <w:rFonts w:ascii="Garamond" w:eastAsia="Garamond" w:hAnsi="Garamond" w:cs="Garamond"/>
                <w:color w:val="000000"/>
                <w:sz w:val="18"/>
                <w:szCs w:val="18"/>
              </w:rPr>
              <w:br/>
              <w:t>1 = Estão descritas na menor parte dos casos</w:t>
            </w:r>
            <w:r>
              <w:rPr>
                <w:rFonts w:ascii="Garamond" w:eastAsia="Garamond" w:hAnsi="Garamond" w:cs="Garamond"/>
                <w:color w:val="000000"/>
                <w:sz w:val="18"/>
                <w:szCs w:val="18"/>
              </w:rPr>
              <w:br/>
              <w:t>2 = Estão descritas na maior parte dos casos</w:t>
            </w:r>
          </w:p>
        </w:tc>
      </w:tr>
      <w:tr w:rsidR="00EC4499" w14:paraId="59D24B06" w14:textId="77777777" w:rsidTr="0077090D">
        <w:trPr>
          <w:trHeight w:val="841"/>
        </w:trPr>
        <w:tc>
          <w:tcPr>
            <w:tcW w:w="1653" w:type="dxa"/>
            <w:tcBorders>
              <w:top w:val="single" w:sz="4" w:space="0" w:color="000000"/>
            </w:tcBorders>
            <w:shd w:val="clear" w:color="auto" w:fill="auto"/>
            <w:vAlign w:val="center"/>
          </w:tcPr>
          <w:p w14:paraId="0DE18E05" w14:textId="77777777" w:rsidR="00EC4499" w:rsidRDefault="00433EA7">
            <w:pPr>
              <w:spacing w:after="0" w:line="240" w:lineRule="auto"/>
              <w:rPr>
                <w:rFonts w:ascii="Garamond" w:eastAsia="Garamond" w:hAnsi="Garamond" w:cs="Garamond"/>
                <w:b/>
                <w:color w:val="000000"/>
                <w:sz w:val="18"/>
                <w:szCs w:val="18"/>
              </w:rPr>
            </w:pPr>
            <w:r>
              <w:rPr>
                <w:rFonts w:ascii="Garamond" w:eastAsia="Garamond" w:hAnsi="Garamond" w:cs="Garamond"/>
                <w:b/>
                <w:color w:val="000000"/>
                <w:sz w:val="18"/>
                <w:szCs w:val="18"/>
              </w:rPr>
              <w:t>Tempestividade</w:t>
            </w:r>
          </w:p>
        </w:tc>
        <w:tc>
          <w:tcPr>
            <w:tcW w:w="4017" w:type="dxa"/>
            <w:tcBorders>
              <w:top w:val="single" w:sz="4" w:space="0" w:color="000000"/>
            </w:tcBorders>
            <w:shd w:val="clear" w:color="auto" w:fill="auto"/>
            <w:vAlign w:val="center"/>
          </w:tcPr>
          <w:p w14:paraId="2112186E"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P1: Os relatórios são emitidos regularmente e tempestivamente?</w:t>
            </w:r>
          </w:p>
        </w:tc>
        <w:tc>
          <w:tcPr>
            <w:tcW w:w="2930" w:type="dxa"/>
            <w:tcBorders>
              <w:top w:val="single" w:sz="4" w:space="0" w:color="000000"/>
              <w:bottom w:val="single" w:sz="4" w:space="0" w:color="000000"/>
            </w:tcBorders>
            <w:shd w:val="clear" w:color="auto" w:fill="auto"/>
            <w:vAlign w:val="center"/>
          </w:tcPr>
          <w:p w14:paraId="4E3FF9CB"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0 = Sem regularidade ou tempestividade</w:t>
            </w:r>
            <w:r>
              <w:rPr>
                <w:rFonts w:ascii="Garamond" w:eastAsia="Garamond" w:hAnsi="Garamond" w:cs="Garamond"/>
                <w:color w:val="000000"/>
                <w:sz w:val="18"/>
                <w:szCs w:val="18"/>
              </w:rPr>
              <w:br/>
              <w:t>1 = Com regularidade ou tempestividade</w:t>
            </w:r>
          </w:p>
          <w:p w14:paraId="075EC5AE"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2 = Com regularidade e tempestividade</w:t>
            </w:r>
          </w:p>
        </w:tc>
      </w:tr>
      <w:tr w:rsidR="00EC4499" w14:paraId="7B9A37C0" w14:textId="77777777" w:rsidTr="0077090D">
        <w:trPr>
          <w:trHeight w:val="510"/>
        </w:trPr>
        <w:tc>
          <w:tcPr>
            <w:tcW w:w="1653" w:type="dxa"/>
            <w:tcBorders>
              <w:top w:val="single" w:sz="4" w:space="0" w:color="000000"/>
              <w:bottom w:val="single" w:sz="4" w:space="0" w:color="000000"/>
            </w:tcBorders>
            <w:shd w:val="clear" w:color="auto" w:fill="auto"/>
            <w:vAlign w:val="center"/>
          </w:tcPr>
          <w:p w14:paraId="73950276" w14:textId="77777777" w:rsidR="00EC4499" w:rsidRDefault="00433EA7">
            <w:pPr>
              <w:spacing w:after="0" w:line="240" w:lineRule="auto"/>
              <w:rPr>
                <w:rFonts w:ascii="Garamond" w:eastAsia="Garamond" w:hAnsi="Garamond" w:cs="Garamond"/>
                <w:b/>
                <w:color w:val="000000"/>
                <w:sz w:val="18"/>
                <w:szCs w:val="18"/>
              </w:rPr>
            </w:pPr>
            <w:r>
              <w:rPr>
                <w:rFonts w:ascii="Garamond" w:eastAsia="Garamond" w:hAnsi="Garamond" w:cs="Garamond"/>
                <w:b/>
                <w:color w:val="000000"/>
                <w:sz w:val="18"/>
                <w:szCs w:val="18"/>
              </w:rPr>
              <w:t>Clareza</w:t>
            </w:r>
          </w:p>
        </w:tc>
        <w:tc>
          <w:tcPr>
            <w:tcW w:w="4017" w:type="dxa"/>
            <w:tcBorders>
              <w:top w:val="single" w:sz="4" w:space="0" w:color="000000"/>
              <w:bottom w:val="single" w:sz="4" w:space="0" w:color="000000"/>
            </w:tcBorders>
            <w:shd w:val="clear" w:color="auto" w:fill="auto"/>
            <w:vAlign w:val="center"/>
          </w:tcPr>
          <w:p w14:paraId="368C6E8A"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P1: São utilizados recursos para que os relatórios sejam acessíveis e compreensíveis?</w:t>
            </w:r>
          </w:p>
        </w:tc>
        <w:tc>
          <w:tcPr>
            <w:tcW w:w="2930" w:type="dxa"/>
            <w:tcBorders>
              <w:top w:val="single" w:sz="4" w:space="0" w:color="000000"/>
              <w:bottom w:val="single" w:sz="4" w:space="0" w:color="000000"/>
            </w:tcBorders>
            <w:shd w:val="clear" w:color="auto" w:fill="auto"/>
            <w:vAlign w:val="center"/>
          </w:tcPr>
          <w:p w14:paraId="44797FC5"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0 = Sem utilização de recursos</w:t>
            </w:r>
            <w:r>
              <w:rPr>
                <w:rFonts w:ascii="Garamond" w:eastAsia="Garamond" w:hAnsi="Garamond" w:cs="Garamond"/>
                <w:color w:val="000000"/>
                <w:sz w:val="18"/>
                <w:szCs w:val="18"/>
              </w:rPr>
              <w:br/>
              <w:t>1 = Utilização de minoria dos recursos</w:t>
            </w:r>
          </w:p>
          <w:p w14:paraId="04278807"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2 = Utilização de maioria dos recursos </w:t>
            </w:r>
          </w:p>
        </w:tc>
      </w:tr>
      <w:tr w:rsidR="00EC4499" w14:paraId="5CBF8FFC" w14:textId="77777777" w:rsidTr="0077090D">
        <w:trPr>
          <w:trHeight w:val="789"/>
        </w:trPr>
        <w:tc>
          <w:tcPr>
            <w:tcW w:w="1653" w:type="dxa"/>
            <w:vMerge w:val="restart"/>
            <w:tcBorders>
              <w:top w:val="single" w:sz="4" w:space="0" w:color="000000"/>
              <w:bottom w:val="single" w:sz="4" w:space="0" w:color="auto"/>
            </w:tcBorders>
            <w:shd w:val="clear" w:color="auto" w:fill="auto"/>
            <w:vAlign w:val="center"/>
          </w:tcPr>
          <w:p w14:paraId="6659BE54" w14:textId="77777777" w:rsidR="00EC4499" w:rsidRDefault="00433EA7">
            <w:pPr>
              <w:spacing w:after="0" w:line="240" w:lineRule="auto"/>
              <w:rPr>
                <w:rFonts w:ascii="Garamond" w:eastAsia="Garamond" w:hAnsi="Garamond" w:cs="Garamond"/>
                <w:b/>
                <w:color w:val="000000"/>
                <w:sz w:val="18"/>
                <w:szCs w:val="18"/>
              </w:rPr>
            </w:pPr>
            <w:r>
              <w:rPr>
                <w:rFonts w:ascii="Garamond" w:eastAsia="Garamond" w:hAnsi="Garamond" w:cs="Garamond"/>
                <w:b/>
                <w:color w:val="000000"/>
                <w:sz w:val="18"/>
                <w:szCs w:val="18"/>
              </w:rPr>
              <w:t>Verificabilidade</w:t>
            </w:r>
          </w:p>
        </w:tc>
        <w:tc>
          <w:tcPr>
            <w:tcW w:w="4017" w:type="dxa"/>
            <w:tcBorders>
              <w:top w:val="single" w:sz="4" w:space="0" w:color="000000"/>
            </w:tcBorders>
            <w:shd w:val="clear" w:color="auto" w:fill="auto"/>
            <w:vAlign w:val="center"/>
          </w:tcPr>
          <w:p w14:paraId="1BE786D7"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P1: O relatório conta com asseguração externa?</w:t>
            </w:r>
          </w:p>
        </w:tc>
        <w:tc>
          <w:tcPr>
            <w:tcW w:w="2930" w:type="dxa"/>
            <w:tcBorders>
              <w:top w:val="single" w:sz="4" w:space="0" w:color="000000"/>
              <w:bottom w:val="single" w:sz="4" w:space="0" w:color="000000"/>
            </w:tcBorders>
            <w:shd w:val="clear" w:color="auto" w:fill="auto"/>
            <w:vAlign w:val="center"/>
          </w:tcPr>
          <w:p w14:paraId="1C2CB648"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0 = Sem asseguração externa</w:t>
            </w:r>
            <w:r>
              <w:rPr>
                <w:rFonts w:ascii="Garamond" w:eastAsia="Garamond" w:hAnsi="Garamond" w:cs="Garamond"/>
                <w:color w:val="000000"/>
                <w:sz w:val="18"/>
                <w:szCs w:val="18"/>
              </w:rPr>
              <w:br/>
              <w:t>1 = Com asseguração externa limitada ou escopo restrito</w:t>
            </w:r>
          </w:p>
          <w:p w14:paraId="7A59A944"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2 = Com asseguração externa razoável e escopo amplo</w:t>
            </w:r>
          </w:p>
        </w:tc>
      </w:tr>
      <w:tr w:rsidR="00EC4499" w14:paraId="60F4570C" w14:textId="77777777" w:rsidTr="0077090D">
        <w:trPr>
          <w:trHeight w:val="510"/>
        </w:trPr>
        <w:tc>
          <w:tcPr>
            <w:tcW w:w="1653" w:type="dxa"/>
            <w:vMerge/>
            <w:tcBorders>
              <w:top w:val="single" w:sz="4" w:space="0" w:color="000000"/>
              <w:bottom w:val="single" w:sz="4" w:space="0" w:color="auto"/>
            </w:tcBorders>
            <w:shd w:val="clear" w:color="auto" w:fill="auto"/>
            <w:vAlign w:val="center"/>
          </w:tcPr>
          <w:p w14:paraId="3C03A12C" w14:textId="77777777" w:rsidR="00EC4499" w:rsidRDefault="00EC4499">
            <w:pPr>
              <w:widowControl w:val="0"/>
              <w:pBdr>
                <w:top w:val="nil"/>
                <w:left w:val="nil"/>
                <w:bottom w:val="nil"/>
                <w:right w:val="nil"/>
                <w:between w:val="nil"/>
              </w:pBdr>
              <w:spacing w:after="0" w:line="276" w:lineRule="auto"/>
              <w:rPr>
                <w:rFonts w:ascii="Garamond" w:eastAsia="Garamond" w:hAnsi="Garamond" w:cs="Garamond"/>
                <w:color w:val="000000"/>
                <w:sz w:val="18"/>
                <w:szCs w:val="18"/>
              </w:rPr>
            </w:pPr>
          </w:p>
        </w:tc>
        <w:tc>
          <w:tcPr>
            <w:tcW w:w="4017" w:type="dxa"/>
            <w:tcBorders>
              <w:bottom w:val="single" w:sz="4" w:space="0" w:color="000000"/>
            </w:tcBorders>
            <w:shd w:val="clear" w:color="auto" w:fill="auto"/>
            <w:vAlign w:val="center"/>
          </w:tcPr>
          <w:p w14:paraId="724ADAAA" w14:textId="77777777" w:rsidR="00EC4499" w:rsidRDefault="00433EA7">
            <w:pPr>
              <w:spacing w:after="0" w:line="240" w:lineRule="auto"/>
              <w:jc w:val="center"/>
              <w:rPr>
                <w:rFonts w:ascii="Garamond" w:eastAsia="Garamond" w:hAnsi="Garamond" w:cs="Garamond"/>
                <w:color w:val="000000"/>
                <w:sz w:val="18"/>
                <w:szCs w:val="18"/>
              </w:rPr>
            </w:pPr>
            <w:r>
              <w:rPr>
                <w:rFonts w:ascii="Garamond" w:eastAsia="Garamond" w:hAnsi="Garamond" w:cs="Garamond"/>
                <w:color w:val="000000"/>
                <w:sz w:val="18"/>
                <w:szCs w:val="18"/>
              </w:rPr>
              <w:t>P2: As informações de contato da organização são fornecidas e responsivas?</w:t>
            </w:r>
          </w:p>
        </w:tc>
        <w:tc>
          <w:tcPr>
            <w:tcW w:w="2930" w:type="dxa"/>
            <w:tcBorders>
              <w:top w:val="single" w:sz="4" w:space="0" w:color="000000"/>
              <w:bottom w:val="single" w:sz="4" w:space="0" w:color="000000"/>
            </w:tcBorders>
            <w:shd w:val="clear" w:color="auto" w:fill="auto"/>
            <w:vAlign w:val="center"/>
          </w:tcPr>
          <w:p w14:paraId="3CB3A91D"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0 = Sem informação de contato</w:t>
            </w:r>
            <w:r>
              <w:rPr>
                <w:rFonts w:ascii="Garamond" w:eastAsia="Garamond" w:hAnsi="Garamond" w:cs="Garamond"/>
                <w:color w:val="000000"/>
                <w:sz w:val="18"/>
                <w:szCs w:val="18"/>
              </w:rPr>
              <w:br/>
              <w:t>1 = Com informação não responsiva</w:t>
            </w:r>
          </w:p>
          <w:p w14:paraId="536B9307" w14:textId="77777777" w:rsidR="00EC4499" w:rsidRDefault="00433EA7">
            <w:pPr>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2 = Com informação responsiva</w:t>
            </w:r>
          </w:p>
        </w:tc>
      </w:tr>
    </w:tbl>
    <w:p w14:paraId="0A6004B8" w14:textId="77777777" w:rsidR="00EC4499" w:rsidRDefault="00EC4499" w:rsidP="0077090D">
      <w:pPr>
        <w:spacing w:after="0" w:line="360" w:lineRule="auto"/>
        <w:rPr>
          <w:rFonts w:ascii="Garamond" w:eastAsia="Garamond" w:hAnsi="Garamond" w:cs="Garamond"/>
          <w:color w:val="000000"/>
          <w:sz w:val="24"/>
          <w:szCs w:val="24"/>
        </w:rPr>
      </w:pPr>
    </w:p>
    <w:p w14:paraId="20A1B8AC" w14:textId="77777777" w:rsidR="00EC4499" w:rsidRDefault="00433EA7">
      <w:pPr>
        <w:pStyle w:val="Ttulo"/>
        <w:pageBreakBefore/>
        <w:spacing w:after="0" w:line="360" w:lineRule="auto"/>
        <w:rPr>
          <w:rFonts w:ascii="Garamond" w:eastAsia="Garamond" w:hAnsi="Garamond" w:cs="Garamond"/>
          <w:sz w:val="36"/>
          <w:szCs w:val="36"/>
        </w:rPr>
      </w:pPr>
      <w:bookmarkStart w:id="29" w:name="_heading=h.3h6uyph4b01t" w:colFirst="0" w:colLast="0"/>
      <w:bookmarkEnd w:id="29"/>
      <w:r>
        <w:rPr>
          <w:rFonts w:ascii="Garamond" w:eastAsia="Garamond" w:hAnsi="Garamond" w:cs="Garamond"/>
          <w:sz w:val="36"/>
          <w:szCs w:val="36"/>
        </w:rPr>
        <w:lastRenderedPageBreak/>
        <w:t xml:space="preserve">Referências bibliográficas </w:t>
      </w:r>
    </w:p>
    <w:p w14:paraId="7736704E" w14:textId="77777777" w:rsidR="00EC4499" w:rsidRDefault="00EC4499">
      <w:pPr>
        <w:spacing w:after="0" w:line="360" w:lineRule="auto"/>
        <w:rPr>
          <w:rFonts w:ascii="Garamond" w:eastAsia="Garamond" w:hAnsi="Garamond" w:cs="Garamond"/>
          <w:color w:val="000000"/>
          <w:sz w:val="24"/>
          <w:szCs w:val="24"/>
        </w:rPr>
      </w:pPr>
    </w:p>
    <w:p w14:paraId="7E7F47A9" w14:textId="5A114909" w:rsidR="00EC4499" w:rsidRDefault="00433EA7">
      <w:pPr>
        <w:spacing w:after="0" w:line="360" w:lineRule="auto"/>
        <w:jc w:val="both"/>
        <w:rPr>
          <w:rFonts w:ascii="Garamond" w:eastAsia="Garamond" w:hAnsi="Garamond" w:cs="Garamond"/>
          <w:color w:val="000000"/>
          <w:sz w:val="24"/>
          <w:szCs w:val="24"/>
        </w:rPr>
      </w:pPr>
      <w:r>
        <w:rPr>
          <w:rFonts w:ascii="Garamond" w:eastAsia="Garamond" w:hAnsi="Garamond" w:cs="Garamond"/>
          <w:color w:val="000000"/>
          <w:sz w:val="24"/>
          <w:szCs w:val="24"/>
        </w:rPr>
        <w:t>Acionista. (2021). Conselho Consultivo da GRI no Brasil divulga lista com empresas mais transparentes em sustentabilidade.</w:t>
      </w:r>
      <w:r>
        <w:rPr>
          <w:rFonts w:ascii="Garamond" w:eastAsia="Garamond" w:hAnsi="Garamond" w:cs="Garamond"/>
          <w:sz w:val="24"/>
          <w:szCs w:val="24"/>
        </w:rPr>
        <w:t xml:space="preserve"> Retirado do site Acionistas </w:t>
      </w:r>
      <w:hyperlink r:id="rId20">
        <w:r>
          <w:rPr>
            <w:rFonts w:ascii="Garamond" w:eastAsia="Garamond" w:hAnsi="Garamond" w:cs="Garamond"/>
            <w:sz w:val="24"/>
            <w:szCs w:val="24"/>
          </w:rPr>
          <w:t>https://acionista.com.br/conselho-consultivo-da-gri-no-brasil-divulga-lista-com-empresas-mais-transparentes-em-sustentabilidade/</w:t>
        </w:r>
      </w:hyperlink>
      <w:r>
        <w:rPr>
          <w:rFonts w:ascii="Garamond" w:eastAsia="Garamond" w:hAnsi="Garamond" w:cs="Garamond"/>
          <w:sz w:val="24"/>
          <w:szCs w:val="24"/>
        </w:rPr>
        <w:t xml:space="preserve"> ace</w:t>
      </w:r>
      <w:r w:rsidR="00A96444">
        <w:rPr>
          <w:rFonts w:ascii="Garamond" w:eastAsia="Garamond" w:hAnsi="Garamond" w:cs="Garamond"/>
          <w:sz w:val="24"/>
          <w:szCs w:val="24"/>
        </w:rPr>
        <w:t>s</w:t>
      </w:r>
      <w:r>
        <w:rPr>
          <w:rFonts w:ascii="Garamond" w:eastAsia="Garamond" w:hAnsi="Garamond" w:cs="Garamond"/>
          <w:sz w:val="24"/>
          <w:szCs w:val="24"/>
        </w:rPr>
        <w:t>sado em 15 de dezembro de 2023.</w:t>
      </w:r>
    </w:p>
    <w:p w14:paraId="73ED0AD0" w14:textId="77777777" w:rsidR="00EC4499" w:rsidRDefault="00EC4499">
      <w:pPr>
        <w:spacing w:after="0" w:line="360" w:lineRule="auto"/>
        <w:jc w:val="both"/>
        <w:rPr>
          <w:rFonts w:ascii="Garamond" w:eastAsia="Garamond" w:hAnsi="Garamond" w:cs="Garamond"/>
          <w:color w:val="000000"/>
          <w:sz w:val="24"/>
          <w:szCs w:val="24"/>
        </w:rPr>
      </w:pPr>
    </w:p>
    <w:p w14:paraId="67C4C778" w14:textId="77777777" w:rsidR="00EC4499" w:rsidRDefault="00433EA7">
      <w:pPr>
        <w:spacing w:after="0" w:line="360" w:lineRule="auto"/>
        <w:jc w:val="both"/>
        <w:rPr>
          <w:rFonts w:ascii="Garamond" w:eastAsia="Garamond" w:hAnsi="Garamond" w:cs="Garamond"/>
          <w:color w:val="000000"/>
          <w:sz w:val="24"/>
          <w:szCs w:val="24"/>
          <w:highlight w:val="white"/>
        </w:rPr>
      </w:pPr>
      <w:r>
        <w:rPr>
          <w:rFonts w:ascii="Garamond" w:eastAsia="Garamond" w:hAnsi="Garamond" w:cs="Garamond"/>
          <w:color w:val="000000"/>
          <w:sz w:val="24"/>
          <w:szCs w:val="24"/>
        </w:rPr>
        <w:t xml:space="preserve">Assis, Machado de (1957). </w:t>
      </w:r>
      <w:r>
        <w:rPr>
          <w:rFonts w:ascii="Garamond" w:eastAsia="Garamond" w:hAnsi="Garamond" w:cs="Garamond"/>
          <w:color w:val="000000"/>
          <w:sz w:val="24"/>
          <w:szCs w:val="24"/>
          <w:highlight w:val="white"/>
        </w:rPr>
        <w:t xml:space="preserve">Relíquias de Casa Velha. </w:t>
      </w:r>
      <w:r>
        <w:rPr>
          <w:rFonts w:ascii="Garamond" w:eastAsia="Garamond" w:hAnsi="Garamond" w:cs="Garamond"/>
          <w:i/>
          <w:color w:val="000000"/>
          <w:sz w:val="24"/>
          <w:szCs w:val="24"/>
          <w:highlight w:val="white"/>
        </w:rPr>
        <w:t>Obras Completas de Machado de Assis</w:t>
      </w:r>
      <w:r>
        <w:rPr>
          <w:rFonts w:ascii="Garamond" w:eastAsia="Garamond" w:hAnsi="Garamond" w:cs="Garamond"/>
          <w:color w:val="000000"/>
          <w:sz w:val="24"/>
          <w:szCs w:val="24"/>
          <w:highlight w:val="white"/>
        </w:rPr>
        <w:t>, Vol.17. São Paulo: W. M. Jackson Inc. Ed.</w:t>
      </w:r>
    </w:p>
    <w:p w14:paraId="032534D1" w14:textId="77777777" w:rsidR="00EC4499" w:rsidRDefault="00EC4499">
      <w:pPr>
        <w:spacing w:after="0" w:line="360" w:lineRule="auto"/>
        <w:ind w:left="357"/>
        <w:jc w:val="both"/>
        <w:rPr>
          <w:rFonts w:ascii="Garamond" w:eastAsia="Garamond" w:hAnsi="Garamond" w:cs="Garamond"/>
          <w:color w:val="000000"/>
          <w:sz w:val="24"/>
          <w:szCs w:val="24"/>
        </w:rPr>
      </w:pPr>
    </w:p>
    <w:p w14:paraId="4567F0D2" w14:textId="2B3E3A99" w:rsidR="00EC4499" w:rsidRDefault="00433EA7">
      <w:pPr>
        <w:spacing w:after="0" w:line="360" w:lineRule="auto"/>
        <w:jc w:val="both"/>
        <w:rPr>
          <w:rFonts w:ascii="Garamond" w:eastAsia="Garamond" w:hAnsi="Garamond" w:cs="Garamond"/>
          <w:sz w:val="24"/>
          <w:szCs w:val="24"/>
        </w:rPr>
      </w:pPr>
      <w:r>
        <w:rPr>
          <w:rFonts w:ascii="Garamond" w:eastAsia="Garamond" w:hAnsi="Garamond" w:cs="Garamond"/>
          <w:sz w:val="24"/>
          <w:szCs w:val="24"/>
        </w:rPr>
        <w:t>Avrampou</w:t>
      </w:r>
      <w:r w:rsidR="009125A7">
        <w:rPr>
          <w:rFonts w:ascii="Garamond" w:eastAsia="Garamond" w:hAnsi="Garamond" w:cs="Garamond"/>
          <w:sz w:val="24"/>
          <w:szCs w:val="24"/>
        </w:rPr>
        <w:t>,</w:t>
      </w:r>
      <w:r>
        <w:rPr>
          <w:rFonts w:ascii="Garamond" w:eastAsia="Garamond" w:hAnsi="Garamond" w:cs="Garamond"/>
          <w:sz w:val="24"/>
          <w:szCs w:val="24"/>
        </w:rPr>
        <w:t xml:space="preserve"> A</w:t>
      </w:r>
      <w:r w:rsidR="009125A7">
        <w:rPr>
          <w:rFonts w:ascii="Garamond" w:eastAsia="Garamond" w:hAnsi="Garamond" w:cs="Garamond"/>
          <w:sz w:val="24"/>
          <w:szCs w:val="24"/>
        </w:rPr>
        <w:t>.</w:t>
      </w:r>
      <w:r>
        <w:rPr>
          <w:rFonts w:ascii="Garamond" w:eastAsia="Garamond" w:hAnsi="Garamond" w:cs="Garamond"/>
          <w:sz w:val="24"/>
          <w:szCs w:val="24"/>
        </w:rPr>
        <w:t>, Skouloudis</w:t>
      </w:r>
      <w:r w:rsidR="009125A7">
        <w:rPr>
          <w:rFonts w:ascii="Garamond" w:eastAsia="Garamond" w:hAnsi="Garamond" w:cs="Garamond"/>
          <w:sz w:val="24"/>
          <w:szCs w:val="24"/>
        </w:rPr>
        <w:t>,</w:t>
      </w:r>
      <w:r>
        <w:rPr>
          <w:rFonts w:ascii="Garamond" w:eastAsia="Garamond" w:hAnsi="Garamond" w:cs="Garamond"/>
          <w:sz w:val="24"/>
          <w:szCs w:val="24"/>
        </w:rPr>
        <w:t xml:space="preserve"> A</w:t>
      </w:r>
      <w:r w:rsidR="009125A7">
        <w:rPr>
          <w:rFonts w:ascii="Garamond" w:eastAsia="Garamond" w:hAnsi="Garamond" w:cs="Garamond"/>
          <w:sz w:val="24"/>
          <w:szCs w:val="24"/>
        </w:rPr>
        <w:t>.</w:t>
      </w:r>
      <w:r>
        <w:rPr>
          <w:rFonts w:ascii="Garamond" w:eastAsia="Garamond" w:hAnsi="Garamond" w:cs="Garamond"/>
          <w:sz w:val="24"/>
          <w:szCs w:val="24"/>
        </w:rPr>
        <w:t>, Iliopoulos</w:t>
      </w:r>
      <w:r w:rsidR="009125A7">
        <w:rPr>
          <w:rFonts w:ascii="Garamond" w:eastAsia="Garamond" w:hAnsi="Garamond" w:cs="Garamond"/>
          <w:sz w:val="24"/>
          <w:szCs w:val="24"/>
        </w:rPr>
        <w:t>,</w:t>
      </w:r>
      <w:r>
        <w:rPr>
          <w:rFonts w:ascii="Garamond" w:eastAsia="Garamond" w:hAnsi="Garamond" w:cs="Garamond"/>
          <w:sz w:val="24"/>
          <w:szCs w:val="24"/>
        </w:rPr>
        <w:t xml:space="preserve"> G</w:t>
      </w:r>
      <w:r w:rsidR="009125A7">
        <w:rPr>
          <w:rFonts w:ascii="Garamond" w:eastAsia="Garamond" w:hAnsi="Garamond" w:cs="Garamond"/>
          <w:sz w:val="24"/>
          <w:szCs w:val="24"/>
        </w:rPr>
        <w:t>.</w:t>
      </w:r>
      <w:r>
        <w:rPr>
          <w:rFonts w:ascii="Garamond" w:eastAsia="Garamond" w:hAnsi="Garamond" w:cs="Garamond"/>
          <w:sz w:val="24"/>
          <w:szCs w:val="24"/>
        </w:rPr>
        <w:t xml:space="preserve">, </w:t>
      </w:r>
      <w:r w:rsidR="009125A7">
        <w:rPr>
          <w:rFonts w:ascii="Garamond" w:eastAsia="Garamond" w:hAnsi="Garamond" w:cs="Garamond"/>
          <w:sz w:val="24"/>
          <w:szCs w:val="24"/>
        </w:rPr>
        <w:t xml:space="preserve">&amp; </w:t>
      </w:r>
      <w:r>
        <w:rPr>
          <w:rFonts w:ascii="Garamond" w:eastAsia="Garamond" w:hAnsi="Garamond" w:cs="Garamond"/>
          <w:sz w:val="24"/>
          <w:szCs w:val="24"/>
        </w:rPr>
        <w:t>Khan</w:t>
      </w:r>
      <w:r w:rsidR="009125A7">
        <w:rPr>
          <w:rFonts w:ascii="Garamond" w:eastAsia="Garamond" w:hAnsi="Garamond" w:cs="Garamond"/>
          <w:sz w:val="24"/>
          <w:szCs w:val="24"/>
        </w:rPr>
        <w:t>,</w:t>
      </w:r>
      <w:r>
        <w:rPr>
          <w:rFonts w:ascii="Garamond" w:eastAsia="Garamond" w:hAnsi="Garamond" w:cs="Garamond"/>
          <w:sz w:val="24"/>
          <w:szCs w:val="24"/>
        </w:rPr>
        <w:t xml:space="preserve"> N. (2019). </w:t>
      </w:r>
      <w:r w:rsidRPr="00F73D0C">
        <w:rPr>
          <w:rFonts w:ascii="Garamond" w:eastAsia="Garamond" w:hAnsi="Garamond" w:cs="Garamond"/>
          <w:sz w:val="24"/>
          <w:szCs w:val="24"/>
          <w:lang w:val="en-GB"/>
        </w:rPr>
        <w:t xml:space="preserve">Advancing the Sustainable Development Goals: Evidence from leading European banks. </w:t>
      </w:r>
      <w:r>
        <w:rPr>
          <w:rFonts w:ascii="Garamond" w:eastAsia="Garamond" w:hAnsi="Garamond" w:cs="Garamond"/>
          <w:i/>
          <w:sz w:val="24"/>
          <w:szCs w:val="24"/>
        </w:rPr>
        <w:t>Sustainable Development</w:t>
      </w:r>
      <w:r w:rsidR="009125A7">
        <w:rPr>
          <w:rFonts w:ascii="Garamond" w:eastAsia="Garamond" w:hAnsi="Garamond" w:cs="Garamond"/>
          <w:sz w:val="24"/>
          <w:szCs w:val="24"/>
        </w:rPr>
        <w:t xml:space="preserve">, </w:t>
      </w:r>
      <w:r>
        <w:rPr>
          <w:rFonts w:ascii="Garamond" w:eastAsia="Garamond" w:hAnsi="Garamond" w:cs="Garamond"/>
          <w:sz w:val="24"/>
          <w:szCs w:val="24"/>
        </w:rPr>
        <w:t xml:space="preserve">27, 743–757. </w:t>
      </w:r>
      <w:hyperlink r:id="rId21">
        <w:r>
          <w:rPr>
            <w:rFonts w:ascii="Garamond" w:eastAsia="Garamond" w:hAnsi="Garamond" w:cs="Garamond"/>
            <w:sz w:val="24"/>
            <w:szCs w:val="24"/>
          </w:rPr>
          <w:t>https://doi.org/10.1002/sd.1938</w:t>
        </w:r>
      </w:hyperlink>
    </w:p>
    <w:p w14:paraId="01127C50" w14:textId="77777777" w:rsidR="00B17B44" w:rsidRDefault="00B17B44">
      <w:pPr>
        <w:spacing w:after="0" w:line="360" w:lineRule="auto"/>
        <w:jc w:val="both"/>
        <w:rPr>
          <w:rFonts w:ascii="Garamond" w:eastAsia="Garamond" w:hAnsi="Garamond" w:cs="Garamond"/>
          <w:sz w:val="24"/>
          <w:szCs w:val="24"/>
        </w:rPr>
      </w:pPr>
    </w:p>
    <w:p w14:paraId="6FD44943" w14:textId="341FA339" w:rsidR="00B17B44" w:rsidRDefault="00B17B44" w:rsidP="00B17B44">
      <w:pPr>
        <w:spacing w:after="0" w:line="360" w:lineRule="auto"/>
        <w:jc w:val="both"/>
        <w:rPr>
          <w:rFonts w:ascii="Garamond" w:eastAsia="Garamond" w:hAnsi="Garamond" w:cs="Garamond"/>
          <w:sz w:val="24"/>
          <w:szCs w:val="24"/>
        </w:rPr>
      </w:pPr>
      <w:r w:rsidRPr="0036347D">
        <w:rPr>
          <w:rFonts w:ascii="Garamond" w:eastAsia="Garamond" w:hAnsi="Garamond" w:cs="Garamond"/>
          <w:sz w:val="24"/>
          <w:szCs w:val="24"/>
        </w:rPr>
        <w:t>Azevedo, R.</w:t>
      </w:r>
      <w:r w:rsidRPr="0036347D">
        <w:rPr>
          <w:rFonts w:ascii="Garamond" w:eastAsia="Garamond" w:hAnsi="Garamond" w:cs="Garamond"/>
          <w:color w:val="000000"/>
          <w:sz w:val="24"/>
          <w:szCs w:val="24"/>
        </w:rPr>
        <w:t xml:space="preserve"> (2023).</w:t>
      </w:r>
      <w:r>
        <w:rPr>
          <w:rFonts w:ascii="Garamond" w:eastAsia="Garamond" w:hAnsi="Garamond" w:cs="Garamond"/>
          <w:color w:val="000000"/>
          <w:sz w:val="24"/>
          <w:szCs w:val="24"/>
        </w:rPr>
        <w:t xml:space="preserve"> Dívida atualizada da Americanas com cinco maiores bancos credores é de quase R$ 18 bi. </w:t>
      </w:r>
      <w:r>
        <w:rPr>
          <w:rFonts w:ascii="Garamond" w:eastAsia="Garamond" w:hAnsi="Garamond" w:cs="Garamond"/>
          <w:i/>
          <w:color w:val="000000"/>
          <w:sz w:val="24"/>
          <w:szCs w:val="24"/>
        </w:rPr>
        <w:t xml:space="preserve">Jornal Valor Econômico. </w:t>
      </w:r>
      <w:r>
        <w:rPr>
          <w:rFonts w:ascii="Garamond" w:eastAsia="Garamond" w:hAnsi="Garamond" w:cs="Garamond"/>
          <w:color w:val="000000"/>
          <w:sz w:val="24"/>
          <w:szCs w:val="24"/>
        </w:rPr>
        <w:t>São Paulo: Grupo G</w:t>
      </w:r>
      <w:r>
        <w:rPr>
          <w:rFonts w:ascii="Garamond" w:eastAsia="Garamond" w:hAnsi="Garamond" w:cs="Garamond"/>
          <w:sz w:val="24"/>
          <w:szCs w:val="24"/>
        </w:rPr>
        <w:t xml:space="preserve">lobo. Retirado de Jornal Valor Econômico </w:t>
      </w:r>
      <w:hyperlink r:id="rId22">
        <w:r>
          <w:rPr>
            <w:rFonts w:ascii="Garamond" w:eastAsia="Garamond" w:hAnsi="Garamond" w:cs="Garamond"/>
            <w:sz w:val="24"/>
            <w:szCs w:val="24"/>
          </w:rPr>
          <w:t>https://valorinveste.globo.com/google/amp/produtos/renda-fixa/debentures-e-divida-privada/noticia/2023/02/13/divida-atualizada-da-americanas-com-cinco-maiores-bancos-credores-e-de-quase-r-18-bi.ghtml</w:t>
        </w:r>
      </w:hyperlink>
      <w:r>
        <w:rPr>
          <w:rFonts w:ascii="Garamond" w:eastAsia="Garamond" w:hAnsi="Garamond" w:cs="Garamond"/>
          <w:sz w:val="24"/>
          <w:szCs w:val="24"/>
        </w:rPr>
        <w:t xml:space="preserve"> acess</w:t>
      </w:r>
      <w:r w:rsidR="000758B0">
        <w:rPr>
          <w:rFonts w:ascii="Garamond" w:eastAsia="Garamond" w:hAnsi="Garamond" w:cs="Garamond"/>
          <w:sz w:val="24"/>
          <w:szCs w:val="24"/>
        </w:rPr>
        <w:t>ad</w:t>
      </w:r>
      <w:r>
        <w:rPr>
          <w:rFonts w:ascii="Garamond" w:eastAsia="Garamond" w:hAnsi="Garamond" w:cs="Garamond"/>
          <w:sz w:val="24"/>
          <w:szCs w:val="24"/>
        </w:rPr>
        <w:t xml:space="preserve">o em 10 de dezembro de 2023. </w:t>
      </w:r>
    </w:p>
    <w:p w14:paraId="3F8E794A" w14:textId="77777777" w:rsidR="00EC4499" w:rsidRDefault="00EC4499">
      <w:pPr>
        <w:pBdr>
          <w:top w:val="nil"/>
          <w:left w:val="nil"/>
          <w:bottom w:val="nil"/>
          <w:right w:val="nil"/>
          <w:between w:val="nil"/>
        </w:pBdr>
        <w:spacing w:after="0" w:line="360" w:lineRule="auto"/>
        <w:ind w:firstLine="360"/>
        <w:jc w:val="both"/>
        <w:rPr>
          <w:rFonts w:ascii="Garamond" w:eastAsia="Garamond" w:hAnsi="Garamond" w:cs="Garamond"/>
          <w:sz w:val="24"/>
          <w:szCs w:val="24"/>
        </w:rPr>
      </w:pPr>
    </w:p>
    <w:p w14:paraId="57CFE3EC" w14:textId="0A6F1C2B" w:rsidR="00EC4499" w:rsidRDefault="00433EA7">
      <w:pPr>
        <w:pBdr>
          <w:top w:val="nil"/>
          <w:left w:val="nil"/>
          <w:bottom w:val="nil"/>
          <w:right w:val="nil"/>
          <w:between w:val="nil"/>
        </w:pBdr>
        <w:spacing w:after="0" w:line="360" w:lineRule="auto"/>
        <w:jc w:val="both"/>
        <w:rPr>
          <w:rFonts w:ascii="Garamond" w:eastAsia="Garamond" w:hAnsi="Garamond" w:cs="Garamond"/>
          <w:sz w:val="24"/>
          <w:szCs w:val="24"/>
        </w:rPr>
      </w:pPr>
      <w:r>
        <w:rPr>
          <w:rFonts w:ascii="Garamond" w:eastAsia="Garamond" w:hAnsi="Garamond" w:cs="Garamond"/>
          <w:sz w:val="24"/>
          <w:szCs w:val="24"/>
        </w:rPr>
        <w:t>Banco Central do Brasil.</w:t>
      </w:r>
      <w:r w:rsidR="00ED6C1B">
        <w:rPr>
          <w:rFonts w:ascii="Garamond" w:eastAsia="Garamond" w:hAnsi="Garamond" w:cs="Garamond"/>
          <w:sz w:val="24"/>
          <w:szCs w:val="24"/>
        </w:rPr>
        <w:t xml:space="preserve"> (n.d.).</w:t>
      </w:r>
      <w:r>
        <w:rPr>
          <w:rFonts w:ascii="Garamond" w:eastAsia="Garamond" w:hAnsi="Garamond" w:cs="Garamond"/>
          <w:sz w:val="24"/>
          <w:szCs w:val="24"/>
        </w:rPr>
        <w:t xml:space="preserve"> Sustentabilidade. Retirado do site do Banco do Brasil em </w:t>
      </w:r>
      <w:hyperlink r:id="rId23">
        <w:r>
          <w:rPr>
            <w:rFonts w:ascii="Garamond" w:eastAsia="Garamond" w:hAnsi="Garamond" w:cs="Garamond"/>
            <w:sz w:val="24"/>
            <w:szCs w:val="24"/>
          </w:rPr>
          <w:t>https://www.bcb.gov.br/estabilidadefinanceira/sustentabilida</w:t>
        </w:r>
      </w:hyperlink>
      <w:hyperlink r:id="rId24">
        <w:r>
          <w:rPr>
            <w:rFonts w:ascii="Garamond" w:eastAsia="Garamond" w:hAnsi="Garamond" w:cs="Garamond"/>
            <w:sz w:val="24"/>
            <w:szCs w:val="24"/>
          </w:rPr>
          <w:t>de</w:t>
        </w:r>
      </w:hyperlink>
      <w:r>
        <w:rPr>
          <w:rFonts w:ascii="Garamond" w:eastAsia="Garamond" w:hAnsi="Garamond" w:cs="Garamond"/>
          <w:sz w:val="24"/>
          <w:szCs w:val="24"/>
        </w:rPr>
        <w:t>, acessado em 15 de dezembro de 2023.</w:t>
      </w:r>
    </w:p>
    <w:p w14:paraId="5D67BEFB" w14:textId="77777777" w:rsidR="00EC4499" w:rsidRDefault="00EC4499">
      <w:pPr>
        <w:pBdr>
          <w:top w:val="nil"/>
          <w:left w:val="nil"/>
          <w:bottom w:val="nil"/>
          <w:right w:val="nil"/>
          <w:between w:val="nil"/>
        </w:pBdr>
        <w:spacing w:after="0" w:line="360" w:lineRule="auto"/>
        <w:jc w:val="both"/>
        <w:rPr>
          <w:rFonts w:ascii="Garamond" w:eastAsia="Garamond" w:hAnsi="Garamond" w:cs="Garamond"/>
          <w:color w:val="000000"/>
          <w:sz w:val="24"/>
          <w:szCs w:val="24"/>
        </w:rPr>
      </w:pPr>
    </w:p>
    <w:p w14:paraId="701692C0" w14:textId="77777777" w:rsidR="00EC4499" w:rsidRDefault="00433EA7">
      <w:pPr>
        <w:pBdr>
          <w:top w:val="nil"/>
          <w:left w:val="nil"/>
          <w:bottom w:val="nil"/>
          <w:right w:val="nil"/>
          <w:between w:val="nil"/>
        </w:pBdr>
        <w:spacing w:after="0" w:line="360" w:lineRule="auto"/>
        <w:jc w:val="both"/>
        <w:rPr>
          <w:rFonts w:ascii="Garamond" w:eastAsia="Garamond" w:hAnsi="Garamond" w:cs="Garamond"/>
          <w:sz w:val="24"/>
          <w:szCs w:val="24"/>
        </w:rPr>
      </w:pPr>
      <w:r>
        <w:rPr>
          <w:rFonts w:ascii="Garamond" w:eastAsia="Garamond" w:hAnsi="Garamond" w:cs="Garamond"/>
          <w:color w:val="000000"/>
          <w:sz w:val="24"/>
          <w:szCs w:val="24"/>
        </w:rPr>
        <w:t xml:space="preserve">Banco Central do Brasil. (2022). </w:t>
      </w:r>
      <w:r>
        <w:rPr>
          <w:rFonts w:ascii="Garamond" w:eastAsia="Garamond" w:hAnsi="Garamond" w:cs="Garamond"/>
          <w:i/>
          <w:color w:val="000000"/>
          <w:sz w:val="24"/>
          <w:szCs w:val="24"/>
        </w:rPr>
        <w:t>Série cidadania financeira : estudos sobre educação, proteção e inclusã</w:t>
      </w:r>
      <w:r>
        <w:rPr>
          <w:rFonts w:ascii="Garamond" w:eastAsia="Garamond" w:hAnsi="Garamond" w:cs="Garamond"/>
          <w:i/>
          <w:sz w:val="24"/>
          <w:szCs w:val="24"/>
        </w:rPr>
        <w:t>o / Global Findex: o Brasil na comparação internacional</w:t>
      </w:r>
      <w:r>
        <w:rPr>
          <w:rFonts w:ascii="Garamond" w:eastAsia="Garamond" w:hAnsi="Garamond" w:cs="Garamond"/>
          <w:sz w:val="24"/>
          <w:szCs w:val="24"/>
        </w:rPr>
        <w:t xml:space="preserve">. Brasília: Banco Central do Brasil. Retirado do site </w:t>
      </w:r>
      <w:hyperlink r:id="rId25">
        <w:r>
          <w:rPr>
            <w:rFonts w:ascii="Garamond" w:eastAsia="Garamond" w:hAnsi="Garamond" w:cs="Garamond"/>
            <w:sz w:val="24"/>
            <w:szCs w:val="24"/>
          </w:rPr>
          <w:t>https://www.bcb.gov.br/cidadaniafinanceira</w:t>
        </w:r>
      </w:hyperlink>
      <w:r>
        <w:rPr>
          <w:rFonts w:ascii="Garamond" w:eastAsia="Garamond" w:hAnsi="Garamond" w:cs="Garamond"/>
          <w:sz w:val="24"/>
          <w:szCs w:val="24"/>
        </w:rPr>
        <w:t xml:space="preserve"> acessado em 17 de junho de 2024.</w:t>
      </w:r>
    </w:p>
    <w:p w14:paraId="6A6B2D75" w14:textId="77777777" w:rsidR="00011E69" w:rsidRDefault="00011E69">
      <w:pPr>
        <w:pBdr>
          <w:top w:val="nil"/>
          <w:left w:val="nil"/>
          <w:bottom w:val="nil"/>
          <w:right w:val="nil"/>
          <w:between w:val="nil"/>
        </w:pBdr>
        <w:spacing w:after="0" w:line="360" w:lineRule="auto"/>
        <w:jc w:val="both"/>
        <w:rPr>
          <w:rFonts w:ascii="Garamond" w:eastAsia="Garamond" w:hAnsi="Garamond" w:cs="Garamond"/>
          <w:sz w:val="24"/>
          <w:szCs w:val="24"/>
        </w:rPr>
      </w:pPr>
    </w:p>
    <w:p w14:paraId="3EF26A68" w14:textId="59993DAD" w:rsidR="00011E69" w:rsidRDefault="00011E69" w:rsidP="00011E69">
      <w:pPr>
        <w:pBdr>
          <w:top w:val="nil"/>
          <w:left w:val="nil"/>
          <w:bottom w:val="nil"/>
          <w:right w:val="nil"/>
          <w:between w:val="nil"/>
        </w:pBdr>
        <w:spacing w:after="0" w:line="360" w:lineRule="auto"/>
        <w:jc w:val="both"/>
        <w:rPr>
          <w:rFonts w:ascii="Garamond" w:eastAsia="Garamond" w:hAnsi="Garamond" w:cs="Garamond"/>
          <w:color w:val="000000"/>
          <w:sz w:val="24"/>
          <w:szCs w:val="24"/>
        </w:rPr>
      </w:pPr>
      <w:r w:rsidRPr="00F73D0C">
        <w:rPr>
          <w:rFonts w:ascii="Garamond" w:eastAsia="Garamond" w:hAnsi="Garamond" w:cs="Garamond"/>
          <w:sz w:val="24"/>
          <w:szCs w:val="24"/>
          <w:lang w:val="en-GB"/>
        </w:rPr>
        <w:t xml:space="preserve">Banking on Climate Chaos. (2023). Banking on Climate Chaos: </w:t>
      </w:r>
      <w:r w:rsidRPr="00F73D0C">
        <w:rPr>
          <w:rFonts w:ascii="Garamond" w:eastAsia="Garamond" w:hAnsi="Garamond" w:cs="Garamond"/>
          <w:color w:val="000000"/>
          <w:sz w:val="24"/>
          <w:szCs w:val="24"/>
          <w:lang w:val="en-GB"/>
        </w:rPr>
        <w:t>Fossil Fuel Finance Report 2023.</w:t>
      </w:r>
      <w:r w:rsidRPr="00F73D0C">
        <w:rPr>
          <w:rFonts w:ascii="Garamond" w:eastAsia="Garamond" w:hAnsi="Garamond" w:cs="Garamond"/>
          <w:sz w:val="24"/>
          <w:szCs w:val="24"/>
          <w:lang w:val="en-GB"/>
        </w:rPr>
        <w:t xml:space="preserve"> </w:t>
      </w:r>
      <w:r>
        <w:rPr>
          <w:rFonts w:ascii="Garamond" w:eastAsia="Garamond" w:hAnsi="Garamond" w:cs="Garamond"/>
          <w:sz w:val="24"/>
          <w:szCs w:val="24"/>
        </w:rPr>
        <w:t xml:space="preserve">Retirado de </w:t>
      </w:r>
      <w:r>
        <w:rPr>
          <w:rFonts w:ascii="Garamond" w:eastAsia="Garamond" w:hAnsi="Garamond" w:cs="Garamond"/>
          <w:color w:val="000000"/>
          <w:sz w:val="24"/>
          <w:szCs w:val="24"/>
        </w:rPr>
        <w:t xml:space="preserve"> https://www.bankingonclimatechaos.org/wp-content/uploads/2023/08/BOCC_2023_vF.pdf  acess</w:t>
      </w:r>
      <w:r w:rsidR="000758B0">
        <w:rPr>
          <w:rFonts w:ascii="Garamond" w:eastAsia="Garamond" w:hAnsi="Garamond" w:cs="Garamond"/>
          <w:color w:val="000000"/>
          <w:sz w:val="24"/>
          <w:szCs w:val="24"/>
        </w:rPr>
        <w:t>ad</w:t>
      </w:r>
      <w:r>
        <w:rPr>
          <w:rFonts w:ascii="Garamond" w:eastAsia="Garamond" w:hAnsi="Garamond" w:cs="Garamond"/>
          <w:color w:val="000000"/>
          <w:sz w:val="24"/>
          <w:szCs w:val="24"/>
        </w:rPr>
        <w:t>o em 15 de dezembro de 2023.</w:t>
      </w:r>
    </w:p>
    <w:p w14:paraId="2D08BB59" w14:textId="77777777" w:rsidR="00EC4499" w:rsidRDefault="00EC4499">
      <w:pPr>
        <w:pBdr>
          <w:top w:val="nil"/>
          <w:left w:val="nil"/>
          <w:bottom w:val="nil"/>
          <w:right w:val="nil"/>
          <w:between w:val="nil"/>
        </w:pBdr>
        <w:spacing w:after="0" w:line="360" w:lineRule="auto"/>
        <w:ind w:firstLine="360"/>
        <w:jc w:val="both"/>
        <w:rPr>
          <w:rFonts w:ascii="Garamond" w:eastAsia="Garamond" w:hAnsi="Garamond" w:cs="Garamond"/>
          <w:color w:val="000000"/>
          <w:sz w:val="24"/>
          <w:szCs w:val="24"/>
        </w:rPr>
      </w:pPr>
    </w:p>
    <w:p w14:paraId="430818E1" w14:textId="77777777" w:rsidR="00EC4499" w:rsidRDefault="00433EA7">
      <w:pPr>
        <w:pBdr>
          <w:top w:val="nil"/>
          <w:left w:val="nil"/>
          <w:bottom w:val="nil"/>
          <w:right w:val="nil"/>
          <w:between w:val="nil"/>
        </w:pBdr>
        <w:spacing w:after="0" w:line="360" w:lineRule="auto"/>
        <w:jc w:val="both"/>
        <w:rPr>
          <w:rFonts w:ascii="Garamond" w:eastAsia="Garamond" w:hAnsi="Garamond" w:cs="Garamond"/>
          <w:sz w:val="24"/>
          <w:szCs w:val="24"/>
        </w:rPr>
      </w:pPr>
      <w:r w:rsidRPr="00F73D0C">
        <w:rPr>
          <w:rFonts w:ascii="Garamond" w:eastAsia="Garamond" w:hAnsi="Garamond" w:cs="Garamond"/>
          <w:color w:val="000000"/>
          <w:sz w:val="24"/>
          <w:szCs w:val="24"/>
          <w:lang w:val="en-GB"/>
        </w:rPr>
        <w:t xml:space="preserve">Brightwell, R., Gardener, D. (2018). </w:t>
      </w:r>
      <w:r w:rsidRPr="00F73D0C">
        <w:rPr>
          <w:rFonts w:ascii="Garamond" w:eastAsia="Garamond" w:hAnsi="Garamond" w:cs="Garamond"/>
          <w:i/>
          <w:color w:val="000000"/>
          <w:sz w:val="24"/>
          <w:szCs w:val="24"/>
          <w:lang w:val="en-GB"/>
        </w:rPr>
        <w:t>Developing Effective Grievance Mechanisms in the Banking Sector</w:t>
      </w:r>
      <w:r w:rsidRPr="00F73D0C">
        <w:rPr>
          <w:rFonts w:ascii="Garamond" w:eastAsia="Garamond" w:hAnsi="Garamond" w:cs="Garamond"/>
          <w:color w:val="000000"/>
          <w:sz w:val="24"/>
          <w:szCs w:val="24"/>
          <w:lang w:val="en-GB"/>
        </w:rPr>
        <w:t xml:space="preserve">. </w:t>
      </w:r>
      <w:r>
        <w:rPr>
          <w:rFonts w:ascii="Garamond" w:eastAsia="Garamond" w:hAnsi="Garamond" w:cs="Garamond"/>
          <w:color w:val="000000"/>
          <w:sz w:val="24"/>
          <w:szCs w:val="24"/>
        </w:rPr>
        <w:t>Nimegue: Bank Track. Retirado de Bank Tra</w:t>
      </w:r>
      <w:r>
        <w:rPr>
          <w:rFonts w:ascii="Garamond" w:eastAsia="Garamond" w:hAnsi="Garamond" w:cs="Garamond"/>
          <w:sz w:val="24"/>
          <w:szCs w:val="24"/>
        </w:rPr>
        <w:t xml:space="preserve">ck </w:t>
      </w:r>
      <w:hyperlink r:id="rId26">
        <w:r>
          <w:rPr>
            <w:rFonts w:ascii="Garamond" w:eastAsia="Garamond" w:hAnsi="Garamond" w:cs="Garamond"/>
            <w:sz w:val="24"/>
            <w:szCs w:val="24"/>
          </w:rPr>
          <w:t>https://www.banktrack.org/download/developing_effective_grievance_mechanisms_in_the_banking_sector/2018_pa_002_bank_report_faweb_1.pdf</w:t>
        </w:r>
      </w:hyperlink>
      <w:r>
        <w:rPr>
          <w:rFonts w:ascii="Garamond" w:eastAsia="Garamond" w:hAnsi="Garamond" w:cs="Garamond"/>
          <w:sz w:val="24"/>
          <w:szCs w:val="24"/>
        </w:rPr>
        <w:t xml:space="preserve"> acessado 18 de junho de 2024.</w:t>
      </w:r>
    </w:p>
    <w:p w14:paraId="28AF3785" w14:textId="77777777" w:rsidR="00EC4499" w:rsidRDefault="00EC4499">
      <w:pPr>
        <w:pBdr>
          <w:top w:val="nil"/>
          <w:left w:val="nil"/>
          <w:bottom w:val="nil"/>
          <w:right w:val="nil"/>
          <w:between w:val="nil"/>
        </w:pBdr>
        <w:spacing w:after="0" w:line="360" w:lineRule="auto"/>
        <w:jc w:val="both"/>
        <w:rPr>
          <w:rFonts w:ascii="Garamond" w:eastAsia="Garamond" w:hAnsi="Garamond" w:cs="Garamond"/>
          <w:color w:val="000000"/>
          <w:sz w:val="24"/>
          <w:szCs w:val="24"/>
        </w:rPr>
      </w:pPr>
    </w:p>
    <w:p w14:paraId="64F1C39A" w14:textId="77777777" w:rsidR="00EC4499" w:rsidRDefault="00433EA7">
      <w:pPr>
        <w:pBdr>
          <w:top w:val="nil"/>
          <w:left w:val="nil"/>
          <w:bottom w:val="nil"/>
          <w:right w:val="nil"/>
          <w:between w:val="nil"/>
        </w:pBdr>
        <w:spacing w:after="0" w:line="360"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British Council. (2014). </w:t>
      </w:r>
      <w:r>
        <w:rPr>
          <w:rFonts w:ascii="Garamond" w:eastAsia="Garamond" w:hAnsi="Garamond" w:cs="Garamond"/>
          <w:i/>
          <w:color w:val="000000"/>
          <w:sz w:val="24"/>
          <w:szCs w:val="24"/>
        </w:rPr>
        <w:t>Demandas de Aprendizagem de Inglês no Brasil</w:t>
      </w:r>
      <w:r>
        <w:rPr>
          <w:rFonts w:ascii="Garamond" w:eastAsia="Garamond" w:hAnsi="Garamond" w:cs="Garamond"/>
          <w:color w:val="000000"/>
          <w:sz w:val="24"/>
          <w:szCs w:val="24"/>
        </w:rPr>
        <w:t xml:space="preserve">. São Paulo: </w:t>
      </w:r>
      <w:r>
        <w:rPr>
          <w:rFonts w:ascii="Garamond" w:eastAsia="Garamond" w:hAnsi="Garamond" w:cs="Garamond"/>
          <w:sz w:val="24"/>
          <w:szCs w:val="24"/>
        </w:rPr>
        <w:t>British</w:t>
      </w:r>
      <w:r>
        <w:rPr>
          <w:rFonts w:ascii="Garamond" w:eastAsia="Garamond" w:hAnsi="Garamond" w:cs="Garamond"/>
          <w:color w:val="000000"/>
          <w:sz w:val="24"/>
          <w:szCs w:val="24"/>
        </w:rPr>
        <w:t xml:space="preserve"> Council Brasil.</w:t>
      </w:r>
    </w:p>
    <w:p w14:paraId="29E9E66E" w14:textId="77777777" w:rsidR="00EC4499" w:rsidRDefault="00EC4499">
      <w:pPr>
        <w:pBdr>
          <w:top w:val="nil"/>
          <w:left w:val="nil"/>
          <w:bottom w:val="nil"/>
          <w:right w:val="nil"/>
          <w:between w:val="nil"/>
        </w:pBdr>
        <w:spacing w:after="0" w:line="360" w:lineRule="auto"/>
        <w:jc w:val="both"/>
        <w:rPr>
          <w:rFonts w:ascii="Garamond" w:eastAsia="Garamond" w:hAnsi="Garamond" w:cs="Garamond"/>
          <w:color w:val="000000"/>
          <w:sz w:val="24"/>
          <w:szCs w:val="24"/>
        </w:rPr>
      </w:pPr>
    </w:p>
    <w:p w14:paraId="0D39CAA1" w14:textId="77777777" w:rsidR="00EC4499" w:rsidRDefault="00433EA7">
      <w:pPr>
        <w:pBdr>
          <w:top w:val="nil"/>
          <w:left w:val="nil"/>
          <w:bottom w:val="nil"/>
          <w:right w:val="nil"/>
          <w:between w:val="nil"/>
        </w:pBdr>
        <w:spacing w:after="0" w:line="360" w:lineRule="auto"/>
        <w:jc w:val="both"/>
        <w:rPr>
          <w:rFonts w:ascii="Garamond" w:eastAsia="Garamond" w:hAnsi="Garamond" w:cs="Garamond"/>
          <w:sz w:val="24"/>
          <w:szCs w:val="24"/>
        </w:rPr>
      </w:pPr>
      <w:r>
        <w:rPr>
          <w:rFonts w:ascii="Garamond" w:eastAsia="Garamond" w:hAnsi="Garamond" w:cs="Garamond"/>
          <w:color w:val="000000"/>
          <w:sz w:val="24"/>
          <w:szCs w:val="24"/>
        </w:rPr>
        <w:t>Câmara dos Deputados do Brasil. (2023). CPI sobre a</w:t>
      </w:r>
      <w:r>
        <w:rPr>
          <w:rFonts w:ascii="Garamond" w:eastAsia="Garamond" w:hAnsi="Garamond" w:cs="Garamond"/>
          <w:sz w:val="24"/>
          <w:szCs w:val="24"/>
        </w:rPr>
        <w:t xml:space="preserve"> empresa Americanas S.A. Brasília: Câmara de Deputados. Retirado de Câmara de Deputados </w:t>
      </w:r>
      <w:hyperlink r:id="rId27">
        <w:r>
          <w:rPr>
            <w:rFonts w:ascii="Garamond" w:eastAsia="Garamond" w:hAnsi="Garamond" w:cs="Garamond"/>
            <w:sz w:val="24"/>
            <w:szCs w:val="24"/>
          </w:rPr>
          <w:t>https://www2.camara.leg.br/atividade-legislativa/comissoes/comissoes-temporarias/parlamentar-de-inquerito/57a-legislatura/cpi-sobre-a-empresa-americanas-s-a</w:t>
        </w:r>
      </w:hyperlink>
      <w:r>
        <w:rPr>
          <w:rFonts w:ascii="Garamond" w:eastAsia="Garamond" w:hAnsi="Garamond" w:cs="Garamond"/>
          <w:sz w:val="24"/>
          <w:szCs w:val="24"/>
        </w:rPr>
        <w:t xml:space="preserve"> acessado em 20 de dezembro de 2024.</w:t>
      </w:r>
    </w:p>
    <w:p w14:paraId="7D1F2C98" w14:textId="77777777" w:rsidR="00EC4499" w:rsidRDefault="00EC4499">
      <w:pPr>
        <w:pBdr>
          <w:top w:val="nil"/>
          <w:left w:val="nil"/>
          <w:bottom w:val="nil"/>
          <w:right w:val="nil"/>
          <w:between w:val="nil"/>
        </w:pBdr>
        <w:spacing w:after="0" w:line="360" w:lineRule="auto"/>
        <w:ind w:firstLine="360"/>
        <w:jc w:val="both"/>
        <w:rPr>
          <w:rFonts w:ascii="Garamond" w:eastAsia="Garamond" w:hAnsi="Garamond" w:cs="Garamond"/>
          <w:color w:val="000000"/>
          <w:sz w:val="24"/>
          <w:szCs w:val="24"/>
        </w:rPr>
      </w:pPr>
    </w:p>
    <w:p w14:paraId="2FFEC692" w14:textId="4E8D8688" w:rsidR="00EC4499" w:rsidRPr="00152583" w:rsidRDefault="00433EA7">
      <w:pPr>
        <w:pBdr>
          <w:top w:val="nil"/>
          <w:left w:val="nil"/>
          <w:bottom w:val="nil"/>
          <w:right w:val="nil"/>
          <w:between w:val="nil"/>
        </w:pBdr>
        <w:spacing w:after="0" w:line="360" w:lineRule="auto"/>
        <w:jc w:val="both"/>
        <w:rPr>
          <w:rFonts w:ascii="Garamond" w:eastAsia="Garamond" w:hAnsi="Garamond" w:cs="Garamond"/>
          <w:sz w:val="24"/>
          <w:szCs w:val="24"/>
          <w:lang w:val="en-US"/>
        </w:rPr>
      </w:pPr>
      <w:r w:rsidRPr="00F73D0C">
        <w:rPr>
          <w:rFonts w:ascii="Garamond" w:eastAsia="Garamond" w:hAnsi="Garamond" w:cs="Garamond"/>
          <w:color w:val="000000"/>
          <w:sz w:val="24"/>
          <w:szCs w:val="24"/>
          <w:lang w:val="en-GB"/>
        </w:rPr>
        <w:t xml:space="preserve">Cerqueti, R., Deffains-Crapsky, C., &amp; Storani, S. (2023). Green finance instruments: Exploring minibonds issuance in Italy. </w:t>
      </w:r>
      <w:r w:rsidRPr="00B02036">
        <w:rPr>
          <w:rFonts w:ascii="Garamond" w:eastAsia="Garamond" w:hAnsi="Garamond" w:cs="Garamond"/>
          <w:i/>
          <w:color w:val="000000"/>
          <w:sz w:val="24"/>
          <w:szCs w:val="24"/>
          <w:lang w:val="en-US"/>
        </w:rPr>
        <w:t>Corporate Social Responsibility and Environmental Management</w:t>
      </w:r>
      <w:r w:rsidRPr="00B02036">
        <w:rPr>
          <w:rFonts w:ascii="Garamond" w:eastAsia="Garamond" w:hAnsi="Garamond" w:cs="Garamond"/>
          <w:color w:val="000000"/>
          <w:sz w:val="24"/>
          <w:szCs w:val="24"/>
          <w:lang w:val="en-US"/>
        </w:rPr>
        <w:t>,</w:t>
      </w:r>
      <w:r w:rsidRPr="00B02036">
        <w:rPr>
          <w:rFonts w:ascii="Garamond" w:eastAsia="Garamond" w:hAnsi="Garamond" w:cs="Garamond"/>
          <w:i/>
          <w:color w:val="000000"/>
          <w:sz w:val="24"/>
          <w:szCs w:val="24"/>
          <w:lang w:val="en-US"/>
        </w:rPr>
        <w:t xml:space="preserve"> 30</w:t>
      </w:r>
      <w:r w:rsidRPr="00B02036">
        <w:rPr>
          <w:rFonts w:ascii="Garamond" w:eastAsia="Garamond" w:hAnsi="Garamond" w:cs="Garamond"/>
          <w:color w:val="000000"/>
          <w:sz w:val="24"/>
          <w:szCs w:val="24"/>
          <w:lang w:val="en-US"/>
        </w:rPr>
        <w:t>(4), 1</w:t>
      </w:r>
      <w:r w:rsidRPr="00B02036">
        <w:rPr>
          <w:rFonts w:ascii="Garamond" w:eastAsia="Garamond" w:hAnsi="Garamond" w:cs="Garamond"/>
          <w:sz w:val="24"/>
          <w:szCs w:val="24"/>
          <w:lang w:val="en-US"/>
        </w:rPr>
        <w:t xml:space="preserve">965-1986. </w:t>
      </w:r>
      <w:hyperlink r:id="rId28">
        <w:r w:rsidRPr="00B02036">
          <w:rPr>
            <w:rFonts w:ascii="Garamond" w:eastAsia="Garamond" w:hAnsi="Garamond" w:cs="Garamond"/>
            <w:sz w:val="24"/>
            <w:szCs w:val="24"/>
            <w:lang w:val="en-US"/>
          </w:rPr>
          <w:t>https://doi.org/10.1002/csr.2467</w:t>
        </w:r>
      </w:hyperlink>
      <w:r w:rsidRPr="00152583">
        <w:rPr>
          <w:rFonts w:ascii="Garamond" w:eastAsia="Garamond" w:hAnsi="Garamond" w:cs="Garamond"/>
          <w:sz w:val="24"/>
          <w:szCs w:val="24"/>
          <w:lang w:val="en-US"/>
        </w:rPr>
        <w:t xml:space="preserve"> </w:t>
      </w:r>
    </w:p>
    <w:p w14:paraId="5C14928C" w14:textId="77777777" w:rsidR="00EC4499" w:rsidRPr="00152583" w:rsidRDefault="00EC4499">
      <w:pPr>
        <w:pBdr>
          <w:top w:val="nil"/>
          <w:left w:val="nil"/>
          <w:bottom w:val="nil"/>
          <w:right w:val="nil"/>
          <w:between w:val="nil"/>
        </w:pBdr>
        <w:spacing w:after="0" w:line="360" w:lineRule="auto"/>
        <w:ind w:firstLine="360"/>
        <w:jc w:val="both"/>
        <w:rPr>
          <w:rFonts w:ascii="Garamond" w:eastAsia="Garamond" w:hAnsi="Garamond" w:cs="Garamond"/>
          <w:color w:val="000000"/>
          <w:sz w:val="24"/>
          <w:szCs w:val="24"/>
          <w:lang w:val="en-US"/>
        </w:rPr>
      </w:pPr>
    </w:p>
    <w:p w14:paraId="1C46F7F4" w14:textId="0C898EF6" w:rsidR="00EC4499" w:rsidRPr="00B02036" w:rsidRDefault="00433EA7">
      <w:pPr>
        <w:pBdr>
          <w:top w:val="nil"/>
          <w:left w:val="nil"/>
          <w:bottom w:val="nil"/>
          <w:right w:val="nil"/>
          <w:between w:val="nil"/>
        </w:pBdr>
        <w:spacing w:after="0" w:line="360" w:lineRule="auto"/>
        <w:jc w:val="both"/>
        <w:rPr>
          <w:rFonts w:ascii="Garamond" w:eastAsia="Garamond" w:hAnsi="Garamond" w:cs="Garamond"/>
          <w:sz w:val="24"/>
          <w:szCs w:val="24"/>
          <w:lang w:val="en-US"/>
        </w:rPr>
      </w:pPr>
      <w:r w:rsidRPr="00B02036">
        <w:rPr>
          <w:rFonts w:ascii="Garamond" w:eastAsia="Garamond" w:hAnsi="Garamond" w:cs="Garamond"/>
          <w:color w:val="000000"/>
          <w:sz w:val="24"/>
          <w:szCs w:val="24"/>
          <w:lang w:val="en-GB"/>
        </w:rPr>
        <w:t xml:space="preserve">Chagas, E. J. M., Albuquerque, J. D., Maia, L. F. A., &amp; Ceolin, A. C. (2022). </w:t>
      </w:r>
      <w:r w:rsidRPr="00F73D0C">
        <w:rPr>
          <w:rFonts w:ascii="Garamond" w:eastAsia="Garamond" w:hAnsi="Garamond" w:cs="Garamond"/>
          <w:color w:val="000000"/>
          <w:sz w:val="24"/>
          <w:szCs w:val="24"/>
          <w:lang w:val="en-GB"/>
        </w:rPr>
        <w:t>Sustainable development, disclosure to stakeholders and the Sustainable Development Goal</w:t>
      </w:r>
      <w:r w:rsidRPr="00F73D0C">
        <w:rPr>
          <w:rFonts w:ascii="Garamond" w:eastAsia="Garamond" w:hAnsi="Garamond" w:cs="Garamond"/>
          <w:sz w:val="24"/>
          <w:szCs w:val="24"/>
          <w:lang w:val="en-GB"/>
        </w:rPr>
        <w:t xml:space="preserve">s: Evidence from Brazilian banks' non-financial reports. </w:t>
      </w:r>
      <w:r w:rsidRPr="00B02036">
        <w:rPr>
          <w:rFonts w:ascii="Garamond" w:eastAsia="Garamond" w:hAnsi="Garamond" w:cs="Garamond"/>
          <w:i/>
          <w:sz w:val="24"/>
          <w:szCs w:val="24"/>
          <w:lang w:val="en-US"/>
        </w:rPr>
        <w:t>Sustainable Development</w:t>
      </w:r>
      <w:r w:rsidRPr="00B02036">
        <w:rPr>
          <w:rFonts w:ascii="Garamond" w:eastAsia="Garamond" w:hAnsi="Garamond" w:cs="Garamond"/>
          <w:sz w:val="24"/>
          <w:szCs w:val="24"/>
          <w:lang w:val="en-US"/>
        </w:rPr>
        <w:t xml:space="preserve">, 30(6), 1975-1986. </w:t>
      </w:r>
      <w:hyperlink r:id="rId29">
        <w:r w:rsidRPr="00B02036">
          <w:rPr>
            <w:rFonts w:ascii="Garamond" w:eastAsia="Garamond" w:hAnsi="Garamond" w:cs="Garamond"/>
            <w:sz w:val="24"/>
            <w:szCs w:val="24"/>
            <w:lang w:val="en-US"/>
          </w:rPr>
          <w:t>https://doi.org/10.1002/sd.2363</w:t>
        </w:r>
      </w:hyperlink>
      <w:r w:rsidRPr="00B02036">
        <w:rPr>
          <w:rFonts w:ascii="Garamond" w:eastAsia="Garamond" w:hAnsi="Garamond" w:cs="Garamond"/>
          <w:sz w:val="24"/>
          <w:szCs w:val="24"/>
          <w:lang w:val="en-US"/>
        </w:rPr>
        <w:t xml:space="preserve"> </w:t>
      </w:r>
    </w:p>
    <w:p w14:paraId="69A2FF1D" w14:textId="77777777" w:rsidR="00EC4499" w:rsidRPr="00B02036" w:rsidRDefault="00EC4499">
      <w:pPr>
        <w:pBdr>
          <w:top w:val="nil"/>
          <w:left w:val="nil"/>
          <w:bottom w:val="nil"/>
          <w:right w:val="nil"/>
          <w:between w:val="nil"/>
        </w:pBdr>
        <w:spacing w:after="0" w:line="360" w:lineRule="auto"/>
        <w:ind w:firstLine="360"/>
        <w:jc w:val="both"/>
        <w:rPr>
          <w:rFonts w:ascii="Garamond" w:eastAsia="Garamond" w:hAnsi="Garamond" w:cs="Garamond"/>
          <w:color w:val="000000"/>
          <w:sz w:val="24"/>
          <w:szCs w:val="24"/>
          <w:lang w:val="en-US"/>
        </w:rPr>
      </w:pPr>
    </w:p>
    <w:p w14:paraId="2D21F392" w14:textId="08F3D1EF" w:rsidR="00EC4499" w:rsidRPr="00B02036" w:rsidRDefault="00433EA7">
      <w:pPr>
        <w:pBdr>
          <w:top w:val="nil"/>
          <w:left w:val="nil"/>
          <w:bottom w:val="nil"/>
          <w:right w:val="nil"/>
          <w:between w:val="nil"/>
        </w:pBdr>
        <w:spacing w:after="0" w:line="360" w:lineRule="auto"/>
        <w:jc w:val="both"/>
        <w:rPr>
          <w:rFonts w:ascii="Garamond" w:eastAsia="Garamond" w:hAnsi="Garamond" w:cs="Garamond"/>
          <w:color w:val="000000"/>
          <w:sz w:val="24"/>
          <w:szCs w:val="24"/>
          <w:lang w:val="en-US"/>
        </w:rPr>
      </w:pPr>
      <w:r w:rsidRPr="00F73D0C">
        <w:rPr>
          <w:rFonts w:ascii="Garamond" w:eastAsia="Garamond" w:hAnsi="Garamond" w:cs="Garamond"/>
          <w:color w:val="000000"/>
          <w:sz w:val="24"/>
          <w:szCs w:val="24"/>
          <w:lang w:val="en-GB"/>
        </w:rPr>
        <w:t xml:space="preserve">Ching, H. Y., Gerab, F., &amp; Toste, T. H. (2013). Analysis of Sustainability Reports and Quality of Information Disclosed of Top Brazilian Companies. </w:t>
      </w:r>
      <w:r w:rsidRPr="00B02036">
        <w:rPr>
          <w:rFonts w:ascii="Garamond" w:eastAsia="Garamond" w:hAnsi="Garamond" w:cs="Garamond"/>
          <w:i/>
          <w:color w:val="000000"/>
          <w:sz w:val="24"/>
          <w:szCs w:val="24"/>
          <w:lang w:val="en-US"/>
        </w:rPr>
        <w:t>International Business Research</w:t>
      </w:r>
      <w:r w:rsidR="009125A7" w:rsidRPr="00B02036">
        <w:rPr>
          <w:rFonts w:ascii="Garamond" w:eastAsia="Garamond" w:hAnsi="Garamond" w:cs="Garamond"/>
          <w:color w:val="000000"/>
          <w:sz w:val="24"/>
          <w:szCs w:val="24"/>
          <w:lang w:val="en-US"/>
        </w:rPr>
        <w:t xml:space="preserve">, </w:t>
      </w:r>
      <w:r w:rsidRPr="00B02036">
        <w:rPr>
          <w:rFonts w:ascii="Garamond" w:eastAsia="Garamond" w:hAnsi="Garamond" w:cs="Garamond"/>
          <w:color w:val="000000"/>
          <w:sz w:val="24"/>
          <w:szCs w:val="24"/>
          <w:lang w:val="en-US"/>
        </w:rPr>
        <w:t>6</w:t>
      </w:r>
      <w:r w:rsidR="009125A7" w:rsidRPr="00B02036">
        <w:rPr>
          <w:rFonts w:ascii="Garamond" w:eastAsia="Garamond" w:hAnsi="Garamond" w:cs="Garamond"/>
          <w:color w:val="000000"/>
          <w:sz w:val="24"/>
          <w:szCs w:val="24"/>
          <w:lang w:val="en-US"/>
        </w:rPr>
        <w:t>(</w:t>
      </w:r>
      <w:r w:rsidRPr="00B02036">
        <w:rPr>
          <w:rFonts w:ascii="Garamond" w:eastAsia="Garamond" w:hAnsi="Garamond" w:cs="Garamond"/>
          <w:color w:val="000000"/>
          <w:sz w:val="24"/>
          <w:szCs w:val="24"/>
          <w:lang w:val="en-US"/>
        </w:rPr>
        <w:t>10</w:t>
      </w:r>
      <w:r w:rsidR="009125A7" w:rsidRPr="00B02036">
        <w:rPr>
          <w:rFonts w:ascii="Garamond" w:eastAsia="Garamond" w:hAnsi="Garamond" w:cs="Garamond"/>
          <w:color w:val="000000"/>
          <w:sz w:val="24"/>
          <w:szCs w:val="24"/>
          <w:lang w:val="en-US"/>
        </w:rPr>
        <w:t>), 62-77</w:t>
      </w:r>
      <w:r w:rsidRPr="00B02036">
        <w:rPr>
          <w:rFonts w:ascii="Garamond" w:eastAsia="Garamond" w:hAnsi="Garamond" w:cs="Garamond"/>
          <w:color w:val="000000"/>
          <w:sz w:val="24"/>
          <w:szCs w:val="24"/>
          <w:lang w:val="en-US"/>
        </w:rPr>
        <w:t>. https:// doi:10.5539/ibr.v6n10p62</w:t>
      </w:r>
      <w:r w:rsidRPr="00B02036">
        <w:rPr>
          <w:rFonts w:ascii="Garamond" w:eastAsia="Garamond" w:hAnsi="Garamond" w:cs="Garamond"/>
          <w:sz w:val="24"/>
          <w:szCs w:val="24"/>
          <w:lang w:val="en-US"/>
        </w:rPr>
        <w:t xml:space="preserve"> </w:t>
      </w:r>
    </w:p>
    <w:p w14:paraId="0A8A016F" w14:textId="77777777" w:rsidR="00EC4499" w:rsidRPr="00B02036" w:rsidRDefault="00EC4499">
      <w:pPr>
        <w:pBdr>
          <w:top w:val="nil"/>
          <w:left w:val="nil"/>
          <w:bottom w:val="nil"/>
          <w:right w:val="nil"/>
          <w:between w:val="nil"/>
        </w:pBdr>
        <w:spacing w:after="0" w:line="360" w:lineRule="auto"/>
        <w:ind w:firstLine="360"/>
        <w:jc w:val="both"/>
        <w:rPr>
          <w:rFonts w:ascii="Garamond" w:eastAsia="Garamond" w:hAnsi="Garamond" w:cs="Garamond"/>
          <w:color w:val="000000"/>
          <w:sz w:val="24"/>
          <w:szCs w:val="24"/>
          <w:lang w:val="en-US"/>
        </w:rPr>
      </w:pPr>
    </w:p>
    <w:p w14:paraId="35CBA831" w14:textId="61C31E4F" w:rsidR="00EC4499" w:rsidRDefault="00433EA7">
      <w:pPr>
        <w:pBdr>
          <w:top w:val="nil"/>
          <w:left w:val="nil"/>
          <w:bottom w:val="nil"/>
          <w:right w:val="nil"/>
          <w:between w:val="nil"/>
        </w:pBdr>
        <w:spacing w:after="0" w:line="360" w:lineRule="auto"/>
        <w:jc w:val="both"/>
        <w:rPr>
          <w:rFonts w:ascii="Garamond" w:eastAsia="Garamond" w:hAnsi="Garamond" w:cs="Garamond"/>
          <w:sz w:val="24"/>
          <w:szCs w:val="24"/>
        </w:rPr>
      </w:pPr>
      <w:r w:rsidRPr="00F73D0C">
        <w:rPr>
          <w:rFonts w:ascii="Garamond" w:eastAsia="Garamond" w:hAnsi="Garamond" w:cs="Garamond"/>
          <w:color w:val="000000"/>
          <w:sz w:val="24"/>
          <w:szCs w:val="24"/>
          <w:lang w:val="en-GB"/>
        </w:rPr>
        <w:t>Coalizão Floresta</w:t>
      </w:r>
      <w:r w:rsidRPr="00F73D0C">
        <w:rPr>
          <w:rFonts w:ascii="Garamond" w:eastAsia="Garamond" w:hAnsi="Garamond" w:cs="Garamond"/>
          <w:sz w:val="24"/>
          <w:szCs w:val="24"/>
          <w:lang w:val="en-GB"/>
        </w:rPr>
        <w:t xml:space="preserve">s &amp; Finanças. (2023). </w:t>
      </w:r>
      <w:r w:rsidRPr="00F73D0C">
        <w:rPr>
          <w:rFonts w:ascii="Garamond" w:eastAsia="Garamond" w:hAnsi="Garamond" w:cs="Garamond"/>
          <w:i/>
          <w:sz w:val="24"/>
          <w:szCs w:val="24"/>
          <w:lang w:val="en-GB"/>
        </w:rPr>
        <w:t xml:space="preserve">Banking on Biodiversity Collapse: </w:t>
      </w:r>
      <w:r w:rsidRPr="00F73D0C">
        <w:rPr>
          <w:rFonts w:ascii="Garamond" w:eastAsia="Garamond" w:hAnsi="Garamond" w:cs="Garamond"/>
          <w:i/>
          <w:sz w:val="24"/>
          <w:szCs w:val="24"/>
          <w:highlight w:val="white"/>
          <w:lang w:val="en-GB"/>
        </w:rPr>
        <w:t>Tracking the Banks and Investors Driving Tropical Forest Destruction</w:t>
      </w:r>
      <w:r w:rsidRPr="00F73D0C">
        <w:rPr>
          <w:rFonts w:ascii="Garamond" w:eastAsia="Garamond" w:hAnsi="Garamond" w:cs="Garamond"/>
          <w:sz w:val="24"/>
          <w:szCs w:val="24"/>
          <w:highlight w:val="white"/>
          <w:lang w:val="en-GB"/>
        </w:rPr>
        <w:t xml:space="preserve">. </w:t>
      </w:r>
      <w:r>
        <w:rPr>
          <w:rFonts w:ascii="Garamond" w:eastAsia="Garamond" w:hAnsi="Garamond" w:cs="Garamond"/>
          <w:sz w:val="24"/>
          <w:szCs w:val="24"/>
          <w:highlight w:val="white"/>
        </w:rPr>
        <w:t>Retirado de Coali</w:t>
      </w:r>
      <w:r w:rsidR="00577BE8">
        <w:rPr>
          <w:rFonts w:ascii="Garamond" w:eastAsia="Garamond" w:hAnsi="Garamond" w:cs="Garamond"/>
          <w:sz w:val="24"/>
          <w:szCs w:val="24"/>
          <w:highlight w:val="white"/>
        </w:rPr>
        <w:t>z</w:t>
      </w:r>
      <w:r>
        <w:rPr>
          <w:rFonts w:ascii="Garamond" w:eastAsia="Garamond" w:hAnsi="Garamond" w:cs="Garamond"/>
          <w:sz w:val="24"/>
          <w:szCs w:val="24"/>
          <w:highlight w:val="white"/>
        </w:rPr>
        <w:t xml:space="preserve">ão Florestas e Finanças </w:t>
      </w:r>
      <w:hyperlink r:id="rId30">
        <w:r>
          <w:rPr>
            <w:rFonts w:ascii="Garamond" w:eastAsia="Garamond" w:hAnsi="Garamond" w:cs="Garamond"/>
            <w:sz w:val="24"/>
            <w:szCs w:val="24"/>
            <w:highlight w:val="white"/>
          </w:rPr>
          <w:t>https://forestsandfinance.org/banking-on-biodiversity-collapse/</w:t>
        </w:r>
      </w:hyperlink>
      <w:r>
        <w:rPr>
          <w:rFonts w:ascii="Garamond" w:eastAsia="Garamond" w:hAnsi="Garamond" w:cs="Garamond"/>
          <w:sz w:val="24"/>
          <w:szCs w:val="24"/>
          <w:highlight w:val="white"/>
        </w:rPr>
        <w:t xml:space="preserve"> acessado em 17 de junho de 2024.</w:t>
      </w:r>
    </w:p>
    <w:p w14:paraId="5E9F320B" w14:textId="77777777" w:rsidR="00EC4499" w:rsidRDefault="00EC4499">
      <w:pPr>
        <w:pBdr>
          <w:top w:val="nil"/>
          <w:left w:val="nil"/>
          <w:bottom w:val="nil"/>
          <w:right w:val="nil"/>
          <w:between w:val="nil"/>
        </w:pBdr>
        <w:spacing w:after="0" w:line="360" w:lineRule="auto"/>
        <w:jc w:val="both"/>
        <w:rPr>
          <w:rFonts w:ascii="Garamond" w:eastAsia="Garamond" w:hAnsi="Garamond" w:cs="Garamond"/>
          <w:color w:val="000000"/>
          <w:sz w:val="24"/>
          <w:szCs w:val="24"/>
        </w:rPr>
      </w:pPr>
    </w:p>
    <w:p w14:paraId="1C4FC6C3" w14:textId="77777777" w:rsidR="00EC4499" w:rsidRDefault="00433EA7">
      <w:pPr>
        <w:pBdr>
          <w:top w:val="nil"/>
          <w:left w:val="nil"/>
          <w:bottom w:val="nil"/>
          <w:right w:val="nil"/>
          <w:between w:val="nil"/>
        </w:pBdr>
        <w:spacing w:after="0" w:line="360" w:lineRule="auto"/>
        <w:ind w:right="1"/>
        <w:jc w:val="both"/>
        <w:rPr>
          <w:rFonts w:ascii="Garamond" w:eastAsia="Garamond" w:hAnsi="Garamond" w:cs="Garamond"/>
          <w:sz w:val="24"/>
          <w:szCs w:val="24"/>
        </w:rPr>
      </w:pPr>
      <w:r>
        <w:rPr>
          <w:rFonts w:ascii="Garamond" w:eastAsia="Garamond" w:hAnsi="Garamond" w:cs="Garamond"/>
          <w:color w:val="000000"/>
          <w:sz w:val="24"/>
          <w:szCs w:val="24"/>
        </w:rPr>
        <w:t>Conselho Empresarial Brasileiro para o Desenvolvimento Sustentável. (202</w:t>
      </w:r>
      <w:r>
        <w:rPr>
          <w:rFonts w:ascii="Garamond" w:eastAsia="Garamond" w:hAnsi="Garamond" w:cs="Garamond"/>
          <w:sz w:val="24"/>
          <w:szCs w:val="24"/>
        </w:rPr>
        <w:t>4</w:t>
      </w:r>
      <w:r>
        <w:rPr>
          <w:rFonts w:ascii="Garamond" w:eastAsia="Garamond" w:hAnsi="Garamond" w:cs="Garamond"/>
          <w:color w:val="000000"/>
          <w:sz w:val="24"/>
          <w:szCs w:val="24"/>
        </w:rPr>
        <w:t>).</w:t>
      </w:r>
      <w:r>
        <w:rPr>
          <w:rFonts w:ascii="Garamond" w:eastAsia="Garamond" w:hAnsi="Garamond" w:cs="Garamond"/>
          <w:i/>
          <w:color w:val="000000"/>
          <w:sz w:val="24"/>
          <w:szCs w:val="24"/>
        </w:rPr>
        <w:t xml:space="preserve"> Relatório Reporting Matters Brasil 2023 – 1ª edição</w:t>
      </w:r>
      <w:r>
        <w:rPr>
          <w:rFonts w:ascii="Garamond" w:eastAsia="Garamond" w:hAnsi="Garamond" w:cs="Garamond"/>
          <w:color w:val="000000"/>
          <w:sz w:val="24"/>
          <w:szCs w:val="24"/>
        </w:rPr>
        <w:t>. São Paulo e R</w:t>
      </w:r>
      <w:r>
        <w:rPr>
          <w:rFonts w:ascii="Garamond" w:eastAsia="Garamond" w:hAnsi="Garamond" w:cs="Garamond"/>
          <w:sz w:val="24"/>
          <w:szCs w:val="24"/>
        </w:rPr>
        <w:t xml:space="preserve">io de Janeiro: Conselho Empresarial Brasileiro para o Desenvolvimento Sustentável. Retirado de Conselho Empresarial Brasileiro para o Desenvolvimento Sustentável </w:t>
      </w:r>
      <w:hyperlink r:id="rId31">
        <w:r>
          <w:rPr>
            <w:rFonts w:ascii="Garamond" w:eastAsia="Garamond" w:hAnsi="Garamond" w:cs="Garamond"/>
            <w:sz w:val="24"/>
            <w:szCs w:val="24"/>
          </w:rPr>
          <w:t>https://cebds.org/publicacoes/relatorio-reporting-matters-brasil-2023/</w:t>
        </w:r>
      </w:hyperlink>
      <w:r>
        <w:rPr>
          <w:rFonts w:ascii="Garamond" w:eastAsia="Garamond" w:hAnsi="Garamond" w:cs="Garamond"/>
          <w:sz w:val="24"/>
          <w:szCs w:val="24"/>
        </w:rPr>
        <w:t xml:space="preserve"> acessado em 17 de junho de 2024.</w:t>
      </w:r>
    </w:p>
    <w:p w14:paraId="3B88D67F" w14:textId="77777777" w:rsidR="00EC4499" w:rsidRDefault="00EC4499">
      <w:pPr>
        <w:pBdr>
          <w:top w:val="nil"/>
          <w:left w:val="nil"/>
          <w:bottom w:val="nil"/>
          <w:right w:val="nil"/>
          <w:between w:val="nil"/>
        </w:pBdr>
        <w:spacing w:after="0" w:line="360" w:lineRule="auto"/>
        <w:ind w:firstLine="360"/>
        <w:jc w:val="both"/>
        <w:rPr>
          <w:rFonts w:ascii="Garamond" w:eastAsia="Garamond" w:hAnsi="Garamond" w:cs="Garamond"/>
          <w:color w:val="000000"/>
          <w:sz w:val="24"/>
          <w:szCs w:val="24"/>
        </w:rPr>
      </w:pPr>
    </w:p>
    <w:p w14:paraId="0B998DB2" w14:textId="77777777" w:rsidR="00EC4499" w:rsidRDefault="00433EA7">
      <w:pPr>
        <w:pBdr>
          <w:top w:val="nil"/>
          <w:left w:val="nil"/>
          <w:bottom w:val="nil"/>
          <w:right w:val="nil"/>
          <w:between w:val="nil"/>
        </w:pBdr>
        <w:spacing w:after="0" w:line="360" w:lineRule="auto"/>
        <w:jc w:val="both"/>
        <w:rPr>
          <w:rFonts w:ascii="Garamond" w:eastAsia="Garamond" w:hAnsi="Garamond" w:cs="Garamond"/>
          <w:sz w:val="24"/>
          <w:szCs w:val="24"/>
        </w:rPr>
      </w:pPr>
      <w:r>
        <w:rPr>
          <w:rFonts w:ascii="Garamond" w:eastAsia="Garamond" w:hAnsi="Garamond" w:cs="Garamond"/>
          <w:sz w:val="24"/>
          <w:szCs w:val="24"/>
        </w:rPr>
        <w:t xml:space="preserve">Conselho Nacional de Justiça. (2023). </w:t>
      </w:r>
      <w:r>
        <w:rPr>
          <w:rFonts w:ascii="Garamond" w:eastAsia="Garamond" w:hAnsi="Garamond" w:cs="Garamond"/>
          <w:i/>
          <w:sz w:val="24"/>
          <w:szCs w:val="24"/>
        </w:rPr>
        <w:t>Grandes Litigantes.</w:t>
      </w:r>
      <w:r>
        <w:rPr>
          <w:rFonts w:ascii="Garamond" w:eastAsia="Garamond" w:hAnsi="Garamond" w:cs="Garamond"/>
          <w:sz w:val="24"/>
          <w:szCs w:val="24"/>
        </w:rPr>
        <w:t xml:space="preserve"> Brasília: Conselho Nacional de Justiça. Retirado de </w:t>
      </w:r>
      <w:hyperlink r:id="rId32">
        <w:r>
          <w:rPr>
            <w:rFonts w:ascii="Garamond" w:eastAsia="Garamond" w:hAnsi="Garamond" w:cs="Garamond"/>
            <w:sz w:val="24"/>
            <w:szCs w:val="24"/>
          </w:rPr>
          <w:t>https://grandes-litigantes.stg.cloud.cnj.jus.br/</w:t>
        </w:r>
      </w:hyperlink>
      <w:r>
        <w:rPr>
          <w:rFonts w:ascii="Garamond" w:eastAsia="Garamond" w:hAnsi="Garamond" w:cs="Garamond"/>
          <w:sz w:val="24"/>
          <w:szCs w:val="24"/>
        </w:rPr>
        <w:t xml:space="preserve"> acessado em 05 de abril de 2024.</w:t>
      </w:r>
    </w:p>
    <w:p w14:paraId="1CDDAB0D" w14:textId="77777777" w:rsidR="00EC4499" w:rsidRDefault="00EC4499">
      <w:pPr>
        <w:pBdr>
          <w:top w:val="nil"/>
          <w:left w:val="nil"/>
          <w:bottom w:val="nil"/>
          <w:right w:val="nil"/>
          <w:between w:val="nil"/>
        </w:pBdr>
        <w:spacing w:after="0" w:line="360" w:lineRule="auto"/>
        <w:ind w:firstLine="360"/>
        <w:jc w:val="both"/>
        <w:rPr>
          <w:rFonts w:ascii="Garamond" w:eastAsia="Garamond" w:hAnsi="Garamond" w:cs="Garamond"/>
          <w:color w:val="000000"/>
          <w:sz w:val="24"/>
          <w:szCs w:val="24"/>
        </w:rPr>
      </w:pPr>
    </w:p>
    <w:p w14:paraId="7EF7CCD6" w14:textId="77777777" w:rsidR="00EC4499" w:rsidRDefault="00433EA7">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Cortázar, J. (1977). </w:t>
      </w:r>
      <w:r>
        <w:rPr>
          <w:rFonts w:ascii="Garamond" w:eastAsia="Garamond" w:hAnsi="Garamond" w:cs="Garamond"/>
          <w:i/>
          <w:color w:val="000000"/>
          <w:sz w:val="24"/>
          <w:szCs w:val="24"/>
        </w:rPr>
        <w:t>Histórias de Cronópios e de Famas</w:t>
      </w:r>
      <w:r>
        <w:rPr>
          <w:rFonts w:ascii="Garamond" w:eastAsia="Garamond" w:hAnsi="Garamond" w:cs="Garamond"/>
          <w:color w:val="000000"/>
          <w:sz w:val="24"/>
          <w:szCs w:val="24"/>
        </w:rPr>
        <w:t>. Rio de Janeiro: Civilização brasileira.</w:t>
      </w:r>
    </w:p>
    <w:p w14:paraId="037A3A03" w14:textId="77777777" w:rsidR="00EC4499" w:rsidRDefault="00EC4499">
      <w:pPr>
        <w:pBdr>
          <w:top w:val="nil"/>
          <w:left w:val="nil"/>
          <w:bottom w:val="nil"/>
          <w:right w:val="nil"/>
          <w:between w:val="nil"/>
        </w:pBdr>
        <w:spacing w:after="0" w:line="360" w:lineRule="auto"/>
        <w:ind w:firstLine="360"/>
        <w:jc w:val="both"/>
        <w:rPr>
          <w:rFonts w:ascii="Garamond" w:eastAsia="Garamond" w:hAnsi="Garamond" w:cs="Garamond"/>
          <w:color w:val="000000"/>
          <w:sz w:val="24"/>
          <w:szCs w:val="24"/>
        </w:rPr>
      </w:pPr>
    </w:p>
    <w:p w14:paraId="031039C5" w14:textId="44B42530" w:rsidR="00EC4499" w:rsidRPr="00B02036" w:rsidRDefault="00433EA7">
      <w:pPr>
        <w:pBdr>
          <w:top w:val="nil"/>
          <w:left w:val="nil"/>
          <w:bottom w:val="nil"/>
          <w:right w:val="nil"/>
          <w:between w:val="nil"/>
        </w:pBdr>
        <w:spacing w:after="0" w:line="360" w:lineRule="auto"/>
        <w:jc w:val="both"/>
        <w:rPr>
          <w:rFonts w:ascii="Garamond" w:eastAsia="Garamond" w:hAnsi="Garamond" w:cs="Garamond"/>
          <w:sz w:val="24"/>
          <w:szCs w:val="24"/>
          <w:lang w:val="en-US"/>
        </w:rPr>
      </w:pPr>
      <w:r w:rsidRPr="00F73D0C">
        <w:rPr>
          <w:rFonts w:ascii="Garamond" w:eastAsia="Garamond" w:hAnsi="Garamond" w:cs="Garamond"/>
          <w:sz w:val="24"/>
          <w:szCs w:val="24"/>
          <w:lang w:val="en-GB"/>
        </w:rPr>
        <w:t xml:space="preserve">Daub, C. H. (2007). Assessing the quality of sustainability reporting: an alternative methodological approach. </w:t>
      </w:r>
      <w:r w:rsidRPr="00B02036">
        <w:rPr>
          <w:rFonts w:ascii="Garamond" w:eastAsia="Garamond" w:hAnsi="Garamond" w:cs="Garamond"/>
          <w:i/>
          <w:sz w:val="24"/>
          <w:szCs w:val="24"/>
          <w:lang w:val="en-US"/>
        </w:rPr>
        <w:t>Journal of Cleaner Production</w:t>
      </w:r>
      <w:r w:rsidRPr="00B02036">
        <w:rPr>
          <w:rFonts w:ascii="Garamond" w:eastAsia="Garamond" w:hAnsi="Garamond" w:cs="Garamond"/>
          <w:sz w:val="24"/>
          <w:szCs w:val="24"/>
          <w:lang w:val="en-US"/>
        </w:rPr>
        <w:t xml:space="preserve">, 15(1), 75-85. </w:t>
      </w:r>
      <w:hyperlink r:id="rId33">
        <w:r w:rsidRPr="00B02036">
          <w:rPr>
            <w:rFonts w:ascii="Garamond" w:eastAsia="Garamond" w:hAnsi="Garamond" w:cs="Garamond"/>
            <w:sz w:val="24"/>
            <w:szCs w:val="24"/>
            <w:lang w:val="en-US"/>
          </w:rPr>
          <w:t>https://doi.org/10.1016/j.jclepro.2005.08.013</w:t>
        </w:r>
      </w:hyperlink>
      <w:r w:rsidRPr="00B02036">
        <w:rPr>
          <w:rFonts w:ascii="Garamond" w:eastAsia="Garamond" w:hAnsi="Garamond" w:cs="Garamond"/>
          <w:sz w:val="24"/>
          <w:szCs w:val="24"/>
          <w:lang w:val="en-US"/>
        </w:rPr>
        <w:t xml:space="preserve"> </w:t>
      </w:r>
    </w:p>
    <w:p w14:paraId="2084E248" w14:textId="77777777" w:rsidR="00EC4499" w:rsidRPr="00B02036" w:rsidRDefault="00EC4499">
      <w:pPr>
        <w:pBdr>
          <w:top w:val="nil"/>
          <w:left w:val="nil"/>
          <w:bottom w:val="nil"/>
          <w:right w:val="nil"/>
          <w:between w:val="nil"/>
        </w:pBdr>
        <w:spacing w:after="0" w:line="360" w:lineRule="auto"/>
        <w:ind w:firstLine="360"/>
        <w:jc w:val="both"/>
        <w:rPr>
          <w:rFonts w:ascii="Garamond" w:eastAsia="Garamond" w:hAnsi="Garamond" w:cs="Garamond"/>
          <w:color w:val="000000"/>
          <w:sz w:val="24"/>
          <w:szCs w:val="24"/>
          <w:lang w:val="en-US"/>
        </w:rPr>
      </w:pPr>
    </w:p>
    <w:p w14:paraId="24E9A1FA" w14:textId="009C50ED" w:rsidR="00EC4499" w:rsidRPr="00B02036" w:rsidRDefault="00433EA7">
      <w:pPr>
        <w:spacing w:after="0" w:line="360" w:lineRule="auto"/>
        <w:jc w:val="both"/>
        <w:rPr>
          <w:rFonts w:ascii="Garamond" w:eastAsia="Garamond" w:hAnsi="Garamond" w:cs="Garamond"/>
          <w:sz w:val="24"/>
          <w:szCs w:val="24"/>
          <w:lang w:val="en-US"/>
        </w:rPr>
      </w:pPr>
      <w:r w:rsidRPr="00F73D0C">
        <w:rPr>
          <w:rFonts w:ascii="Garamond" w:eastAsia="Garamond" w:hAnsi="Garamond" w:cs="Garamond"/>
          <w:sz w:val="24"/>
          <w:szCs w:val="24"/>
          <w:lang w:val="en-GB"/>
        </w:rPr>
        <w:t xml:space="preserve">Dressler, A., </w:t>
      </w:r>
      <w:r w:rsidR="009125A7">
        <w:rPr>
          <w:rFonts w:ascii="Garamond" w:eastAsia="Garamond" w:hAnsi="Garamond" w:cs="Garamond"/>
          <w:sz w:val="24"/>
          <w:szCs w:val="24"/>
          <w:lang w:val="en-GB"/>
        </w:rPr>
        <w:t xml:space="preserve">&amp; </w:t>
      </w:r>
      <w:r w:rsidRPr="00F73D0C">
        <w:rPr>
          <w:rFonts w:ascii="Garamond" w:eastAsia="Garamond" w:hAnsi="Garamond" w:cs="Garamond"/>
          <w:sz w:val="24"/>
          <w:szCs w:val="24"/>
          <w:lang w:val="en-GB"/>
        </w:rPr>
        <w:t xml:space="preserve">Bucher, J. (2018). Introducing a sustainability evaluation framework based on the Sustainable Development Goals applied to four cases of South African frugal innovation. </w:t>
      </w:r>
      <w:r w:rsidRPr="00B02036">
        <w:rPr>
          <w:rFonts w:ascii="Garamond" w:eastAsia="Garamond" w:hAnsi="Garamond" w:cs="Garamond"/>
          <w:i/>
          <w:sz w:val="24"/>
          <w:szCs w:val="24"/>
          <w:lang w:val="en-US"/>
        </w:rPr>
        <w:t>Business Strategy and Development</w:t>
      </w:r>
      <w:r w:rsidRPr="00B02036">
        <w:rPr>
          <w:rFonts w:ascii="Garamond" w:eastAsia="Garamond" w:hAnsi="Garamond" w:cs="Garamond"/>
          <w:sz w:val="24"/>
          <w:szCs w:val="24"/>
          <w:lang w:val="en-US"/>
        </w:rPr>
        <w:t xml:space="preserve">, 1, 276–285. </w:t>
      </w:r>
      <w:hyperlink r:id="rId34">
        <w:r w:rsidRPr="00B02036">
          <w:rPr>
            <w:rFonts w:ascii="Garamond" w:eastAsia="Garamond" w:hAnsi="Garamond" w:cs="Garamond"/>
            <w:sz w:val="24"/>
            <w:szCs w:val="24"/>
            <w:lang w:val="en-US"/>
          </w:rPr>
          <w:t>https://doi.org/10.1002/bsd2.37</w:t>
        </w:r>
      </w:hyperlink>
      <w:r w:rsidRPr="00B02036">
        <w:rPr>
          <w:rFonts w:ascii="Garamond" w:eastAsia="Garamond" w:hAnsi="Garamond" w:cs="Garamond"/>
          <w:sz w:val="24"/>
          <w:szCs w:val="24"/>
          <w:lang w:val="en-US"/>
        </w:rPr>
        <w:t xml:space="preserve"> </w:t>
      </w:r>
    </w:p>
    <w:p w14:paraId="31F7B8AE" w14:textId="77777777" w:rsidR="00EC4499" w:rsidRPr="00B02036" w:rsidRDefault="00EC4499">
      <w:pPr>
        <w:spacing w:after="0" w:line="360" w:lineRule="auto"/>
        <w:jc w:val="both"/>
        <w:rPr>
          <w:rFonts w:ascii="Garamond" w:eastAsia="Garamond" w:hAnsi="Garamond" w:cs="Garamond"/>
          <w:sz w:val="24"/>
          <w:szCs w:val="24"/>
          <w:lang w:val="en-US"/>
        </w:rPr>
      </w:pPr>
    </w:p>
    <w:p w14:paraId="4116A55A" w14:textId="71B702B0" w:rsidR="00EC4499" w:rsidRDefault="00433EA7" w:rsidP="005525A9">
      <w:pPr>
        <w:pBdr>
          <w:top w:val="nil"/>
          <w:left w:val="nil"/>
          <w:bottom w:val="nil"/>
          <w:right w:val="nil"/>
          <w:between w:val="nil"/>
        </w:pBdr>
        <w:spacing w:after="0" w:line="360" w:lineRule="auto"/>
        <w:jc w:val="both"/>
        <w:rPr>
          <w:rFonts w:ascii="Garamond" w:eastAsia="Garamond" w:hAnsi="Garamond" w:cs="Garamond"/>
          <w:color w:val="000000"/>
          <w:sz w:val="24"/>
          <w:szCs w:val="24"/>
        </w:rPr>
      </w:pPr>
      <w:r w:rsidRPr="00F73D0C">
        <w:rPr>
          <w:rFonts w:ascii="Garamond" w:eastAsia="Garamond" w:hAnsi="Garamond" w:cs="Garamond"/>
          <w:sz w:val="24"/>
          <w:szCs w:val="24"/>
          <w:lang w:val="en-GB"/>
        </w:rPr>
        <w:t xml:space="preserve">Fincomm Services. (2024). </w:t>
      </w:r>
      <w:r w:rsidRPr="00F73D0C">
        <w:rPr>
          <w:rFonts w:ascii="Garamond" w:eastAsia="Garamond" w:hAnsi="Garamond" w:cs="Garamond"/>
          <w:i/>
          <w:sz w:val="24"/>
          <w:szCs w:val="24"/>
          <w:lang w:val="en-GB"/>
        </w:rPr>
        <w:t>From chaos to order – the 10 ways corporate sustainability reporting is changing</w:t>
      </w:r>
      <w:r w:rsidRPr="00F73D0C">
        <w:rPr>
          <w:rFonts w:ascii="Garamond" w:eastAsia="Garamond" w:hAnsi="Garamond" w:cs="Garamond"/>
          <w:sz w:val="24"/>
          <w:szCs w:val="24"/>
          <w:lang w:val="en-GB"/>
        </w:rPr>
        <w:t xml:space="preserve">. </w:t>
      </w:r>
      <w:r>
        <w:rPr>
          <w:rFonts w:ascii="Garamond" w:eastAsia="Garamond" w:hAnsi="Garamond" w:cs="Garamond"/>
          <w:sz w:val="24"/>
          <w:szCs w:val="24"/>
        </w:rPr>
        <w:t xml:space="preserve">Quebec: Fincomm Services. Retirado de </w:t>
      </w:r>
      <w:proofErr w:type="spellStart"/>
      <w:r>
        <w:rPr>
          <w:rFonts w:ascii="Garamond" w:eastAsia="Garamond" w:hAnsi="Garamond" w:cs="Garamond"/>
          <w:sz w:val="24"/>
          <w:szCs w:val="24"/>
        </w:rPr>
        <w:t>Fincomm</w:t>
      </w:r>
      <w:proofErr w:type="spellEnd"/>
      <w:r>
        <w:rPr>
          <w:rFonts w:ascii="Garamond" w:eastAsia="Garamond" w:hAnsi="Garamond" w:cs="Garamond"/>
          <w:sz w:val="24"/>
          <w:szCs w:val="24"/>
        </w:rPr>
        <w:t xml:space="preserve"> Services </w:t>
      </w:r>
      <w:hyperlink r:id="rId35">
        <w:r>
          <w:rPr>
            <w:rFonts w:ascii="Garamond" w:eastAsia="Garamond" w:hAnsi="Garamond" w:cs="Garamond"/>
            <w:sz w:val="24"/>
            <w:szCs w:val="24"/>
          </w:rPr>
          <w:t>https://www.fincommservices.com/</w:t>
        </w:r>
      </w:hyperlink>
      <w:r>
        <w:rPr>
          <w:rFonts w:ascii="Garamond" w:eastAsia="Garamond" w:hAnsi="Garamond" w:cs="Garamond"/>
          <w:sz w:val="24"/>
          <w:szCs w:val="24"/>
        </w:rPr>
        <w:t xml:space="preserve"> acess</w:t>
      </w:r>
      <w:r w:rsidR="00B452C1">
        <w:rPr>
          <w:rFonts w:ascii="Garamond" w:eastAsia="Garamond" w:hAnsi="Garamond" w:cs="Garamond"/>
          <w:sz w:val="24"/>
          <w:szCs w:val="24"/>
        </w:rPr>
        <w:t>ad</w:t>
      </w:r>
      <w:r>
        <w:rPr>
          <w:rFonts w:ascii="Garamond" w:eastAsia="Garamond" w:hAnsi="Garamond" w:cs="Garamond"/>
          <w:sz w:val="24"/>
          <w:szCs w:val="24"/>
        </w:rPr>
        <w:t>o em 13 de maio de 2024.</w:t>
      </w:r>
    </w:p>
    <w:p w14:paraId="4A3A4280" w14:textId="77777777" w:rsidR="00EC4499" w:rsidRPr="00B02036" w:rsidRDefault="00EC4499">
      <w:pPr>
        <w:pBdr>
          <w:top w:val="nil"/>
          <w:left w:val="nil"/>
          <w:bottom w:val="nil"/>
          <w:right w:val="nil"/>
          <w:between w:val="nil"/>
        </w:pBdr>
        <w:spacing w:after="0" w:line="360" w:lineRule="auto"/>
        <w:ind w:firstLine="360"/>
        <w:jc w:val="both"/>
        <w:rPr>
          <w:rFonts w:ascii="Garamond" w:eastAsia="Garamond" w:hAnsi="Garamond" w:cs="Garamond"/>
          <w:color w:val="000000"/>
          <w:sz w:val="24"/>
          <w:szCs w:val="24"/>
          <w:lang w:val="pt-PT"/>
        </w:rPr>
      </w:pPr>
    </w:p>
    <w:p w14:paraId="381610CD" w14:textId="7694F713" w:rsidR="00EC4499" w:rsidRDefault="00433EA7">
      <w:pPr>
        <w:pBdr>
          <w:top w:val="nil"/>
          <w:left w:val="nil"/>
          <w:bottom w:val="nil"/>
          <w:right w:val="nil"/>
          <w:between w:val="nil"/>
        </w:pBdr>
        <w:spacing w:after="0" w:line="360" w:lineRule="auto"/>
        <w:jc w:val="both"/>
        <w:rPr>
          <w:rFonts w:ascii="Garamond" w:eastAsia="Garamond" w:hAnsi="Garamond" w:cs="Garamond"/>
          <w:sz w:val="24"/>
          <w:szCs w:val="24"/>
        </w:rPr>
      </w:pPr>
      <w:r>
        <w:rPr>
          <w:rFonts w:ascii="Garamond" w:eastAsia="Garamond" w:hAnsi="Garamond" w:cs="Garamond"/>
          <w:color w:val="000000"/>
          <w:sz w:val="24"/>
          <w:szCs w:val="24"/>
        </w:rPr>
        <w:t>Global Reporting Initiative. (2021). GRI 1: Fundamentos 2021. Amsterdã: Global Reportin</w:t>
      </w:r>
      <w:r>
        <w:rPr>
          <w:rFonts w:ascii="Garamond" w:eastAsia="Garamond" w:hAnsi="Garamond" w:cs="Garamond"/>
          <w:sz w:val="24"/>
          <w:szCs w:val="24"/>
        </w:rPr>
        <w:t>g Initiativ</w:t>
      </w:r>
      <w:r w:rsidR="00D95E30">
        <w:rPr>
          <w:rFonts w:ascii="Garamond" w:eastAsia="Garamond" w:hAnsi="Garamond" w:cs="Garamond"/>
          <w:sz w:val="24"/>
          <w:szCs w:val="24"/>
        </w:rPr>
        <w:t>e</w:t>
      </w:r>
      <w:r>
        <w:rPr>
          <w:rFonts w:ascii="Garamond" w:eastAsia="Garamond" w:hAnsi="Garamond" w:cs="Garamond"/>
          <w:sz w:val="24"/>
          <w:szCs w:val="24"/>
        </w:rPr>
        <w:t xml:space="preserve">. Retirado de </w:t>
      </w:r>
      <w:hyperlink r:id="rId36">
        <w:r>
          <w:rPr>
            <w:rFonts w:ascii="Garamond" w:eastAsia="Garamond" w:hAnsi="Garamond" w:cs="Garamond"/>
            <w:sz w:val="24"/>
            <w:szCs w:val="24"/>
          </w:rPr>
          <w:t>https://www.globalreporting.org/search/?query=fundamentos</w:t>
        </w:r>
      </w:hyperlink>
      <w:r>
        <w:rPr>
          <w:rFonts w:ascii="Garamond" w:eastAsia="Garamond" w:hAnsi="Garamond" w:cs="Garamond"/>
          <w:sz w:val="24"/>
          <w:szCs w:val="24"/>
        </w:rPr>
        <w:t xml:space="preserve"> acess</w:t>
      </w:r>
      <w:r w:rsidR="00B452C1">
        <w:rPr>
          <w:rFonts w:ascii="Garamond" w:eastAsia="Garamond" w:hAnsi="Garamond" w:cs="Garamond"/>
          <w:sz w:val="24"/>
          <w:szCs w:val="24"/>
        </w:rPr>
        <w:t>ad</w:t>
      </w:r>
      <w:r>
        <w:rPr>
          <w:rFonts w:ascii="Garamond" w:eastAsia="Garamond" w:hAnsi="Garamond" w:cs="Garamond"/>
          <w:sz w:val="24"/>
          <w:szCs w:val="24"/>
        </w:rPr>
        <w:t>o em 15 de dezembro de 2023.</w:t>
      </w:r>
    </w:p>
    <w:p w14:paraId="418F5C51" w14:textId="77777777" w:rsidR="00EC4499" w:rsidRDefault="00EC4499">
      <w:pPr>
        <w:pBdr>
          <w:top w:val="nil"/>
          <w:left w:val="nil"/>
          <w:bottom w:val="nil"/>
          <w:right w:val="nil"/>
          <w:between w:val="nil"/>
        </w:pBdr>
        <w:spacing w:after="0" w:line="360" w:lineRule="auto"/>
        <w:jc w:val="both"/>
        <w:rPr>
          <w:rFonts w:ascii="Garamond" w:eastAsia="Garamond" w:hAnsi="Garamond" w:cs="Garamond"/>
          <w:color w:val="000000"/>
          <w:sz w:val="24"/>
          <w:szCs w:val="24"/>
        </w:rPr>
      </w:pPr>
    </w:p>
    <w:p w14:paraId="33D57315" w14:textId="370AEBFE" w:rsidR="00EC4499" w:rsidRDefault="00433EA7">
      <w:pPr>
        <w:pBdr>
          <w:top w:val="nil"/>
          <w:left w:val="nil"/>
          <w:bottom w:val="nil"/>
          <w:right w:val="nil"/>
          <w:between w:val="nil"/>
        </w:pBdr>
        <w:spacing w:after="0" w:line="360" w:lineRule="auto"/>
        <w:jc w:val="both"/>
        <w:rPr>
          <w:rFonts w:ascii="Garamond" w:eastAsia="Garamond" w:hAnsi="Garamond" w:cs="Garamond"/>
          <w:sz w:val="24"/>
          <w:szCs w:val="24"/>
        </w:rPr>
      </w:pPr>
      <w:r w:rsidRPr="00F73D0C">
        <w:rPr>
          <w:rFonts w:ascii="Garamond" w:eastAsia="Garamond" w:hAnsi="Garamond" w:cs="Garamond"/>
          <w:color w:val="000000"/>
          <w:sz w:val="24"/>
          <w:szCs w:val="24"/>
          <w:lang w:val="en-GB"/>
        </w:rPr>
        <w:t xml:space="preserve">Global Reporting Initiative. (2023). </w:t>
      </w:r>
      <w:r w:rsidRPr="00F73D0C">
        <w:rPr>
          <w:rFonts w:ascii="Garamond" w:eastAsia="Garamond" w:hAnsi="Garamond" w:cs="Garamond"/>
          <w:i/>
          <w:color w:val="000000"/>
          <w:sz w:val="24"/>
          <w:szCs w:val="24"/>
          <w:lang w:val="en-GB"/>
        </w:rPr>
        <w:t xml:space="preserve">Achieving </w:t>
      </w:r>
      <w:r w:rsidRPr="00F73D0C">
        <w:rPr>
          <w:rFonts w:ascii="Garamond" w:eastAsia="Garamond" w:hAnsi="Garamond" w:cs="Garamond"/>
          <w:i/>
          <w:sz w:val="24"/>
          <w:szCs w:val="24"/>
          <w:lang w:val="en-GB"/>
        </w:rPr>
        <w:t xml:space="preserve">transparency in the financial sectors. </w:t>
      </w:r>
      <w:r>
        <w:rPr>
          <w:rFonts w:ascii="Garamond" w:eastAsia="Garamond" w:hAnsi="Garamond" w:cs="Garamond"/>
          <w:sz w:val="24"/>
          <w:szCs w:val="24"/>
        </w:rPr>
        <w:t xml:space="preserve">Amsterdã: Global Reporting Initiative. Retirado de </w:t>
      </w:r>
      <w:hyperlink r:id="rId37">
        <w:r>
          <w:rPr>
            <w:rFonts w:ascii="Garamond" w:eastAsia="Garamond" w:hAnsi="Garamond" w:cs="Garamond"/>
            <w:sz w:val="24"/>
            <w:szCs w:val="24"/>
          </w:rPr>
          <w:t>https://www.globalreporting.org/news/news-center/achieving-transparency-in-the-financial-sectors/</w:t>
        </w:r>
      </w:hyperlink>
      <w:r>
        <w:rPr>
          <w:rFonts w:ascii="Garamond" w:eastAsia="Garamond" w:hAnsi="Garamond" w:cs="Garamond"/>
          <w:sz w:val="24"/>
          <w:szCs w:val="24"/>
        </w:rPr>
        <w:t xml:space="preserve"> acess</w:t>
      </w:r>
      <w:r w:rsidR="00B452C1">
        <w:rPr>
          <w:rFonts w:ascii="Garamond" w:eastAsia="Garamond" w:hAnsi="Garamond" w:cs="Garamond"/>
          <w:sz w:val="24"/>
          <w:szCs w:val="24"/>
        </w:rPr>
        <w:t>ad</w:t>
      </w:r>
      <w:r>
        <w:rPr>
          <w:rFonts w:ascii="Garamond" w:eastAsia="Garamond" w:hAnsi="Garamond" w:cs="Garamond"/>
          <w:sz w:val="24"/>
          <w:szCs w:val="24"/>
        </w:rPr>
        <w:t>o em 15 de dezembro de 2023.</w:t>
      </w:r>
    </w:p>
    <w:p w14:paraId="1EACB670" w14:textId="77777777" w:rsidR="00EC4499" w:rsidRDefault="00EC4499">
      <w:pPr>
        <w:pBdr>
          <w:top w:val="nil"/>
          <w:left w:val="nil"/>
          <w:bottom w:val="nil"/>
          <w:right w:val="nil"/>
          <w:between w:val="nil"/>
        </w:pBdr>
        <w:spacing w:after="0" w:line="360" w:lineRule="auto"/>
        <w:ind w:firstLine="360"/>
        <w:jc w:val="both"/>
        <w:rPr>
          <w:rFonts w:ascii="Garamond" w:eastAsia="Garamond" w:hAnsi="Garamond" w:cs="Garamond"/>
          <w:color w:val="000000"/>
          <w:sz w:val="24"/>
          <w:szCs w:val="24"/>
        </w:rPr>
      </w:pPr>
    </w:p>
    <w:p w14:paraId="62DF96F1" w14:textId="40B03379" w:rsidR="00EC4499" w:rsidRPr="00F73D0C" w:rsidRDefault="00433EA7">
      <w:pPr>
        <w:pBdr>
          <w:top w:val="nil"/>
          <w:left w:val="nil"/>
          <w:bottom w:val="nil"/>
          <w:right w:val="nil"/>
          <w:between w:val="nil"/>
        </w:pBdr>
        <w:spacing w:after="0" w:line="360" w:lineRule="auto"/>
        <w:jc w:val="both"/>
        <w:rPr>
          <w:rFonts w:ascii="Garamond" w:eastAsia="Garamond" w:hAnsi="Garamond" w:cs="Garamond"/>
          <w:sz w:val="24"/>
          <w:szCs w:val="24"/>
          <w:lang w:val="en-GB"/>
        </w:rPr>
      </w:pPr>
      <w:r w:rsidRPr="00F73D0C">
        <w:rPr>
          <w:rFonts w:ascii="Garamond" w:eastAsia="Garamond" w:hAnsi="Garamond" w:cs="Garamond"/>
          <w:color w:val="000000"/>
          <w:sz w:val="24"/>
          <w:szCs w:val="24"/>
          <w:lang w:val="en-GB"/>
        </w:rPr>
        <w:t>Haÿbek, P., &amp; Wolniak, R. (2015). What Factors Affect the Quality of Sustainability Reports? The Case of Reports from Selec</w:t>
      </w:r>
      <w:r w:rsidRPr="00F73D0C">
        <w:rPr>
          <w:rFonts w:ascii="Garamond" w:eastAsia="Garamond" w:hAnsi="Garamond" w:cs="Garamond"/>
          <w:sz w:val="24"/>
          <w:szCs w:val="24"/>
          <w:lang w:val="en-GB"/>
        </w:rPr>
        <w:t>ted European Union Member States. E</w:t>
      </w:r>
      <w:r w:rsidRPr="00F73D0C">
        <w:rPr>
          <w:rFonts w:ascii="Garamond" w:eastAsia="Garamond" w:hAnsi="Garamond" w:cs="Garamond"/>
          <w:i/>
          <w:sz w:val="24"/>
          <w:szCs w:val="24"/>
          <w:lang w:val="en-GB"/>
        </w:rPr>
        <w:t>cology, Economics, Education and Legislation</w:t>
      </w:r>
      <w:r w:rsidRPr="00F73D0C">
        <w:rPr>
          <w:rFonts w:ascii="Garamond" w:eastAsia="Garamond" w:hAnsi="Garamond" w:cs="Garamond"/>
          <w:sz w:val="24"/>
          <w:szCs w:val="24"/>
          <w:lang w:val="en-GB"/>
        </w:rPr>
        <w:t xml:space="preserve">, Vol Iii, 767-774. </w:t>
      </w:r>
      <w:proofErr w:type="spellStart"/>
      <w:r w:rsidRPr="00F73D0C">
        <w:rPr>
          <w:rFonts w:ascii="Garamond" w:eastAsia="Garamond" w:hAnsi="Garamond" w:cs="Garamond"/>
          <w:sz w:val="24"/>
          <w:szCs w:val="24"/>
          <w:lang w:val="en-GB"/>
        </w:rPr>
        <w:t>Retirado</w:t>
      </w:r>
      <w:proofErr w:type="spellEnd"/>
      <w:r w:rsidRPr="00F73D0C">
        <w:rPr>
          <w:rFonts w:ascii="Garamond" w:eastAsia="Garamond" w:hAnsi="Garamond" w:cs="Garamond"/>
          <w:sz w:val="24"/>
          <w:szCs w:val="24"/>
          <w:lang w:val="en-GB"/>
        </w:rPr>
        <w:t xml:space="preserve"> de Research Gate </w:t>
      </w:r>
      <w:hyperlink r:id="rId38">
        <w:r w:rsidRPr="00F73D0C">
          <w:rPr>
            <w:rFonts w:ascii="Garamond" w:eastAsia="Garamond" w:hAnsi="Garamond" w:cs="Garamond"/>
            <w:sz w:val="24"/>
            <w:szCs w:val="24"/>
            <w:lang w:val="en-GB"/>
          </w:rPr>
          <w:t>https://www.researchgate.net/publication/284746643_What_factors_affect_the_quality_of_sustainability_reports_The_case_of_reports_from_selected_European_Union_member_states</w:t>
        </w:r>
      </w:hyperlink>
      <w:r w:rsidRPr="00F73D0C">
        <w:rPr>
          <w:rFonts w:ascii="Garamond" w:eastAsia="Garamond" w:hAnsi="Garamond" w:cs="Garamond"/>
          <w:sz w:val="24"/>
          <w:szCs w:val="24"/>
          <w:lang w:val="en-GB"/>
        </w:rPr>
        <w:t xml:space="preserve"> acess</w:t>
      </w:r>
      <w:r w:rsidR="00B452C1">
        <w:rPr>
          <w:rFonts w:ascii="Garamond" w:eastAsia="Garamond" w:hAnsi="Garamond" w:cs="Garamond"/>
          <w:sz w:val="24"/>
          <w:szCs w:val="24"/>
          <w:lang w:val="en-GB"/>
        </w:rPr>
        <w:t>ad</w:t>
      </w:r>
      <w:r w:rsidRPr="00F73D0C">
        <w:rPr>
          <w:rFonts w:ascii="Garamond" w:eastAsia="Garamond" w:hAnsi="Garamond" w:cs="Garamond"/>
          <w:sz w:val="24"/>
          <w:szCs w:val="24"/>
          <w:lang w:val="en-GB"/>
        </w:rPr>
        <w:t xml:space="preserve">o </w:t>
      </w:r>
      <w:proofErr w:type="spellStart"/>
      <w:r w:rsidRPr="00F73D0C">
        <w:rPr>
          <w:rFonts w:ascii="Garamond" w:eastAsia="Garamond" w:hAnsi="Garamond" w:cs="Garamond"/>
          <w:sz w:val="24"/>
          <w:szCs w:val="24"/>
          <w:lang w:val="en-GB"/>
        </w:rPr>
        <w:t>em</w:t>
      </w:r>
      <w:proofErr w:type="spellEnd"/>
      <w:r w:rsidRPr="00F73D0C">
        <w:rPr>
          <w:rFonts w:ascii="Garamond" w:eastAsia="Garamond" w:hAnsi="Garamond" w:cs="Garamond"/>
          <w:sz w:val="24"/>
          <w:szCs w:val="24"/>
          <w:lang w:val="en-GB"/>
        </w:rPr>
        <w:t xml:space="preserve"> 17 de junho de 2024.</w:t>
      </w:r>
    </w:p>
    <w:p w14:paraId="36AE747E" w14:textId="77777777" w:rsidR="00EC4499" w:rsidRPr="00F73D0C" w:rsidRDefault="00EC4499">
      <w:pPr>
        <w:pBdr>
          <w:top w:val="nil"/>
          <w:left w:val="nil"/>
          <w:bottom w:val="nil"/>
          <w:right w:val="nil"/>
          <w:between w:val="nil"/>
        </w:pBdr>
        <w:spacing w:after="0" w:line="360" w:lineRule="auto"/>
        <w:jc w:val="both"/>
        <w:rPr>
          <w:rFonts w:ascii="Garamond" w:eastAsia="Garamond" w:hAnsi="Garamond" w:cs="Garamond"/>
          <w:sz w:val="24"/>
          <w:szCs w:val="24"/>
          <w:lang w:val="en-GB"/>
        </w:rPr>
      </w:pPr>
    </w:p>
    <w:p w14:paraId="5DB7D08D" w14:textId="643D6F98" w:rsidR="00EC4499" w:rsidRDefault="00433EA7">
      <w:pPr>
        <w:pBdr>
          <w:top w:val="nil"/>
          <w:left w:val="nil"/>
          <w:bottom w:val="nil"/>
          <w:right w:val="nil"/>
          <w:between w:val="nil"/>
        </w:pBdr>
        <w:spacing w:after="0" w:line="360" w:lineRule="auto"/>
        <w:jc w:val="both"/>
        <w:rPr>
          <w:rFonts w:ascii="Garamond" w:eastAsia="Garamond" w:hAnsi="Garamond" w:cs="Garamond"/>
          <w:sz w:val="24"/>
          <w:szCs w:val="24"/>
        </w:rPr>
      </w:pPr>
      <w:r>
        <w:rPr>
          <w:rFonts w:ascii="Garamond" w:eastAsia="Garamond" w:hAnsi="Garamond" w:cs="Garamond"/>
          <w:sz w:val="24"/>
          <w:szCs w:val="24"/>
        </w:rPr>
        <w:t>IBM. (n.d</w:t>
      </w:r>
      <w:r w:rsidR="008A1EDB">
        <w:rPr>
          <w:rFonts w:ascii="Garamond" w:eastAsia="Garamond" w:hAnsi="Garamond" w:cs="Garamond"/>
          <w:sz w:val="24"/>
          <w:szCs w:val="24"/>
        </w:rPr>
        <w:t>.</w:t>
      </w:r>
      <w:r>
        <w:rPr>
          <w:rFonts w:ascii="Garamond" w:eastAsia="Garamond" w:hAnsi="Garamond" w:cs="Garamond"/>
          <w:sz w:val="24"/>
          <w:szCs w:val="24"/>
        </w:rPr>
        <w:t xml:space="preserve">). </w:t>
      </w:r>
      <w:r>
        <w:rPr>
          <w:rFonts w:ascii="Garamond" w:eastAsia="Garamond" w:hAnsi="Garamond" w:cs="Garamond"/>
          <w:i/>
          <w:sz w:val="24"/>
          <w:szCs w:val="24"/>
        </w:rPr>
        <w:t>O que é análise de sentimento?</w:t>
      </w:r>
      <w:r>
        <w:rPr>
          <w:rFonts w:ascii="Garamond" w:eastAsia="Garamond" w:hAnsi="Garamond" w:cs="Garamond"/>
          <w:sz w:val="24"/>
          <w:szCs w:val="24"/>
        </w:rPr>
        <w:t xml:space="preserve"> Retirado de IBM </w:t>
      </w:r>
      <w:hyperlink r:id="rId39">
        <w:r>
          <w:rPr>
            <w:rFonts w:ascii="Garamond" w:eastAsia="Garamond" w:hAnsi="Garamond" w:cs="Garamond"/>
            <w:sz w:val="24"/>
            <w:szCs w:val="24"/>
          </w:rPr>
          <w:t>https://www.ibm.com/br-pt/topics/sentiment-analysis</w:t>
        </w:r>
      </w:hyperlink>
      <w:r>
        <w:rPr>
          <w:rFonts w:ascii="Garamond" w:eastAsia="Garamond" w:hAnsi="Garamond" w:cs="Garamond"/>
          <w:sz w:val="24"/>
          <w:szCs w:val="24"/>
        </w:rPr>
        <w:t xml:space="preserve"> acess</w:t>
      </w:r>
      <w:r w:rsidR="00B452C1">
        <w:rPr>
          <w:rFonts w:ascii="Garamond" w:eastAsia="Garamond" w:hAnsi="Garamond" w:cs="Garamond"/>
          <w:sz w:val="24"/>
          <w:szCs w:val="24"/>
        </w:rPr>
        <w:t>ad</w:t>
      </w:r>
      <w:r>
        <w:rPr>
          <w:rFonts w:ascii="Garamond" w:eastAsia="Garamond" w:hAnsi="Garamond" w:cs="Garamond"/>
          <w:sz w:val="24"/>
          <w:szCs w:val="24"/>
        </w:rPr>
        <w:t>o em 10 de março de 2024.</w:t>
      </w:r>
    </w:p>
    <w:p w14:paraId="28A16451" w14:textId="77777777" w:rsidR="00DD43E7" w:rsidRDefault="00DD43E7">
      <w:pPr>
        <w:pBdr>
          <w:top w:val="nil"/>
          <w:left w:val="nil"/>
          <w:bottom w:val="nil"/>
          <w:right w:val="nil"/>
          <w:between w:val="nil"/>
        </w:pBdr>
        <w:spacing w:after="0" w:line="360" w:lineRule="auto"/>
        <w:jc w:val="both"/>
        <w:rPr>
          <w:rFonts w:ascii="Garamond" w:eastAsia="Garamond" w:hAnsi="Garamond" w:cs="Garamond"/>
          <w:sz w:val="24"/>
          <w:szCs w:val="24"/>
        </w:rPr>
      </w:pPr>
    </w:p>
    <w:p w14:paraId="1FDB1436" w14:textId="574D00B8" w:rsidR="00DD43E7" w:rsidRDefault="00DD43E7" w:rsidP="00DD43E7">
      <w:pPr>
        <w:pBdr>
          <w:top w:val="nil"/>
          <w:left w:val="nil"/>
          <w:bottom w:val="nil"/>
          <w:right w:val="nil"/>
          <w:between w:val="nil"/>
        </w:pBdr>
        <w:spacing w:after="0" w:line="360" w:lineRule="auto"/>
        <w:jc w:val="both"/>
        <w:rPr>
          <w:rFonts w:ascii="Garamond" w:eastAsia="Garamond" w:hAnsi="Garamond" w:cs="Garamond"/>
          <w:color w:val="000000"/>
          <w:sz w:val="24"/>
          <w:szCs w:val="24"/>
        </w:rPr>
      </w:pPr>
      <w:r w:rsidRPr="00F73D0C">
        <w:rPr>
          <w:rFonts w:ascii="Garamond" w:eastAsia="Garamond" w:hAnsi="Garamond" w:cs="Garamond"/>
          <w:sz w:val="24"/>
          <w:szCs w:val="24"/>
          <w:lang w:val="en-GB"/>
        </w:rPr>
        <w:t>IFRS Foundation</w:t>
      </w:r>
      <w:r w:rsidRPr="00F73D0C">
        <w:rPr>
          <w:rFonts w:ascii="Garamond" w:eastAsia="Garamond" w:hAnsi="Garamond" w:cs="Garamond"/>
          <w:color w:val="000000"/>
          <w:sz w:val="24"/>
          <w:szCs w:val="24"/>
          <w:lang w:val="en-GB"/>
        </w:rPr>
        <w:t xml:space="preserve">. (2023). </w:t>
      </w:r>
      <w:r w:rsidRPr="00F73D0C">
        <w:rPr>
          <w:rFonts w:ascii="Garamond" w:eastAsia="Garamond" w:hAnsi="Garamond" w:cs="Garamond"/>
          <w:i/>
          <w:color w:val="000000"/>
          <w:sz w:val="24"/>
          <w:szCs w:val="24"/>
          <w:lang w:val="en-GB"/>
        </w:rPr>
        <w:t>IFRS S2 Climate-related Disclosures</w:t>
      </w:r>
      <w:r w:rsidRPr="00F73D0C">
        <w:rPr>
          <w:rFonts w:ascii="Garamond" w:eastAsia="Garamond" w:hAnsi="Garamond" w:cs="Garamond"/>
          <w:color w:val="000000"/>
          <w:sz w:val="24"/>
          <w:szCs w:val="24"/>
          <w:lang w:val="en-GB"/>
        </w:rPr>
        <w:t xml:space="preserve">. </w:t>
      </w:r>
      <w:r>
        <w:rPr>
          <w:rFonts w:ascii="Garamond" w:eastAsia="Garamond" w:hAnsi="Garamond" w:cs="Garamond"/>
          <w:sz w:val="24"/>
          <w:szCs w:val="24"/>
        </w:rPr>
        <w:t>Londres: IFRS Foundation</w:t>
      </w:r>
      <w:r>
        <w:rPr>
          <w:rFonts w:ascii="Garamond" w:eastAsia="Garamond" w:hAnsi="Garamond" w:cs="Garamond"/>
          <w:color w:val="000000"/>
          <w:sz w:val="24"/>
          <w:szCs w:val="24"/>
        </w:rPr>
        <w:t xml:space="preserve">  </w:t>
      </w:r>
      <w:r>
        <w:rPr>
          <w:rFonts w:ascii="Garamond" w:eastAsia="Garamond" w:hAnsi="Garamond" w:cs="Garamond"/>
          <w:sz w:val="24"/>
          <w:szCs w:val="24"/>
        </w:rPr>
        <w:t>Retirado de IFRS</w:t>
      </w:r>
      <w:r>
        <w:rPr>
          <w:rFonts w:ascii="Garamond" w:eastAsia="Garamond" w:hAnsi="Garamond" w:cs="Garamond"/>
          <w:color w:val="000000"/>
          <w:sz w:val="24"/>
          <w:szCs w:val="24"/>
        </w:rPr>
        <w:t xml:space="preserve">  </w:t>
      </w:r>
      <w:hyperlink r:id="rId40">
        <w:r>
          <w:rPr>
            <w:rFonts w:ascii="Garamond" w:eastAsia="Garamond" w:hAnsi="Garamond" w:cs="Garamond"/>
            <w:color w:val="1155CC"/>
            <w:sz w:val="24"/>
            <w:szCs w:val="24"/>
            <w:u w:val="single"/>
          </w:rPr>
          <w:t>https://www.ifrs.org/content/dam/ifrs/publications/pdf-standards-issb/english/2023/issued/part-a/issb-2023-a-ifrs-s2-climate-related-disclosures.pdf?bypass=on</w:t>
        </w:r>
      </w:hyperlink>
      <w:r>
        <w:rPr>
          <w:rFonts w:ascii="Garamond" w:eastAsia="Garamond" w:hAnsi="Garamond" w:cs="Garamond"/>
          <w:color w:val="000000"/>
          <w:sz w:val="24"/>
          <w:szCs w:val="24"/>
        </w:rPr>
        <w:t xml:space="preserve"> acess</w:t>
      </w:r>
      <w:r w:rsidR="00B452C1">
        <w:rPr>
          <w:rFonts w:ascii="Garamond" w:eastAsia="Garamond" w:hAnsi="Garamond" w:cs="Garamond"/>
          <w:color w:val="000000"/>
          <w:sz w:val="24"/>
          <w:szCs w:val="24"/>
        </w:rPr>
        <w:t>ad</w:t>
      </w:r>
      <w:r>
        <w:rPr>
          <w:rFonts w:ascii="Garamond" w:eastAsia="Garamond" w:hAnsi="Garamond" w:cs="Garamond"/>
          <w:color w:val="000000"/>
          <w:sz w:val="24"/>
          <w:szCs w:val="24"/>
        </w:rPr>
        <w:t xml:space="preserve">o em </w:t>
      </w:r>
      <w:r>
        <w:rPr>
          <w:rFonts w:ascii="Garamond" w:eastAsia="Garamond" w:hAnsi="Garamond" w:cs="Garamond"/>
          <w:sz w:val="24"/>
          <w:szCs w:val="24"/>
        </w:rPr>
        <w:t>31</w:t>
      </w:r>
      <w:r>
        <w:rPr>
          <w:rFonts w:ascii="Garamond" w:eastAsia="Garamond" w:hAnsi="Garamond" w:cs="Garamond"/>
          <w:color w:val="000000"/>
          <w:sz w:val="24"/>
          <w:szCs w:val="24"/>
        </w:rPr>
        <w:t xml:space="preserve"> maio </w:t>
      </w:r>
      <w:r>
        <w:rPr>
          <w:rFonts w:ascii="Garamond" w:eastAsia="Garamond" w:hAnsi="Garamond" w:cs="Garamond"/>
          <w:sz w:val="24"/>
          <w:szCs w:val="24"/>
        </w:rPr>
        <w:t>de 2024.</w:t>
      </w:r>
    </w:p>
    <w:p w14:paraId="70337BAF" w14:textId="77777777" w:rsidR="00E0028A" w:rsidRDefault="00E0028A">
      <w:pPr>
        <w:pBdr>
          <w:top w:val="nil"/>
          <w:left w:val="nil"/>
          <w:bottom w:val="nil"/>
          <w:right w:val="nil"/>
          <w:between w:val="nil"/>
        </w:pBdr>
        <w:spacing w:after="0" w:line="360" w:lineRule="auto"/>
        <w:jc w:val="both"/>
        <w:rPr>
          <w:rFonts w:ascii="Garamond" w:eastAsia="Garamond" w:hAnsi="Garamond" w:cs="Garamond"/>
          <w:sz w:val="24"/>
          <w:szCs w:val="24"/>
        </w:rPr>
      </w:pPr>
    </w:p>
    <w:p w14:paraId="7D23E41E" w14:textId="58C6DF92" w:rsidR="00EC4499" w:rsidRDefault="00433EA7">
      <w:pPr>
        <w:pBdr>
          <w:top w:val="nil"/>
          <w:left w:val="nil"/>
          <w:bottom w:val="nil"/>
          <w:right w:val="nil"/>
          <w:between w:val="nil"/>
        </w:pBdr>
        <w:spacing w:after="0" w:line="360" w:lineRule="auto"/>
        <w:jc w:val="both"/>
        <w:rPr>
          <w:rFonts w:ascii="Garamond" w:eastAsia="Garamond" w:hAnsi="Garamond" w:cs="Garamond"/>
          <w:sz w:val="24"/>
          <w:szCs w:val="24"/>
        </w:rPr>
      </w:pPr>
      <w:r w:rsidRPr="00F73D0C">
        <w:rPr>
          <w:rFonts w:ascii="Garamond" w:eastAsia="Garamond" w:hAnsi="Garamond" w:cs="Garamond"/>
          <w:color w:val="000000"/>
          <w:sz w:val="24"/>
          <w:szCs w:val="24"/>
          <w:lang w:val="en-GB"/>
        </w:rPr>
        <w:t xml:space="preserve">International Finance Corporation. (2024). </w:t>
      </w:r>
      <w:r w:rsidRPr="00F73D0C">
        <w:rPr>
          <w:rFonts w:ascii="Garamond" w:eastAsia="Garamond" w:hAnsi="Garamond" w:cs="Garamond"/>
          <w:i/>
          <w:color w:val="000000"/>
          <w:sz w:val="24"/>
          <w:szCs w:val="24"/>
          <w:lang w:val="en-GB"/>
        </w:rPr>
        <w:t>MALENA: le</w:t>
      </w:r>
      <w:r w:rsidRPr="00F73D0C">
        <w:rPr>
          <w:rFonts w:ascii="Garamond" w:eastAsia="Garamond" w:hAnsi="Garamond" w:cs="Garamond"/>
          <w:i/>
          <w:sz w:val="24"/>
          <w:szCs w:val="24"/>
          <w:lang w:val="en-GB"/>
        </w:rPr>
        <w:t>verage the power of data and AI for sustainable investing</w:t>
      </w:r>
      <w:r w:rsidRPr="00F73D0C">
        <w:rPr>
          <w:rFonts w:ascii="Garamond" w:eastAsia="Garamond" w:hAnsi="Garamond" w:cs="Garamond"/>
          <w:sz w:val="24"/>
          <w:szCs w:val="24"/>
          <w:lang w:val="en-GB"/>
        </w:rPr>
        <w:t xml:space="preserve">. </w:t>
      </w:r>
      <w:r>
        <w:rPr>
          <w:rFonts w:ascii="Garamond" w:eastAsia="Garamond" w:hAnsi="Garamond" w:cs="Garamond"/>
          <w:sz w:val="24"/>
          <w:szCs w:val="24"/>
        </w:rPr>
        <w:t xml:space="preserve">Retirado de Malena: Machine learn ESG </w:t>
      </w:r>
      <w:proofErr w:type="spellStart"/>
      <w:r>
        <w:rPr>
          <w:rFonts w:ascii="Garamond" w:eastAsia="Garamond" w:hAnsi="Garamond" w:cs="Garamond"/>
          <w:sz w:val="24"/>
          <w:szCs w:val="24"/>
        </w:rPr>
        <w:t>analysis</w:t>
      </w:r>
      <w:proofErr w:type="spellEnd"/>
      <w:r>
        <w:rPr>
          <w:rFonts w:ascii="Garamond" w:eastAsia="Garamond" w:hAnsi="Garamond" w:cs="Garamond"/>
          <w:sz w:val="24"/>
          <w:szCs w:val="24"/>
        </w:rPr>
        <w:t xml:space="preserve"> </w:t>
      </w:r>
      <w:hyperlink r:id="rId41" w:anchor="/">
        <w:r>
          <w:rPr>
            <w:rFonts w:ascii="Garamond" w:eastAsia="Garamond" w:hAnsi="Garamond" w:cs="Garamond"/>
            <w:sz w:val="24"/>
            <w:szCs w:val="24"/>
          </w:rPr>
          <w:t>https://malena.ifc.org/#/</w:t>
        </w:r>
      </w:hyperlink>
      <w:r>
        <w:rPr>
          <w:rFonts w:ascii="Garamond" w:eastAsia="Garamond" w:hAnsi="Garamond" w:cs="Garamond"/>
          <w:sz w:val="24"/>
          <w:szCs w:val="24"/>
        </w:rPr>
        <w:t xml:space="preserve"> acess</w:t>
      </w:r>
      <w:r w:rsidR="00B452C1">
        <w:rPr>
          <w:rFonts w:ascii="Garamond" w:eastAsia="Garamond" w:hAnsi="Garamond" w:cs="Garamond"/>
          <w:sz w:val="24"/>
          <w:szCs w:val="24"/>
        </w:rPr>
        <w:t>ad</w:t>
      </w:r>
      <w:r>
        <w:rPr>
          <w:rFonts w:ascii="Garamond" w:eastAsia="Garamond" w:hAnsi="Garamond" w:cs="Garamond"/>
          <w:sz w:val="24"/>
          <w:szCs w:val="24"/>
        </w:rPr>
        <w:t>o em 05 em maio de 2024.</w:t>
      </w:r>
    </w:p>
    <w:p w14:paraId="218FED07" w14:textId="77777777" w:rsidR="00C624C7" w:rsidRDefault="00C624C7">
      <w:pPr>
        <w:pBdr>
          <w:top w:val="nil"/>
          <w:left w:val="nil"/>
          <w:bottom w:val="nil"/>
          <w:right w:val="nil"/>
          <w:between w:val="nil"/>
        </w:pBdr>
        <w:spacing w:after="0" w:line="360" w:lineRule="auto"/>
        <w:jc w:val="both"/>
        <w:rPr>
          <w:rFonts w:ascii="Garamond" w:eastAsia="Garamond" w:hAnsi="Garamond" w:cs="Garamond"/>
          <w:sz w:val="24"/>
          <w:szCs w:val="24"/>
        </w:rPr>
      </w:pPr>
    </w:p>
    <w:p w14:paraId="64F348E9" w14:textId="2ED444FB" w:rsidR="00EC4499" w:rsidRDefault="00C624C7" w:rsidP="00CA56FB">
      <w:pPr>
        <w:pBdr>
          <w:top w:val="nil"/>
          <w:left w:val="nil"/>
          <w:bottom w:val="nil"/>
          <w:right w:val="nil"/>
          <w:between w:val="nil"/>
        </w:pBdr>
        <w:spacing w:after="0" w:line="360" w:lineRule="auto"/>
        <w:jc w:val="both"/>
        <w:rPr>
          <w:rFonts w:ascii="Garamond" w:eastAsia="Garamond" w:hAnsi="Garamond" w:cs="Garamond"/>
          <w:color w:val="000000"/>
          <w:sz w:val="24"/>
          <w:szCs w:val="24"/>
        </w:rPr>
      </w:pPr>
      <w:r w:rsidRPr="003E41E8">
        <w:rPr>
          <w:rFonts w:ascii="Garamond" w:eastAsia="Garamond" w:hAnsi="Garamond" w:cs="Garamond"/>
          <w:sz w:val="24"/>
          <w:szCs w:val="24"/>
          <w:lang w:val="en-US"/>
        </w:rPr>
        <w:t xml:space="preserve">International Integrated Reporting Council (2015). </w:t>
      </w:r>
      <w:r w:rsidRPr="003E41E8">
        <w:rPr>
          <w:rFonts w:ascii="Garamond" w:eastAsia="Garamond" w:hAnsi="Garamond" w:cs="Garamond"/>
          <w:i/>
          <w:iCs/>
          <w:sz w:val="24"/>
          <w:szCs w:val="24"/>
          <w:lang w:val="en-US"/>
        </w:rPr>
        <w:t>Guidance for the preparation of integrated reports.</w:t>
      </w:r>
      <w:r w:rsidRPr="003E41E8">
        <w:rPr>
          <w:rFonts w:ascii="Garamond" w:eastAsia="Garamond" w:hAnsi="Garamond" w:cs="Garamond"/>
          <w:sz w:val="24"/>
          <w:szCs w:val="24"/>
          <w:lang w:val="en-US"/>
        </w:rPr>
        <w:t xml:space="preserve"> </w:t>
      </w:r>
      <w:r>
        <w:rPr>
          <w:rFonts w:ascii="Garamond" w:eastAsia="Garamond" w:hAnsi="Garamond" w:cs="Garamond"/>
          <w:sz w:val="24"/>
          <w:szCs w:val="24"/>
        </w:rPr>
        <w:t xml:space="preserve">Retirado de IIRC </w:t>
      </w:r>
      <w:hyperlink r:id="rId42" w:history="1">
        <w:r w:rsidRPr="004158E1">
          <w:rPr>
            <w:rStyle w:val="Hyperlink"/>
            <w:rFonts w:ascii="Garamond" w:eastAsia="Garamond" w:hAnsi="Garamond" w:cs="Garamond"/>
            <w:sz w:val="24"/>
            <w:szCs w:val="24"/>
          </w:rPr>
          <w:t>https://integratedreporting.ifrs.org/wp-content/uploads/2015/11/1315_MaterialityinIR_Doc_4a_Interactive.pdf</w:t>
        </w:r>
      </w:hyperlink>
      <w:r>
        <w:rPr>
          <w:rFonts w:ascii="Garamond" w:eastAsia="Garamond" w:hAnsi="Garamond" w:cs="Garamond"/>
          <w:sz w:val="24"/>
          <w:szCs w:val="24"/>
        </w:rPr>
        <w:t xml:space="preserve"> acess</w:t>
      </w:r>
      <w:r w:rsidR="00B452C1">
        <w:rPr>
          <w:rFonts w:ascii="Garamond" w:eastAsia="Garamond" w:hAnsi="Garamond" w:cs="Garamond"/>
          <w:sz w:val="24"/>
          <w:szCs w:val="24"/>
        </w:rPr>
        <w:t>ad</w:t>
      </w:r>
      <w:r>
        <w:rPr>
          <w:rFonts w:ascii="Garamond" w:eastAsia="Garamond" w:hAnsi="Garamond" w:cs="Garamond"/>
          <w:sz w:val="24"/>
          <w:szCs w:val="24"/>
        </w:rPr>
        <w:t>o em 06 de maio de 2024.</w:t>
      </w:r>
    </w:p>
    <w:p w14:paraId="2A3B9D08" w14:textId="77777777" w:rsidR="00EC4499" w:rsidRPr="005525A9" w:rsidRDefault="00EC4499" w:rsidP="005525A9">
      <w:pPr>
        <w:spacing w:after="0" w:line="360" w:lineRule="auto"/>
        <w:ind w:firstLine="360"/>
        <w:jc w:val="both"/>
        <w:rPr>
          <w:rFonts w:ascii="Garamond" w:eastAsia="YllpxtAdvTTe45e47d2" w:hAnsi="Garamond" w:cs="YllpxtAdvTTe45e47d2"/>
          <w:color w:val="131413"/>
          <w:sz w:val="24"/>
          <w:szCs w:val="24"/>
        </w:rPr>
      </w:pPr>
    </w:p>
    <w:p w14:paraId="4C03F96C" w14:textId="228F12F0" w:rsidR="00EC4499" w:rsidRDefault="00433EA7" w:rsidP="00CA56FB">
      <w:pPr>
        <w:spacing w:after="0" w:line="360" w:lineRule="auto"/>
        <w:jc w:val="both"/>
        <w:rPr>
          <w:rFonts w:ascii="Garamond" w:eastAsia="Garamond" w:hAnsi="Garamond" w:cs="Garamond"/>
          <w:color w:val="000000"/>
          <w:sz w:val="24"/>
          <w:szCs w:val="24"/>
        </w:rPr>
      </w:pPr>
      <w:r w:rsidRPr="00F73D0C">
        <w:rPr>
          <w:rFonts w:ascii="Garamond" w:eastAsia="Garamond" w:hAnsi="Garamond" w:cs="Garamond"/>
          <w:sz w:val="24"/>
          <w:szCs w:val="24"/>
          <w:lang w:val="en-GB"/>
        </w:rPr>
        <w:t>Ismail, H</w:t>
      </w:r>
      <w:r w:rsidR="009125A7" w:rsidRPr="00F73D0C">
        <w:rPr>
          <w:rFonts w:ascii="Garamond" w:eastAsia="Garamond" w:hAnsi="Garamond" w:cs="Garamond"/>
          <w:sz w:val="24"/>
          <w:szCs w:val="24"/>
          <w:lang w:val="en-GB"/>
        </w:rPr>
        <w:t>.</w:t>
      </w:r>
      <w:r w:rsidR="009125A7">
        <w:rPr>
          <w:rFonts w:ascii="Garamond" w:eastAsia="Garamond" w:hAnsi="Garamond" w:cs="Garamond"/>
          <w:sz w:val="24"/>
          <w:szCs w:val="24"/>
          <w:lang w:val="en-GB"/>
        </w:rPr>
        <w:t>,</w:t>
      </w:r>
      <w:r w:rsidR="009125A7" w:rsidRPr="00F73D0C">
        <w:rPr>
          <w:rFonts w:ascii="Garamond" w:eastAsia="Garamond" w:hAnsi="Garamond" w:cs="Garamond"/>
          <w:sz w:val="24"/>
          <w:szCs w:val="24"/>
          <w:lang w:val="en-GB"/>
        </w:rPr>
        <w:t xml:space="preserve"> </w:t>
      </w:r>
      <w:r w:rsidRPr="00F73D0C">
        <w:rPr>
          <w:rFonts w:ascii="Garamond" w:eastAsia="Garamond" w:hAnsi="Garamond" w:cs="Garamond"/>
          <w:sz w:val="24"/>
          <w:szCs w:val="24"/>
          <w:lang w:val="en-GB"/>
        </w:rPr>
        <w:t>Saleem, M.A</w:t>
      </w:r>
      <w:r w:rsidR="009125A7" w:rsidRPr="00F73D0C">
        <w:rPr>
          <w:rFonts w:ascii="Garamond" w:eastAsia="Garamond" w:hAnsi="Garamond" w:cs="Garamond"/>
          <w:sz w:val="24"/>
          <w:szCs w:val="24"/>
          <w:lang w:val="en-GB"/>
        </w:rPr>
        <w:t>.</w:t>
      </w:r>
      <w:r w:rsidR="009125A7">
        <w:rPr>
          <w:rFonts w:ascii="Garamond" w:eastAsia="Garamond" w:hAnsi="Garamond" w:cs="Garamond"/>
          <w:sz w:val="24"/>
          <w:szCs w:val="24"/>
          <w:lang w:val="en-GB"/>
        </w:rPr>
        <w:t>,</w:t>
      </w:r>
      <w:r w:rsidR="009125A7" w:rsidRPr="00F73D0C">
        <w:rPr>
          <w:rFonts w:ascii="Garamond" w:eastAsia="Garamond" w:hAnsi="Garamond" w:cs="Garamond"/>
          <w:sz w:val="24"/>
          <w:szCs w:val="24"/>
          <w:lang w:val="en-GB"/>
        </w:rPr>
        <w:t xml:space="preserve"> </w:t>
      </w:r>
      <w:r w:rsidRPr="00F73D0C">
        <w:rPr>
          <w:rFonts w:ascii="Garamond" w:eastAsia="Garamond" w:hAnsi="Garamond" w:cs="Garamond"/>
          <w:sz w:val="24"/>
          <w:szCs w:val="24"/>
          <w:lang w:val="en-GB"/>
        </w:rPr>
        <w:t>Zahra, S</w:t>
      </w:r>
      <w:r w:rsidR="009125A7" w:rsidRPr="00F73D0C">
        <w:rPr>
          <w:rFonts w:ascii="Garamond" w:eastAsia="Garamond" w:hAnsi="Garamond" w:cs="Garamond"/>
          <w:sz w:val="24"/>
          <w:szCs w:val="24"/>
          <w:lang w:val="en-GB"/>
        </w:rPr>
        <w:t>.</w:t>
      </w:r>
      <w:r w:rsidR="009125A7">
        <w:rPr>
          <w:rFonts w:ascii="Garamond" w:eastAsia="Garamond" w:hAnsi="Garamond" w:cs="Garamond"/>
          <w:sz w:val="24"/>
          <w:szCs w:val="24"/>
          <w:lang w:val="en-GB"/>
        </w:rPr>
        <w:t>,</w:t>
      </w:r>
      <w:r w:rsidR="009125A7" w:rsidRPr="00F73D0C">
        <w:rPr>
          <w:rFonts w:ascii="Garamond" w:eastAsia="Garamond" w:hAnsi="Garamond" w:cs="Garamond"/>
          <w:sz w:val="24"/>
          <w:szCs w:val="24"/>
          <w:lang w:val="en-GB"/>
        </w:rPr>
        <w:t xml:space="preserve"> </w:t>
      </w:r>
      <w:r w:rsidRPr="00F73D0C">
        <w:rPr>
          <w:rFonts w:ascii="Garamond" w:eastAsia="Garamond" w:hAnsi="Garamond" w:cs="Garamond"/>
          <w:sz w:val="24"/>
          <w:szCs w:val="24"/>
          <w:lang w:val="en-GB"/>
        </w:rPr>
        <w:t>Tufail, M.S</w:t>
      </w:r>
      <w:r w:rsidR="009125A7" w:rsidRPr="00F73D0C">
        <w:rPr>
          <w:rFonts w:ascii="Garamond" w:eastAsia="Garamond" w:hAnsi="Garamond" w:cs="Garamond"/>
          <w:sz w:val="24"/>
          <w:szCs w:val="24"/>
          <w:lang w:val="en-GB"/>
        </w:rPr>
        <w:t>.</w:t>
      </w:r>
      <w:r w:rsidR="009125A7">
        <w:rPr>
          <w:rFonts w:ascii="Garamond" w:eastAsia="Garamond" w:hAnsi="Garamond" w:cs="Garamond"/>
          <w:sz w:val="24"/>
          <w:szCs w:val="24"/>
          <w:lang w:val="en-GB"/>
        </w:rPr>
        <w:t>, &amp;</w:t>
      </w:r>
      <w:r w:rsidR="009125A7" w:rsidRPr="00F73D0C">
        <w:rPr>
          <w:rFonts w:ascii="Garamond" w:eastAsia="Garamond" w:hAnsi="Garamond" w:cs="Garamond"/>
          <w:sz w:val="24"/>
          <w:szCs w:val="24"/>
          <w:lang w:val="en-GB"/>
        </w:rPr>
        <w:t xml:space="preserve"> </w:t>
      </w:r>
      <w:r w:rsidRPr="00F73D0C">
        <w:rPr>
          <w:rFonts w:ascii="Garamond" w:eastAsia="Garamond" w:hAnsi="Garamond" w:cs="Garamond"/>
          <w:sz w:val="24"/>
          <w:szCs w:val="24"/>
          <w:lang w:val="en-GB"/>
        </w:rPr>
        <w:t xml:space="preserve">Ali, R.A. </w:t>
      </w:r>
      <w:r w:rsidR="009125A7">
        <w:rPr>
          <w:rFonts w:ascii="Garamond" w:eastAsia="Garamond" w:hAnsi="Garamond" w:cs="Garamond"/>
          <w:sz w:val="24"/>
          <w:szCs w:val="24"/>
          <w:lang w:val="en-GB"/>
        </w:rPr>
        <w:t xml:space="preserve">(2021). </w:t>
      </w:r>
      <w:r w:rsidRPr="00F73D0C">
        <w:rPr>
          <w:rFonts w:ascii="Garamond" w:eastAsia="Garamond" w:hAnsi="Garamond" w:cs="Garamond"/>
          <w:sz w:val="24"/>
          <w:szCs w:val="24"/>
          <w:lang w:val="en-GB"/>
        </w:rPr>
        <w:t xml:space="preserve">Application of Global Reporting Initiative (GRI) Principles for Measuring Quality of Corporate Social Responsibility (CSR) Disclosure: Evidence from Pakistan. </w:t>
      </w:r>
      <w:r w:rsidRPr="003E41E8">
        <w:rPr>
          <w:rFonts w:ascii="Garamond" w:eastAsia="Garamond" w:hAnsi="Garamond" w:cs="Garamond"/>
          <w:i/>
          <w:sz w:val="24"/>
          <w:szCs w:val="24"/>
          <w:lang w:val="en-GB"/>
        </w:rPr>
        <w:t>Sustainability</w:t>
      </w:r>
      <w:r w:rsidRPr="003E41E8">
        <w:rPr>
          <w:rFonts w:ascii="Garamond" w:eastAsia="Garamond" w:hAnsi="Garamond" w:cs="Garamond"/>
          <w:sz w:val="24"/>
          <w:szCs w:val="24"/>
          <w:lang w:val="en-GB"/>
        </w:rPr>
        <w:t xml:space="preserve">, </w:t>
      </w:r>
      <w:r w:rsidRPr="003E41E8">
        <w:rPr>
          <w:rFonts w:ascii="Garamond" w:eastAsia="Garamond" w:hAnsi="Garamond" w:cs="Garamond"/>
          <w:i/>
          <w:sz w:val="24"/>
          <w:szCs w:val="24"/>
          <w:lang w:val="en-GB"/>
        </w:rPr>
        <w:t>13</w:t>
      </w:r>
      <w:r w:rsidRPr="003E41E8">
        <w:rPr>
          <w:rFonts w:ascii="Garamond" w:eastAsia="Garamond" w:hAnsi="Garamond" w:cs="Garamond"/>
          <w:sz w:val="24"/>
          <w:szCs w:val="24"/>
          <w:lang w:val="en-GB"/>
        </w:rPr>
        <w:t xml:space="preserve">, 11409. </w:t>
      </w:r>
      <w:hyperlink r:id="rId43">
        <w:r>
          <w:rPr>
            <w:rFonts w:ascii="Garamond" w:eastAsia="Garamond" w:hAnsi="Garamond" w:cs="Garamond"/>
            <w:color w:val="000000"/>
            <w:sz w:val="24"/>
            <w:szCs w:val="24"/>
          </w:rPr>
          <w:t>https://doi.org/10.3390/su132011409</w:t>
        </w:r>
      </w:hyperlink>
      <w:r>
        <w:rPr>
          <w:rFonts w:ascii="Garamond" w:eastAsia="Garamond" w:hAnsi="Garamond" w:cs="Garamond"/>
          <w:sz w:val="24"/>
          <w:szCs w:val="24"/>
        </w:rPr>
        <w:t xml:space="preserve"> </w:t>
      </w:r>
    </w:p>
    <w:p w14:paraId="4F8482F1" w14:textId="77777777" w:rsidR="00EC4499" w:rsidRDefault="00EC4499">
      <w:pPr>
        <w:spacing w:after="0" w:line="360" w:lineRule="auto"/>
        <w:jc w:val="both"/>
        <w:rPr>
          <w:rFonts w:ascii="Garamond" w:eastAsia="Garamond" w:hAnsi="Garamond" w:cs="Garamond"/>
          <w:color w:val="000000"/>
          <w:sz w:val="24"/>
          <w:szCs w:val="24"/>
        </w:rPr>
      </w:pPr>
    </w:p>
    <w:p w14:paraId="0A4BE728" w14:textId="3FA0727B" w:rsidR="00EC4499" w:rsidRDefault="00433EA7">
      <w:pPr>
        <w:spacing w:after="0" w:line="360" w:lineRule="auto"/>
        <w:jc w:val="both"/>
        <w:rPr>
          <w:rFonts w:ascii="Garamond" w:eastAsia="Garamond" w:hAnsi="Garamond" w:cs="Garamond"/>
          <w:sz w:val="24"/>
          <w:szCs w:val="24"/>
        </w:rPr>
      </w:pPr>
      <w:r w:rsidRPr="00202ABF">
        <w:rPr>
          <w:rFonts w:ascii="Garamond" w:eastAsia="Garamond" w:hAnsi="Garamond" w:cs="Garamond"/>
          <w:sz w:val="24"/>
          <w:szCs w:val="24"/>
        </w:rPr>
        <w:t>Julião, F</w:t>
      </w:r>
      <w:r w:rsidR="009125A7">
        <w:rPr>
          <w:rFonts w:ascii="Garamond" w:eastAsia="Garamond" w:hAnsi="Garamond" w:cs="Garamond"/>
          <w:sz w:val="24"/>
          <w:szCs w:val="24"/>
        </w:rPr>
        <w:t>.</w:t>
      </w:r>
      <w:r w:rsidRPr="00202ABF">
        <w:rPr>
          <w:rFonts w:ascii="Garamond" w:eastAsia="Garamond" w:hAnsi="Garamond" w:cs="Garamond"/>
          <w:sz w:val="24"/>
          <w:szCs w:val="24"/>
        </w:rPr>
        <w:t>,</w:t>
      </w:r>
      <w:r w:rsidR="009125A7">
        <w:rPr>
          <w:rFonts w:ascii="Garamond" w:eastAsia="Garamond" w:hAnsi="Garamond" w:cs="Garamond"/>
          <w:sz w:val="24"/>
          <w:szCs w:val="24"/>
        </w:rPr>
        <w:t xml:space="preserve"> &amp;</w:t>
      </w:r>
      <w:r w:rsidRPr="00202ABF">
        <w:rPr>
          <w:rFonts w:ascii="Garamond" w:eastAsia="Garamond" w:hAnsi="Garamond" w:cs="Garamond"/>
          <w:sz w:val="24"/>
          <w:szCs w:val="24"/>
        </w:rPr>
        <w:t xml:space="preserve"> Tuon, L. (2023).</w:t>
      </w:r>
      <w:r>
        <w:rPr>
          <w:rFonts w:ascii="Garamond" w:eastAsia="Garamond" w:hAnsi="Garamond" w:cs="Garamond"/>
          <w:sz w:val="24"/>
          <w:szCs w:val="24"/>
        </w:rPr>
        <w:t xml:space="preserve"> Credores da Americanas: lista vai de bancos a Facebook, Twitter e LinkedIn. </w:t>
      </w:r>
      <w:r>
        <w:rPr>
          <w:rFonts w:ascii="Garamond" w:eastAsia="Garamond" w:hAnsi="Garamond" w:cs="Garamond"/>
          <w:i/>
          <w:sz w:val="24"/>
          <w:szCs w:val="24"/>
        </w:rPr>
        <w:t xml:space="preserve">CNN Brasil. </w:t>
      </w:r>
      <w:r>
        <w:rPr>
          <w:rFonts w:ascii="Garamond" w:eastAsia="Garamond" w:hAnsi="Garamond" w:cs="Garamond"/>
          <w:sz w:val="24"/>
          <w:szCs w:val="24"/>
        </w:rPr>
        <w:t xml:space="preserve">São Paulo: CNN Brasil. Retirado de CNN Brasil </w:t>
      </w:r>
      <w:hyperlink r:id="rId44">
        <w:r>
          <w:rPr>
            <w:rFonts w:ascii="Garamond" w:eastAsia="Garamond" w:hAnsi="Garamond" w:cs="Garamond"/>
            <w:sz w:val="24"/>
            <w:szCs w:val="24"/>
          </w:rPr>
          <w:t>https://www.cnnbrasil.com.br/economia/credores-da-americanas-lista-vai-de-bancos-a-facebook-twitter-e-linkedin/</w:t>
        </w:r>
      </w:hyperlink>
      <w:r>
        <w:rPr>
          <w:rFonts w:ascii="Garamond" w:eastAsia="Garamond" w:hAnsi="Garamond" w:cs="Garamond"/>
          <w:sz w:val="24"/>
          <w:szCs w:val="24"/>
        </w:rPr>
        <w:t xml:space="preserve"> acess</w:t>
      </w:r>
      <w:r w:rsidR="000B7199">
        <w:rPr>
          <w:rFonts w:ascii="Garamond" w:eastAsia="Garamond" w:hAnsi="Garamond" w:cs="Garamond"/>
          <w:sz w:val="24"/>
          <w:szCs w:val="24"/>
        </w:rPr>
        <w:t>ad</w:t>
      </w:r>
      <w:r>
        <w:rPr>
          <w:rFonts w:ascii="Garamond" w:eastAsia="Garamond" w:hAnsi="Garamond" w:cs="Garamond"/>
          <w:sz w:val="24"/>
          <w:szCs w:val="24"/>
        </w:rPr>
        <w:t>o em 10 de dezembro de 2023.</w:t>
      </w:r>
    </w:p>
    <w:p w14:paraId="1CEF9032" w14:textId="77777777" w:rsidR="00EC4499" w:rsidRDefault="00EC4499">
      <w:pPr>
        <w:spacing w:after="0" w:line="360" w:lineRule="auto"/>
        <w:jc w:val="both"/>
        <w:rPr>
          <w:rFonts w:ascii="Garamond" w:eastAsia="Garamond" w:hAnsi="Garamond" w:cs="Garamond"/>
          <w:color w:val="000000"/>
          <w:sz w:val="24"/>
          <w:szCs w:val="24"/>
          <w:u w:val="single"/>
        </w:rPr>
      </w:pPr>
    </w:p>
    <w:p w14:paraId="2D7B9D84" w14:textId="2A98F939" w:rsidR="00EC4499" w:rsidRDefault="00433EA7">
      <w:pPr>
        <w:spacing w:after="0" w:line="360" w:lineRule="auto"/>
        <w:jc w:val="both"/>
        <w:rPr>
          <w:rFonts w:ascii="Garamond" w:eastAsia="Garamond" w:hAnsi="Garamond" w:cs="Garamond"/>
          <w:color w:val="000000"/>
          <w:sz w:val="24"/>
          <w:szCs w:val="24"/>
        </w:rPr>
      </w:pPr>
      <w:r w:rsidRPr="00F73D0C">
        <w:rPr>
          <w:rFonts w:ascii="Garamond" w:eastAsia="Garamond" w:hAnsi="Garamond" w:cs="Garamond"/>
          <w:color w:val="000000"/>
          <w:sz w:val="24"/>
          <w:szCs w:val="24"/>
          <w:lang w:val="en-GB"/>
        </w:rPr>
        <w:t>KPMG. (2020).</w:t>
      </w:r>
      <w:r w:rsidRPr="00F73D0C">
        <w:rPr>
          <w:rFonts w:ascii="Garamond" w:eastAsia="Garamond" w:hAnsi="Garamond" w:cs="Garamond"/>
          <w:sz w:val="24"/>
          <w:szCs w:val="24"/>
          <w:lang w:val="en-GB"/>
        </w:rPr>
        <w:t xml:space="preserve"> </w:t>
      </w:r>
      <w:r w:rsidRPr="00F73D0C">
        <w:rPr>
          <w:rFonts w:ascii="Garamond" w:eastAsia="Garamond" w:hAnsi="Garamond" w:cs="Garamond"/>
          <w:i/>
          <w:sz w:val="24"/>
          <w:szCs w:val="24"/>
          <w:lang w:val="en-GB"/>
        </w:rPr>
        <w:t>The time has come</w:t>
      </w:r>
      <w:r w:rsidRPr="00F73D0C">
        <w:rPr>
          <w:rFonts w:ascii="Garamond" w:eastAsia="Garamond" w:hAnsi="Garamond" w:cs="Garamond"/>
          <w:sz w:val="24"/>
          <w:szCs w:val="24"/>
          <w:lang w:val="en-GB"/>
        </w:rPr>
        <w:t xml:space="preserve">. </w:t>
      </w:r>
      <w:r>
        <w:rPr>
          <w:rFonts w:ascii="Garamond" w:eastAsia="Garamond" w:hAnsi="Garamond" w:cs="Garamond"/>
          <w:sz w:val="24"/>
          <w:szCs w:val="24"/>
        </w:rPr>
        <w:t xml:space="preserve">Retirado de KPMG </w:t>
      </w:r>
      <w:hyperlink r:id="rId45">
        <w:r>
          <w:rPr>
            <w:rFonts w:ascii="Garamond" w:eastAsia="Garamond" w:hAnsi="Garamond" w:cs="Garamond"/>
            <w:sz w:val="24"/>
            <w:szCs w:val="24"/>
          </w:rPr>
          <w:t>https://assets.kpmg.com/content/dam/kpmg/xx/pdf/2020/11/the-time-has-come.pdf</w:t>
        </w:r>
      </w:hyperlink>
      <w:r>
        <w:rPr>
          <w:rFonts w:ascii="Garamond" w:eastAsia="Garamond" w:hAnsi="Garamond" w:cs="Garamond"/>
          <w:sz w:val="24"/>
          <w:szCs w:val="24"/>
        </w:rPr>
        <w:t xml:space="preserve"> acess</w:t>
      </w:r>
      <w:r w:rsidR="000B7199">
        <w:rPr>
          <w:rFonts w:ascii="Garamond" w:eastAsia="Garamond" w:hAnsi="Garamond" w:cs="Garamond"/>
          <w:sz w:val="24"/>
          <w:szCs w:val="24"/>
        </w:rPr>
        <w:t>ad</w:t>
      </w:r>
      <w:r>
        <w:rPr>
          <w:rFonts w:ascii="Garamond" w:eastAsia="Garamond" w:hAnsi="Garamond" w:cs="Garamond"/>
          <w:sz w:val="24"/>
          <w:szCs w:val="24"/>
        </w:rPr>
        <w:t>o em 19 de junho de 2024.</w:t>
      </w:r>
      <w:r>
        <w:rPr>
          <w:rFonts w:ascii="Garamond" w:eastAsia="Garamond" w:hAnsi="Garamond" w:cs="Garamond"/>
          <w:color w:val="000000"/>
          <w:sz w:val="24"/>
          <w:szCs w:val="24"/>
        </w:rPr>
        <w:t xml:space="preserve"> </w:t>
      </w:r>
    </w:p>
    <w:p w14:paraId="7A569223" w14:textId="77777777" w:rsidR="00EC4499" w:rsidRDefault="00EC4499">
      <w:pPr>
        <w:spacing w:after="0" w:line="360" w:lineRule="auto"/>
        <w:jc w:val="both"/>
        <w:rPr>
          <w:rFonts w:ascii="Garamond" w:eastAsia="Garamond" w:hAnsi="Garamond" w:cs="Garamond"/>
          <w:color w:val="000000"/>
          <w:sz w:val="24"/>
          <w:szCs w:val="24"/>
          <w:u w:val="single"/>
        </w:rPr>
      </w:pPr>
    </w:p>
    <w:p w14:paraId="663149F7" w14:textId="2345616A" w:rsidR="00EC4499" w:rsidRDefault="00433EA7">
      <w:pPr>
        <w:spacing w:after="0" w:line="360" w:lineRule="auto"/>
        <w:jc w:val="both"/>
        <w:rPr>
          <w:rFonts w:ascii="Garamond" w:eastAsia="Garamond" w:hAnsi="Garamond" w:cs="Garamond"/>
          <w:sz w:val="24"/>
          <w:szCs w:val="24"/>
        </w:rPr>
      </w:pPr>
      <w:r>
        <w:rPr>
          <w:rFonts w:ascii="Garamond" w:eastAsia="Garamond" w:hAnsi="Garamond" w:cs="Garamond"/>
          <w:color w:val="000000"/>
          <w:sz w:val="24"/>
          <w:szCs w:val="24"/>
        </w:rPr>
        <w:t>KPMG. (202</w:t>
      </w:r>
      <w:r>
        <w:rPr>
          <w:rFonts w:ascii="Garamond" w:eastAsia="Garamond" w:hAnsi="Garamond" w:cs="Garamond"/>
          <w:sz w:val="24"/>
          <w:szCs w:val="24"/>
        </w:rPr>
        <w:t>3</w:t>
      </w:r>
      <w:r>
        <w:rPr>
          <w:rFonts w:ascii="Garamond" w:eastAsia="Garamond" w:hAnsi="Garamond" w:cs="Garamond"/>
          <w:color w:val="000000"/>
          <w:sz w:val="24"/>
          <w:szCs w:val="24"/>
        </w:rPr>
        <w:t xml:space="preserve">). </w:t>
      </w:r>
      <w:r>
        <w:rPr>
          <w:rFonts w:ascii="Garamond" w:eastAsia="Garamond" w:hAnsi="Garamond" w:cs="Garamond"/>
          <w:i/>
          <w:color w:val="000000"/>
          <w:sz w:val="24"/>
          <w:szCs w:val="24"/>
        </w:rPr>
        <w:t>Grandes Mudanças, pequenos passos. Relatório de Sustentabilidade na América Latina em 2022</w:t>
      </w:r>
      <w:r>
        <w:rPr>
          <w:rFonts w:ascii="Garamond" w:eastAsia="Garamond" w:hAnsi="Garamond" w:cs="Garamond"/>
          <w:color w:val="000000"/>
          <w:sz w:val="24"/>
          <w:szCs w:val="24"/>
        </w:rPr>
        <w:t>. Retirado de</w:t>
      </w:r>
      <w:r>
        <w:rPr>
          <w:rFonts w:ascii="Garamond" w:eastAsia="Garamond" w:hAnsi="Garamond" w:cs="Garamond"/>
          <w:sz w:val="24"/>
          <w:szCs w:val="24"/>
        </w:rPr>
        <w:t xml:space="preserve"> KPMG </w:t>
      </w:r>
      <w:hyperlink r:id="rId46">
        <w:r>
          <w:rPr>
            <w:rFonts w:ascii="Garamond" w:eastAsia="Garamond" w:hAnsi="Garamond" w:cs="Garamond"/>
            <w:sz w:val="24"/>
            <w:szCs w:val="24"/>
          </w:rPr>
          <w:t>https://assets.kpmg.com/content/dam/kpmg/br/pdf/2023/4/Global-Survey-of-Sustainability-Reporting-2022_America-Latina.pdf</w:t>
        </w:r>
      </w:hyperlink>
      <w:r>
        <w:rPr>
          <w:rFonts w:ascii="Garamond" w:eastAsia="Garamond" w:hAnsi="Garamond" w:cs="Garamond"/>
          <w:sz w:val="24"/>
          <w:szCs w:val="24"/>
        </w:rPr>
        <w:t xml:space="preserve"> acess</w:t>
      </w:r>
      <w:r w:rsidR="000B7199">
        <w:rPr>
          <w:rFonts w:ascii="Garamond" w:eastAsia="Garamond" w:hAnsi="Garamond" w:cs="Garamond"/>
          <w:sz w:val="24"/>
          <w:szCs w:val="24"/>
        </w:rPr>
        <w:t>ad</w:t>
      </w:r>
      <w:r>
        <w:rPr>
          <w:rFonts w:ascii="Garamond" w:eastAsia="Garamond" w:hAnsi="Garamond" w:cs="Garamond"/>
          <w:sz w:val="24"/>
          <w:szCs w:val="24"/>
        </w:rPr>
        <w:t>o em 19 de junho de 2024.</w:t>
      </w:r>
    </w:p>
    <w:p w14:paraId="0BEF6F50" w14:textId="77777777" w:rsidR="00EC4499" w:rsidRDefault="00EC4499">
      <w:pPr>
        <w:spacing w:after="0" w:line="360" w:lineRule="auto"/>
        <w:ind w:firstLine="357"/>
        <w:jc w:val="both"/>
        <w:rPr>
          <w:rFonts w:ascii="Garamond" w:eastAsia="Garamond" w:hAnsi="Garamond" w:cs="Garamond"/>
          <w:color w:val="000000"/>
          <w:sz w:val="24"/>
          <w:szCs w:val="24"/>
          <w:u w:val="single"/>
        </w:rPr>
      </w:pPr>
    </w:p>
    <w:p w14:paraId="7B8DF6B9" w14:textId="00750131" w:rsidR="00EC4499" w:rsidRPr="00F73D0C" w:rsidRDefault="00433EA7">
      <w:pPr>
        <w:spacing w:after="0" w:line="360" w:lineRule="auto"/>
        <w:jc w:val="both"/>
        <w:rPr>
          <w:rFonts w:ascii="Garamond" w:eastAsia="Garamond" w:hAnsi="Garamond" w:cs="Garamond"/>
          <w:sz w:val="24"/>
          <w:szCs w:val="24"/>
          <w:lang w:val="en-GB"/>
        </w:rPr>
      </w:pPr>
      <w:r w:rsidRPr="00F73D0C">
        <w:rPr>
          <w:rFonts w:ascii="Garamond" w:eastAsia="Garamond" w:hAnsi="Garamond" w:cs="Garamond"/>
          <w:sz w:val="24"/>
          <w:szCs w:val="24"/>
          <w:lang w:val="en-GB"/>
        </w:rPr>
        <w:t xml:space="preserve">Krasodomska, J. (2015). CSR disclosures in the banking industry. Empirical evidence from Poland. </w:t>
      </w:r>
      <w:r w:rsidRPr="00F73D0C">
        <w:rPr>
          <w:rFonts w:ascii="Garamond" w:eastAsia="Garamond" w:hAnsi="Garamond" w:cs="Garamond"/>
          <w:i/>
          <w:sz w:val="24"/>
          <w:szCs w:val="24"/>
          <w:lang w:val="en-GB"/>
        </w:rPr>
        <w:t>Social Responsibility Journal</w:t>
      </w:r>
      <w:r w:rsidRPr="00F73D0C">
        <w:rPr>
          <w:rFonts w:ascii="Garamond" w:eastAsia="Garamond" w:hAnsi="Garamond" w:cs="Garamond"/>
          <w:sz w:val="24"/>
          <w:szCs w:val="24"/>
          <w:lang w:val="en-GB"/>
        </w:rPr>
        <w:t>, 11</w:t>
      </w:r>
      <w:r w:rsidR="009125A7">
        <w:rPr>
          <w:rFonts w:ascii="Garamond" w:eastAsia="Garamond" w:hAnsi="Garamond" w:cs="Garamond"/>
          <w:sz w:val="24"/>
          <w:szCs w:val="24"/>
          <w:lang w:val="en-GB"/>
        </w:rPr>
        <w:t>(</w:t>
      </w:r>
      <w:r w:rsidRPr="00F73D0C">
        <w:rPr>
          <w:rFonts w:ascii="Garamond" w:eastAsia="Garamond" w:hAnsi="Garamond" w:cs="Garamond"/>
          <w:sz w:val="24"/>
          <w:szCs w:val="24"/>
          <w:lang w:val="en-GB"/>
        </w:rPr>
        <w:t>3</w:t>
      </w:r>
      <w:r w:rsidR="009125A7">
        <w:rPr>
          <w:rFonts w:ascii="Garamond" w:eastAsia="Garamond" w:hAnsi="Garamond" w:cs="Garamond"/>
          <w:sz w:val="24"/>
          <w:szCs w:val="24"/>
          <w:lang w:val="en-GB"/>
        </w:rPr>
        <w:t>)</w:t>
      </w:r>
      <w:r w:rsidRPr="00F73D0C">
        <w:rPr>
          <w:rFonts w:ascii="Garamond" w:eastAsia="Garamond" w:hAnsi="Garamond" w:cs="Garamond"/>
          <w:sz w:val="24"/>
          <w:szCs w:val="24"/>
          <w:lang w:val="en-GB"/>
        </w:rPr>
        <w:t>, 406</w:t>
      </w:r>
      <w:r w:rsidR="009125A7">
        <w:rPr>
          <w:rFonts w:ascii="Garamond" w:eastAsia="Garamond" w:hAnsi="Garamond" w:cs="Garamond"/>
          <w:sz w:val="24"/>
          <w:szCs w:val="24"/>
          <w:lang w:val="en-GB"/>
        </w:rPr>
        <w:t>-</w:t>
      </w:r>
      <w:r w:rsidRPr="00F73D0C">
        <w:rPr>
          <w:rFonts w:ascii="Garamond" w:eastAsia="Garamond" w:hAnsi="Garamond" w:cs="Garamond"/>
          <w:sz w:val="24"/>
          <w:szCs w:val="24"/>
          <w:lang w:val="en-GB"/>
        </w:rPr>
        <w:t>423</w:t>
      </w:r>
      <w:r w:rsidR="009125A7">
        <w:rPr>
          <w:rFonts w:ascii="Garamond" w:eastAsia="Garamond" w:hAnsi="Garamond" w:cs="Garamond"/>
          <w:sz w:val="24"/>
          <w:szCs w:val="24"/>
          <w:lang w:val="en-GB"/>
        </w:rPr>
        <w:t>.</w:t>
      </w:r>
    </w:p>
    <w:p w14:paraId="103F0CEC" w14:textId="77777777" w:rsidR="00EC4499" w:rsidRPr="00F73D0C" w:rsidRDefault="00EC4499">
      <w:pPr>
        <w:spacing w:after="0" w:line="360" w:lineRule="auto"/>
        <w:ind w:firstLine="360"/>
        <w:jc w:val="both"/>
        <w:rPr>
          <w:rFonts w:ascii="Palatino Linotype" w:eastAsia="Palatino Linotype" w:hAnsi="Palatino Linotype" w:cs="Palatino Linotype"/>
          <w:sz w:val="13"/>
          <w:szCs w:val="13"/>
          <w:lang w:val="en-GB"/>
        </w:rPr>
      </w:pPr>
    </w:p>
    <w:p w14:paraId="5DDF7AFF" w14:textId="791E2689" w:rsidR="00EC4499" w:rsidRPr="003E41E8" w:rsidRDefault="00433EA7">
      <w:pPr>
        <w:spacing w:after="0" w:line="360" w:lineRule="auto"/>
        <w:jc w:val="both"/>
        <w:rPr>
          <w:rFonts w:ascii="Garamond" w:eastAsia="Garamond" w:hAnsi="Garamond" w:cs="Garamond"/>
          <w:sz w:val="24"/>
          <w:szCs w:val="24"/>
          <w:lang w:val="en-US"/>
        </w:rPr>
      </w:pPr>
      <w:r w:rsidRPr="00F73D0C">
        <w:rPr>
          <w:rFonts w:ascii="Garamond" w:eastAsia="Garamond" w:hAnsi="Garamond" w:cs="Garamond"/>
          <w:color w:val="131413"/>
          <w:sz w:val="24"/>
          <w:szCs w:val="24"/>
          <w:lang w:val="en-GB"/>
        </w:rPr>
        <w:t>Kumar, K</w:t>
      </w:r>
      <w:r w:rsidR="009125A7">
        <w:rPr>
          <w:rFonts w:ascii="Garamond" w:eastAsia="Garamond" w:hAnsi="Garamond" w:cs="Garamond"/>
          <w:color w:val="131413"/>
          <w:sz w:val="24"/>
          <w:szCs w:val="24"/>
          <w:lang w:val="en-GB"/>
        </w:rPr>
        <w:t>.</w:t>
      </w:r>
      <w:r w:rsidRPr="00F73D0C">
        <w:rPr>
          <w:rFonts w:ascii="Garamond" w:eastAsia="Garamond" w:hAnsi="Garamond" w:cs="Garamond"/>
          <w:color w:val="131413"/>
          <w:sz w:val="24"/>
          <w:szCs w:val="24"/>
          <w:lang w:val="en-GB"/>
        </w:rPr>
        <w:t>,</w:t>
      </w:r>
      <w:r w:rsidR="009125A7">
        <w:rPr>
          <w:rFonts w:ascii="Garamond" w:eastAsia="Garamond" w:hAnsi="Garamond" w:cs="Garamond"/>
          <w:color w:val="131413"/>
          <w:sz w:val="24"/>
          <w:szCs w:val="24"/>
          <w:lang w:val="en-GB"/>
        </w:rPr>
        <w:t xml:space="preserve"> &amp;</w:t>
      </w:r>
      <w:r w:rsidRPr="00F73D0C">
        <w:rPr>
          <w:rFonts w:ascii="Garamond" w:eastAsia="Garamond" w:hAnsi="Garamond" w:cs="Garamond"/>
          <w:color w:val="131413"/>
          <w:sz w:val="24"/>
          <w:szCs w:val="24"/>
          <w:lang w:val="en-GB"/>
        </w:rPr>
        <w:t xml:space="preserve"> Prakash, A. </w:t>
      </w:r>
      <w:r w:rsidR="009125A7" w:rsidRPr="003E41E8">
        <w:rPr>
          <w:rFonts w:ascii="Garamond" w:eastAsia="Garamond" w:hAnsi="Garamond" w:cs="Garamond"/>
          <w:sz w:val="24"/>
          <w:szCs w:val="24"/>
          <w:lang w:val="en-US"/>
        </w:rPr>
        <w:t>(2019)</w:t>
      </w:r>
      <w:r w:rsidR="009125A7">
        <w:rPr>
          <w:rFonts w:ascii="Garamond" w:eastAsia="Garamond" w:hAnsi="Garamond" w:cs="Garamond"/>
          <w:sz w:val="24"/>
          <w:szCs w:val="24"/>
          <w:lang w:val="en-US"/>
        </w:rPr>
        <w:t>.</w:t>
      </w:r>
      <w:r w:rsidR="009125A7" w:rsidRPr="003E41E8">
        <w:rPr>
          <w:rFonts w:ascii="Garamond" w:eastAsia="Garamond" w:hAnsi="Garamond" w:cs="Garamond"/>
          <w:sz w:val="24"/>
          <w:szCs w:val="24"/>
          <w:lang w:val="en-US"/>
        </w:rPr>
        <w:t xml:space="preserve"> </w:t>
      </w:r>
      <w:r w:rsidRPr="00F73D0C">
        <w:rPr>
          <w:rFonts w:ascii="Garamond" w:eastAsia="Garamond" w:hAnsi="Garamond" w:cs="Garamond"/>
          <w:color w:val="131413"/>
          <w:sz w:val="24"/>
          <w:szCs w:val="24"/>
          <w:lang w:val="en-GB"/>
        </w:rPr>
        <w:t>Examination of sustainability reporting practices in Ind</w:t>
      </w:r>
      <w:r w:rsidRPr="00F73D0C">
        <w:rPr>
          <w:rFonts w:ascii="Garamond" w:eastAsia="Garamond" w:hAnsi="Garamond" w:cs="Garamond"/>
          <w:sz w:val="24"/>
          <w:szCs w:val="24"/>
          <w:lang w:val="en-GB"/>
        </w:rPr>
        <w:t xml:space="preserve">ian banking sector. </w:t>
      </w:r>
      <w:r w:rsidRPr="003E41E8">
        <w:rPr>
          <w:rFonts w:ascii="Garamond" w:eastAsia="Garamond" w:hAnsi="Garamond" w:cs="Garamond"/>
          <w:i/>
          <w:sz w:val="24"/>
          <w:szCs w:val="24"/>
          <w:lang w:val="en-US"/>
        </w:rPr>
        <w:t>Asian Journal of Sustainability and Social Responsibility,</w:t>
      </w:r>
      <w:r w:rsidRPr="003E41E8">
        <w:rPr>
          <w:rFonts w:ascii="Garamond" w:eastAsia="Garamond" w:hAnsi="Garamond" w:cs="Garamond"/>
          <w:sz w:val="24"/>
          <w:szCs w:val="24"/>
          <w:lang w:val="en-US"/>
        </w:rPr>
        <w:t xml:space="preserve"> 4:2. </w:t>
      </w:r>
      <w:hyperlink r:id="rId47">
        <w:r w:rsidRPr="003E41E8">
          <w:rPr>
            <w:rFonts w:ascii="Garamond" w:eastAsia="Garamond" w:hAnsi="Garamond" w:cs="Garamond"/>
            <w:sz w:val="24"/>
            <w:szCs w:val="24"/>
            <w:lang w:val="en-US"/>
          </w:rPr>
          <w:t>https://doi.org/10.1186/s41180-018-0022-2</w:t>
        </w:r>
      </w:hyperlink>
      <w:r w:rsidRPr="003E41E8">
        <w:rPr>
          <w:rFonts w:ascii="Garamond" w:eastAsia="Garamond" w:hAnsi="Garamond" w:cs="Garamond"/>
          <w:sz w:val="24"/>
          <w:szCs w:val="24"/>
          <w:lang w:val="en-US"/>
        </w:rPr>
        <w:t xml:space="preserve"> </w:t>
      </w:r>
    </w:p>
    <w:p w14:paraId="617E6A7E" w14:textId="77777777" w:rsidR="00EC4499" w:rsidRPr="003E41E8" w:rsidRDefault="00EC4499">
      <w:pPr>
        <w:spacing w:after="0" w:line="360" w:lineRule="auto"/>
        <w:jc w:val="both"/>
        <w:rPr>
          <w:rFonts w:ascii="Garamond" w:eastAsia="Garamond" w:hAnsi="Garamond" w:cs="Garamond"/>
          <w:sz w:val="24"/>
          <w:szCs w:val="24"/>
          <w:lang w:val="en-US"/>
        </w:rPr>
      </w:pPr>
    </w:p>
    <w:p w14:paraId="49C84627" w14:textId="1E5686AD" w:rsidR="00EC4499" w:rsidRPr="001A05F5" w:rsidRDefault="00433EA7">
      <w:pPr>
        <w:spacing w:after="0" w:line="360" w:lineRule="auto"/>
        <w:jc w:val="both"/>
        <w:rPr>
          <w:rFonts w:ascii="Garamond" w:eastAsia="Garamond" w:hAnsi="Garamond" w:cs="Garamond"/>
          <w:sz w:val="24"/>
          <w:szCs w:val="24"/>
          <w:highlight w:val="white"/>
        </w:rPr>
      </w:pPr>
      <w:r w:rsidRPr="00F73D0C">
        <w:rPr>
          <w:rFonts w:ascii="Garamond" w:eastAsia="Garamond" w:hAnsi="Garamond" w:cs="Garamond"/>
          <w:sz w:val="24"/>
          <w:szCs w:val="24"/>
          <w:highlight w:val="white"/>
          <w:lang w:val="en-GB"/>
        </w:rPr>
        <w:t xml:space="preserve">Light, S. E., </w:t>
      </w:r>
      <w:r w:rsidR="009125A7">
        <w:rPr>
          <w:rFonts w:ascii="Garamond" w:eastAsia="Garamond" w:hAnsi="Garamond" w:cs="Garamond"/>
          <w:sz w:val="24"/>
          <w:szCs w:val="24"/>
          <w:highlight w:val="white"/>
          <w:lang w:val="en-GB"/>
        </w:rPr>
        <w:t xml:space="preserve">&amp; </w:t>
      </w:r>
      <w:r w:rsidRPr="00F73D0C">
        <w:rPr>
          <w:rFonts w:ascii="Garamond" w:eastAsia="Garamond" w:hAnsi="Garamond" w:cs="Garamond"/>
          <w:sz w:val="24"/>
          <w:szCs w:val="24"/>
          <w:highlight w:val="white"/>
          <w:lang w:val="en-GB"/>
        </w:rPr>
        <w:t>Skinner, C. P. (2021)</w:t>
      </w:r>
      <w:r w:rsidR="009125A7">
        <w:rPr>
          <w:rFonts w:ascii="Garamond" w:eastAsia="Garamond" w:hAnsi="Garamond" w:cs="Garamond"/>
          <w:sz w:val="24"/>
          <w:szCs w:val="24"/>
          <w:highlight w:val="white"/>
          <w:lang w:val="en-GB"/>
        </w:rPr>
        <w:t>.</w:t>
      </w:r>
      <w:r w:rsidRPr="00F73D0C">
        <w:rPr>
          <w:rFonts w:ascii="Garamond" w:eastAsia="Garamond" w:hAnsi="Garamond" w:cs="Garamond"/>
          <w:sz w:val="24"/>
          <w:szCs w:val="24"/>
          <w:highlight w:val="white"/>
          <w:lang w:val="en-GB"/>
        </w:rPr>
        <w:t xml:space="preserve"> Banks and Climate Governance. </w:t>
      </w:r>
      <w:r w:rsidRPr="003E41E8">
        <w:rPr>
          <w:rFonts w:ascii="Garamond" w:eastAsia="Garamond" w:hAnsi="Garamond" w:cs="Garamond"/>
          <w:i/>
          <w:sz w:val="24"/>
          <w:szCs w:val="24"/>
          <w:highlight w:val="white"/>
          <w:lang w:val="en-US"/>
        </w:rPr>
        <w:t>Columbia Law Review</w:t>
      </w:r>
      <w:r w:rsidRPr="003E41E8">
        <w:rPr>
          <w:rFonts w:ascii="Garamond" w:eastAsia="Garamond" w:hAnsi="Garamond" w:cs="Garamond"/>
          <w:sz w:val="24"/>
          <w:szCs w:val="24"/>
          <w:highlight w:val="white"/>
          <w:lang w:val="en-US"/>
        </w:rPr>
        <w:t xml:space="preserve">, 121, 1895-1955. </w:t>
      </w:r>
      <w:hyperlink r:id="rId48">
        <w:r w:rsidRPr="001A05F5">
          <w:rPr>
            <w:rFonts w:ascii="Garamond" w:eastAsia="Garamond" w:hAnsi="Garamond" w:cs="Garamond"/>
            <w:sz w:val="24"/>
            <w:szCs w:val="24"/>
            <w:highlight w:val="white"/>
          </w:rPr>
          <w:t>https://columbialawreview.org/content/banks-and-climate-governance/</w:t>
        </w:r>
      </w:hyperlink>
      <w:r w:rsidRPr="001A05F5">
        <w:rPr>
          <w:rFonts w:ascii="Garamond" w:eastAsia="Garamond" w:hAnsi="Garamond" w:cs="Garamond"/>
          <w:sz w:val="24"/>
          <w:szCs w:val="24"/>
          <w:highlight w:val="white"/>
        </w:rPr>
        <w:t xml:space="preserve"> </w:t>
      </w:r>
    </w:p>
    <w:p w14:paraId="233832F7" w14:textId="77777777" w:rsidR="00EC4499" w:rsidRPr="001A05F5" w:rsidRDefault="00EC4499">
      <w:pPr>
        <w:spacing w:after="0" w:line="360" w:lineRule="auto"/>
        <w:jc w:val="both"/>
        <w:rPr>
          <w:rFonts w:ascii="Garamond" w:eastAsia="Garamond" w:hAnsi="Garamond" w:cs="Garamond"/>
          <w:color w:val="000000"/>
          <w:sz w:val="24"/>
          <w:szCs w:val="24"/>
          <w:highlight w:val="white"/>
          <w:u w:val="single"/>
        </w:rPr>
      </w:pPr>
    </w:p>
    <w:p w14:paraId="7F75E771" w14:textId="4C4C37CE" w:rsidR="00F043FC" w:rsidRPr="003E41E8" w:rsidRDefault="00433EA7">
      <w:pPr>
        <w:spacing w:after="0" w:line="360" w:lineRule="auto"/>
        <w:jc w:val="both"/>
        <w:rPr>
          <w:rFonts w:ascii="Garamond" w:eastAsia="Garamond" w:hAnsi="Garamond" w:cs="Garamond"/>
          <w:sz w:val="24"/>
          <w:szCs w:val="24"/>
          <w:lang w:val="pt-PT"/>
        </w:rPr>
      </w:pPr>
      <w:r>
        <w:rPr>
          <w:rFonts w:ascii="Garamond" w:eastAsia="Garamond" w:hAnsi="Garamond" w:cs="Garamond"/>
          <w:sz w:val="24"/>
          <w:szCs w:val="24"/>
        </w:rPr>
        <w:t xml:space="preserve">Montecalvo, M., Farneti, F., </w:t>
      </w:r>
      <w:r w:rsidR="009125A7">
        <w:rPr>
          <w:rFonts w:ascii="Garamond" w:eastAsia="Garamond" w:hAnsi="Garamond" w:cs="Garamond"/>
          <w:sz w:val="24"/>
          <w:szCs w:val="24"/>
        </w:rPr>
        <w:t xml:space="preserve">&amp; </w:t>
      </w:r>
      <w:r>
        <w:rPr>
          <w:rFonts w:ascii="Garamond" w:eastAsia="Garamond" w:hAnsi="Garamond" w:cs="Garamond"/>
          <w:sz w:val="24"/>
          <w:szCs w:val="24"/>
        </w:rPr>
        <w:t xml:space="preserve">De Villiers, C. (2018). </w:t>
      </w:r>
      <w:r w:rsidRPr="00F73D0C">
        <w:rPr>
          <w:rFonts w:ascii="Garamond" w:eastAsia="Garamond" w:hAnsi="Garamond" w:cs="Garamond"/>
          <w:sz w:val="24"/>
          <w:szCs w:val="24"/>
          <w:lang w:val="en-GB"/>
        </w:rPr>
        <w:t xml:space="preserve">The potential of integrated reporting to enhance sustainability reporting in the public sector. </w:t>
      </w:r>
      <w:r w:rsidRPr="003E41E8">
        <w:rPr>
          <w:rFonts w:ascii="Garamond" w:eastAsia="Garamond" w:hAnsi="Garamond" w:cs="Garamond"/>
          <w:i/>
          <w:sz w:val="24"/>
          <w:szCs w:val="24"/>
          <w:lang w:val="pt-PT"/>
        </w:rPr>
        <w:t>Public Money and Management</w:t>
      </w:r>
      <w:r w:rsidRPr="003E41E8">
        <w:rPr>
          <w:rFonts w:ascii="Garamond" w:eastAsia="Garamond" w:hAnsi="Garamond" w:cs="Garamond"/>
          <w:sz w:val="24"/>
          <w:szCs w:val="24"/>
          <w:lang w:val="pt-PT"/>
        </w:rPr>
        <w:t>, 38(5),</w:t>
      </w:r>
      <w:r w:rsidR="009125A7">
        <w:rPr>
          <w:rFonts w:ascii="Garamond" w:eastAsia="Garamond" w:hAnsi="Garamond" w:cs="Garamond"/>
          <w:sz w:val="24"/>
          <w:szCs w:val="24"/>
          <w:lang w:val="pt-PT"/>
        </w:rPr>
        <w:t xml:space="preserve"> </w:t>
      </w:r>
      <w:r w:rsidRPr="003E41E8">
        <w:rPr>
          <w:rFonts w:ascii="Garamond" w:eastAsia="Garamond" w:hAnsi="Garamond" w:cs="Garamond"/>
          <w:sz w:val="24"/>
          <w:szCs w:val="24"/>
          <w:lang w:val="pt-PT"/>
        </w:rPr>
        <w:t>365-374.</w:t>
      </w:r>
    </w:p>
    <w:p w14:paraId="5FAD346D" w14:textId="77777777" w:rsidR="00F043FC" w:rsidRPr="003E41E8" w:rsidRDefault="00F043FC">
      <w:pPr>
        <w:spacing w:after="0" w:line="360" w:lineRule="auto"/>
        <w:jc w:val="both"/>
        <w:rPr>
          <w:rFonts w:ascii="Garamond" w:eastAsia="Garamond" w:hAnsi="Garamond" w:cs="Garamond"/>
          <w:sz w:val="24"/>
          <w:szCs w:val="24"/>
          <w:lang w:val="pt-PT"/>
        </w:rPr>
      </w:pPr>
    </w:p>
    <w:p w14:paraId="7D558F7C" w14:textId="77777777" w:rsidR="00F043FC" w:rsidRDefault="00F043FC" w:rsidP="00F043FC">
      <w:pPr>
        <w:pBdr>
          <w:top w:val="nil"/>
          <w:left w:val="nil"/>
          <w:bottom w:val="nil"/>
          <w:right w:val="nil"/>
          <w:between w:val="nil"/>
        </w:pBdr>
        <w:spacing w:after="0" w:line="360" w:lineRule="auto"/>
        <w:jc w:val="both"/>
        <w:rPr>
          <w:rFonts w:ascii="Garamond" w:eastAsia="Garamond" w:hAnsi="Garamond" w:cs="Garamond"/>
          <w:sz w:val="24"/>
          <w:szCs w:val="24"/>
        </w:rPr>
      </w:pPr>
      <w:r>
        <w:rPr>
          <w:rFonts w:ascii="Garamond" w:eastAsia="Garamond" w:hAnsi="Garamond" w:cs="Garamond"/>
          <w:sz w:val="24"/>
          <w:szCs w:val="24"/>
        </w:rPr>
        <w:t>Núcleo de Informação e Coordenação do Ponto BR</w:t>
      </w:r>
      <w:r>
        <w:rPr>
          <w:rFonts w:ascii="Garamond" w:eastAsia="Garamond" w:hAnsi="Garamond" w:cs="Garamond"/>
          <w:color w:val="000000"/>
          <w:sz w:val="24"/>
          <w:szCs w:val="24"/>
        </w:rPr>
        <w:t xml:space="preserve">. (2024). </w:t>
      </w:r>
      <w:r>
        <w:rPr>
          <w:rFonts w:ascii="Garamond" w:eastAsia="Garamond" w:hAnsi="Garamond" w:cs="Garamond"/>
          <w:i/>
          <w:color w:val="000000"/>
          <w:sz w:val="24"/>
          <w:szCs w:val="24"/>
        </w:rPr>
        <w:t>Conectividade Significativa: propostas para medição e o retrato da população no Brasil</w:t>
      </w:r>
      <w:r>
        <w:rPr>
          <w:rFonts w:ascii="Garamond" w:eastAsia="Garamond" w:hAnsi="Garamond" w:cs="Garamond"/>
          <w:color w:val="000000"/>
          <w:sz w:val="24"/>
          <w:szCs w:val="24"/>
        </w:rPr>
        <w:t>. S</w:t>
      </w:r>
      <w:r>
        <w:rPr>
          <w:rFonts w:ascii="Garamond" w:eastAsia="Garamond" w:hAnsi="Garamond" w:cs="Garamond"/>
          <w:sz w:val="24"/>
          <w:szCs w:val="24"/>
        </w:rPr>
        <w:t>ão Paulo: Núcleo de Informação e Coordenação do Ponto BR. Retirado de Centro Regional de Estudos para o Desenvolvimento da Sociedade da Informação (Cetic.br) https://cetic.br/pt/publicacao/conectividade-significativa-propostas-para-medicao-e-o-retrato-da-populacao-no-brasil/ acessado em 18 de junho de 2024.</w:t>
      </w:r>
    </w:p>
    <w:p w14:paraId="2D8D0546" w14:textId="77777777" w:rsidR="007E7872" w:rsidRDefault="007E7872" w:rsidP="00F043FC">
      <w:pPr>
        <w:pBdr>
          <w:top w:val="nil"/>
          <w:left w:val="nil"/>
          <w:bottom w:val="nil"/>
          <w:right w:val="nil"/>
          <w:between w:val="nil"/>
        </w:pBdr>
        <w:spacing w:after="0" w:line="360" w:lineRule="auto"/>
        <w:jc w:val="both"/>
        <w:rPr>
          <w:rFonts w:ascii="Garamond" w:eastAsia="Garamond" w:hAnsi="Garamond" w:cs="Garamond"/>
          <w:sz w:val="24"/>
          <w:szCs w:val="24"/>
        </w:rPr>
      </w:pPr>
    </w:p>
    <w:p w14:paraId="19430E72" w14:textId="77777777" w:rsidR="007E7872" w:rsidRPr="00557890" w:rsidRDefault="007E7872" w:rsidP="007E7872">
      <w:pPr>
        <w:pBdr>
          <w:top w:val="nil"/>
          <w:left w:val="nil"/>
          <w:bottom w:val="nil"/>
          <w:right w:val="nil"/>
          <w:between w:val="nil"/>
        </w:pBdr>
        <w:spacing w:after="0" w:line="360" w:lineRule="auto"/>
        <w:jc w:val="both"/>
        <w:rPr>
          <w:rFonts w:ascii="Garamond" w:eastAsia="Garamond" w:hAnsi="Garamond" w:cs="Garamond"/>
          <w:sz w:val="24"/>
          <w:szCs w:val="24"/>
          <w:lang w:val="en-GB"/>
        </w:rPr>
      </w:pPr>
      <w:r w:rsidRPr="00F73D0C">
        <w:rPr>
          <w:rFonts w:ascii="Garamond" w:eastAsia="Garamond" w:hAnsi="Garamond" w:cs="Garamond"/>
          <w:sz w:val="24"/>
          <w:szCs w:val="24"/>
          <w:lang w:val="en-GB"/>
        </w:rPr>
        <w:lastRenderedPageBreak/>
        <w:t>Pacto Global</w:t>
      </w:r>
      <w:r w:rsidRPr="00F73D0C">
        <w:rPr>
          <w:rFonts w:ascii="Garamond" w:eastAsia="Garamond" w:hAnsi="Garamond" w:cs="Garamond"/>
          <w:color w:val="000000"/>
          <w:sz w:val="24"/>
          <w:szCs w:val="24"/>
          <w:lang w:val="en-GB"/>
        </w:rPr>
        <w:t xml:space="preserve">. (2022). </w:t>
      </w:r>
      <w:r w:rsidRPr="00F73D0C">
        <w:rPr>
          <w:rFonts w:ascii="Garamond" w:eastAsia="Garamond" w:hAnsi="Garamond" w:cs="Garamond"/>
          <w:i/>
          <w:color w:val="000000"/>
          <w:sz w:val="24"/>
          <w:szCs w:val="24"/>
          <w:lang w:val="en-GB"/>
        </w:rPr>
        <w:t xml:space="preserve">Linking the SDGs and </w:t>
      </w:r>
      <w:r w:rsidRPr="00F73D0C">
        <w:rPr>
          <w:rFonts w:ascii="Garamond" w:eastAsia="Garamond" w:hAnsi="Garamond" w:cs="Garamond"/>
          <w:i/>
          <w:sz w:val="24"/>
          <w:szCs w:val="24"/>
          <w:lang w:val="en-GB"/>
        </w:rPr>
        <w:t xml:space="preserve">the GRI standard. </w:t>
      </w:r>
      <w:r w:rsidRPr="00F73D0C">
        <w:rPr>
          <w:rFonts w:ascii="Garamond" w:eastAsia="Garamond" w:hAnsi="Garamond" w:cs="Garamond"/>
          <w:color w:val="000000"/>
          <w:sz w:val="24"/>
          <w:szCs w:val="24"/>
          <w:lang w:val="en-GB"/>
        </w:rPr>
        <w:t xml:space="preserve"> </w:t>
      </w:r>
      <w:r w:rsidRPr="00557890">
        <w:rPr>
          <w:rFonts w:ascii="Garamond" w:eastAsia="Garamond" w:hAnsi="Garamond" w:cs="Garamond"/>
          <w:color w:val="000000"/>
          <w:sz w:val="24"/>
          <w:szCs w:val="24"/>
          <w:lang w:val="en-GB"/>
        </w:rPr>
        <w:t>Nova Yor</w:t>
      </w:r>
      <w:r w:rsidRPr="00557890">
        <w:rPr>
          <w:rFonts w:ascii="Garamond" w:eastAsia="Garamond" w:hAnsi="Garamond" w:cs="Garamond"/>
          <w:sz w:val="24"/>
          <w:szCs w:val="24"/>
          <w:lang w:val="en-GB"/>
        </w:rPr>
        <w:t>k: Pacto Global. Retirado de</w:t>
      </w:r>
      <w:r w:rsidRPr="00557890">
        <w:rPr>
          <w:rFonts w:ascii="Garamond" w:eastAsia="Garamond" w:hAnsi="Garamond" w:cs="Garamond"/>
          <w:color w:val="000000"/>
          <w:sz w:val="24"/>
          <w:szCs w:val="24"/>
          <w:lang w:val="en-GB"/>
        </w:rPr>
        <w:t xml:space="preserve"> </w:t>
      </w:r>
      <w:r w:rsidRPr="00557890">
        <w:rPr>
          <w:rFonts w:ascii="Garamond" w:eastAsia="Garamond" w:hAnsi="Garamond" w:cs="Garamond"/>
          <w:sz w:val="24"/>
          <w:szCs w:val="24"/>
          <w:lang w:val="en-GB"/>
        </w:rPr>
        <w:t xml:space="preserve">Pacto Global Network Austria </w:t>
      </w:r>
      <w:hyperlink r:id="rId49">
        <w:r w:rsidRPr="00557890">
          <w:rPr>
            <w:rFonts w:ascii="Garamond" w:eastAsia="Garamond" w:hAnsi="Garamond" w:cs="Garamond"/>
            <w:sz w:val="24"/>
            <w:szCs w:val="24"/>
            <w:lang w:val="en-GB"/>
          </w:rPr>
          <w:t>https://globalcompact.at/wp-content/uploads/2022/09/gri-linkagesdg_gristandards-updatemay2022-final.pdf</w:t>
        </w:r>
      </w:hyperlink>
      <w:r w:rsidRPr="00557890">
        <w:rPr>
          <w:rFonts w:ascii="Garamond" w:eastAsia="Garamond" w:hAnsi="Garamond" w:cs="Garamond"/>
          <w:sz w:val="24"/>
          <w:szCs w:val="24"/>
          <w:lang w:val="en-GB"/>
        </w:rPr>
        <w:t xml:space="preserve"> acessado em 15 de janeiro de 2024.</w:t>
      </w:r>
    </w:p>
    <w:p w14:paraId="3E07FDAE" w14:textId="060B4B0E" w:rsidR="00EC4499" w:rsidRPr="00557890" w:rsidRDefault="00EC4499">
      <w:pPr>
        <w:spacing w:after="0" w:line="360" w:lineRule="auto"/>
        <w:jc w:val="both"/>
        <w:rPr>
          <w:rFonts w:ascii="Garamond" w:eastAsia="Garamond" w:hAnsi="Garamond" w:cs="Garamond"/>
          <w:sz w:val="24"/>
          <w:szCs w:val="24"/>
          <w:lang w:val="en-GB"/>
        </w:rPr>
      </w:pPr>
    </w:p>
    <w:p w14:paraId="343C16B0" w14:textId="4D4EA6B7" w:rsidR="00EC4499" w:rsidRDefault="00433EA7">
      <w:pPr>
        <w:pBdr>
          <w:top w:val="nil"/>
          <w:left w:val="nil"/>
          <w:bottom w:val="nil"/>
          <w:right w:val="nil"/>
          <w:between w:val="nil"/>
        </w:pBdr>
        <w:spacing w:after="0" w:line="360" w:lineRule="auto"/>
        <w:jc w:val="both"/>
        <w:rPr>
          <w:rFonts w:ascii="Garamond" w:eastAsia="Garamond" w:hAnsi="Garamond" w:cs="Garamond"/>
          <w:sz w:val="24"/>
          <w:szCs w:val="24"/>
        </w:rPr>
      </w:pPr>
      <w:r>
        <w:rPr>
          <w:rFonts w:ascii="Garamond" w:eastAsia="Garamond" w:hAnsi="Garamond" w:cs="Garamond"/>
          <w:color w:val="000000"/>
          <w:sz w:val="24"/>
          <w:szCs w:val="24"/>
        </w:rPr>
        <w:t>PricewaterhouseCoopers. (202</w:t>
      </w:r>
      <w:r>
        <w:rPr>
          <w:rFonts w:ascii="Garamond" w:eastAsia="Garamond" w:hAnsi="Garamond" w:cs="Garamond"/>
          <w:sz w:val="24"/>
          <w:szCs w:val="24"/>
        </w:rPr>
        <w:t>4</w:t>
      </w:r>
      <w:r>
        <w:rPr>
          <w:rFonts w:ascii="Garamond" w:eastAsia="Garamond" w:hAnsi="Garamond" w:cs="Garamond"/>
          <w:color w:val="000000"/>
          <w:sz w:val="24"/>
          <w:szCs w:val="24"/>
        </w:rPr>
        <w:t xml:space="preserve">). </w:t>
      </w:r>
      <w:r>
        <w:rPr>
          <w:rFonts w:ascii="Garamond" w:eastAsia="Garamond" w:hAnsi="Garamond" w:cs="Garamond"/>
          <w:i/>
          <w:color w:val="000000"/>
          <w:sz w:val="24"/>
          <w:szCs w:val="24"/>
        </w:rPr>
        <w:t>Pesquisa Global com I</w:t>
      </w:r>
      <w:r>
        <w:rPr>
          <w:rFonts w:ascii="Garamond" w:eastAsia="Garamond" w:hAnsi="Garamond" w:cs="Garamond"/>
          <w:i/>
          <w:sz w:val="24"/>
          <w:szCs w:val="24"/>
        </w:rPr>
        <w:t>nvestidores 2023</w:t>
      </w:r>
      <w:r>
        <w:rPr>
          <w:rFonts w:ascii="Garamond" w:eastAsia="Garamond" w:hAnsi="Garamond" w:cs="Garamond"/>
          <w:sz w:val="24"/>
          <w:szCs w:val="24"/>
        </w:rPr>
        <w:t xml:space="preserve">. Retirado de PricewaterhouseCoopers </w:t>
      </w:r>
      <w:hyperlink r:id="rId50">
        <w:r>
          <w:rPr>
            <w:rFonts w:ascii="Garamond" w:eastAsia="Garamond" w:hAnsi="Garamond" w:cs="Garamond"/>
            <w:sz w:val="24"/>
            <w:szCs w:val="24"/>
          </w:rPr>
          <w:t>https://www.pwc.com.br/pt/estudos/setores-atividade/financeiro/2024/pesquisa-global-com-investidores-2023.html</w:t>
        </w:r>
      </w:hyperlink>
      <w:r>
        <w:rPr>
          <w:rFonts w:ascii="Garamond" w:eastAsia="Garamond" w:hAnsi="Garamond" w:cs="Garamond"/>
          <w:sz w:val="24"/>
          <w:szCs w:val="24"/>
        </w:rPr>
        <w:t xml:space="preserve"> acess</w:t>
      </w:r>
      <w:r w:rsidR="00636BED">
        <w:rPr>
          <w:rFonts w:ascii="Garamond" w:eastAsia="Garamond" w:hAnsi="Garamond" w:cs="Garamond"/>
          <w:sz w:val="24"/>
          <w:szCs w:val="24"/>
        </w:rPr>
        <w:t>ad</w:t>
      </w:r>
      <w:r>
        <w:rPr>
          <w:rFonts w:ascii="Garamond" w:eastAsia="Garamond" w:hAnsi="Garamond" w:cs="Garamond"/>
          <w:sz w:val="24"/>
          <w:szCs w:val="24"/>
        </w:rPr>
        <w:t>o em 18 de junho de 2024.</w:t>
      </w:r>
    </w:p>
    <w:p w14:paraId="003F2E31" w14:textId="77777777" w:rsidR="00EC4499" w:rsidRDefault="00EC4499">
      <w:pPr>
        <w:pBdr>
          <w:top w:val="nil"/>
          <w:left w:val="nil"/>
          <w:bottom w:val="nil"/>
          <w:right w:val="nil"/>
          <w:between w:val="nil"/>
        </w:pBdr>
        <w:spacing w:after="0" w:line="360" w:lineRule="auto"/>
        <w:ind w:firstLine="360"/>
        <w:jc w:val="both"/>
        <w:rPr>
          <w:rFonts w:ascii="Garamond" w:eastAsia="Garamond" w:hAnsi="Garamond" w:cs="Garamond"/>
          <w:color w:val="000000"/>
          <w:sz w:val="24"/>
          <w:szCs w:val="24"/>
        </w:rPr>
      </w:pPr>
    </w:p>
    <w:p w14:paraId="12DBAF86" w14:textId="530D696B" w:rsidR="00EC4499" w:rsidRDefault="00433EA7">
      <w:pPr>
        <w:pBdr>
          <w:top w:val="nil"/>
          <w:left w:val="nil"/>
          <w:bottom w:val="nil"/>
          <w:right w:val="nil"/>
          <w:between w:val="nil"/>
        </w:pBdr>
        <w:spacing w:after="0" w:line="360" w:lineRule="auto"/>
        <w:jc w:val="both"/>
        <w:rPr>
          <w:rFonts w:ascii="Garamond" w:eastAsia="Garamond" w:hAnsi="Garamond" w:cs="Garamond"/>
          <w:sz w:val="24"/>
          <w:szCs w:val="24"/>
        </w:rPr>
      </w:pPr>
      <w:r w:rsidRPr="00F73D0C">
        <w:rPr>
          <w:rFonts w:ascii="Garamond" w:eastAsia="Garamond" w:hAnsi="Garamond" w:cs="Garamond"/>
          <w:color w:val="000000"/>
          <w:sz w:val="24"/>
          <w:szCs w:val="24"/>
          <w:lang w:val="en-GB"/>
        </w:rPr>
        <w:t xml:space="preserve">Sachs, J.D., Lafortune, G., Fuller, G., </w:t>
      </w:r>
      <w:r w:rsidR="009125A7">
        <w:rPr>
          <w:rFonts w:ascii="Garamond" w:eastAsia="Garamond" w:hAnsi="Garamond" w:cs="Garamond"/>
          <w:color w:val="000000"/>
          <w:sz w:val="24"/>
          <w:szCs w:val="24"/>
          <w:lang w:val="en-GB"/>
        </w:rPr>
        <w:t xml:space="preserve">&amp; </w:t>
      </w:r>
      <w:r w:rsidRPr="00F73D0C">
        <w:rPr>
          <w:rFonts w:ascii="Garamond" w:eastAsia="Garamond" w:hAnsi="Garamond" w:cs="Garamond"/>
          <w:color w:val="000000"/>
          <w:sz w:val="24"/>
          <w:szCs w:val="24"/>
          <w:lang w:val="en-GB"/>
        </w:rPr>
        <w:t xml:space="preserve">Drumm, E. (2023). </w:t>
      </w:r>
      <w:r w:rsidRPr="00F73D0C">
        <w:rPr>
          <w:rFonts w:ascii="Garamond" w:eastAsia="Garamond" w:hAnsi="Garamond" w:cs="Garamond"/>
          <w:i/>
          <w:color w:val="000000"/>
          <w:sz w:val="24"/>
          <w:szCs w:val="24"/>
          <w:lang w:val="en-GB"/>
        </w:rPr>
        <w:t>Sustainable Development Report 2023</w:t>
      </w:r>
      <w:r w:rsidRPr="00F73D0C">
        <w:rPr>
          <w:rFonts w:ascii="Garamond" w:eastAsia="Garamond" w:hAnsi="Garamond" w:cs="Garamond"/>
          <w:color w:val="000000"/>
          <w:sz w:val="24"/>
          <w:szCs w:val="24"/>
          <w:lang w:val="en-GB"/>
        </w:rPr>
        <w:t xml:space="preserve">. Paris: SDSN, Dublin: Dublin </w:t>
      </w:r>
      <w:r w:rsidRPr="00F73D0C">
        <w:rPr>
          <w:rFonts w:ascii="Garamond" w:eastAsia="Garamond" w:hAnsi="Garamond" w:cs="Garamond"/>
          <w:sz w:val="24"/>
          <w:szCs w:val="24"/>
          <w:lang w:val="en-GB"/>
        </w:rPr>
        <w:t xml:space="preserve">University Press, 2023. </w:t>
      </w:r>
      <w:r>
        <w:rPr>
          <w:rFonts w:ascii="Garamond" w:eastAsia="Garamond" w:hAnsi="Garamond" w:cs="Garamond"/>
          <w:sz w:val="24"/>
          <w:szCs w:val="24"/>
        </w:rPr>
        <w:t xml:space="preserve">Retirado de SDG </w:t>
      </w:r>
      <w:proofErr w:type="spellStart"/>
      <w:r>
        <w:rPr>
          <w:rFonts w:ascii="Garamond" w:eastAsia="Garamond" w:hAnsi="Garamond" w:cs="Garamond"/>
          <w:sz w:val="24"/>
          <w:szCs w:val="24"/>
        </w:rPr>
        <w:t>Transformation</w:t>
      </w:r>
      <w:proofErr w:type="spellEnd"/>
      <w:r>
        <w:rPr>
          <w:rFonts w:ascii="Garamond" w:eastAsia="Garamond" w:hAnsi="Garamond" w:cs="Garamond"/>
          <w:sz w:val="24"/>
          <w:szCs w:val="24"/>
        </w:rPr>
        <w:t xml:space="preserve"> Center </w:t>
      </w:r>
      <w:hyperlink r:id="rId51">
        <w:r>
          <w:rPr>
            <w:rFonts w:ascii="Garamond" w:eastAsia="Garamond" w:hAnsi="Garamond" w:cs="Garamond"/>
            <w:sz w:val="24"/>
            <w:szCs w:val="24"/>
          </w:rPr>
          <w:t>https://sdgtransformationcenter.org/reports/sustainable-development-report-2023</w:t>
        </w:r>
      </w:hyperlink>
      <w:r>
        <w:rPr>
          <w:rFonts w:ascii="Garamond" w:eastAsia="Garamond" w:hAnsi="Garamond" w:cs="Garamond"/>
          <w:sz w:val="24"/>
          <w:szCs w:val="24"/>
        </w:rPr>
        <w:t xml:space="preserve"> acess</w:t>
      </w:r>
      <w:r w:rsidR="00636BED">
        <w:rPr>
          <w:rFonts w:ascii="Garamond" w:eastAsia="Garamond" w:hAnsi="Garamond" w:cs="Garamond"/>
          <w:sz w:val="24"/>
          <w:szCs w:val="24"/>
        </w:rPr>
        <w:t>ad</w:t>
      </w:r>
      <w:r>
        <w:rPr>
          <w:rFonts w:ascii="Garamond" w:eastAsia="Garamond" w:hAnsi="Garamond" w:cs="Garamond"/>
          <w:sz w:val="24"/>
          <w:szCs w:val="24"/>
        </w:rPr>
        <w:t>o em 18 de junho de 2024.</w:t>
      </w:r>
    </w:p>
    <w:p w14:paraId="10E9511F" w14:textId="77777777" w:rsidR="00EC4499" w:rsidRDefault="00EC4499">
      <w:pPr>
        <w:pBdr>
          <w:top w:val="nil"/>
          <w:left w:val="nil"/>
          <w:bottom w:val="nil"/>
          <w:right w:val="nil"/>
          <w:between w:val="nil"/>
        </w:pBdr>
        <w:spacing w:after="0" w:line="360" w:lineRule="auto"/>
        <w:ind w:firstLine="360"/>
        <w:jc w:val="both"/>
        <w:rPr>
          <w:rFonts w:ascii="Garamond" w:eastAsia="Garamond" w:hAnsi="Garamond" w:cs="Garamond"/>
          <w:color w:val="000000"/>
          <w:sz w:val="24"/>
          <w:szCs w:val="24"/>
        </w:rPr>
      </w:pPr>
    </w:p>
    <w:p w14:paraId="61D9BEE6" w14:textId="438A6622" w:rsidR="00EC4499" w:rsidRPr="009A58AB" w:rsidRDefault="00433EA7">
      <w:pPr>
        <w:pBdr>
          <w:top w:val="nil"/>
          <w:left w:val="nil"/>
          <w:bottom w:val="nil"/>
          <w:right w:val="nil"/>
          <w:between w:val="nil"/>
        </w:pBdr>
        <w:spacing w:after="0" w:line="360" w:lineRule="auto"/>
        <w:jc w:val="both"/>
        <w:rPr>
          <w:rFonts w:ascii="Garamond" w:eastAsia="Garamond" w:hAnsi="Garamond" w:cs="Garamond"/>
          <w:color w:val="000000"/>
          <w:sz w:val="24"/>
          <w:szCs w:val="24"/>
          <w:lang w:val="en-US"/>
        </w:rPr>
      </w:pPr>
      <w:r w:rsidRPr="00F73D0C">
        <w:rPr>
          <w:rFonts w:ascii="Garamond" w:eastAsia="Garamond" w:hAnsi="Garamond" w:cs="Garamond"/>
          <w:color w:val="000000"/>
          <w:sz w:val="24"/>
          <w:szCs w:val="24"/>
          <w:lang w:val="en-GB"/>
        </w:rPr>
        <w:t xml:space="preserve">Sethi, S. P., Martell, T. F., &amp; Demir, M. (2017). An Evaluation of the Quality of Corporate Social Responsibility Reports by Some of the World's Largest Financial Institutions. </w:t>
      </w:r>
      <w:r w:rsidRPr="009A58AB">
        <w:rPr>
          <w:rFonts w:ascii="Garamond" w:eastAsia="Garamond" w:hAnsi="Garamond" w:cs="Garamond"/>
          <w:i/>
          <w:color w:val="000000"/>
          <w:sz w:val="24"/>
          <w:szCs w:val="24"/>
          <w:lang w:val="en-US"/>
        </w:rPr>
        <w:t>Journal of Business Ethics</w:t>
      </w:r>
      <w:r w:rsidRPr="009A58AB">
        <w:rPr>
          <w:rFonts w:ascii="Garamond" w:eastAsia="Garamond" w:hAnsi="Garamond" w:cs="Garamond"/>
          <w:color w:val="000000"/>
          <w:sz w:val="24"/>
          <w:szCs w:val="24"/>
          <w:lang w:val="en-US"/>
        </w:rPr>
        <w:t xml:space="preserve">, 140(4), 787-805. https://doi.org/10.1007/s10551-015-2878-8  </w:t>
      </w:r>
    </w:p>
    <w:p w14:paraId="797D6921" w14:textId="77777777" w:rsidR="00EC4499" w:rsidRPr="009A58AB" w:rsidRDefault="00EC4499">
      <w:pPr>
        <w:pBdr>
          <w:top w:val="nil"/>
          <w:left w:val="nil"/>
          <w:bottom w:val="nil"/>
          <w:right w:val="nil"/>
          <w:between w:val="nil"/>
        </w:pBdr>
        <w:spacing w:after="0" w:line="360" w:lineRule="auto"/>
        <w:ind w:firstLine="360"/>
        <w:jc w:val="both"/>
        <w:rPr>
          <w:rFonts w:ascii="Garamond" w:eastAsia="Garamond" w:hAnsi="Garamond" w:cs="Garamond"/>
          <w:color w:val="000000"/>
          <w:sz w:val="24"/>
          <w:szCs w:val="24"/>
          <w:lang w:val="en-US"/>
        </w:rPr>
      </w:pPr>
    </w:p>
    <w:p w14:paraId="5B3718C3" w14:textId="734938BB" w:rsidR="00EC4499" w:rsidRPr="00F73D0C" w:rsidRDefault="00433EA7">
      <w:pPr>
        <w:pBdr>
          <w:top w:val="nil"/>
          <w:left w:val="nil"/>
          <w:bottom w:val="nil"/>
          <w:right w:val="nil"/>
          <w:between w:val="nil"/>
        </w:pBdr>
        <w:spacing w:after="0" w:line="360" w:lineRule="auto"/>
        <w:jc w:val="both"/>
        <w:rPr>
          <w:rFonts w:ascii="Garamond" w:eastAsia="Garamond" w:hAnsi="Garamond" w:cs="Garamond"/>
          <w:color w:val="000000"/>
          <w:sz w:val="24"/>
          <w:szCs w:val="24"/>
          <w:lang w:val="en-GB"/>
        </w:rPr>
      </w:pPr>
      <w:r w:rsidRPr="00F73D0C">
        <w:rPr>
          <w:rFonts w:ascii="Garamond" w:eastAsia="Garamond" w:hAnsi="Garamond" w:cs="Garamond"/>
          <w:color w:val="000000"/>
          <w:sz w:val="24"/>
          <w:szCs w:val="24"/>
          <w:lang w:val="en-GB"/>
        </w:rPr>
        <w:t>Simpson, W.G.</w:t>
      </w:r>
      <w:r w:rsidR="009125A7">
        <w:rPr>
          <w:rFonts w:ascii="Garamond" w:eastAsia="Garamond" w:hAnsi="Garamond" w:cs="Garamond"/>
          <w:color w:val="000000"/>
          <w:sz w:val="24"/>
          <w:szCs w:val="24"/>
          <w:lang w:val="en-GB"/>
        </w:rPr>
        <w:t>, &amp;</w:t>
      </w:r>
      <w:r w:rsidRPr="00F73D0C">
        <w:rPr>
          <w:rFonts w:ascii="Garamond" w:eastAsia="Garamond" w:hAnsi="Garamond" w:cs="Garamond"/>
          <w:color w:val="000000"/>
          <w:sz w:val="24"/>
          <w:szCs w:val="24"/>
          <w:lang w:val="en-GB"/>
        </w:rPr>
        <w:t xml:space="preserve"> Kohers, T. (2002), The link between corporate social and financial performance: evidence from the banking industry</w:t>
      </w:r>
      <w:r w:rsidRPr="00F73D0C">
        <w:rPr>
          <w:rFonts w:ascii="Garamond" w:eastAsia="Garamond" w:hAnsi="Garamond" w:cs="Garamond"/>
          <w:sz w:val="24"/>
          <w:szCs w:val="24"/>
          <w:lang w:val="en-GB"/>
        </w:rPr>
        <w:t>.</w:t>
      </w:r>
      <w:r w:rsidRPr="00F73D0C">
        <w:rPr>
          <w:rFonts w:ascii="Garamond" w:eastAsia="Garamond" w:hAnsi="Garamond" w:cs="Garamond"/>
          <w:color w:val="000000"/>
          <w:sz w:val="24"/>
          <w:szCs w:val="24"/>
          <w:lang w:val="en-GB"/>
        </w:rPr>
        <w:t xml:space="preserve"> </w:t>
      </w:r>
      <w:r w:rsidRPr="00F73D0C">
        <w:rPr>
          <w:rFonts w:ascii="Garamond" w:eastAsia="Garamond" w:hAnsi="Garamond" w:cs="Garamond"/>
          <w:i/>
          <w:color w:val="000000"/>
          <w:sz w:val="24"/>
          <w:szCs w:val="24"/>
          <w:lang w:val="en-GB"/>
        </w:rPr>
        <w:t>Journal of Business Ethics</w:t>
      </w:r>
      <w:r w:rsidRPr="00F73D0C">
        <w:rPr>
          <w:rFonts w:ascii="Garamond" w:eastAsia="Garamond" w:hAnsi="Garamond" w:cs="Garamond"/>
          <w:color w:val="000000"/>
          <w:sz w:val="24"/>
          <w:szCs w:val="24"/>
          <w:lang w:val="en-GB"/>
        </w:rPr>
        <w:t>, 35</w:t>
      </w:r>
      <w:r w:rsidR="009125A7">
        <w:rPr>
          <w:rFonts w:ascii="Garamond" w:eastAsia="Garamond" w:hAnsi="Garamond" w:cs="Garamond"/>
          <w:color w:val="000000"/>
          <w:sz w:val="24"/>
          <w:szCs w:val="24"/>
          <w:lang w:val="en-GB"/>
        </w:rPr>
        <w:t>(</w:t>
      </w:r>
      <w:r w:rsidRPr="00F73D0C">
        <w:rPr>
          <w:rFonts w:ascii="Garamond" w:eastAsia="Garamond" w:hAnsi="Garamond" w:cs="Garamond"/>
          <w:color w:val="000000"/>
          <w:sz w:val="24"/>
          <w:szCs w:val="24"/>
          <w:lang w:val="en-GB"/>
        </w:rPr>
        <w:t>2</w:t>
      </w:r>
      <w:r w:rsidR="009125A7">
        <w:rPr>
          <w:rFonts w:ascii="Garamond" w:eastAsia="Garamond" w:hAnsi="Garamond" w:cs="Garamond"/>
          <w:color w:val="000000"/>
          <w:sz w:val="24"/>
          <w:szCs w:val="24"/>
          <w:lang w:val="en-GB"/>
        </w:rPr>
        <w:t>)</w:t>
      </w:r>
      <w:r w:rsidRPr="00F73D0C">
        <w:rPr>
          <w:rFonts w:ascii="Garamond" w:eastAsia="Garamond" w:hAnsi="Garamond" w:cs="Garamond"/>
          <w:color w:val="000000"/>
          <w:sz w:val="24"/>
          <w:szCs w:val="24"/>
          <w:lang w:val="en-GB"/>
        </w:rPr>
        <w:t>, 97-109</w:t>
      </w:r>
      <w:r w:rsidR="009125A7">
        <w:rPr>
          <w:rFonts w:ascii="Garamond" w:eastAsia="Garamond" w:hAnsi="Garamond" w:cs="Garamond"/>
          <w:color w:val="000000"/>
          <w:sz w:val="24"/>
          <w:szCs w:val="24"/>
          <w:lang w:val="en-GB"/>
        </w:rPr>
        <w:t>.</w:t>
      </w:r>
    </w:p>
    <w:p w14:paraId="6BBDE1C1" w14:textId="77777777" w:rsidR="00EC4499" w:rsidRPr="00F73D0C" w:rsidRDefault="00EC4499">
      <w:pPr>
        <w:pBdr>
          <w:top w:val="nil"/>
          <w:left w:val="nil"/>
          <w:bottom w:val="nil"/>
          <w:right w:val="nil"/>
          <w:between w:val="nil"/>
        </w:pBdr>
        <w:spacing w:after="0" w:line="360" w:lineRule="auto"/>
        <w:ind w:firstLine="360"/>
        <w:jc w:val="both"/>
        <w:rPr>
          <w:rFonts w:ascii="Garamond" w:eastAsia="Garamond" w:hAnsi="Garamond" w:cs="Garamond"/>
          <w:color w:val="000000"/>
          <w:sz w:val="24"/>
          <w:szCs w:val="24"/>
          <w:lang w:val="en-GB"/>
        </w:rPr>
      </w:pPr>
    </w:p>
    <w:p w14:paraId="6E8A9F0C" w14:textId="3881E416" w:rsidR="00EC4499" w:rsidRPr="00F73D0C" w:rsidRDefault="00433EA7">
      <w:pPr>
        <w:pBdr>
          <w:top w:val="nil"/>
          <w:left w:val="nil"/>
          <w:bottom w:val="nil"/>
          <w:right w:val="nil"/>
          <w:between w:val="nil"/>
        </w:pBdr>
        <w:spacing w:after="0" w:line="360" w:lineRule="auto"/>
        <w:jc w:val="both"/>
        <w:rPr>
          <w:rFonts w:ascii="Garamond" w:eastAsia="Garamond" w:hAnsi="Garamond" w:cs="Garamond"/>
          <w:color w:val="000000"/>
          <w:sz w:val="24"/>
          <w:szCs w:val="24"/>
          <w:lang w:val="en-GB"/>
        </w:rPr>
      </w:pPr>
      <w:r w:rsidRPr="00F73D0C">
        <w:rPr>
          <w:rFonts w:ascii="Garamond" w:eastAsia="Garamond" w:hAnsi="Garamond" w:cs="Garamond"/>
          <w:color w:val="000000"/>
          <w:sz w:val="24"/>
          <w:szCs w:val="24"/>
          <w:lang w:val="en-GB"/>
        </w:rPr>
        <w:t xml:space="preserve">Singh, Y. (2015). Environmental Management Through Green Banking: A study of Commercial Banks in India. </w:t>
      </w:r>
      <w:r w:rsidRPr="00F73D0C">
        <w:rPr>
          <w:rFonts w:ascii="Garamond" w:eastAsia="Garamond" w:hAnsi="Garamond" w:cs="Garamond"/>
          <w:i/>
          <w:color w:val="000000"/>
          <w:sz w:val="24"/>
          <w:szCs w:val="24"/>
          <w:lang w:val="en-GB"/>
        </w:rPr>
        <w:t>International Journal of Interdisciplinary and Multidisciplinary Studies (IJIMS)</w:t>
      </w:r>
      <w:r w:rsidRPr="00F73D0C">
        <w:rPr>
          <w:rFonts w:ascii="Garamond" w:eastAsia="Garamond" w:hAnsi="Garamond" w:cs="Garamond"/>
          <w:color w:val="000000"/>
          <w:sz w:val="24"/>
          <w:szCs w:val="24"/>
          <w:lang w:val="en-GB"/>
        </w:rPr>
        <w:t>, 2</w:t>
      </w:r>
      <w:r w:rsidR="009125A7">
        <w:rPr>
          <w:rFonts w:ascii="Garamond" w:eastAsia="Garamond" w:hAnsi="Garamond" w:cs="Garamond"/>
          <w:color w:val="000000"/>
          <w:sz w:val="24"/>
          <w:szCs w:val="24"/>
          <w:lang w:val="en-GB"/>
        </w:rPr>
        <w:t>(</w:t>
      </w:r>
      <w:r w:rsidRPr="00F73D0C">
        <w:rPr>
          <w:rFonts w:ascii="Garamond" w:eastAsia="Garamond" w:hAnsi="Garamond" w:cs="Garamond"/>
          <w:color w:val="000000"/>
          <w:sz w:val="24"/>
          <w:szCs w:val="24"/>
          <w:lang w:val="en-GB"/>
        </w:rPr>
        <w:t>4</w:t>
      </w:r>
      <w:r w:rsidR="009125A7">
        <w:rPr>
          <w:rFonts w:ascii="Garamond" w:eastAsia="Garamond" w:hAnsi="Garamond" w:cs="Garamond"/>
          <w:color w:val="000000"/>
          <w:sz w:val="24"/>
          <w:szCs w:val="24"/>
          <w:lang w:val="en-GB"/>
        </w:rPr>
        <w:t>)</w:t>
      </w:r>
      <w:r w:rsidRPr="00F73D0C">
        <w:rPr>
          <w:rFonts w:ascii="Garamond" w:eastAsia="Garamond" w:hAnsi="Garamond" w:cs="Garamond"/>
          <w:color w:val="000000"/>
          <w:sz w:val="24"/>
          <w:szCs w:val="24"/>
          <w:lang w:val="en-GB"/>
        </w:rPr>
        <w:t>, 17-26</w:t>
      </w:r>
    </w:p>
    <w:p w14:paraId="57048BF7" w14:textId="77777777" w:rsidR="00EC4499" w:rsidRPr="00F73D0C" w:rsidRDefault="00EC4499">
      <w:pPr>
        <w:pBdr>
          <w:top w:val="nil"/>
          <w:left w:val="nil"/>
          <w:bottom w:val="nil"/>
          <w:right w:val="nil"/>
          <w:between w:val="nil"/>
        </w:pBdr>
        <w:spacing w:after="0" w:line="360" w:lineRule="auto"/>
        <w:ind w:firstLine="360"/>
        <w:jc w:val="both"/>
        <w:rPr>
          <w:rFonts w:ascii="Garamond" w:eastAsia="Garamond" w:hAnsi="Garamond" w:cs="Garamond"/>
          <w:color w:val="000000"/>
          <w:sz w:val="24"/>
          <w:szCs w:val="24"/>
          <w:lang w:val="en-GB"/>
        </w:rPr>
      </w:pPr>
    </w:p>
    <w:p w14:paraId="647A5F44" w14:textId="0448AEC5" w:rsidR="00EC4499" w:rsidRPr="0078525D" w:rsidRDefault="00433EA7">
      <w:pPr>
        <w:pBdr>
          <w:top w:val="nil"/>
          <w:left w:val="nil"/>
          <w:bottom w:val="nil"/>
          <w:right w:val="nil"/>
          <w:between w:val="nil"/>
        </w:pBdr>
        <w:spacing w:after="0" w:line="360" w:lineRule="auto"/>
        <w:jc w:val="both"/>
        <w:rPr>
          <w:rFonts w:ascii="Garamond" w:eastAsia="Garamond" w:hAnsi="Garamond" w:cs="Garamond"/>
          <w:sz w:val="24"/>
          <w:szCs w:val="24"/>
          <w:lang w:val="en-US"/>
        </w:rPr>
      </w:pPr>
      <w:r w:rsidRPr="009A58AB">
        <w:rPr>
          <w:rFonts w:ascii="Garamond" w:eastAsia="Garamond" w:hAnsi="Garamond" w:cs="Garamond"/>
          <w:color w:val="000000"/>
          <w:sz w:val="24"/>
          <w:szCs w:val="24"/>
          <w:lang w:val="es-ES"/>
        </w:rPr>
        <w:t>Stranieri</w:t>
      </w:r>
      <w:r w:rsidR="009125A7" w:rsidRPr="009A58AB">
        <w:rPr>
          <w:rFonts w:ascii="Garamond" w:eastAsia="Garamond" w:hAnsi="Garamond" w:cs="Garamond"/>
          <w:color w:val="000000"/>
          <w:sz w:val="24"/>
          <w:szCs w:val="24"/>
          <w:lang w:val="es-ES"/>
        </w:rPr>
        <w:t>,</w:t>
      </w:r>
      <w:r w:rsidRPr="009A58AB">
        <w:rPr>
          <w:rFonts w:ascii="Garamond" w:eastAsia="Garamond" w:hAnsi="Garamond" w:cs="Garamond"/>
          <w:color w:val="000000"/>
          <w:sz w:val="24"/>
          <w:szCs w:val="24"/>
          <w:lang w:val="es-ES"/>
        </w:rPr>
        <w:t xml:space="preserve"> S</w:t>
      </w:r>
      <w:r w:rsidR="009125A7" w:rsidRPr="009A58AB">
        <w:rPr>
          <w:rFonts w:ascii="Garamond" w:eastAsia="Garamond" w:hAnsi="Garamond" w:cs="Garamond"/>
          <w:color w:val="000000"/>
          <w:sz w:val="24"/>
          <w:szCs w:val="24"/>
          <w:lang w:val="es-ES"/>
        </w:rPr>
        <w:t>.</w:t>
      </w:r>
      <w:r w:rsidRPr="009A58AB">
        <w:rPr>
          <w:rFonts w:ascii="Garamond" w:eastAsia="Garamond" w:hAnsi="Garamond" w:cs="Garamond"/>
          <w:color w:val="000000"/>
          <w:sz w:val="24"/>
          <w:szCs w:val="24"/>
          <w:lang w:val="es-ES"/>
        </w:rPr>
        <w:t>, Orsi</w:t>
      </w:r>
      <w:r w:rsidR="009125A7" w:rsidRPr="009A58AB">
        <w:rPr>
          <w:rFonts w:ascii="Garamond" w:eastAsia="Garamond" w:hAnsi="Garamond" w:cs="Garamond"/>
          <w:color w:val="000000"/>
          <w:sz w:val="24"/>
          <w:szCs w:val="24"/>
          <w:lang w:val="es-ES"/>
        </w:rPr>
        <w:t>,</w:t>
      </w:r>
      <w:r w:rsidRPr="009A58AB">
        <w:rPr>
          <w:rFonts w:ascii="Garamond" w:eastAsia="Garamond" w:hAnsi="Garamond" w:cs="Garamond"/>
          <w:color w:val="000000"/>
          <w:sz w:val="24"/>
          <w:szCs w:val="24"/>
          <w:lang w:val="es-ES"/>
        </w:rPr>
        <w:t xml:space="preserve"> L</w:t>
      </w:r>
      <w:r w:rsidR="009125A7" w:rsidRPr="009A58AB">
        <w:rPr>
          <w:rFonts w:ascii="Garamond" w:eastAsia="Garamond" w:hAnsi="Garamond" w:cs="Garamond"/>
          <w:color w:val="000000"/>
          <w:sz w:val="24"/>
          <w:szCs w:val="24"/>
          <w:lang w:val="es-ES"/>
        </w:rPr>
        <w:t>.</w:t>
      </w:r>
      <w:r w:rsidRPr="009A58AB">
        <w:rPr>
          <w:rFonts w:ascii="Garamond" w:eastAsia="Garamond" w:hAnsi="Garamond" w:cs="Garamond"/>
          <w:color w:val="000000"/>
          <w:sz w:val="24"/>
          <w:szCs w:val="24"/>
          <w:lang w:val="es-ES"/>
        </w:rPr>
        <w:t>, Banterle</w:t>
      </w:r>
      <w:r w:rsidR="009125A7" w:rsidRPr="009A58AB">
        <w:rPr>
          <w:rFonts w:ascii="Garamond" w:eastAsia="Garamond" w:hAnsi="Garamond" w:cs="Garamond"/>
          <w:color w:val="000000"/>
          <w:sz w:val="24"/>
          <w:szCs w:val="24"/>
          <w:lang w:val="es-ES"/>
        </w:rPr>
        <w:t>,</w:t>
      </w:r>
      <w:r w:rsidRPr="009A58AB">
        <w:rPr>
          <w:rFonts w:ascii="Garamond" w:eastAsia="Garamond" w:hAnsi="Garamond" w:cs="Garamond"/>
          <w:color w:val="000000"/>
          <w:sz w:val="24"/>
          <w:szCs w:val="24"/>
          <w:lang w:val="es-ES"/>
        </w:rPr>
        <w:t xml:space="preserve"> A</w:t>
      </w:r>
      <w:r w:rsidR="009125A7" w:rsidRPr="009A58AB">
        <w:rPr>
          <w:rFonts w:ascii="Garamond" w:eastAsia="Garamond" w:hAnsi="Garamond" w:cs="Garamond"/>
          <w:color w:val="000000"/>
          <w:sz w:val="24"/>
          <w:szCs w:val="24"/>
          <w:lang w:val="es-ES"/>
        </w:rPr>
        <w:t>.</w:t>
      </w:r>
      <w:r w:rsidRPr="009A58AB">
        <w:rPr>
          <w:rFonts w:ascii="Garamond" w:eastAsia="Garamond" w:hAnsi="Garamond" w:cs="Garamond"/>
          <w:color w:val="000000"/>
          <w:sz w:val="24"/>
          <w:szCs w:val="24"/>
          <w:lang w:val="es-ES"/>
        </w:rPr>
        <w:t xml:space="preserve">, </w:t>
      </w:r>
      <w:r w:rsidR="009125A7" w:rsidRPr="009A58AB">
        <w:rPr>
          <w:rFonts w:ascii="Garamond" w:eastAsia="Garamond" w:hAnsi="Garamond" w:cs="Garamond"/>
          <w:color w:val="000000"/>
          <w:sz w:val="24"/>
          <w:szCs w:val="24"/>
          <w:lang w:val="es-ES"/>
        </w:rPr>
        <w:t xml:space="preserve">&amp; </w:t>
      </w:r>
      <w:r w:rsidRPr="009A58AB">
        <w:rPr>
          <w:rFonts w:ascii="Garamond" w:eastAsia="Garamond" w:hAnsi="Garamond" w:cs="Garamond"/>
          <w:color w:val="000000"/>
          <w:sz w:val="24"/>
          <w:szCs w:val="24"/>
          <w:lang w:val="es-ES"/>
        </w:rPr>
        <w:t>Ricci</w:t>
      </w:r>
      <w:r w:rsidR="009125A7" w:rsidRPr="009A58AB">
        <w:rPr>
          <w:rFonts w:ascii="Garamond" w:eastAsia="Garamond" w:hAnsi="Garamond" w:cs="Garamond"/>
          <w:color w:val="000000"/>
          <w:sz w:val="24"/>
          <w:szCs w:val="24"/>
          <w:lang w:val="es-ES"/>
        </w:rPr>
        <w:t>,</w:t>
      </w:r>
      <w:r w:rsidRPr="009A58AB">
        <w:rPr>
          <w:rFonts w:ascii="Garamond" w:eastAsia="Garamond" w:hAnsi="Garamond" w:cs="Garamond"/>
          <w:color w:val="000000"/>
          <w:sz w:val="24"/>
          <w:szCs w:val="24"/>
          <w:lang w:val="es-ES"/>
        </w:rPr>
        <w:t xml:space="preserve"> E. C. (</w:t>
      </w:r>
      <w:r w:rsidR="00DC5B4D" w:rsidRPr="009A58AB">
        <w:rPr>
          <w:rFonts w:ascii="Garamond" w:eastAsia="Garamond" w:hAnsi="Garamond" w:cs="Garamond"/>
          <w:color w:val="000000"/>
          <w:sz w:val="24"/>
          <w:szCs w:val="24"/>
          <w:lang w:val="es-ES"/>
        </w:rPr>
        <w:t>2019</w:t>
      </w:r>
      <w:r w:rsidRPr="009A58AB">
        <w:rPr>
          <w:rFonts w:ascii="Garamond" w:eastAsia="Garamond" w:hAnsi="Garamond" w:cs="Garamond"/>
          <w:color w:val="000000"/>
          <w:sz w:val="24"/>
          <w:szCs w:val="24"/>
          <w:lang w:val="es-ES"/>
        </w:rPr>
        <w:t xml:space="preserve">). </w:t>
      </w:r>
      <w:bookmarkStart w:id="30" w:name="_Hlk175517427"/>
      <w:r w:rsidRPr="00F73D0C">
        <w:rPr>
          <w:rFonts w:ascii="Garamond" w:eastAsia="Garamond" w:hAnsi="Garamond" w:cs="Garamond"/>
          <w:color w:val="000000"/>
          <w:sz w:val="24"/>
          <w:szCs w:val="24"/>
          <w:lang w:val="en-GB"/>
        </w:rPr>
        <w:t>Sustainable development and supply chain coordination: The impact of corporate social responsibilit</w:t>
      </w:r>
      <w:r w:rsidRPr="00F73D0C">
        <w:rPr>
          <w:rFonts w:ascii="Garamond" w:eastAsia="Garamond" w:hAnsi="Garamond" w:cs="Garamond"/>
          <w:sz w:val="24"/>
          <w:szCs w:val="24"/>
          <w:lang w:val="en-GB"/>
        </w:rPr>
        <w:t>y rules in the European Union food industry</w:t>
      </w:r>
      <w:bookmarkEnd w:id="30"/>
      <w:r w:rsidRPr="00F73D0C">
        <w:rPr>
          <w:rFonts w:ascii="Garamond" w:eastAsia="Garamond" w:hAnsi="Garamond" w:cs="Garamond"/>
          <w:sz w:val="24"/>
          <w:szCs w:val="24"/>
          <w:lang w:val="en-GB"/>
        </w:rPr>
        <w:t xml:space="preserve">. </w:t>
      </w:r>
      <w:r w:rsidRPr="0078525D">
        <w:rPr>
          <w:rFonts w:ascii="Garamond" w:eastAsia="Garamond" w:hAnsi="Garamond" w:cs="Garamond"/>
          <w:i/>
          <w:sz w:val="24"/>
          <w:szCs w:val="24"/>
          <w:lang w:val="en-US"/>
        </w:rPr>
        <w:t>Corp</w:t>
      </w:r>
      <w:r w:rsidR="009125A7" w:rsidRPr="0078525D">
        <w:rPr>
          <w:rFonts w:ascii="Garamond" w:eastAsia="Garamond" w:hAnsi="Garamond" w:cs="Garamond"/>
          <w:i/>
          <w:sz w:val="24"/>
          <w:szCs w:val="24"/>
          <w:lang w:val="en-US"/>
        </w:rPr>
        <w:t>orate</w:t>
      </w:r>
      <w:r w:rsidRPr="0078525D">
        <w:rPr>
          <w:rFonts w:ascii="Garamond" w:eastAsia="Garamond" w:hAnsi="Garamond" w:cs="Garamond"/>
          <w:i/>
          <w:sz w:val="24"/>
          <w:szCs w:val="24"/>
          <w:lang w:val="en-US"/>
        </w:rPr>
        <w:t xml:space="preserve"> Soc</w:t>
      </w:r>
      <w:r w:rsidR="009125A7" w:rsidRPr="0078525D">
        <w:rPr>
          <w:rFonts w:ascii="Garamond" w:eastAsia="Garamond" w:hAnsi="Garamond" w:cs="Garamond"/>
          <w:i/>
          <w:sz w:val="24"/>
          <w:szCs w:val="24"/>
          <w:lang w:val="en-US"/>
        </w:rPr>
        <w:t>ial</w:t>
      </w:r>
      <w:r w:rsidRPr="0078525D">
        <w:rPr>
          <w:rFonts w:ascii="Garamond" w:eastAsia="Garamond" w:hAnsi="Garamond" w:cs="Garamond"/>
          <w:i/>
          <w:sz w:val="24"/>
          <w:szCs w:val="24"/>
          <w:lang w:val="en-US"/>
        </w:rPr>
        <w:t xml:space="preserve"> Resp</w:t>
      </w:r>
      <w:r w:rsidR="009125A7" w:rsidRPr="0078525D">
        <w:rPr>
          <w:rFonts w:ascii="Garamond" w:eastAsia="Garamond" w:hAnsi="Garamond" w:cs="Garamond"/>
          <w:i/>
          <w:sz w:val="24"/>
          <w:szCs w:val="24"/>
          <w:lang w:val="en-US"/>
        </w:rPr>
        <w:t>onsibility and</w:t>
      </w:r>
      <w:r w:rsidRPr="0078525D">
        <w:rPr>
          <w:rFonts w:ascii="Garamond" w:eastAsia="Garamond" w:hAnsi="Garamond" w:cs="Garamond"/>
          <w:i/>
          <w:sz w:val="24"/>
          <w:szCs w:val="24"/>
          <w:lang w:val="en-US"/>
        </w:rPr>
        <w:t xml:space="preserve"> Env</w:t>
      </w:r>
      <w:r w:rsidR="009125A7" w:rsidRPr="0078525D">
        <w:rPr>
          <w:rFonts w:ascii="Garamond" w:eastAsia="Garamond" w:hAnsi="Garamond" w:cs="Garamond"/>
          <w:i/>
          <w:sz w:val="24"/>
          <w:szCs w:val="24"/>
          <w:lang w:val="en-US"/>
        </w:rPr>
        <w:t>ironmental</w:t>
      </w:r>
      <w:r w:rsidRPr="0078525D">
        <w:rPr>
          <w:rFonts w:ascii="Garamond" w:eastAsia="Garamond" w:hAnsi="Garamond" w:cs="Garamond"/>
          <w:i/>
          <w:sz w:val="24"/>
          <w:szCs w:val="24"/>
          <w:lang w:val="en-US"/>
        </w:rPr>
        <w:t xml:space="preserve"> Ma</w:t>
      </w:r>
      <w:r w:rsidR="009125A7" w:rsidRPr="0078525D">
        <w:rPr>
          <w:rFonts w:ascii="Garamond" w:eastAsia="Garamond" w:hAnsi="Garamond" w:cs="Garamond"/>
          <w:sz w:val="24"/>
          <w:szCs w:val="24"/>
          <w:lang w:val="en-US"/>
        </w:rPr>
        <w:t>nagement,</w:t>
      </w:r>
      <w:r w:rsidRPr="0078525D">
        <w:rPr>
          <w:rFonts w:ascii="Garamond" w:eastAsia="Garamond" w:hAnsi="Garamond" w:cs="Garamond"/>
          <w:sz w:val="24"/>
          <w:szCs w:val="24"/>
          <w:lang w:val="en-US"/>
        </w:rPr>
        <w:t xml:space="preserve"> </w:t>
      </w:r>
      <w:r w:rsidR="009125A7" w:rsidRPr="0078525D">
        <w:rPr>
          <w:rFonts w:ascii="Garamond" w:eastAsia="Garamond" w:hAnsi="Garamond" w:cs="Garamond"/>
          <w:sz w:val="24"/>
          <w:szCs w:val="24"/>
          <w:lang w:val="en-US"/>
        </w:rPr>
        <w:t xml:space="preserve">26(2), </w:t>
      </w:r>
      <w:r w:rsidR="00DC5B4D" w:rsidRPr="0078525D">
        <w:rPr>
          <w:rFonts w:ascii="Garamond" w:eastAsia="Garamond" w:hAnsi="Garamond" w:cs="Garamond"/>
          <w:sz w:val="24"/>
          <w:szCs w:val="24"/>
          <w:lang w:val="en-US"/>
        </w:rPr>
        <w:t>481–491.</w:t>
      </w:r>
      <w:hyperlink r:id="rId52">
        <w:r w:rsidRPr="0078525D">
          <w:rPr>
            <w:rFonts w:ascii="Garamond" w:eastAsia="Garamond" w:hAnsi="Garamond" w:cs="Garamond"/>
            <w:sz w:val="24"/>
            <w:szCs w:val="24"/>
            <w:lang w:val="en-US"/>
          </w:rPr>
          <w:t>https://doi.org/10.1002/csr.1698</w:t>
        </w:r>
      </w:hyperlink>
    </w:p>
    <w:p w14:paraId="45A59A0E" w14:textId="77777777" w:rsidR="00EC4499" w:rsidRPr="0078525D" w:rsidRDefault="00EC4499">
      <w:pPr>
        <w:pBdr>
          <w:top w:val="nil"/>
          <w:left w:val="nil"/>
          <w:bottom w:val="nil"/>
          <w:right w:val="nil"/>
          <w:between w:val="nil"/>
        </w:pBdr>
        <w:spacing w:after="0" w:line="360" w:lineRule="auto"/>
        <w:ind w:firstLine="360"/>
        <w:jc w:val="both"/>
        <w:rPr>
          <w:rFonts w:ascii="Garamond" w:eastAsia="Garamond" w:hAnsi="Garamond" w:cs="Garamond"/>
          <w:color w:val="000000"/>
          <w:sz w:val="24"/>
          <w:szCs w:val="24"/>
          <w:lang w:val="en-US"/>
        </w:rPr>
      </w:pPr>
    </w:p>
    <w:p w14:paraId="7FF461BF" w14:textId="77777777" w:rsidR="00EC4499" w:rsidRPr="00F73D0C" w:rsidRDefault="00EC4499">
      <w:pPr>
        <w:spacing w:after="0" w:line="360" w:lineRule="auto"/>
        <w:jc w:val="both"/>
        <w:rPr>
          <w:rFonts w:ascii="Garamond" w:eastAsia="Garamond" w:hAnsi="Garamond" w:cs="Garamond"/>
          <w:sz w:val="24"/>
          <w:szCs w:val="24"/>
          <w:lang w:val="en-GB"/>
        </w:rPr>
      </w:pPr>
    </w:p>
    <w:p w14:paraId="5D56E92D" w14:textId="77777777" w:rsidR="00EC4499" w:rsidRPr="00F73D0C" w:rsidRDefault="00433EA7">
      <w:pPr>
        <w:spacing w:after="0" w:line="360" w:lineRule="auto"/>
        <w:jc w:val="both"/>
        <w:rPr>
          <w:rFonts w:ascii="Garamond" w:eastAsia="Garamond" w:hAnsi="Garamond" w:cs="Garamond"/>
          <w:color w:val="000000"/>
          <w:sz w:val="24"/>
          <w:szCs w:val="24"/>
          <w:lang w:val="en-GB"/>
        </w:rPr>
      </w:pPr>
      <w:r w:rsidRPr="00F73D0C">
        <w:rPr>
          <w:rFonts w:ascii="Garamond" w:eastAsia="Garamond" w:hAnsi="Garamond" w:cs="Garamond"/>
          <w:sz w:val="24"/>
          <w:szCs w:val="24"/>
          <w:lang w:val="en-GB"/>
        </w:rPr>
        <w:lastRenderedPageBreak/>
        <w:t xml:space="preserve">Topple, C., Donovan, J. D., Masli, E. K., &amp; Borgert, T. (2017). Corporate sustainability assessments: MNE engagement with sustainable development and the SDGs. </w:t>
      </w:r>
      <w:r w:rsidRPr="00F73D0C">
        <w:rPr>
          <w:rFonts w:ascii="Garamond" w:eastAsia="Garamond" w:hAnsi="Garamond" w:cs="Garamond"/>
          <w:i/>
          <w:sz w:val="24"/>
          <w:szCs w:val="24"/>
          <w:lang w:val="en-GB"/>
        </w:rPr>
        <w:t>Transnational Corporations</w:t>
      </w:r>
      <w:r w:rsidRPr="00F73D0C">
        <w:rPr>
          <w:rFonts w:ascii="Garamond" w:eastAsia="Garamond" w:hAnsi="Garamond" w:cs="Garamond"/>
          <w:sz w:val="24"/>
          <w:szCs w:val="24"/>
          <w:lang w:val="en-GB"/>
        </w:rPr>
        <w:t>, 24(3), 61–71.</w:t>
      </w:r>
    </w:p>
    <w:p w14:paraId="6A3C48E0" w14:textId="77777777" w:rsidR="00EC4499" w:rsidRPr="00F73D0C" w:rsidRDefault="00EC4499">
      <w:pPr>
        <w:pBdr>
          <w:top w:val="nil"/>
          <w:left w:val="nil"/>
          <w:bottom w:val="nil"/>
          <w:right w:val="nil"/>
          <w:between w:val="nil"/>
        </w:pBdr>
        <w:spacing w:after="0" w:line="360" w:lineRule="auto"/>
        <w:ind w:firstLine="360"/>
        <w:jc w:val="both"/>
        <w:rPr>
          <w:rFonts w:ascii="Garamond" w:eastAsia="Garamond" w:hAnsi="Garamond" w:cs="Garamond"/>
          <w:color w:val="000000"/>
          <w:sz w:val="24"/>
          <w:szCs w:val="24"/>
          <w:lang w:val="en-GB"/>
        </w:rPr>
      </w:pPr>
    </w:p>
    <w:p w14:paraId="25C497F0" w14:textId="338DE864" w:rsidR="00EC4499" w:rsidRPr="000C646B" w:rsidRDefault="00433EA7">
      <w:pPr>
        <w:pBdr>
          <w:top w:val="nil"/>
          <w:left w:val="nil"/>
          <w:bottom w:val="nil"/>
          <w:right w:val="nil"/>
          <w:between w:val="nil"/>
        </w:pBdr>
        <w:spacing w:after="0" w:line="360" w:lineRule="auto"/>
        <w:jc w:val="both"/>
        <w:rPr>
          <w:rFonts w:ascii="Garamond" w:eastAsia="Garamond" w:hAnsi="Garamond" w:cs="Garamond"/>
          <w:color w:val="000000"/>
          <w:sz w:val="24"/>
          <w:szCs w:val="24"/>
          <w:lang w:val="en-US"/>
        </w:rPr>
      </w:pPr>
      <w:r w:rsidRPr="00F73D0C">
        <w:rPr>
          <w:rFonts w:ascii="Garamond" w:eastAsia="Garamond" w:hAnsi="Garamond" w:cs="Garamond"/>
          <w:color w:val="000000"/>
          <w:sz w:val="24"/>
          <w:szCs w:val="24"/>
          <w:lang w:val="en-GB"/>
        </w:rPr>
        <w:t xml:space="preserve">Tsalis, T. A., Malamateniou, K. E., Koulouriotis, D., &amp; Nikolaou, I. E. (2020). New challenges for corporate sustainability reporting: United Nations' 2030 Agenda for sustainable development and the sustainable development goals. </w:t>
      </w:r>
      <w:r w:rsidRPr="000C646B">
        <w:rPr>
          <w:rFonts w:ascii="Garamond" w:eastAsia="Garamond" w:hAnsi="Garamond" w:cs="Garamond"/>
          <w:i/>
          <w:color w:val="000000"/>
          <w:sz w:val="24"/>
          <w:szCs w:val="24"/>
          <w:lang w:val="en-US"/>
        </w:rPr>
        <w:t>Corporate Social Responsibility and Environmental Management</w:t>
      </w:r>
      <w:r w:rsidRPr="000C646B">
        <w:rPr>
          <w:rFonts w:ascii="Garamond" w:eastAsia="Garamond" w:hAnsi="Garamond" w:cs="Garamond"/>
          <w:color w:val="000000"/>
          <w:sz w:val="24"/>
          <w:szCs w:val="24"/>
          <w:lang w:val="en-US"/>
        </w:rPr>
        <w:t xml:space="preserve">, 27(4), 1617-1629. https://doi.org/10.1002/csr.1910 </w:t>
      </w:r>
    </w:p>
    <w:p w14:paraId="02058E82" w14:textId="77777777" w:rsidR="00EC4499" w:rsidRPr="000C646B" w:rsidRDefault="00EC4499">
      <w:pPr>
        <w:pBdr>
          <w:top w:val="nil"/>
          <w:left w:val="nil"/>
          <w:bottom w:val="nil"/>
          <w:right w:val="nil"/>
          <w:between w:val="nil"/>
        </w:pBdr>
        <w:spacing w:after="0" w:line="360" w:lineRule="auto"/>
        <w:ind w:firstLine="360"/>
        <w:jc w:val="both"/>
        <w:rPr>
          <w:rFonts w:ascii="Garamond" w:eastAsia="Garamond" w:hAnsi="Garamond" w:cs="Garamond"/>
          <w:color w:val="000000"/>
          <w:sz w:val="24"/>
          <w:szCs w:val="24"/>
          <w:lang w:val="en-US"/>
        </w:rPr>
      </w:pPr>
    </w:p>
    <w:p w14:paraId="2A38CD2C" w14:textId="2EADA8FE" w:rsidR="00EC4499" w:rsidRPr="000C646B" w:rsidRDefault="00433EA7">
      <w:pPr>
        <w:pBdr>
          <w:top w:val="nil"/>
          <w:left w:val="nil"/>
          <w:bottom w:val="nil"/>
          <w:right w:val="nil"/>
          <w:between w:val="nil"/>
        </w:pBdr>
        <w:spacing w:after="0" w:line="360" w:lineRule="auto"/>
        <w:jc w:val="both"/>
        <w:rPr>
          <w:rFonts w:ascii="Garamond" w:eastAsia="Garamond" w:hAnsi="Garamond" w:cs="Garamond"/>
          <w:sz w:val="24"/>
          <w:szCs w:val="24"/>
          <w:lang w:val="en-US"/>
        </w:rPr>
      </w:pPr>
      <w:r w:rsidRPr="00F73D0C">
        <w:rPr>
          <w:rFonts w:ascii="Garamond" w:eastAsia="Garamond" w:hAnsi="Garamond" w:cs="Garamond"/>
          <w:color w:val="000000"/>
          <w:sz w:val="24"/>
          <w:szCs w:val="24"/>
          <w:lang w:val="en-GB"/>
        </w:rPr>
        <w:t>Xia, F., Chen, J. Y., Yang, X., Li, X. L., &amp; Zhang, B. (2023). Financial constraints and cor</w:t>
      </w:r>
      <w:r w:rsidRPr="00F73D0C">
        <w:rPr>
          <w:rFonts w:ascii="Garamond" w:eastAsia="Garamond" w:hAnsi="Garamond" w:cs="Garamond"/>
          <w:sz w:val="24"/>
          <w:szCs w:val="24"/>
          <w:lang w:val="en-GB"/>
        </w:rPr>
        <w:t xml:space="preserve">porate greenwashing strategies in China. </w:t>
      </w:r>
      <w:r w:rsidRPr="000C646B">
        <w:rPr>
          <w:rFonts w:ascii="Garamond" w:eastAsia="Garamond" w:hAnsi="Garamond" w:cs="Garamond"/>
          <w:i/>
          <w:sz w:val="24"/>
          <w:szCs w:val="24"/>
          <w:lang w:val="en-US"/>
        </w:rPr>
        <w:t>Corporate Social Responsibility and Environmental Management</w:t>
      </w:r>
      <w:r w:rsidRPr="000C646B">
        <w:rPr>
          <w:rFonts w:ascii="Garamond" w:eastAsia="Garamond" w:hAnsi="Garamond" w:cs="Garamond"/>
          <w:sz w:val="24"/>
          <w:szCs w:val="24"/>
          <w:lang w:val="en-US"/>
        </w:rPr>
        <w:t xml:space="preserve">, 30(4), 1770-1781. </w:t>
      </w:r>
      <w:hyperlink r:id="rId53">
        <w:r w:rsidRPr="000C646B">
          <w:rPr>
            <w:rFonts w:ascii="Garamond" w:eastAsia="Garamond" w:hAnsi="Garamond" w:cs="Garamond"/>
            <w:sz w:val="24"/>
            <w:szCs w:val="24"/>
            <w:lang w:val="en-US"/>
          </w:rPr>
          <w:t>https://doi.org/10.1002/csr.2453</w:t>
        </w:r>
      </w:hyperlink>
      <w:r w:rsidRPr="000C646B">
        <w:rPr>
          <w:rFonts w:ascii="Garamond" w:eastAsia="Garamond" w:hAnsi="Garamond" w:cs="Garamond"/>
          <w:sz w:val="24"/>
          <w:szCs w:val="24"/>
          <w:lang w:val="en-US"/>
        </w:rPr>
        <w:t xml:space="preserve"> </w:t>
      </w:r>
    </w:p>
    <w:p w14:paraId="6023D073" w14:textId="77777777" w:rsidR="00EC4499" w:rsidRPr="000C646B" w:rsidRDefault="00EC4499">
      <w:pPr>
        <w:pBdr>
          <w:top w:val="nil"/>
          <w:left w:val="nil"/>
          <w:bottom w:val="nil"/>
          <w:right w:val="nil"/>
          <w:between w:val="nil"/>
        </w:pBdr>
        <w:spacing w:after="0" w:line="360" w:lineRule="auto"/>
        <w:ind w:firstLine="360"/>
        <w:jc w:val="both"/>
        <w:rPr>
          <w:rFonts w:ascii="Garamond" w:eastAsia="Garamond" w:hAnsi="Garamond" w:cs="Garamond"/>
          <w:sz w:val="24"/>
          <w:szCs w:val="24"/>
          <w:lang w:val="en-US"/>
        </w:rPr>
      </w:pPr>
    </w:p>
    <w:p w14:paraId="5900B6D9" w14:textId="391631DD" w:rsidR="00EC4499" w:rsidRPr="000C646B" w:rsidRDefault="00433EA7">
      <w:pPr>
        <w:pBdr>
          <w:top w:val="nil"/>
          <w:left w:val="nil"/>
          <w:bottom w:val="nil"/>
          <w:right w:val="nil"/>
          <w:between w:val="nil"/>
        </w:pBdr>
        <w:spacing w:after="0" w:line="360" w:lineRule="auto"/>
        <w:jc w:val="both"/>
        <w:rPr>
          <w:rFonts w:ascii="Garamond" w:eastAsia="Garamond" w:hAnsi="Garamond" w:cs="Garamond"/>
          <w:sz w:val="24"/>
          <w:szCs w:val="24"/>
          <w:highlight w:val="white"/>
          <w:lang w:val="en-US"/>
        </w:rPr>
      </w:pPr>
      <w:r w:rsidRPr="000C646B">
        <w:rPr>
          <w:rFonts w:ascii="Garamond" w:eastAsia="Garamond" w:hAnsi="Garamond" w:cs="Garamond"/>
          <w:sz w:val="24"/>
          <w:szCs w:val="24"/>
          <w:lang w:val="en-GB"/>
        </w:rPr>
        <w:t xml:space="preserve">Yadava, R. N., &amp; Sinha, B. (2016). </w:t>
      </w:r>
      <w:r w:rsidRPr="00F73D0C">
        <w:rPr>
          <w:rFonts w:ascii="Garamond" w:eastAsia="Garamond" w:hAnsi="Garamond" w:cs="Garamond"/>
          <w:sz w:val="24"/>
          <w:szCs w:val="24"/>
          <w:lang w:val="en-GB"/>
        </w:rPr>
        <w:t xml:space="preserve">Scoring Sustainability Reports Using GRI 2011 Guidelines for Assessing Environmental, Economic, and Social Dimensions of Leading Public and Private Indian Companies. </w:t>
      </w:r>
      <w:r w:rsidRPr="000C646B">
        <w:rPr>
          <w:rFonts w:ascii="Garamond" w:eastAsia="Garamond" w:hAnsi="Garamond" w:cs="Garamond"/>
          <w:i/>
          <w:sz w:val="24"/>
          <w:szCs w:val="24"/>
          <w:lang w:val="en-US"/>
        </w:rPr>
        <w:t>Journal of Business Ethics</w:t>
      </w:r>
      <w:r w:rsidRPr="000C646B">
        <w:rPr>
          <w:rFonts w:ascii="Garamond" w:eastAsia="Garamond" w:hAnsi="Garamond" w:cs="Garamond"/>
          <w:sz w:val="24"/>
          <w:szCs w:val="24"/>
          <w:lang w:val="en-US"/>
        </w:rPr>
        <w:t>, 138</w:t>
      </w:r>
      <w:r w:rsidRPr="000C646B">
        <w:rPr>
          <w:rFonts w:ascii="Garamond" w:eastAsia="Garamond" w:hAnsi="Garamond" w:cs="Garamond"/>
          <w:sz w:val="24"/>
          <w:szCs w:val="24"/>
          <w:highlight w:val="white"/>
          <w:lang w:val="en-US"/>
        </w:rPr>
        <w:t>(3), 549-558</w:t>
      </w:r>
      <w:r w:rsidR="00DC5B4D" w:rsidRPr="000C646B">
        <w:rPr>
          <w:rFonts w:ascii="Garamond" w:eastAsia="Garamond" w:hAnsi="Garamond" w:cs="Garamond"/>
          <w:sz w:val="24"/>
          <w:szCs w:val="24"/>
          <w:highlight w:val="white"/>
          <w:lang w:val="en-US"/>
        </w:rPr>
        <w:t>.</w:t>
      </w:r>
      <w:r w:rsidRPr="000C646B">
        <w:rPr>
          <w:rFonts w:ascii="Garamond" w:eastAsia="Garamond" w:hAnsi="Garamond" w:cs="Garamond"/>
          <w:sz w:val="24"/>
          <w:szCs w:val="24"/>
          <w:highlight w:val="white"/>
          <w:lang w:val="en-US"/>
        </w:rPr>
        <w:t xml:space="preserve"> </w:t>
      </w:r>
      <w:hyperlink r:id="rId54">
        <w:r w:rsidRPr="000C646B">
          <w:rPr>
            <w:rFonts w:ascii="Garamond" w:eastAsia="Garamond" w:hAnsi="Garamond" w:cs="Garamond"/>
            <w:sz w:val="24"/>
            <w:szCs w:val="24"/>
            <w:highlight w:val="white"/>
            <w:lang w:val="en-US"/>
          </w:rPr>
          <w:t>https://doi.org/10.1007/s10551-015-2597-1</w:t>
        </w:r>
      </w:hyperlink>
      <w:r w:rsidRPr="000C646B">
        <w:rPr>
          <w:rFonts w:ascii="Garamond" w:eastAsia="Garamond" w:hAnsi="Garamond" w:cs="Garamond"/>
          <w:sz w:val="24"/>
          <w:szCs w:val="24"/>
          <w:highlight w:val="white"/>
          <w:lang w:val="en-US"/>
        </w:rPr>
        <w:t xml:space="preserve"> </w:t>
      </w:r>
    </w:p>
    <w:p w14:paraId="0B739254" w14:textId="77777777" w:rsidR="00EC4499" w:rsidRPr="000C646B" w:rsidRDefault="00EC4499">
      <w:pPr>
        <w:pBdr>
          <w:top w:val="nil"/>
          <w:left w:val="nil"/>
          <w:bottom w:val="nil"/>
          <w:right w:val="nil"/>
          <w:between w:val="nil"/>
        </w:pBdr>
        <w:spacing w:after="0" w:line="360" w:lineRule="auto"/>
        <w:ind w:firstLine="360"/>
        <w:jc w:val="both"/>
        <w:rPr>
          <w:rFonts w:ascii="Garamond" w:eastAsia="Garamond" w:hAnsi="Garamond" w:cs="Garamond"/>
          <w:color w:val="000000"/>
          <w:sz w:val="24"/>
          <w:szCs w:val="24"/>
          <w:lang w:val="en-US"/>
        </w:rPr>
      </w:pPr>
    </w:p>
    <w:p w14:paraId="6BC15EC7" w14:textId="00762A14" w:rsidR="00EC4499" w:rsidRDefault="00433EA7">
      <w:pPr>
        <w:spacing w:after="0" w:line="360" w:lineRule="auto"/>
        <w:jc w:val="both"/>
        <w:rPr>
          <w:rFonts w:ascii="Garamond" w:eastAsia="Garamond" w:hAnsi="Garamond" w:cs="Garamond"/>
          <w:sz w:val="24"/>
          <w:szCs w:val="24"/>
        </w:rPr>
      </w:pPr>
      <w:r w:rsidRPr="00F73D0C">
        <w:rPr>
          <w:rFonts w:ascii="Garamond" w:eastAsia="Garamond" w:hAnsi="Garamond" w:cs="Garamond"/>
          <w:sz w:val="24"/>
          <w:szCs w:val="24"/>
          <w:lang w:val="en-GB"/>
        </w:rPr>
        <w:t>Yiu, L., &amp; Saner, R. (2017). Business Diplomacy in Implementing the Global 2030 Development Agenda: Core Competencies Needed at the Corporate and Managerial Level:  Ruel, H,</w:t>
      </w:r>
      <w:r w:rsidRPr="00F73D0C">
        <w:rPr>
          <w:rFonts w:ascii="Garamond" w:eastAsia="Garamond" w:hAnsi="Garamond" w:cs="Garamond"/>
          <w:i/>
          <w:sz w:val="24"/>
          <w:szCs w:val="24"/>
          <w:lang w:val="en-GB"/>
        </w:rPr>
        <w:t xml:space="preserve"> International Business Diplomacy: How can Multinational Corporations Deal with Global Challenges?</w:t>
      </w:r>
      <w:r w:rsidRPr="00F73D0C">
        <w:rPr>
          <w:rFonts w:ascii="Garamond" w:eastAsia="Garamond" w:hAnsi="Garamond" w:cs="Garamond"/>
          <w:sz w:val="24"/>
          <w:szCs w:val="24"/>
          <w:lang w:val="en-GB"/>
        </w:rPr>
        <w:t xml:space="preserve">. </w:t>
      </w:r>
      <w:r>
        <w:rPr>
          <w:rFonts w:ascii="Garamond" w:eastAsia="Garamond" w:hAnsi="Garamond" w:cs="Garamond"/>
          <w:sz w:val="24"/>
          <w:szCs w:val="24"/>
        </w:rPr>
        <w:t>Bradford: Emerald Publishing Limited, pp. 33–58.</w:t>
      </w:r>
    </w:p>
    <w:p w14:paraId="745DF652" w14:textId="77777777" w:rsidR="00EC4499" w:rsidRDefault="00433EA7">
      <w:pPr>
        <w:pStyle w:val="Ttulo"/>
        <w:pageBreakBefore/>
        <w:spacing w:after="0" w:line="360" w:lineRule="auto"/>
        <w:rPr>
          <w:rFonts w:ascii="Garamond" w:eastAsia="Garamond" w:hAnsi="Garamond" w:cs="Garamond"/>
          <w:sz w:val="36"/>
          <w:szCs w:val="36"/>
        </w:rPr>
      </w:pPr>
      <w:bookmarkStart w:id="31" w:name="_heading=h.bxx00z2rtg4" w:colFirst="0" w:colLast="0"/>
      <w:bookmarkEnd w:id="31"/>
      <w:r>
        <w:rPr>
          <w:rFonts w:ascii="Garamond" w:eastAsia="Garamond" w:hAnsi="Garamond" w:cs="Garamond"/>
          <w:sz w:val="36"/>
          <w:szCs w:val="36"/>
        </w:rPr>
        <w:lastRenderedPageBreak/>
        <w:t>Anexos</w:t>
      </w:r>
    </w:p>
    <w:p w14:paraId="53BF95B5" w14:textId="77777777" w:rsidR="00EC4499" w:rsidRDefault="00EC4499">
      <w:pPr>
        <w:pBdr>
          <w:top w:val="nil"/>
          <w:left w:val="nil"/>
          <w:bottom w:val="nil"/>
          <w:right w:val="nil"/>
          <w:between w:val="nil"/>
        </w:pBdr>
        <w:spacing w:after="0" w:line="360" w:lineRule="auto"/>
        <w:rPr>
          <w:rFonts w:ascii="Garamond" w:eastAsia="Garamond" w:hAnsi="Garamond" w:cs="Garamond"/>
          <w:b/>
          <w:sz w:val="28"/>
          <w:szCs w:val="28"/>
        </w:rPr>
      </w:pPr>
    </w:p>
    <w:p w14:paraId="77DF2C93" w14:textId="77777777" w:rsidR="00EC4499" w:rsidRDefault="00433EA7">
      <w:pPr>
        <w:pBdr>
          <w:top w:val="nil"/>
          <w:left w:val="nil"/>
          <w:bottom w:val="nil"/>
          <w:right w:val="nil"/>
          <w:between w:val="nil"/>
        </w:pBdr>
        <w:spacing w:after="0" w:line="360" w:lineRule="auto"/>
        <w:rPr>
          <w:rFonts w:ascii="Garamond" w:eastAsia="Garamond" w:hAnsi="Garamond" w:cs="Garamond"/>
          <w:b/>
          <w:color w:val="000000"/>
          <w:sz w:val="26"/>
          <w:szCs w:val="26"/>
        </w:rPr>
      </w:pPr>
      <w:r>
        <w:rPr>
          <w:rFonts w:ascii="Garamond" w:eastAsia="Garamond" w:hAnsi="Garamond" w:cs="Garamond"/>
          <w:b/>
          <w:color w:val="000000"/>
          <w:sz w:val="26"/>
          <w:szCs w:val="26"/>
        </w:rPr>
        <w:t>Anexo I. Relatórios Analisados</w:t>
      </w:r>
    </w:p>
    <w:p w14:paraId="47BDEBDA" w14:textId="77777777" w:rsidR="00EC4499" w:rsidRDefault="00EC4499">
      <w:pPr>
        <w:pBdr>
          <w:top w:val="nil"/>
          <w:left w:val="nil"/>
          <w:bottom w:val="nil"/>
          <w:right w:val="nil"/>
          <w:between w:val="nil"/>
        </w:pBdr>
        <w:spacing w:after="0" w:line="360" w:lineRule="auto"/>
        <w:rPr>
          <w:rFonts w:ascii="Garamond" w:eastAsia="Garamond" w:hAnsi="Garamond" w:cs="Garamond"/>
          <w:color w:val="000000"/>
          <w:sz w:val="24"/>
          <w:szCs w:val="24"/>
        </w:rPr>
      </w:pPr>
    </w:p>
    <w:p w14:paraId="5C0DEC20" w14:textId="77777777" w:rsidR="00EC4499" w:rsidRDefault="00433EA7">
      <w:pPr>
        <w:pBdr>
          <w:top w:val="nil"/>
          <w:left w:val="nil"/>
          <w:bottom w:val="nil"/>
          <w:right w:val="nil"/>
          <w:between w:val="nil"/>
        </w:pBdr>
        <w:spacing w:after="0" w:line="360" w:lineRule="auto"/>
        <w:rPr>
          <w:rFonts w:ascii="Garamond" w:eastAsia="Garamond" w:hAnsi="Garamond" w:cs="Garamond"/>
          <w:sz w:val="24"/>
          <w:szCs w:val="24"/>
        </w:rPr>
      </w:pPr>
      <w:r>
        <w:rPr>
          <w:rFonts w:ascii="Garamond" w:eastAsia="Garamond" w:hAnsi="Garamond" w:cs="Garamond"/>
          <w:sz w:val="24"/>
          <w:szCs w:val="24"/>
        </w:rPr>
        <w:t>Banco do  Brasil 2021</w:t>
      </w:r>
    </w:p>
    <w:p w14:paraId="1D2870FA" w14:textId="77777777" w:rsidR="00EC4499" w:rsidRDefault="00000000">
      <w:pPr>
        <w:pBdr>
          <w:top w:val="nil"/>
          <w:left w:val="nil"/>
          <w:bottom w:val="nil"/>
          <w:right w:val="nil"/>
          <w:between w:val="nil"/>
        </w:pBdr>
        <w:spacing w:after="0" w:line="360" w:lineRule="auto"/>
        <w:rPr>
          <w:rFonts w:ascii="Garamond" w:eastAsia="Garamond" w:hAnsi="Garamond" w:cs="Garamond"/>
          <w:sz w:val="24"/>
          <w:szCs w:val="24"/>
        </w:rPr>
      </w:pPr>
      <w:hyperlink r:id="rId55">
        <w:r w:rsidR="00433EA7">
          <w:rPr>
            <w:rFonts w:ascii="Garamond" w:eastAsia="Garamond" w:hAnsi="Garamond" w:cs="Garamond"/>
            <w:sz w:val="24"/>
            <w:szCs w:val="24"/>
          </w:rPr>
          <w:t>https://www.bb.com.br/docs/portal/gesem/RelatorioAnual2021.pdf</w:t>
        </w:r>
      </w:hyperlink>
      <w:r w:rsidR="00433EA7">
        <w:rPr>
          <w:rFonts w:ascii="Garamond" w:eastAsia="Garamond" w:hAnsi="Garamond" w:cs="Garamond"/>
          <w:sz w:val="24"/>
          <w:szCs w:val="24"/>
        </w:rPr>
        <w:t>, consultado em 5/11/2023</w:t>
      </w:r>
    </w:p>
    <w:p w14:paraId="3382E922" w14:textId="77777777" w:rsidR="00EC4499" w:rsidRDefault="00EC4499">
      <w:pPr>
        <w:pBdr>
          <w:top w:val="nil"/>
          <w:left w:val="nil"/>
          <w:bottom w:val="nil"/>
          <w:right w:val="nil"/>
          <w:between w:val="nil"/>
        </w:pBdr>
        <w:spacing w:after="0" w:line="360" w:lineRule="auto"/>
        <w:rPr>
          <w:rFonts w:ascii="Garamond" w:eastAsia="Garamond" w:hAnsi="Garamond" w:cs="Garamond"/>
          <w:sz w:val="24"/>
          <w:szCs w:val="24"/>
        </w:rPr>
      </w:pPr>
    </w:p>
    <w:p w14:paraId="40368DAD" w14:textId="77777777" w:rsidR="00EC4499" w:rsidRDefault="00433EA7">
      <w:pPr>
        <w:pBdr>
          <w:top w:val="nil"/>
          <w:left w:val="nil"/>
          <w:bottom w:val="nil"/>
          <w:right w:val="nil"/>
          <w:between w:val="nil"/>
        </w:pBdr>
        <w:spacing w:after="0" w:line="360" w:lineRule="auto"/>
        <w:rPr>
          <w:rFonts w:ascii="Garamond" w:eastAsia="Garamond" w:hAnsi="Garamond" w:cs="Garamond"/>
          <w:sz w:val="24"/>
          <w:szCs w:val="24"/>
        </w:rPr>
      </w:pPr>
      <w:r>
        <w:rPr>
          <w:rFonts w:ascii="Garamond" w:eastAsia="Garamond" w:hAnsi="Garamond" w:cs="Garamond"/>
          <w:sz w:val="24"/>
          <w:szCs w:val="24"/>
        </w:rPr>
        <w:t>Banco do Brasil 2022</w:t>
      </w:r>
    </w:p>
    <w:p w14:paraId="07E5F4E7" w14:textId="77777777" w:rsidR="00EC4499" w:rsidRDefault="00000000">
      <w:pPr>
        <w:pBdr>
          <w:top w:val="nil"/>
          <w:left w:val="nil"/>
          <w:bottom w:val="nil"/>
          <w:right w:val="nil"/>
          <w:between w:val="nil"/>
        </w:pBdr>
        <w:spacing w:after="0" w:line="360" w:lineRule="auto"/>
        <w:rPr>
          <w:rFonts w:ascii="Garamond" w:eastAsia="Garamond" w:hAnsi="Garamond" w:cs="Garamond"/>
          <w:sz w:val="24"/>
          <w:szCs w:val="24"/>
        </w:rPr>
      </w:pPr>
      <w:hyperlink r:id="rId56">
        <w:r w:rsidR="00433EA7">
          <w:rPr>
            <w:rFonts w:ascii="Garamond" w:eastAsia="Garamond" w:hAnsi="Garamond" w:cs="Garamond"/>
            <w:sz w:val="24"/>
            <w:szCs w:val="24"/>
          </w:rPr>
          <w:t>https://www.bb.com.br/docs/portal/gesem/RelatorioAnual2022.pdf</w:t>
        </w:r>
      </w:hyperlink>
      <w:r w:rsidR="00433EA7">
        <w:rPr>
          <w:rFonts w:ascii="Garamond" w:eastAsia="Garamond" w:hAnsi="Garamond" w:cs="Garamond"/>
          <w:sz w:val="24"/>
          <w:szCs w:val="24"/>
        </w:rPr>
        <w:t xml:space="preserve">, consultado em 5/11/2023 </w:t>
      </w:r>
    </w:p>
    <w:p w14:paraId="1BF0E73C" w14:textId="77777777" w:rsidR="00EC4499" w:rsidRDefault="00EC4499">
      <w:pPr>
        <w:pBdr>
          <w:top w:val="nil"/>
          <w:left w:val="nil"/>
          <w:bottom w:val="nil"/>
          <w:right w:val="nil"/>
          <w:between w:val="nil"/>
        </w:pBdr>
        <w:spacing w:after="0" w:line="360" w:lineRule="auto"/>
        <w:rPr>
          <w:rFonts w:ascii="Garamond" w:eastAsia="Garamond" w:hAnsi="Garamond" w:cs="Garamond"/>
          <w:sz w:val="24"/>
          <w:szCs w:val="24"/>
        </w:rPr>
      </w:pPr>
    </w:p>
    <w:p w14:paraId="03E3ADCF" w14:textId="77777777" w:rsidR="00EC4499" w:rsidRDefault="00433EA7">
      <w:pPr>
        <w:pBdr>
          <w:top w:val="nil"/>
          <w:left w:val="nil"/>
          <w:bottom w:val="nil"/>
          <w:right w:val="nil"/>
          <w:between w:val="nil"/>
        </w:pBdr>
        <w:spacing w:after="0" w:line="360" w:lineRule="auto"/>
        <w:rPr>
          <w:rFonts w:ascii="Garamond" w:eastAsia="Garamond" w:hAnsi="Garamond" w:cs="Garamond"/>
          <w:sz w:val="24"/>
          <w:szCs w:val="24"/>
        </w:rPr>
      </w:pPr>
      <w:r>
        <w:rPr>
          <w:rFonts w:ascii="Garamond" w:eastAsia="Garamond" w:hAnsi="Garamond" w:cs="Garamond"/>
          <w:sz w:val="24"/>
          <w:szCs w:val="24"/>
        </w:rPr>
        <w:t>Banco do Nordeste 2021</w:t>
      </w:r>
    </w:p>
    <w:p w14:paraId="508F9CD7" w14:textId="77777777" w:rsidR="00EC4499" w:rsidRDefault="00000000">
      <w:pPr>
        <w:pBdr>
          <w:top w:val="nil"/>
          <w:left w:val="nil"/>
          <w:bottom w:val="nil"/>
          <w:right w:val="nil"/>
          <w:between w:val="nil"/>
        </w:pBdr>
        <w:spacing w:after="0" w:line="360" w:lineRule="auto"/>
        <w:rPr>
          <w:rFonts w:ascii="Garamond" w:eastAsia="Garamond" w:hAnsi="Garamond" w:cs="Garamond"/>
          <w:sz w:val="24"/>
          <w:szCs w:val="24"/>
        </w:rPr>
      </w:pPr>
      <w:hyperlink r:id="rId57">
        <w:r w:rsidR="00433EA7">
          <w:rPr>
            <w:rFonts w:ascii="Garamond" w:eastAsia="Garamond" w:hAnsi="Garamond" w:cs="Garamond"/>
            <w:sz w:val="24"/>
            <w:szCs w:val="24"/>
          </w:rPr>
          <w:t>https://www.bnb.gov.br/documents/45787/128608/Relat%C3%B3rio+de+Sustentabilidade+do+Banco+do+Nordeste+-+2021.pdf/</w:t>
        </w:r>
      </w:hyperlink>
      <w:r w:rsidR="00433EA7">
        <w:rPr>
          <w:rFonts w:ascii="Garamond" w:eastAsia="Garamond" w:hAnsi="Garamond" w:cs="Garamond"/>
          <w:sz w:val="24"/>
          <w:szCs w:val="24"/>
        </w:rPr>
        <w:t xml:space="preserve">, consultado em 5/11/2023 </w:t>
      </w:r>
    </w:p>
    <w:p w14:paraId="3080B840" w14:textId="77777777" w:rsidR="00EC4499" w:rsidRDefault="00EC4499">
      <w:pPr>
        <w:pBdr>
          <w:top w:val="nil"/>
          <w:left w:val="nil"/>
          <w:bottom w:val="nil"/>
          <w:right w:val="nil"/>
          <w:between w:val="nil"/>
        </w:pBdr>
        <w:spacing w:after="0" w:line="360" w:lineRule="auto"/>
        <w:rPr>
          <w:rFonts w:ascii="Garamond" w:eastAsia="Garamond" w:hAnsi="Garamond" w:cs="Garamond"/>
          <w:sz w:val="24"/>
          <w:szCs w:val="24"/>
        </w:rPr>
      </w:pPr>
    </w:p>
    <w:p w14:paraId="5529486A" w14:textId="77777777" w:rsidR="00EC4499" w:rsidRDefault="00433EA7">
      <w:pPr>
        <w:pBdr>
          <w:top w:val="nil"/>
          <w:left w:val="nil"/>
          <w:bottom w:val="nil"/>
          <w:right w:val="nil"/>
          <w:between w:val="nil"/>
        </w:pBdr>
        <w:spacing w:after="0" w:line="360" w:lineRule="auto"/>
        <w:rPr>
          <w:rFonts w:ascii="Garamond" w:eastAsia="Garamond" w:hAnsi="Garamond" w:cs="Garamond"/>
          <w:sz w:val="24"/>
          <w:szCs w:val="24"/>
        </w:rPr>
      </w:pPr>
      <w:r>
        <w:rPr>
          <w:rFonts w:ascii="Garamond" w:eastAsia="Garamond" w:hAnsi="Garamond" w:cs="Garamond"/>
          <w:sz w:val="24"/>
          <w:szCs w:val="24"/>
        </w:rPr>
        <w:t>Banco do Nordeste 2022</w:t>
      </w:r>
    </w:p>
    <w:p w14:paraId="2BCBEA31" w14:textId="77777777" w:rsidR="00EC4499" w:rsidRDefault="00000000">
      <w:pPr>
        <w:pBdr>
          <w:top w:val="nil"/>
          <w:left w:val="nil"/>
          <w:bottom w:val="nil"/>
          <w:right w:val="nil"/>
          <w:between w:val="nil"/>
        </w:pBdr>
        <w:spacing w:after="0" w:line="360" w:lineRule="auto"/>
        <w:rPr>
          <w:rFonts w:ascii="Garamond" w:eastAsia="Garamond" w:hAnsi="Garamond" w:cs="Garamond"/>
          <w:sz w:val="24"/>
          <w:szCs w:val="24"/>
        </w:rPr>
      </w:pPr>
      <w:hyperlink r:id="rId58">
        <w:r w:rsidR="00433EA7">
          <w:rPr>
            <w:rFonts w:ascii="Garamond" w:eastAsia="Garamond" w:hAnsi="Garamond" w:cs="Garamond"/>
            <w:sz w:val="24"/>
            <w:szCs w:val="24"/>
          </w:rPr>
          <w:t>https://www.bnb.gov.br/documents/45787/128608/Relat%C3%B3rio+de+Sustentabilidade_ASG+do+Banco+do+Nordeste+-+2022.pdf/</w:t>
        </w:r>
      </w:hyperlink>
      <w:r w:rsidR="00433EA7">
        <w:rPr>
          <w:rFonts w:ascii="Garamond" w:eastAsia="Garamond" w:hAnsi="Garamond" w:cs="Garamond"/>
          <w:sz w:val="24"/>
          <w:szCs w:val="24"/>
        </w:rPr>
        <w:t>, consultado em 31/1/2024</w:t>
      </w:r>
    </w:p>
    <w:p w14:paraId="48E431EB" w14:textId="77777777" w:rsidR="00EC4499" w:rsidRDefault="00EC4499">
      <w:pPr>
        <w:pBdr>
          <w:top w:val="nil"/>
          <w:left w:val="nil"/>
          <w:bottom w:val="nil"/>
          <w:right w:val="nil"/>
          <w:between w:val="nil"/>
        </w:pBdr>
        <w:spacing w:after="0" w:line="360" w:lineRule="auto"/>
        <w:rPr>
          <w:rFonts w:ascii="Garamond" w:eastAsia="Garamond" w:hAnsi="Garamond" w:cs="Garamond"/>
          <w:sz w:val="24"/>
          <w:szCs w:val="24"/>
        </w:rPr>
      </w:pPr>
    </w:p>
    <w:p w14:paraId="755BCF39" w14:textId="77777777" w:rsidR="00EC4499" w:rsidRDefault="00433EA7">
      <w:pPr>
        <w:pBdr>
          <w:top w:val="nil"/>
          <w:left w:val="nil"/>
          <w:bottom w:val="nil"/>
          <w:right w:val="nil"/>
          <w:between w:val="nil"/>
        </w:pBdr>
        <w:spacing w:after="0" w:line="360" w:lineRule="auto"/>
        <w:rPr>
          <w:rFonts w:ascii="Garamond" w:eastAsia="Garamond" w:hAnsi="Garamond" w:cs="Garamond"/>
          <w:sz w:val="24"/>
          <w:szCs w:val="24"/>
        </w:rPr>
      </w:pPr>
      <w:r>
        <w:rPr>
          <w:rFonts w:ascii="Garamond" w:eastAsia="Garamond" w:hAnsi="Garamond" w:cs="Garamond"/>
          <w:sz w:val="24"/>
          <w:szCs w:val="24"/>
        </w:rPr>
        <w:t>BNDES 2021</w:t>
      </w:r>
    </w:p>
    <w:p w14:paraId="5E29A927" w14:textId="77777777" w:rsidR="00EC4499" w:rsidRDefault="00000000">
      <w:pPr>
        <w:pBdr>
          <w:top w:val="nil"/>
          <w:left w:val="nil"/>
          <w:bottom w:val="nil"/>
          <w:right w:val="nil"/>
          <w:between w:val="nil"/>
        </w:pBdr>
        <w:spacing w:after="0" w:line="360" w:lineRule="auto"/>
        <w:rPr>
          <w:rFonts w:ascii="Garamond" w:eastAsia="Garamond" w:hAnsi="Garamond" w:cs="Garamond"/>
          <w:sz w:val="24"/>
          <w:szCs w:val="24"/>
        </w:rPr>
      </w:pPr>
      <w:hyperlink r:id="rId59">
        <w:r w:rsidR="00433EA7">
          <w:rPr>
            <w:rFonts w:ascii="Garamond" w:eastAsia="Garamond" w:hAnsi="Garamond" w:cs="Garamond"/>
            <w:sz w:val="24"/>
            <w:szCs w:val="24"/>
          </w:rPr>
          <w:t>https://web.bndes.gov.br/bib/jspui/bitstream/1408/22344/3/PR__REL.ANUAL_2021.pdf</w:t>
        </w:r>
      </w:hyperlink>
      <w:r w:rsidR="00433EA7">
        <w:rPr>
          <w:rFonts w:ascii="Garamond" w:eastAsia="Garamond" w:hAnsi="Garamond" w:cs="Garamond"/>
          <w:sz w:val="24"/>
          <w:szCs w:val="24"/>
        </w:rPr>
        <w:t>, consultado em 5/11/2023</w:t>
      </w:r>
    </w:p>
    <w:p w14:paraId="7F4B2949" w14:textId="77777777" w:rsidR="00EC4499" w:rsidRDefault="00EC4499">
      <w:pPr>
        <w:pBdr>
          <w:top w:val="nil"/>
          <w:left w:val="nil"/>
          <w:bottom w:val="nil"/>
          <w:right w:val="nil"/>
          <w:between w:val="nil"/>
        </w:pBdr>
        <w:spacing w:after="0" w:line="360" w:lineRule="auto"/>
        <w:rPr>
          <w:rFonts w:ascii="Garamond" w:eastAsia="Garamond" w:hAnsi="Garamond" w:cs="Garamond"/>
          <w:sz w:val="24"/>
          <w:szCs w:val="24"/>
        </w:rPr>
      </w:pPr>
    </w:p>
    <w:p w14:paraId="017BD9D9" w14:textId="77777777" w:rsidR="00EC4499" w:rsidRDefault="00433EA7">
      <w:pPr>
        <w:pBdr>
          <w:top w:val="nil"/>
          <w:left w:val="nil"/>
          <w:bottom w:val="nil"/>
          <w:right w:val="nil"/>
          <w:between w:val="nil"/>
        </w:pBdr>
        <w:spacing w:after="0" w:line="360" w:lineRule="auto"/>
        <w:rPr>
          <w:rFonts w:ascii="Garamond" w:eastAsia="Garamond" w:hAnsi="Garamond" w:cs="Garamond"/>
          <w:sz w:val="24"/>
          <w:szCs w:val="24"/>
        </w:rPr>
      </w:pPr>
      <w:r>
        <w:rPr>
          <w:rFonts w:ascii="Garamond" w:eastAsia="Garamond" w:hAnsi="Garamond" w:cs="Garamond"/>
          <w:sz w:val="24"/>
          <w:szCs w:val="24"/>
        </w:rPr>
        <w:t>BNDES 2022</w:t>
      </w:r>
    </w:p>
    <w:p w14:paraId="076104EB" w14:textId="77777777" w:rsidR="00EC4499" w:rsidRDefault="00000000">
      <w:pPr>
        <w:pBdr>
          <w:top w:val="nil"/>
          <w:left w:val="nil"/>
          <w:bottom w:val="nil"/>
          <w:right w:val="nil"/>
          <w:between w:val="nil"/>
        </w:pBdr>
        <w:spacing w:after="0" w:line="360" w:lineRule="auto"/>
        <w:rPr>
          <w:rFonts w:ascii="Garamond" w:eastAsia="Garamond" w:hAnsi="Garamond" w:cs="Garamond"/>
          <w:sz w:val="24"/>
          <w:szCs w:val="24"/>
        </w:rPr>
      </w:pPr>
      <w:hyperlink r:id="rId60">
        <w:r w:rsidR="00433EA7">
          <w:rPr>
            <w:rFonts w:ascii="Garamond" w:eastAsia="Garamond" w:hAnsi="Garamond" w:cs="Garamond"/>
            <w:sz w:val="24"/>
            <w:szCs w:val="24"/>
          </w:rPr>
          <w:t>https://www.bndes.gov.br/hotsites/Relatorio_Anual_2022/BNDES_RA2022_PDFao-rev_3005.pdf</w:t>
        </w:r>
      </w:hyperlink>
      <w:r w:rsidR="00433EA7">
        <w:rPr>
          <w:rFonts w:ascii="Garamond" w:eastAsia="Garamond" w:hAnsi="Garamond" w:cs="Garamond"/>
          <w:sz w:val="24"/>
          <w:szCs w:val="24"/>
        </w:rPr>
        <w:t>, consultado em 15/2/2024</w:t>
      </w:r>
    </w:p>
    <w:p w14:paraId="3D836831" w14:textId="77777777" w:rsidR="00DE117F" w:rsidRDefault="00DE117F">
      <w:pPr>
        <w:pBdr>
          <w:top w:val="nil"/>
          <w:left w:val="nil"/>
          <w:bottom w:val="nil"/>
          <w:right w:val="nil"/>
          <w:between w:val="nil"/>
        </w:pBdr>
        <w:spacing w:after="0" w:line="360" w:lineRule="auto"/>
        <w:rPr>
          <w:rFonts w:ascii="Garamond" w:eastAsia="Garamond" w:hAnsi="Garamond" w:cs="Garamond"/>
          <w:sz w:val="24"/>
          <w:szCs w:val="24"/>
        </w:rPr>
      </w:pPr>
    </w:p>
    <w:p w14:paraId="30066FDC" w14:textId="5E8C0AB3" w:rsidR="00EC4499" w:rsidRDefault="00433EA7">
      <w:pPr>
        <w:pBdr>
          <w:top w:val="nil"/>
          <w:left w:val="nil"/>
          <w:bottom w:val="nil"/>
          <w:right w:val="nil"/>
          <w:between w:val="nil"/>
        </w:pBdr>
        <w:spacing w:after="0" w:line="360" w:lineRule="auto"/>
        <w:rPr>
          <w:rFonts w:ascii="Garamond" w:eastAsia="Garamond" w:hAnsi="Garamond" w:cs="Garamond"/>
          <w:sz w:val="24"/>
          <w:szCs w:val="24"/>
        </w:rPr>
      </w:pPr>
      <w:r>
        <w:rPr>
          <w:rFonts w:ascii="Garamond" w:eastAsia="Garamond" w:hAnsi="Garamond" w:cs="Garamond"/>
          <w:sz w:val="24"/>
          <w:szCs w:val="24"/>
        </w:rPr>
        <w:t>Bradesco 2021</w:t>
      </w:r>
    </w:p>
    <w:p w14:paraId="01FE0AA7" w14:textId="77777777" w:rsidR="00EC4499" w:rsidRDefault="00000000">
      <w:pPr>
        <w:pBdr>
          <w:top w:val="nil"/>
          <w:left w:val="nil"/>
          <w:bottom w:val="nil"/>
          <w:right w:val="nil"/>
          <w:between w:val="nil"/>
        </w:pBdr>
        <w:spacing w:after="0" w:line="360" w:lineRule="auto"/>
        <w:rPr>
          <w:rFonts w:ascii="Garamond" w:eastAsia="Garamond" w:hAnsi="Garamond" w:cs="Garamond"/>
          <w:sz w:val="24"/>
          <w:szCs w:val="24"/>
        </w:rPr>
      </w:pPr>
      <w:hyperlink r:id="rId61">
        <w:r w:rsidR="00433EA7">
          <w:rPr>
            <w:rFonts w:ascii="Garamond" w:eastAsia="Garamond" w:hAnsi="Garamond" w:cs="Garamond"/>
            <w:sz w:val="24"/>
            <w:szCs w:val="24"/>
          </w:rPr>
          <w:t>https://www.bradescori.com.br/wp-content/uploads/sites/541/2022/06/Relatorio-Integrado-2021.pdf</w:t>
        </w:r>
      </w:hyperlink>
      <w:r w:rsidR="00433EA7">
        <w:rPr>
          <w:rFonts w:ascii="Garamond" w:eastAsia="Garamond" w:hAnsi="Garamond" w:cs="Garamond"/>
          <w:sz w:val="24"/>
          <w:szCs w:val="24"/>
        </w:rPr>
        <w:t>, consultado em 15/2/2024</w:t>
      </w:r>
    </w:p>
    <w:p w14:paraId="09EB5B96" w14:textId="77777777" w:rsidR="00EC4499" w:rsidRDefault="00EC4499">
      <w:pPr>
        <w:pBdr>
          <w:top w:val="nil"/>
          <w:left w:val="nil"/>
          <w:bottom w:val="nil"/>
          <w:right w:val="nil"/>
          <w:between w:val="nil"/>
        </w:pBdr>
        <w:spacing w:after="0" w:line="360" w:lineRule="auto"/>
        <w:rPr>
          <w:rFonts w:ascii="Garamond" w:eastAsia="Garamond" w:hAnsi="Garamond" w:cs="Garamond"/>
          <w:sz w:val="24"/>
          <w:szCs w:val="24"/>
        </w:rPr>
      </w:pPr>
    </w:p>
    <w:p w14:paraId="25253A16" w14:textId="03DCC29C" w:rsidR="00EC4499" w:rsidRDefault="00433EA7">
      <w:pPr>
        <w:pBdr>
          <w:top w:val="nil"/>
          <w:left w:val="nil"/>
          <w:bottom w:val="nil"/>
          <w:right w:val="nil"/>
          <w:between w:val="nil"/>
        </w:pBdr>
        <w:spacing w:after="0" w:line="360" w:lineRule="auto"/>
        <w:rPr>
          <w:rFonts w:ascii="Garamond" w:eastAsia="Garamond" w:hAnsi="Garamond" w:cs="Garamond"/>
          <w:sz w:val="24"/>
          <w:szCs w:val="24"/>
        </w:rPr>
      </w:pPr>
      <w:r>
        <w:rPr>
          <w:rFonts w:ascii="Garamond" w:eastAsia="Garamond" w:hAnsi="Garamond" w:cs="Garamond"/>
          <w:sz w:val="24"/>
          <w:szCs w:val="24"/>
        </w:rPr>
        <w:lastRenderedPageBreak/>
        <w:t>Bradesco 2022</w:t>
      </w:r>
    </w:p>
    <w:p w14:paraId="203233BE" w14:textId="77777777" w:rsidR="00EC4499" w:rsidRDefault="00000000">
      <w:pPr>
        <w:pBdr>
          <w:top w:val="nil"/>
          <w:left w:val="nil"/>
          <w:bottom w:val="nil"/>
          <w:right w:val="nil"/>
          <w:between w:val="nil"/>
        </w:pBdr>
        <w:spacing w:after="0" w:line="360" w:lineRule="auto"/>
        <w:rPr>
          <w:rFonts w:ascii="Garamond" w:eastAsia="Garamond" w:hAnsi="Garamond" w:cs="Garamond"/>
          <w:sz w:val="24"/>
          <w:szCs w:val="24"/>
        </w:rPr>
      </w:pPr>
      <w:hyperlink r:id="rId62">
        <w:r w:rsidR="00433EA7">
          <w:rPr>
            <w:rFonts w:ascii="Garamond" w:eastAsia="Garamond" w:hAnsi="Garamond" w:cs="Garamond"/>
            <w:sz w:val="24"/>
            <w:szCs w:val="24"/>
          </w:rPr>
          <w:t>https://api.mziq.com/mzfilemanager/v2/d/80f2e993-0a30-421a-9470-a4d5c8ad5e9f/b411dff3-201d-68fa-29bb-42b49a250f19?origin=2</w:t>
        </w:r>
      </w:hyperlink>
      <w:r w:rsidR="00433EA7">
        <w:rPr>
          <w:rFonts w:ascii="Garamond" w:eastAsia="Garamond" w:hAnsi="Garamond" w:cs="Garamond"/>
          <w:sz w:val="24"/>
          <w:szCs w:val="24"/>
        </w:rPr>
        <w:t>, consultado em 31/1/2024</w:t>
      </w:r>
    </w:p>
    <w:p w14:paraId="40F7B320" w14:textId="77777777" w:rsidR="00EC4499" w:rsidRDefault="00EC4499">
      <w:pPr>
        <w:pBdr>
          <w:top w:val="nil"/>
          <w:left w:val="nil"/>
          <w:bottom w:val="nil"/>
          <w:right w:val="nil"/>
          <w:between w:val="nil"/>
        </w:pBdr>
        <w:spacing w:after="0" w:line="360" w:lineRule="auto"/>
        <w:rPr>
          <w:rFonts w:ascii="Garamond" w:eastAsia="Garamond" w:hAnsi="Garamond" w:cs="Garamond"/>
          <w:sz w:val="24"/>
          <w:szCs w:val="24"/>
        </w:rPr>
      </w:pPr>
    </w:p>
    <w:p w14:paraId="799FA7D1" w14:textId="77777777" w:rsidR="00EC4499" w:rsidRDefault="00433EA7">
      <w:pPr>
        <w:pBdr>
          <w:top w:val="nil"/>
          <w:left w:val="nil"/>
          <w:bottom w:val="nil"/>
          <w:right w:val="nil"/>
          <w:between w:val="nil"/>
        </w:pBdr>
        <w:spacing w:after="0" w:line="360" w:lineRule="auto"/>
        <w:rPr>
          <w:rFonts w:ascii="Garamond" w:eastAsia="Garamond" w:hAnsi="Garamond" w:cs="Garamond"/>
          <w:sz w:val="24"/>
          <w:szCs w:val="24"/>
        </w:rPr>
      </w:pPr>
      <w:r>
        <w:rPr>
          <w:rFonts w:ascii="Garamond" w:eastAsia="Garamond" w:hAnsi="Garamond" w:cs="Garamond"/>
          <w:sz w:val="24"/>
          <w:szCs w:val="24"/>
        </w:rPr>
        <w:t>BTG Pactual 2021</w:t>
      </w:r>
    </w:p>
    <w:p w14:paraId="7CF5EAEB" w14:textId="77777777" w:rsidR="00EC4499" w:rsidRDefault="00000000">
      <w:pPr>
        <w:pBdr>
          <w:top w:val="nil"/>
          <w:left w:val="nil"/>
          <w:bottom w:val="nil"/>
          <w:right w:val="nil"/>
          <w:between w:val="nil"/>
        </w:pBdr>
        <w:spacing w:after="0" w:line="360" w:lineRule="auto"/>
        <w:rPr>
          <w:rFonts w:ascii="Garamond" w:eastAsia="Garamond" w:hAnsi="Garamond" w:cs="Garamond"/>
          <w:sz w:val="24"/>
          <w:szCs w:val="24"/>
        </w:rPr>
      </w:pPr>
      <w:hyperlink r:id="rId63">
        <w:r w:rsidR="00433EA7">
          <w:rPr>
            <w:rFonts w:ascii="Garamond" w:eastAsia="Garamond" w:hAnsi="Garamond" w:cs="Garamond"/>
            <w:sz w:val="24"/>
            <w:szCs w:val="24"/>
          </w:rPr>
          <w:t>https://api.mziq.com/mzfilemanager/v2/d/0afe1b62-e299-4dec-a938-763ebc4e2c11/5ef1bf9b-6238-68da-b5c5-1e58c7bc6dca?origin=1</w:t>
        </w:r>
      </w:hyperlink>
      <w:r w:rsidR="00433EA7">
        <w:rPr>
          <w:rFonts w:ascii="Garamond" w:eastAsia="Garamond" w:hAnsi="Garamond" w:cs="Garamond"/>
          <w:sz w:val="24"/>
          <w:szCs w:val="24"/>
        </w:rPr>
        <w:t>, consultado em 24/1/2024</w:t>
      </w:r>
    </w:p>
    <w:p w14:paraId="01422C17" w14:textId="77777777" w:rsidR="00EC4499" w:rsidRDefault="00EC4499">
      <w:pPr>
        <w:pBdr>
          <w:top w:val="nil"/>
          <w:left w:val="nil"/>
          <w:bottom w:val="nil"/>
          <w:right w:val="nil"/>
          <w:between w:val="nil"/>
        </w:pBdr>
        <w:spacing w:after="0" w:line="360" w:lineRule="auto"/>
        <w:rPr>
          <w:rFonts w:ascii="Garamond" w:eastAsia="Garamond" w:hAnsi="Garamond" w:cs="Garamond"/>
          <w:sz w:val="24"/>
          <w:szCs w:val="24"/>
        </w:rPr>
      </w:pPr>
    </w:p>
    <w:p w14:paraId="62A2256D" w14:textId="77777777" w:rsidR="00EC4499" w:rsidRDefault="00433EA7">
      <w:pPr>
        <w:pBdr>
          <w:top w:val="nil"/>
          <w:left w:val="nil"/>
          <w:bottom w:val="nil"/>
          <w:right w:val="nil"/>
          <w:between w:val="nil"/>
        </w:pBdr>
        <w:spacing w:after="0" w:line="360" w:lineRule="auto"/>
        <w:rPr>
          <w:rFonts w:ascii="Garamond" w:eastAsia="Garamond" w:hAnsi="Garamond" w:cs="Garamond"/>
          <w:sz w:val="24"/>
          <w:szCs w:val="24"/>
        </w:rPr>
      </w:pPr>
      <w:r>
        <w:rPr>
          <w:rFonts w:ascii="Garamond" w:eastAsia="Garamond" w:hAnsi="Garamond" w:cs="Garamond"/>
          <w:sz w:val="24"/>
          <w:szCs w:val="24"/>
        </w:rPr>
        <w:t>BTG Pactual 2022</w:t>
      </w:r>
    </w:p>
    <w:p w14:paraId="0182B3D9" w14:textId="77777777" w:rsidR="00EC4499" w:rsidRDefault="00000000">
      <w:pPr>
        <w:pBdr>
          <w:top w:val="nil"/>
          <w:left w:val="nil"/>
          <w:bottom w:val="nil"/>
          <w:right w:val="nil"/>
          <w:between w:val="nil"/>
        </w:pBdr>
        <w:spacing w:after="0" w:line="360" w:lineRule="auto"/>
        <w:rPr>
          <w:rFonts w:ascii="Garamond" w:eastAsia="Garamond" w:hAnsi="Garamond" w:cs="Garamond"/>
          <w:sz w:val="24"/>
          <w:szCs w:val="24"/>
        </w:rPr>
      </w:pPr>
      <w:hyperlink r:id="rId64">
        <w:r w:rsidR="00433EA7">
          <w:rPr>
            <w:rFonts w:ascii="Garamond" w:eastAsia="Garamond" w:hAnsi="Garamond" w:cs="Garamond"/>
            <w:sz w:val="24"/>
            <w:szCs w:val="24"/>
          </w:rPr>
          <w:t>https://api.mziq.com/mzfilemanager/v2/d/0afe1b62-e299-4dec-a938-763ebc4e2c11/7cbf4b3f-3105-9e21-2a32-d4c52b1028f2?origin=1</w:t>
        </w:r>
      </w:hyperlink>
      <w:r w:rsidR="00433EA7">
        <w:rPr>
          <w:rFonts w:ascii="Garamond" w:eastAsia="Garamond" w:hAnsi="Garamond" w:cs="Garamond"/>
          <w:sz w:val="24"/>
          <w:szCs w:val="24"/>
        </w:rPr>
        <w:t>, consultado em 24/1/2024</w:t>
      </w:r>
    </w:p>
    <w:p w14:paraId="0E3A4455" w14:textId="77777777" w:rsidR="00EC4499" w:rsidRDefault="00EC4499">
      <w:pPr>
        <w:pBdr>
          <w:top w:val="nil"/>
          <w:left w:val="nil"/>
          <w:bottom w:val="nil"/>
          <w:right w:val="nil"/>
          <w:between w:val="nil"/>
        </w:pBdr>
        <w:spacing w:after="0" w:line="360" w:lineRule="auto"/>
        <w:rPr>
          <w:rFonts w:ascii="Garamond" w:eastAsia="Garamond" w:hAnsi="Garamond" w:cs="Garamond"/>
          <w:sz w:val="24"/>
          <w:szCs w:val="24"/>
        </w:rPr>
      </w:pPr>
    </w:p>
    <w:p w14:paraId="6C5C22B4" w14:textId="77777777" w:rsidR="00EC4499" w:rsidRDefault="00433EA7">
      <w:pPr>
        <w:pBdr>
          <w:top w:val="nil"/>
          <w:left w:val="nil"/>
          <w:bottom w:val="nil"/>
          <w:right w:val="nil"/>
          <w:between w:val="nil"/>
        </w:pBdr>
        <w:spacing w:after="0" w:line="360" w:lineRule="auto"/>
        <w:rPr>
          <w:rFonts w:ascii="Garamond" w:eastAsia="Garamond" w:hAnsi="Garamond" w:cs="Garamond"/>
          <w:sz w:val="24"/>
          <w:szCs w:val="24"/>
        </w:rPr>
      </w:pPr>
      <w:r>
        <w:rPr>
          <w:rFonts w:ascii="Garamond" w:eastAsia="Garamond" w:hAnsi="Garamond" w:cs="Garamond"/>
          <w:sz w:val="24"/>
          <w:szCs w:val="24"/>
        </w:rPr>
        <w:t>Caixa Econômica Federal 2021</w:t>
      </w:r>
    </w:p>
    <w:p w14:paraId="25AC5714" w14:textId="77777777" w:rsidR="00EC4499" w:rsidRDefault="00000000">
      <w:pPr>
        <w:pBdr>
          <w:top w:val="nil"/>
          <w:left w:val="nil"/>
          <w:bottom w:val="nil"/>
          <w:right w:val="nil"/>
          <w:between w:val="nil"/>
        </w:pBdr>
        <w:spacing w:after="0" w:line="360" w:lineRule="auto"/>
        <w:rPr>
          <w:rFonts w:ascii="Garamond" w:eastAsia="Garamond" w:hAnsi="Garamond" w:cs="Garamond"/>
          <w:sz w:val="24"/>
          <w:szCs w:val="24"/>
        </w:rPr>
      </w:pPr>
      <w:hyperlink r:id="rId65">
        <w:r w:rsidR="00433EA7">
          <w:rPr>
            <w:rFonts w:ascii="Garamond" w:eastAsia="Garamond" w:hAnsi="Garamond" w:cs="Garamond"/>
            <w:sz w:val="24"/>
            <w:szCs w:val="24"/>
          </w:rPr>
          <w:t>https://www.caixa.gov.br/Downloads/caixa-governanca/Relatorio-Integrado-2021.pdf</w:t>
        </w:r>
      </w:hyperlink>
      <w:r w:rsidR="00433EA7">
        <w:rPr>
          <w:rFonts w:ascii="Garamond" w:eastAsia="Garamond" w:hAnsi="Garamond" w:cs="Garamond"/>
          <w:sz w:val="24"/>
          <w:szCs w:val="24"/>
        </w:rPr>
        <w:t>, consultado em 26/1/2024</w:t>
      </w:r>
    </w:p>
    <w:p w14:paraId="5F9569EA" w14:textId="77777777" w:rsidR="00EC4499" w:rsidRDefault="00EC4499">
      <w:pPr>
        <w:pBdr>
          <w:top w:val="nil"/>
          <w:left w:val="nil"/>
          <w:bottom w:val="nil"/>
          <w:right w:val="nil"/>
          <w:between w:val="nil"/>
        </w:pBdr>
        <w:spacing w:after="0" w:line="360" w:lineRule="auto"/>
        <w:rPr>
          <w:rFonts w:ascii="Garamond" w:eastAsia="Garamond" w:hAnsi="Garamond" w:cs="Garamond"/>
          <w:sz w:val="24"/>
          <w:szCs w:val="24"/>
        </w:rPr>
      </w:pPr>
    </w:p>
    <w:p w14:paraId="020D1313" w14:textId="77777777" w:rsidR="00EC4499" w:rsidRDefault="00433EA7">
      <w:pPr>
        <w:pBdr>
          <w:top w:val="nil"/>
          <w:left w:val="nil"/>
          <w:bottom w:val="nil"/>
          <w:right w:val="nil"/>
          <w:between w:val="nil"/>
        </w:pBdr>
        <w:spacing w:after="0" w:line="360" w:lineRule="auto"/>
        <w:rPr>
          <w:rFonts w:ascii="Garamond" w:eastAsia="Garamond" w:hAnsi="Garamond" w:cs="Garamond"/>
          <w:sz w:val="24"/>
          <w:szCs w:val="24"/>
        </w:rPr>
      </w:pPr>
      <w:r>
        <w:rPr>
          <w:rFonts w:ascii="Garamond" w:eastAsia="Garamond" w:hAnsi="Garamond" w:cs="Garamond"/>
          <w:sz w:val="24"/>
          <w:szCs w:val="24"/>
        </w:rPr>
        <w:t>Caixa Econômica Federal 2022</w:t>
      </w:r>
    </w:p>
    <w:p w14:paraId="4AA163F1" w14:textId="77777777" w:rsidR="00EC4499" w:rsidRDefault="00000000">
      <w:pPr>
        <w:pBdr>
          <w:top w:val="nil"/>
          <w:left w:val="nil"/>
          <w:bottom w:val="nil"/>
          <w:right w:val="nil"/>
          <w:between w:val="nil"/>
        </w:pBdr>
        <w:spacing w:after="0" w:line="360" w:lineRule="auto"/>
        <w:rPr>
          <w:rFonts w:ascii="Garamond" w:eastAsia="Garamond" w:hAnsi="Garamond" w:cs="Garamond"/>
          <w:sz w:val="24"/>
          <w:szCs w:val="24"/>
        </w:rPr>
      </w:pPr>
      <w:hyperlink r:id="rId66">
        <w:r w:rsidR="00433EA7">
          <w:rPr>
            <w:rFonts w:ascii="Garamond" w:eastAsia="Garamond" w:hAnsi="Garamond" w:cs="Garamond"/>
            <w:sz w:val="24"/>
            <w:szCs w:val="24"/>
          </w:rPr>
          <w:t>https://www.caixa.gov.br/Downloads/caixa-relatorio-sustentabilidade/relatorio-sustentabilidade-2022.pdf</w:t>
        </w:r>
      </w:hyperlink>
      <w:r w:rsidR="00433EA7">
        <w:rPr>
          <w:rFonts w:ascii="Garamond" w:eastAsia="Garamond" w:hAnsi="Garamond" w:cs="Garamond"/>
          <w:sz w:val="24"/>
          <w:szCs w:val="24"/>
        </w:rPr>
        <w:t>, consultado em 25/1/2024</w:t>
      </w:r>
    </w:p>
    <w:p w14:paraId="2C83FC8E" w14:textId="77777777" w:rsidR="00EC4499" w:rsidRDefault="00EC4499">
      <w:pPr>
        <w:pBdr>
          <w:top w:val="nil"/>
          <w:left w:val="nil"/>
          <w:bottom w:val="nil"/>
          <w:right w:val="nil"/>
          <w:between w:val="nil"/>
        </w:pBdr>
        <w:spacing w:after="0" w:line="360" w:lineRule="auto"/>
        <w:rPr>
          <w:rFonts w:ascii="Garamond" w:eastAsia="Garamond" w:hAnsi="Garamond" w:cs="Garamond"/>
          <w:sz w:val="24"/>
          <w:szCs w:val="24"/>
        </w:rPr>
      </w:pPr>
    </w:p>
    <w:p w14:paraId="5E7CA28F" w14:textId="77777777" w:rsidR="00EC4499" w:rsidRDefault="00433EA7">
      <w:pPr>
        <w:pBdr>
          <w:top w:val="nil"/>
          <w:left w:val="nil"/>
          <w:bottom w:val="nil"/>
          <w:right w:val="nil"/>
          <w:between w:val="nil"/>
        </w:pBdr>
        <w:spacing w:after="0" w:line="360" w:lineRule="auto"/>
        <w:rPr>
          <w:rFonts w:ascii="Garamond" w:eastAsia="Garamond" w:hAnsi="Garamond" w:cs="Garamond"/>
          <w:sz w:val="24"/>
          <w:szCs w:val="24"/>
        </w:rPr>
      </w:pPr>
      <w:r>
        <w:rPr>
          <w:rFonts w:ascii="Garamond" w:eastAsia="Garamond" w:hAnsi="Garamond" w:cs="Garamond"/>
          <w:sz w:val="24"/>
          <w:szCs w:val="24"/>
        </w:rPr>
        <w:t>Citibank 2021</w:t>
      </w:r>
    </w:p>
    <w:p w14:paraId="6E753305" w14:textId="77777777" w:rsidR="00EC4499" w:rsidRDefault="00000000">
      <w:pPr>
        <w:pBdr>
          <w:top w:val="nil"/>
          <w:left w:val="nil"/>
          <w:bottom w:val="nil"/>
          <w:right w:val="nil"/>
          <w:between w:val="nil"/>
        </w:pBdr>
        <w:spacing w:after="0" w:line="360" w:lineRule="auto"/>
        <w:rPr>
          <w:rFonts w:ascii="Garamond" w:eastAsia="Garamond" w:hAnsi="Garamond" w:cs="Garamond"/>
          <w:sz w:val="24"/>
          <w:szCs w:val="24"/>
        </w:rPr>
      </w:pPr>
      <w:hyperlink r:id="rId67">
        <w:r w:rsidR="00433EA7">
          <w:rPr>
            <w:rFonts w:ascii="Garamond" w:eastAsia="Garamond" w:hAnsi="Garamond" w:cs="Garamond"/>
            <w:sz w:val="24"/>
            <w:szCs w:val="24"/>
          </w:rPr>
          <w:t>https://corporateportal.brazil.citibank.com/resources-responsive/pdf/Relatorio_ESG_2021.pdf</w:t>
        </w:r>
      </w:hyperlink>
      <w:r w:rsidR="00433EA7">
        <w:rPr>
          <w:rFonts w:ascii="Garamond" w:eastAsia="Garamond" w:hAnsi="Garamond" w:cs="Garamond"/>
          <w:sz w:val="24"/>
          <w:szCs w:val="24"/>
        </w:rPr>
        <w:t>, consultado em 30/1/2024</w:t>
      </w:r>
    </w:p>
    <w:p w14:paraId="21333650" w14:textId="77777777" w:rsidR="00EC4499" w:rsidRDefault="00433EA7">
      <w:pPr>
        <w:pBdr>
          <w:top w:val="nil"/>
          <w:left w:val="nil"/>
          <w:bottom w:val="nil"/>
          <w:right w:val="nil"/>
          <w:between w:val="nil"/>
        </w:pBdr>
        <w:spacing w:after="0" w:line="360" w:lineRule="auto"/>
        <w:rPr>
          <w:rFonts w:ascii="Garamond" w:eastAsia="Garamond" w:hAnsi="Garamond" w:cs="Garamond"/>
          <w:sz w:val="24"/>
          <w:szCs w:val="24"/>
        </w:rPr>
      </w:pPr>
      <w:r>
        <w:rPr>
          <w:rFonts w:ascii="Garamond" w:eastAsia="Garamond" w:hAnsi="Garamond" w:cs="Garamond"/>
          <w:sz w:val="24"/>
          <w:szCs w:val="24"/>
        </w:rPr>
        <w:t xml:space="preserve"> </w:t>
      </w:r>
    </w:p>
    <w:p w14:paraId="44B75954" w14:textId="77777777" w:rsidR="00EC4499" w:rsidRDefault="00433EA7">
      <w:pPr>
        <w:pBdr>
          <w:top w:val="nil"/>
          <w:left w:val="nil"/>
          <w:bottom w:val="nil"/>
          <w:right w:val="nil"/>
          <w:between w:val="nil"/>
        </w:pBdr>
        <w:spacing w:after="0" w:line="360" w:lineRule="auto"/>
        <w:rPr>
          <w:rFonts w:ascii="Garamond" w:eastAsia="Garamond" w:hAnsi="Garamond" w:cs="Garamond"/>
          <w:sz w:val="24"/>
          <w:szCs w:val="24"/>
        </w:rPr>
      </w:pPr>
      <w:r>
        <w:rPr>
          <w:rFonts w:ascii="Garamond" w:eastAsia="Garamond" w:hAnsi="Garamond" w:cs="Garamond"/>
          <w:sz w:val="24"/>
          <w:szCs w:val="24"/>
        </w:rPr>
        <w:t>Citibank 2022</w:t>
      </w:r>
    </w:p>
    <w:p w14:paraId="48EAC32E" w14:textId="77777777" w:rsidR="00EC4499" w:rsidRDefault="00000000">
      <w:pPr>
        <w:pBdr>
          <w:top w:val="nil"/>
          <w:left w:val="nil"/>
          <w:bottom w:val="nil"/>
          <w:right w:val="nil"/>
          <w:between w:val="nil"/>
        </w:pBdr>
        <w:spacing w:after="0" w:line="360" w:lineRule="auto"/>
        <w:rPr>
          <w:rFonts w:ascii="Garamond" w:eastAsia="Garamond" w:hAnsi="Garamond" w:cs="Garamond"/>
          <w:sz w:val="24"/>
          <w:szCs w:val="24"/>
        </w:rPr>
      </w:pPr>
      <w:hyperlink r:id="rId68">
        <w:r w:rsidR="00433EA7">
          <w:rPr>
            <w:rFonts w:ascii="Garamond" w:eastAsia="Garamond" w:hAnsi="Garamond" w:cs="Garamond"/>
            <w:sz w:val="24"/>
            <w:szCs w:val="24"/>
          </w:rPr>
          <w:t>https://corporateportal.brazil.citibank.com/resources-responsive/pdf/Global-ESG-Report-2022.pdf</w:t>
        </w:r>
      </w:hyperlink>
      <w:r w:rsidR="00433EA7">
        <w:rPr>
          <w:rFonts w:ascii="Garamond" w:eastAsia="Garamond" w:hAnsi="Garamond" w:cs="Garamond"/>
          <w:sz w:val="24"/>
          <w:szCs w:val="24"/>
        </w:rPr>
        <w:t>, consultado em 15/2/2024</w:t>
      </w:r>
    </w:p>
    <w:p w14:paraId="714EA97A" w14:textId="77777777" w:rsidR="00EC4499" w:rsidRDefault="00EC4499">
      <w:pPr>
        <w:pBdr>
          <w:top w:val="nil"/>
          <w:left w:val="nil"/>
          <w:bottom w:val="nil"/>
          <w:right w:val="nil"/>
          <w:between w:val="nil"/>
        </w:pBdr>
        <w:spacing w:after="0" w:line="360" w:lineRule="auto"/>
        <w:rPr>
          <w:rFonts w:ascii="Garamond" w:eastAsia="Garamond" w:hAnsi="Garamond" w:cs="Garamond"/>
          <w:sz w:val="24"/>
          <w:szCs w:val="24"/>
        </w:rPr>
      </w:pPr>
    </w:p>
    <w:p w14:paraId="13DF6DD0" w14:textId="77777777" w:rsidR="007F5E5A" w:rsidRDefault="007F5E5A">
      <w:pPr>
        <w:pBdr>
          <w:top w:val="nil"/>
          <w:left w:val="nil"/>
          <w:bottom w:val="nil"/>
          <w:right w:val="nil"/>
          <w:between w:val="nil"/>
        </w:pBdr>
        <w:spacing w:after="0" w:line="360" w:lineRule="auto"/>
        <w:rPr>
          <w:rFonts w:ascii="Garamond" w:eastAsia="Garamond" w:hAnsi="Garamond" w:cs="Garamond"/>
          <w:sz w:val="24"/>
          <w:szCs w:val="24"/>
        </w:rPr>
      </w:pPr>
    </w:p>
    <w:p w14:paraId="4A5250BE" w14:textId="77777777" w:rsidR="007F5E5A" w:rsidRDefault="007F5E5A">
      <w:pPr>
        <w:pBdr>
          <w:top w:val="nil"/>
          <w:left w:val="nil"/>
          <w:bottom w:val="nil"/>
          <w:right w:val="nil"/>
          <w:between w:val="nil"/>
        </w:pBdr>
        <w:spacing w:after="0" w:line="360" w:lineRule="auto"/>
        <w:rPr>
          <w:rFonts w:ascii="Garamond" w:eastAsia="Garamond" w:hAnsi="Garamond" w:cs="Garamond"/>
          <w:sz w:val="24"/>
          <w:szCs w:val="24"/>
        </w:rPr>
      </w:pPr>
    </w:p>
    <w:p w14:paraId="71C8B17E" w14:textId="3E2270E8" w:rsidR="00EC4499" w:rsidRDefault="00433EA7">
      <w:pPr>
        <w:pBdr>
          <w:top w:val="nil"/>
          <w:left w:val="nil"/>
          <w:bottom w:val="nil"/>
          <w:right w:val="nil"/>
          <w:between w:val="nil"/>
        </w:pBdr>
        <w:spacing w:after="0" w:line="360" w:lineRule="auto"/>
        <w:rPr>
          <w:rFonts w:ascii="Garamond" w:eastAsia="Garamond" w:hAnsi="Garamond" w:cs="Garamond"/>
          <w:sz w:val="24"/>
          <w:szCs w:val="24"/>
        </w:rPr>
      </w:pPr>
      <w:r>
        <w:rPr>
          <w:rFonts w:ascii="Garamond" w:eastAsia="Garamond" w:hAnsi="Garamond" w:cs="Garamond"/>
          <w:sz w:val="24"/>
          <w:szCs w:val="24"/>
        </w:rPr>
        <w:t>Inter 2020</w:t>
      </w:r>
    </w:p>
    <w:p w14:paraId="3B4E187F" w14:textId="77777777" w:rsidR="00EC4499" w:rsidRDefault="00000000">
      <w:pPr>
        <w:pBdr>
          <w:top w:val="nil"/>
          <w:left w:val="nil"/>
          <w:bottom w:val="nil"/>
          <w:right w:val="nil"/>
          <w:between w:val="nil"/>
        </w:pBdr>
        <w:spacing w:after="0" w:line="360" w:lineRule="auto"/>
        <w:rPr>
          <w:rFonts w:ascii="Garamond" w:eastAsia="Garamond" w:hAnsi="Garamond" w:cs="Garamond"/>
          <w:sz w:val="24"/>
          <w:szCs w:val="24"/>
        </w:rPr>
      </w:pPr>
      <w:hyperlink r:id="rId69">
        <w:r w:rsidR="00433EA7">
          <w:rPr>
            <w:rFonts w:ascii="Garamond" w:eastAsia="Garamond" w:hAnsi="Garamond" w:cs="Garamond"/>
            <w:sz w:val="24"/>
            <w:szCs w:val="24"/>
          </w:rPr>
          <w:t>https://api.mziq.com/mzfilemanager/v2/d/b4dc0b14-a83a-40a9-9545-d9e4f18ed7af/5ec67ebc-0ef0-8300-86b6-cd776728f280?origin=2</w:t>
        </w:r>
      </w:hyperlink>
      <w:r w:rsidR="00433EA7">
        <w:rPr>
          <w:rFonts w:ascii="Garamond" w:eastAsia="Garamond" w:hAnsi="Garamond" w:cs="Garamond"/>
          <w:sz w:val="24"/>
          <w:szCs w:val="24"/>
        </w:rPr>
        <w:t>, consultado em 15/2/2024</w:t>
      </w:r>
    </w:p>
    <w:p w14:paraId="3E0EA55E" w14:textId="77777777" w:rsidR="00EC4499" w:rsidRDefault="00EC4499">
      <w:pPr>
        <w:pBdr>
          <w:top w:val="nil"/>
          <w:left w:val="nil"/>
          <w:bottom w:val="nil"/>
          <w:right w:val="nil"/>
          <w:between w:val="nil"/>
        </w:pBdr>
        <w:spacing w:after="0" w:line="360" w:lineRule="auto"/>
        <w:rPr>
          <w:rFonts w:ascii="Garamond" w:eastAsia="Garamond" w:hAnsi="Garamond" w:cs="Garamond"/>
          <w:sz w:val="24"/>
          <w:szCs w:val="24"/>
        </w:rPr>
      </w:pPr>
    </w:p>
    <w:p w14:paraId="52EAC9D5" w14:textId="77777777" w:rsidR="00EC4499" w:rsidRDefault="00433EA7">
      <w:pPr>
        <w:pBdr>
          <w:top w:val="nil"/>
          <w:left w:val="nil"/>
          <w:bottom w:val="nil"/>
          <w:right w:val="nil"/>
          <w:between w:val="nil"/>
        </w:pBdr>
        <w:spacing w:after="0" w:line="360" w:lineRule="auto"/>
        <w:rPr>
          <w:rFonts w:ascii="Garamond" w:eastAsia="Garamond" w:hAnsi="Garamond" w:cs="Garamond"/>
          <w:sz w:val="24"/>
          <w:szCs w:val="24"/>
        </w:rPr>
      </w:pPr>
      <w:r>
        <w:rPr>
          <w:rFonts w:ascii="Garamond" w:eastAsia="Garamond" w:hAnsi="Garamond" w:cs="Garamond"/>
          <w:sz w:val="24"/>
          <w:szCs w:val="24"/>
        </w:rPr>
        <w:t>Inter 2021</w:t>
      </w:r>
    </w:p>
    <w:p w14:paraId="144DE38C" w14:textId="77777777" w:rsidR="00EC4499" w:rsidRDefault="00000000">
      <w:pPr>
        <w:pBdr>
          <w:top w:val="nil"/>
          <w:left w:val="nil"/>
          <w:bottom w:val="nil"/>
          <w:right w:val="nil"/>
          <w:between w:val="nil"/>
        </w:pBdr>
        <w:spacing w:after="0" w:line="360" w:lineRule="auto"/>
        <w:rPr>
          <w:rFonts w:ascii="Garamond" w:eastAsia="Garamond" w:hAnsi="Garamond" w:cs="Garamond"/>
          <w:sz w:val="24"/>
          <w:szCs w:val="24"/>
        </w:rPr>
      </w:pPr>
      <w:hyperlink r:id="rId70">
        <w:r w:rsidR="00433EA7">
          <w:rPr>
            <w:rFonts w:ascii="Garamond" w:eastAsia="Garamond" w:hAnsi="Garamond" w:cs="Garamond"/>
            <w:sz w:val="24"/>
            <w:szCs w:val="24"/>
          </w:rPr>
          <w:t>https://api.mziq.com/mzfilemanager/v2/d/b4dc0b14-a83a-40a9-9545-d9e4f18ed7af/05c027a3-466f-99ea-fd77-244d0e8498b8?origin=2</w:t>
        </w:r>
      </w:hyperlink>
      <w:r w:rsidR="00433EA7">
        <w:rPr>
          <w:rFonts w:ascii="Garamond" w:eastAsia="Garamond" w:hAnsi="Garamond" w:cs="Garamond"/>
          <w:sz w:val="24"/>
          <w:szCs w:val="24"/>
        </w:rPr>
        <w:t>, consultado em 15/2/2024</w:t>
      </w:r>
    </w:p>
    <w:p w14:paraId="0B1F2C4F" w14:textId="77777777" w:rsidR="00EC4499" w:rsidRDefault="00EC4499">
      <w:pPr>
        <w:pBdr>
          <w:top w:val="nil"/>
          <w:left w:val="nil"/>
          <w:bottom w:val="nil"/>
          <w:right w:val="nil"/>
          <w:between w:val="nil"/>
        </w:pBdr>
        <w:spacing w:after="0" w:line="360" w:lineRule="auto"/>
        <w:rPr>
          <w:rFonts w:ascii="Garamond" w:eastAsia="Garamond" w:hAnsi="Garamond" w:cs="Garamond"/>
          <w:sz w:val="24"/>
          <w:szCs w:val="24"/>
        </w:rPr>
      </w:pPr>
    </w:p>
    <w:p w14:paraId="45F379E3" w14:textId="77777777" w:rsidR="00EC4499" w:rsidRDefault="00433EA7">
      <w:pPr>
        <w:pBdr>
          <w:top w:val="nil"/>
          <w:left w:val="nil"/>
          <w:bottom w:val="nil"/>
          <w:right w:val="nil"/>
          <w:between w:val="nil"/>
        </w:pBdr>
        <w:spacing w:after="0" w:line="360" w:lineRule="auto"/>
        <w:rPr>
          <w:rFonts w:ascii="Garamond" w:eastAsia="Garamond" w:hAnsi="Garamond" w:cs="Garamond"/>
          <w:sz w:val="24"/>
          <w:szCs w:val="24"/>
        </w:rPr>
      </w:pPr>
      <w:r>
        <w:rPr>
          <w:rFonts w:ascii="Garamond" w:eastAsia="Garamond" w:hAnsi="Garamond" w:cs="Garamond"/>
          <w:sz w:val="24"/>
          <w:szCs w:val="24"/>
        </w:rPr>
        <w:t>Inter 2022</w:t>
      </w:r>
    </w:p>
    <w:p w14:paraId="2897D33B" w14:textId="77777777" w:rsidR="00EC4499" w:rsidRDefault="00000000">
      <w:pPr>
        <w:pBdr>
          <w:top w:val="nil"/>
          <w:left w:val="nil"/>
          <w:bottom w:val="nil"/>
          <w:right w:val="nil"/>
          <w:between w:val="nil"/>
        </w:pBdr>
        <w:spacing w:after="0" w:line="360" w:lineRule="auto"/>
        <w:rPr>
          <w:rFonts w:ascii="Garamond" w:eastAsia="Garamond" w:hAnsi="Garamond" w:cs="Garamond"/>
          <w:sz w:val="24"/>
          <w:szCs w:val="24"/>
        </w:rPr>
      </w:pPr>
      <w:hyperlink r:id="rId71">
        <w:r w:rsidR="00433EA7">
          <w:rPr>
            <w:rFonts w:ascii="Garamond" w:eastAsia="Garamond" w:hAnsi="Garamond" w:cs="Garamond"/>
            <w:sz w:val="24"/>
            <w:szCs w:val="24"/>
          </w:rPr>
          <w:t>https://api.mziq.com/mzfilemanager/v2/d/b4dc0b14-a83a-40a9-9545-d9e4f18ed7af/b4b33f3b-adc2-13f3-1749-6e12cdfd1687?origin=2</w:t>
        </w:r>
      </w:hyperlink>
      <w:r w:rsidR="00433EA7">
        <w:rPr>
          <w:rFonts w:ascii="Garamond" w:eastAsia="Garamond" w:hAnsi="Garamond" w:cs="Garamond"/>
          <w:sz w:val="24"/>
          <w:szCs w:val="24"/>
        </w:rPr>
        <w:t>, consultado em 15/2/2024</w:t>
      </w:r>
    </w:p>
    <w:p w14:paraId="638F4923" w14:textId="77777777" w:rsidR="00EC4499" w:rsidRDefault="00EC4499">
      <w:pPr>
        <w:pBdr>
          <w:top w:val="nil"/>
          <w:left w:val="nil"/>
          <w:bottom w:val="nil"/>
          <w:right w:val="nil"/>
          <w:between w:val="nil"/>
        </w:pBdr>
        <w:spacing w:after="0" w:line="360" w:lineRule="auto"/>
        <w:rPr>
          <w:rFonts w:ascii="Garamond" w:eastAsia="Garamond" w:hAnsi="Garamond" w:cs="Garamond"/>
          <w:sz w:val="24"/>
          <w:szCs w:val="24"/>
        </w:rPr>
      </w:pPr>
    </w:p>
    <w:p w14:paraId="0AF5A13B" w14:textId="77777777" w:rsidR="00EC4499" w:rsidRDefault="00433EA7">
      <w:pPr>
        <w:pBdr>
          <w:top w:val="nil"/>
          <w:left w:val="nil"/>
          <w:bottom w:val="nil"/>
          <w:right w:val="nil"/>
          <w:between w:val="nil"/>
        </w:pBdr>
        <w:spacing w:after="0" w:line="360" w:lineRule="auto"/>
        <w:rPr>
          <w:rFonts w:ascii="Garamond" w:eastAsia="Garamond" w:hAnsi="Garamond" w:cs="Garamond"/>
          <w:sz w:val="24"/>
          <w:szCs w:val="24"/>
        </w:rPr>
      </w:pPr>
      <w:r>
        <w:rPr>
          <w:rFonts w:ascii="Garamond" w:eastAsia="Garamond" w:hAnsi="Garamond" w:cs="Garamond"/>
          <w:sz w:val="24"/>
          <w:szCs w:val="24"/>
        </w:rPr>
        <w:t>Itaú 2021</w:t>
      </w:r>
    </w:p>
    <w:p w14:paraId="0C36FBED" w14:textId="77777777" w:rsidR="00EC4499" w:rsidRDefault="00000000">
      <w:pPr>
        <w:pBdr>
          <w:top w:val="nil"/>
          <w:left w:val="nil"/>
          <w:bottom w:val="nil"/>
          <w:right w:val="nil"/>
          <w:between w:val="nil"/>
        </w:pBdr>
        <w:spacing w:after="0" w:line="360" w:lineRule="auto"/>
        <w:rPr>
          <w:rFonts w:ascii="Garamond" w:eastAsia="Garamond" w:hAnsi="Garamond" w:cs="Garamond"/>
          <w:sz w:val="24"/>
          <w:szCs w:val="24"/>
        </w:rPr>
      </w:pPr>
      <w:hyperlink r:id="rId72">
        <w:r w:rsidR="00433EA7">
          <w:rPr>
            <w:rFonts w:ascii="Garamond" w:eastAsia="Garamond" w:hAnsi="Garamond" w:cs="Garamond"/>
            <w:sz w:val="24"/>
            <w:szCs w:val="24"/>
          </w:rPr>
          <w:t>https://www.itau.com.br/download-file/v2/d/42787847-4cf6-4461-94a5-40ed237dca33/68d95972-c3bd-db69-e71c-be07cd2df046?origin=2</w:t>
        </w:r>
      </w:hyperlink>
      <w:r w:rsidR="00433EA7">
        <w:rPr>
          <w:rFonts w:ascii="Garamond" w:eastAsia="Garamond" w:hAnsi="Garamond" w:cs="Garamond"/>
          <w:sz w:val="24"/>
          <w:szCs w:val="24"/>
        </w:rPr>
        <w:t>, consultado em 9/2/2024</w:t>
      </w:r>
    </w:p>
    <w:p w14:paraId="346B5C02" w14:textId="77777777" w:rsidR="00EC4499" w:rsidRDefault="00EC4499">
      <w:pPr>
        <w:pBdr>
          <w:top w:val="nil"/>
          <w:left w:val="nil"/>
          <w:bottom w:val="nil"/>
          <w:right w:val="nil"/>
          <w:between w:val="nil"/>
        </w:pBdr>
        <w:spacing w:after="0" w:line="360" w:lineRule="auto"/>
        <w:rPr>
          <w:rFonts w:ascii="Garamond" w:eastAsia="Garamond" w:hAnsi="Garamond" w:cs="Garamond"/>
          <w:sz w:val="24"/>
          <w:szCs w:val="24"/>
        </w:rPr>
      </w:pPr>
    </w:p>
    <w:p w14:paraId="15B59950" w14:textId="77777777" w:rsidR="00EC4499" w:rsidRDefault="00433EA7">
      <w:pPr>
        <w:pBdr>
          <w:top w:val="nil"/>
          <w:left w:val="nil"/>
          <w:bottom w:val="nil"/>
          <w:right w:val="nil"/>
          <w:between w:val="nil"/>
        </w:pBdr>
        <w:spacing w:after="0" w:line="360" w:lineRule="auto"/>
        <w:rPr>
          <w:rFonts w:ascii="Garamond" w:eastAsia="Garamond" w:hAnsi="Garamond" w:cs="Garamond"/>
          <w:sz w:val="24"/>
          <w:szCs w:val="24"/>
        </w:rPr>
      </w:pPr>
      <w:r>
        <w:rPr>
          <w:rFonts w:ascii="Garamond" w:eastAsia="Garamond" w:hAnsi="Garamond" w:cs="Garamond"/>
          <w:sz w:val="24"/>
          <w:szCs w:val="24"/>
        </w:rPr>
        <w:t>Itaú 2022</w:t>
      </w:r>
    </w:p>
    <w:p w14:paraId="72C74AB5" w14:textId="77777777" w:rsidR="00EC4499" w:rsidRDefault="00000000">
      <w:pPr>
        <w:pBdr>
          <w:top w:val="nil"/>
          <w:left w:val="nil"/>
          <w:bottom w:val="nil"/>
          <w:right w:val="nil"/>
          <w:between w:val="nil"/>
        </w:pBdr>
        <w:spacing w:after="0" w:line="360" w:lineRule="auto"/>
        <w:rPr>
          <w:rFonts w:ascii="Garamond" w:eastAsia="Garamond" w:hAnsi="Garamond" w:cs="Garamond"/>
          <w:sz w:val="24"/>
          <w:szCs w:val="24"/>
        </w:rPr>
      </w:pPr>
      <w:hyperlink r:id="rId73">
        <w:r w:rsidR="00433EA7">
          <w:rPr>
            <w:rFonts w:ascii="Garamond" w:eastAsia="Garamond" w:hAnsi="Garamond" w:cs="Garamond"/>
            <w:sz w:val="24"/>
            <w:szCs w:val="24"/>
          </w:rPr>
          <w:t>https://www.itau.com.br/download-file/v2/d/42787847-4cf6-4461-94a5-40ed237dca33/0f6d20ef-214f-f8e3-7ceb-432350f7e412?origin=2</w:t>
        </w:r>
      </w:hyperlink>
      <w:r w:rsidR="00433EA7">
        <w:rPr>
          <w:rFonts w:ascii="Garamond" w:eastAsia="Garamond" w:hAnsi="Garamond" w:cs="Garamond"/>
          <w:sz w:val="24"/>
          <w:szCs w:val="24"/>
        </w:rPr>
        <w:t>, consultado em 8/2/2024</w:t>
      </w:r>
    </w:p>
    <w:p w14:paraId="6289E7E1" w14:textId="77777777" w:rsidR="00EC4499" w:rsidRDefault="00EC4499">
      <w:pPr>
        <w:pBdr>
          <w:top w:val="nil"/>
          <w:left w:val="nil"/>
          <w:bottom w:val="nil"/>
          <w:right w:val="nil"/>
          <w:between w:val="nil"/>
        </w:pBdr>
        <w:spacing w:after="0" w:line="360" w:lineRule="auto"/>
        <w:rPr>
          <w:rFonts w:ascii="Garamond" w:eastAsia="Garamond" w:hAnsi="Garamond" w:cs="Garamond"/>
          <w:sz w:val="24"/>
          <w:szCs w:val="24"/>
        </w:rPr>
      </w:pPr>
    </w:p>
    <w:p w14:paraId="5F9192C1" w14:textId="77777777" w:rsidR="00EC4499" w:rsidRDefault="00433EA7">
      <w:pPr>
        <w:pBdr>
          <w:top w:val="nil"/>
          <w:left w:val="nil"/>
          <w:bottom w:val="nil"/>
          <w:right w:val="nil"/>
          <w:between w:val="nil"/>
        </w:pBdr>
        <w:spacing w:after="0" w:line="360" w:lineRule="auto"/>
        <w:rPr>
          <w:rFonts w:ascii="Garamond" w:eastAsia="Garamond" w:hAnsi="Garamond" w:cs="Garamond"/>
          <w:sz w:val="24"/>
          <w:szCs w:val="24"/>
        </w:rPr>
      </w:pPr>
      <w:r>
        <w:rPr>
          <w:rFonts w:ascii="Garamond" w:eastAsia="Garamond" w:hAnsi="Garamond" w:cs="Garamond"/>
          <w:sz w:val="24"/>
          <w:szCs w:val="24"/>
        </w:rPr>
        <w:t>J.P. Morgan 2021</w:t>
      </w:r>
    </w:p>
    <w:p w14:paraId="6EB7E528" w14:textId="77777777" w:rsidR="00EC4499" w:rsidRDefault="00000000">
      <w:pPr>
        <w:pBdr>
          <w:top w:val="nil"/>
          <w:left w:val="nil"/>
          <w:bottom w:val="nil"/>
          <w:right w:val="nil"/>
          <w:between w:val="nil"/>
        </w:pBdr>
        <w:spacing w:after="0" w:line="360" w:lineRule="auto"/>
        <w:rPr>
          <w:rFonts w:ascii="Garamond" w:eastAsia="Garamond" w:hAnsi="Garamond" w:cs="Garamond"/>
          <w:sz w:val="24"/>
          <w:szCs w:val="24"/>
        </w:rPr>
      </w:pPr>
      <w:hyperlink r:id="rId74">
        <w:r w:rsidR="00433EA7">
          <w:rPr>
            <w:rFonts w:ascii="Garamond" w:eastAsia="Garamond" w:hAnsi="Garamond" w:cs="Garamond"/>
            <w:sz w:val="24"/>
            <w:szCs w:val="24"/>
          </w:rPr>
          <w:t>https://www.jpmorganchase.com/content/dam/jpmc/jpmorgan-chase-and-co/documents/jpmc-esg-report-2021.pdf</w:t>
        </w:r>
      </w:hyperlink>
      <w:r w:rsidR="00433EA7">
        <w:rPr>
          <w:rFonts w:ascii="Garamond" w:eastAsia="Garamond" w:hAnsi="Garamond" w:cs="Garamond"/>
          <w:sz w:val="24"/>
          <w:szCs w:val="24"/>
        </w:rPr>
        <w:t>, consultado em 19/2/2024</w:t>
      </w:r>
    </w:p>
    <w:p w14:paraId="1FDF10B7" w14:textId="77777777" w:rsidR="00EC4499" w:rsidRDefault="00EC4499">
      <w:pPr>
        <w:pBdr>
          <w:top w:val="nil"/>
          <w:left w:val="nil"/>
          <w:bottom w:val="nil"/>
          <w:right w:val="nil"/>
          <w:between w:val="nil"/>
        </w:pBdr>
        <w:spacing w:after="0" w:line="360" w:lineRule="auto"/>
        <w:rPr>
          <w:rFonts w:ascii="Garamond" w:eastAsia="Garamond" w:hAnsi="Garamond" w:cs="Garamond"/>
          <w:sz w:val="24"/>
          <w:szCs w:val="24"/>
        </w:rPr>
      </w:pPr>
    </w:p>
    <w:p w14:paraId="4B910696" w14:textId="77777777" w:rsidR="00EC4499" w:rsidRDefault="00433EA7">
      <w:pPr>
        <w:pBdr>
          <w:top w:val="nil"/>
          <w:left w:val="nil"/>
          <w:bottom w:val="nil"/>
          <w:right w:val="nil"/>
          <w:between w:val="nil"/>
        </w:pBdr>
        <w:spacing w:after="0" w:line="360" w:lineRule="auto"/>
        <w:rPr>
          <w:rFonts w:ascii="Garamond" w:eastAsia="Garamond" w:hAnsi="Garamond" w:cs="Garamond"/>
          <w:sz w:val="24"/>
          <w:szCs w:val="24"/>
        </w:rPr>
      </w:pPr>
      <w:r>
        <w:rPr>
          <w:rFonts w:ascii="Garamond" w:eastAsia="Garamond" w:hAnsi="Garamond" w:cs="Garamond"/>
          <w:sz w:val="24"/>
          <w:szCs w:val="24"/>
        </w:rPr>
        <w:t>J.P. Morgan 2022</w:t>
      </w:r>
    </w:p>
    <w:p w14:paraId="15B6749F" w14:textId="77777777" w:rsidR="00EC4499" w:rsidRDefault="00000000">
      <w:pPr>
        <w:pBdr>
          <w:top w:val="nil"/>
          <w:left w:val="nil"/>
          <w:bottom w:val="nil"/>
          <w:right w:val="nil"/>
          <w:between w:val="nil"/>
        </w:pBdr>
        <w:spacing w:after="0" w:line="360" w:lineRule="auto"/>
        <w:rPr>
          <w:rFonts w:ascii="Garamond" w:eastAsia="Garamond" w:hAnsi="Garamond" w:cs="Garamond"/>
          <w:sz w:val="24"/>
          <w:szCs w:val="24"/>
        </w:rPr>
      </w:pPr>
      <w:hyperlink r:id="rId75">
        <w:r w:rsidR="00433EA7">
          <w:rPr>
            <w:rFonts w:ascii="Garamond" w:eastAsia="Garamond" w:hAnsi="Garamond" w:cs="Garamond"/>
            <w:sz w:val="24"/>
            <w:szCs w:val="24"/>
          </w:rPr>
          <w:t>https://www.jpmorganchase.com/content/dam/jpmc/jpmorgan-chase-and-co/documents/jpmc-esg-report-2022.pdf</w:t>
        </w:r>
      </w:hyperlink>
      <w:r w:rsidR="00433EA7">
        <w:rPr>
          <w:rFonts w:ascii="Garamond" w:eastAsia="Garamond" w:hAnsi="Garamond" w:cs="Garamond"/>
          <w:sz w:val="24"/>
          <w:szCs w:val="24"/>
        </w:rPr>
        <w:t>, consultado em 19/2/2024</w:t>
      </w:r>
    </w:p>
    <w:p w14:paraId="13A4C038" w14:textId="77777777" w:rsidR="00EC4499" w:rsidRDefault="00EC4499">
      <w:pPr>
        <w:pBdr>
          <w:top w:val="nil"/>
          <w:left w:val="nil"/>
          <w:bottom w:val="nil"/>
          <w:right w:val="nil"/>
          <w:between w:val="nil"/>
        </w:pBdr>
        <w:spacing w:after="0" w:line="360" w:lineRule="auto"/>
        <w:rPr>
          <w:rFonts w:ascii="Garamond" w:eastAsia="Garamond" w:hAnsi="Garamond" w:cs="Garamond"/>
          <w:sz w:val="24"/>
          <w:szCs w:val="24"/>
        </w:rPr>
      </w:pPr>
    </w:p>
    <w:p w14:paraId="326EF09F" w14:textId="77777777" w:rsidR="00EC4499" w:rsidRDefault="00433EA7">
      <w:pPr>
        <w:pBdr>
          <w:top w:val="nil"/>
          <w:left w:val="nil"/>
          <w:bottom w:val="nil"/>
          <w:right w:val="nil"/>
          <w:between w:val="nil"/>
        </w:pBdr>
        <w:spacing w:after="0" w:line="360" w:lineRule="auto"/>
        <w:rPr>
          <w:rFonts w:ascii="Garamond" w:eastAsia="Garamond" w:hAnsi="Garamond" w:cs="Garamond"/>
          <w:sz w:val="24"/>
          <w:szCs w:val="24"/>
        </w:rPr>
      </w:pPr>
      <w:r>
        <w:rPr>
          <w:rFonts w:ascii="Garamond" w:eastAsia="Garamond" w:hAnsi="Garamond" w:cs="Garamond"/>
          <w:sz w:val="24"/>
          <w:szCs w:val="24"/>
        </w:rPr>
        <w:t>Santander 2021</w:t>
      </w:r>
    </w:p>
    <w:p w14:paraId="6511DA27" w14:textId="77777777" w:rsidR="00EC4499" w:rsidRDefault="00000000">
      <w:pPr>
        <w:pBdr>
          <w:top w:val="nil"/>
          <w:left w:val="nil"/>
          <w:bottom w:val="nil"/>
          <w:right w:val="nil"/>
          <w:between w:val="nil"/>
        </w:pBdr>
        <w:spacing w:after="0" w:line="360" w:lineRule="auto"/>
        <w:rPr>
          <w:rFonts w:ascii="Garamond" w:eastAsia="Garamond" w:hAnsi="Garamond" w:cs="Garamond"/>
          <w:sz w:val="24"/>
          <w:szCs w:val="24"/>
        </w:rPr>
      </w:pPr>
      <w:hyperlink r:id="rId76">
        <w:r w:rsidR="00433EA7">
          <w:rPr>
            <w:rFonts w:ascii="Garamond" w:eastAsia="Garamond" w:hAnsi="Garamond" w:cs="Garamond"/>
            <w:sz w:val="24"/>
            <w:szCs w:val="24"/>
          </w:rPr>
          <w:t>https://cms.santander.com.br/sites/WRI/documentos/url-rel_esg_2021/22-08-01_213506_relatorio_esg_2021_v3.pdf</w:t>
        </w:r>
      </w:hyperlink>
      <w:r w:rsidR="00433EA7">
        <w:rPr>
          <w:rFonts w:ascii="Garamond" w:eastAsia="Garamond" w:hAnsi="Garamond" w:cs="Garamond"/>
          <w:sz w:val="24"/>
          <w:szCs w:val="24"/>
        </w:rPr>
        <w:t>, consultado em 20/2/2024</w:t>
      </w:r>
    </w:p>
    <w:p w14:paraId="78EAF490" w14:textId="77777777" w:rsidR="00EC4499" w:rsidRDefault="00EC4499">
      <w:pPr>
        <w:pBdr>
          <w:top w:val="nil"/>
          <w:left w:val="nil"/>
          <w:bottom w:val="nil"/>
          <w:right w:val="nil"/>
          <w:between w:val="nil"/>
        </w:pBdr>
        <w:spacing w:after="0" w:line="360" w:lineRule="auto"/>
        <w:rPr>
          <w:rFonts w:ascii="Garamond" w:eastAsia="Garamond" w:hAnsi="Garamond" w:cs="Garamond"/>
          <w:sz w:val="24"/>
          <w:szCs w:val="24"/>
        </w:rPr>
      </w:pPr>
    </w:p>
    <w:p w14:paraId="68B535D1" w14:textId="77777777" w:rsidR="00EC4499" w:rsidRDefault="00433EA7">
      <w:pPr>
        <w:pBdr>
          <w:top w:val="nil"/>
          <w:left w:val="nil"/>
          <w:bottom w:val="nil"/>
          <w:right w:val="nil"/>
          <w:between w:val="nil"/>
        </w:pBdr>
        <w:spacing w:after="0" w:line="360" w:lineRule="auto"/>
        <w:rPr>
          <w:rFonts w:ascii="Garamond" w:eastAsia="Garamond" w:hAnsi="Garamond" w:cs="Garamond"/>
          <w:sz w:val="24"/>
          <w:szCs w:val="24"/>
        </w:rPr>
      </w:pPr>
      <w:r>
        <w:rPr>
          <w:rFonts w:ascii="Garamond" w:eastAsia="Garamond" w:hAnsi="Garamond" w:cs="Garamond"/>
          <w:sz w:val="24"/>
          <w:szCs w:val="24"/>
        </w:rPr>
        <w:t>Santander 2022</w:t>
      </w:r>
    </w:p>
    <w:p w14:paraId="0ADE765C" w14:textId="77777777" w:rsidR="00EC4499" w:rsidRDefault="00000000">
      <w:pPr>
        <w:pBdr>
          <w:top w:val="nil"/>
          <w:left w:val="nil"/>
          <w:bottom w:val="nil"/>
          <w:right w:val="nil"/>
          <w:between w:val="nil"/>
        </w:pBdr>
        <w:spacing w:after="0" w:line="360" w:lineRule="auto"/>
        <w:rPr>
          <w:rFonts w:ascii="Garamond" w:eastAsia="Garamond" w:hAnsi="Garamond" w:cs="Garamond"/>
          <w:sz w:val="24"/>
          <w:szCs w:val="24"/>
        </w:rPr>
      </w:pPr>
      <w:hyperlink r:id="rId77">
        <w:r w:rsidR="00433EA7">
          <w:rPr>
            <w:rFonts w:ascii="Garamond" w:eastAsia="Garamond" w:hAnsi="Garamond" w:cs="Garamond"/>
            <w:sz w:val="24"/>
            <w:szCs w:val="24"/>
          </w:rPr>
          <w:t>https://cms.santander.com.br/sites/WRI/documentos/url-rel_anual_2022/23-06-08_134229_relat%C3%B3rio%20anual%20integrado%202022_santander%20brasil.pdf</w:t>
        </w:r>
      </w:hyperlink>
      <w:r w:rsidR="00433EA7">
        <w:rPr>
          <w:rFonts w:ascii="Garamond" w:eastAsia="Garamond" w:hAnsi="Garamond" w:cs="Garamond"/>
          <w:sz w:val="24"/>
          <w:szCs w:val="24"/>
        </w:rPr>
        <w:t>, consultado em 20/2/2024</w:t>
      </w:r>
    </w:p>
    <w:p w14:paraId="136F5C53" w14:textId="77777777" w:rsidR="00EC4499" w:rsidRDefault="00EC4499">
      <w:pPr>
        <w:pBdr>
          <w:top w:val="nil"/>
          <w:left w:val="nil"/>
          <w:bottom w:val="nil"/>
          <w:right w:val="nil"/>
          <w:between w:val="nil"/>
        </w:pBdr>
        <w:spacing w:after="0" w:line="360" w:lineRule="auto"/>
        <w:rPr>
          <w:rFonts w:ascii="Garamond" w:eastAsia="Garamond" w:hAnsi="Garamond" w:cs="Garamond"/>
          <w:sz w:val="24"/>
          <w:szCs w:val="24"/>
        </w:rPr>
      </w:pPr>
    </w:p>
    <w:p w14:paraId="323598C5" w14:textId="77777777" w:rsidR="00EC4499" w:rsidRDefault="00433EA7">
      <w:pPr>
        <w:pBdr>
          <w:top w:val="nil"/>
          <w:left w:val="nil"/>
          <w:bottom w:val="nil"/>
          <w:right w:val="nil"/>
          <w:between w:val="nil"/>
        </w:pBdr>
        <w:spacing w:after="0" w:line="360" w:lineRule="auto"/>
        <w:rPr>
          <w:rFonts w:ascii="Garamond" w:eastAsia="Garamond" w:hAnsi="Garamond" w:cs="Garamond"/>
          <w:sz w:val="24"/>
          <w:szCs w:val="24"/>
        </w:rPr>
      </w:pPr>
      <w:r>
        <w:rPr>
          <w:rFonts w:ascii="Garamond" w:eastAsia="Garamond" w:hAnsi="Garamond" w:cs="Garamond"/>
          <w:sz w:val="24"/>
          <w:szCs w:val="24"/>
        </w:rPr>
        <w:t>Sicredi 2021</w:t>
      </w:r>
    </w:p>
    <w:p w14:paraId="4D329562" w14:textId="77777777" w:rsidR="00EC4499" w:rsidRDefault="00000000">
      <w:pPr>
        <w:pBdr>
          <w:top w:val="nil"/>
          <w:left w:val="nil"/>
          <w:bottom w:val="nil"/>
          <w:right w:val="nil"/>
          <w:between w:val="nil"/>
        </w:pBdr>
        <w:spacing w:after="0" w:line="360" w:lineRule="auto"/>
        <w:rPr>
          <w:rFonts w:ascii="Garamond" w:eastAsia="Garamond" w:hAnsi="Garamond" w:cs="Garamond"/>
          <w:sz w:val="24"/>
          <w:szCs w:val="24"/>
        </w:rPr>
      </w:pPr>
      <w:hyperlink r:id="rId78">
        <w:r w:rsidR="00433EA7">
          <w:rPr>
            <w:rFonts w:ascii="Garamond" w:eastAsia="Garamond" w:hAnsi="Garamond" w:cs="Garamond"/>
            <w:sz w:val="24"/>
            <w:szCs w:val="24"/>
          </w:rPr>
          <w:t>https://www.sicredi.com.br/media/produtos/filer_public/2022/04/26/relatorio_sustentabilidade_sicredi_2021_260422.pdf</w:t>
        </w:r>
      </w:hyperlink>
      <w:r w:rsidR="00433EA7">
        <w:rPr>
          <w:rFonts w:ascii="Garamond" w:eastAsia="Garamond" w:hAnsi="Garamond" w:cs="Garamond"/>
          <w:sz w:val="24"/>
          <w:szCs w:val="24"/>
        </w:rPr>
        <w:t>, consultado em 20/2/2024</w:t>
      </w:r>
    </w:p>
    <w:p w14:paraId="2899A5F2" w14:textId="77777777" w:rsidR="00EC4499" w:rsidRDefault="00EC4499">
      <w:pPr>
        <w:pBdr>
          <w:top w:val="nil"/>
          <w:left w:val="nil"/>
          <w:bottom w:val="nil"/>
          <w:right w:val="nil"/>
          <w:between w:val="nil"/>
        </w:pBdr>
        <w:spacing w:after="0" w:line="360" w:lineRule="auto"/>
        <w:rPr>
          <w:rFonts w:ascii="Garamond" w:eastAsia="Garamond" w:hAnsi="Garamond" w:cs="Garamond"/>
          <w:sz w:val="24"/>
          <w:szCs w:val="24"/>
        </w:rPr>
      </w:pPr>
    </w:p>
    <w:p w14:paraId="29800A7C" w14:textId="77777777" w:rsidR="00EC4499" w:rsidRDefault="00433EA7">
      <w:pPr>
        <w:pBdr>
          <w:top w:val="nil"/>
          <w:left w:val="nil"/>
          <w:bottom w:val="nil"/>
          <w:right w:val="nil"/>
          <w:between w:val="nil"/>
        </w:pBdr>
        <w:spacing w:after="0" w:line="360" w:lineRule="auto"/>
        <w:rPr>
          <w:rFonts w:ascii="Garamond" w:eastAsia="Garamond" w:hAnsi="Garamond" w:cs="Garamond"/>
          <w:sz w:val="24"/>
          <w:szCs w:val="24"/>
        </w:rPr>
      </w:pPr>
      <w:r>
        <w:rPr>
          <w:rFonts w:ascii="Garamond" w:eastAsia="Garamond" w:hAnsi="Garamond" w:cs="Garamond"/>
          <w:sz w:val="24"/>
          <w:szCs w:val="24"/>
        </w:rPr>
        <w:t>Sicredi 2022</w:t>
      </w:r>
    </w:p>
    <w:p w14:paraId="301EFB28" w14:textId="77777777" w:rsidR="00EC4499" w:rsidRDefault="00000000">
      <w:pPr>
        <w:pBdr>
          <w:top w:val="nil"/>
          <w:left w:val="nil"/>
          <w:bottom w:val="nil"/>
          <w:right w:val="nil"/>
          <w:between w:val="nil"/>
        </w:pBdr>
        <w:spacing w:after="0" w:line="360" w:lineRule="auto"/>
        <w:rPr>
          <w:rFonts w:ascii="Garamond" w:eastAsia="Garamond" w:hAnsi="Garamond" w:cs="Garamond"/>
          <w:sz w:val="24"/>
          <w:szCs w:val="24"/>
        </w:rPr>
      </w:pPr>
      <w:hyperlink r:id="rId79">
        <w:r w:rsidR="00433EA7">
          <w:rPr>
            <w:rFonts w:ascii="Garamond" w:eastAsia="Garamond" w:hAnsi="Garamond" w:cs="Garamond"/>
            <w:sz w:val="24"/>
            <w:szCs w:val="24"/>
          </w:rPr>
          <w:t>https://www.sicredi.com.br/media/produtos/filer_public/2023/04/10/sicredi_relatorio_sustentabilidade_2022.pdf</w:t>
        </w:r>
      </w:hyperlink>
      <w:r w:rsidR="00433EA7">
        <w:rPr>
          <w:rFonts w:ascii="Garamond" w:eastAsia="Garamond" w:hAnsi="Garamond" w:cs="Garamond"/>
          <w:sz w:val="24"/>
          <w:szCs w:val="24"/>
        </w:rPr>
        <w:t xml:space="preserve">, consultado em 20/2/2024 </w:t>
      </w:r>
    </w:p>
    <w:p w14:paraId="2F960BA4" w14:textId="77777777" w:rsidR="00EC4499" w:rsidRDefault="00EC4499">
      <w:pPr>
        <w:pBdr>
          <w:top w:val="nil"/>
          <w:left w:val="nil"/>
          <w:bottom w:val="nil"/>
          <w:right w:val="nil"/>
          <w:between w:val="nil"/>
        </w:pBdr>
        <w:spacing w:after="0" w:line="360" w:lineRule="auto"/>
        <w:rPr>
          <w:rFonts w:ascii="Garamond" w:eastAsia="Garamond" w:hAnsi="Garamond" w:cs="Garamond"/>
          <w:sz w:val="24"/>
          <w:szCs w:val="24"/>
        </w:rPr>
      </w:pPr>
    </w:p>
    <w:p w14:paraId="2A4971D0" w14:textId="77777777" w:rsidR="00EC4499" w:rsidRDefault="00EC4499">
      <w:pPr>
        <w:pBdr>
          <w:top w:val="nil"/>
          <w:left w:val="nil"/>
          <w:bottom w:val="nil"/>
          <w:right w:val="nil"/>
          <w:between w:val="nil"/>
        </w:pBdr>
        <w:spacing w:after="0" w:line="360" w:lineRule="auto"/>
        <w:rPr>
          <w:rFonts w:ascii="Garamond" w:eastAsia="Garamond" w:hAnsi="Garamond" w:cs="Garamond"/>
          <w:b/>
          <w:sz w:val="24"/>
          <w:szCs w:val="24"/>
        </w:rPr>
      </w:pPr>
    </w:p>
    <w:p w14:paraId="5EA00D3B" w14:textId="77777777" w:rsidR="00EC4499" w:rsidRDefault="00EC4499">
      <w:pPr>
        <w:pBdr>
          <w:top w:val="nil"/>
          <w:left w:val="nil"/>
          <w:bottom w:val="nil"/>
          <w:right w:val="nil"/>
          <w:between w:val="nil"/>
        </w:pBdr>
        <w:spacing w:after="0" w:line="240" w:lineRule="auto"/>
        <w:rPr>
          <w:rFonts w:ascii="Garamond" w:eastAsia="Garamond" w:hAnsi="Garamond" w:cs="Garamond"/>
          <w:b/>
          <w:color w:val="000000"/>
          <w:sz w:val="24"/>
          <w:szCs w:val="24"/>
        </w:rPr>
      </w:pPr>
    </w:p>
    <w:sectPr w:rsidR="00EC4499">
      <w:footerReference w:type="default" r:id="rId80"/>
      <w:headerReference w:type="first" r:id="rId81"/>
      <w:footerReference w:type="first" r:id="rId82"/>
      <w:pgSz w:w="11906" w:h="16838"/>
      <w:pgMar w:top="1700" w:right="1426" w:bottom="1968" w:left="1985"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5AFDEB" w14:textId="77777777" w:rsidR="00FA28BE" w:rsidRDefault="00FA28BE">
      <w:pPr>
        <w:spacing w:after="0" w:line="240" w:lineRule="auto"/>
      </w:pPr>
      <w:r>
        <w:separator/>
      </w:r>
    </w:p>
  </w:endnote>
  <w:endnote w:type="continuationSeparator" w:id="0">
    <w:p w14:paraId="017ECFFC" w14:textId="77777777" w:rsidR="00FA28BE" w:rsidRDefault="00FA2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C6706B9-012F-4384-AC86-87BB8B18D4A4}"/>
    <w:embedBold r:id="rId2" w:fontKey="{CF285337-2F92-4DAA-853E-94DB7DDF65A2}"/>
  </w:font>
  <w:font w:name="Garamond">
    <w:altName w:val="Garamond"/>
    <w:panose1 w:val="02020404030301010803"/>
    <w:charset w:val="00"/>
    <w:family w:val="roman"/>
    <w:pitch w:val="variable"/>
    <w:sig w:usb0="00000287" w:usb1="00000000" w:usb2="00000000" w:usb3="00000000" w:csb0="0000009F" w:csb1="00000000"/>
    <w:embedRegular r:id="rId3" w:fontKey="{37613A0D-5B55-4889-A318-1936CCADAA75}"/>
    <w:embedBold r:id="rId4" w:fontKey="{16E58741-A78E-41C0-98AC-8784E35C62DE}"/>
    <w:embedItalic r:id="rId5" w:fontKey="{8D8758B7-CAF8-4255-9B68-AC7B6EFA9F88}"/>
    <w:embedBoldItalic r:id="rId6" w:fontKey="{D6753AF0-6CD0-4F07-900F-A6A1177FE377}"/>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embedRegular r:id="rId7" w:fontKey="{FC4C0E48-BC2A-49BE-8AEA-DE6BB12E6ACD}"/>
  </w:font>
  <w:font w:name="MinionPro-Regular">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8" w:fontKey="{06C967FE-706F-458D-9FA9-6EDC4429E99C}"/>
    <w:embedItalic r:id="rId9" w:fontKey="{4A54D30A-A2CF-434A-85F5-A2183B26F4E2}"/>
  </w:font>
  <w:font w:name="Arial">
    <w:panose1 w:val="020B0604020202020204"/>
    <w:charset w:val="00"/>
    <w:family w:val="swiss"/>
    <w:pitch w:val="variable"/>
    <w:sig w:usb0="E0002EFF" w:usb1="C000785B" w:usb2="00000009" w:usb3="00000000" w:csb0="000001FF" w:csb1="00000000"/>
  </w:font>
  <w:font w:name="YllpxtAdvTTe45e47d2">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embedRegular r:id="rId10" w:fontKey="{6C38CF76-E463-4222-8253-B860BECF810F}"/>
  </w:font>
  <w:font w:name="Calibri Light">
    <w:panose1 w:val="020F0302020204030204"/>
    <w:charset w:val="00"/>
    <w:family w:val="swiss"/>
    <w:pitch w:val="variable"/>
    <w:sig w:usb0="E4002EFF" w:usb1="C200247B" w:usb2="00000009" w:usb3="00000000" w:csb0="000001FF" w:csb1="00000000"/>
    <w:embedRegular r:id="rId11" w:fontKey="{38C62031-2111-4E76-BCAB-9CF84507348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BAF26D" w14:textId="77777777" w:rsidR="00EC4499" w:rsidRDefault="00EC4499">
    <w:pPr>
      <w:pBdr>
        <w:top w:val="nil"/>
        <w:left w:val="nil"/>
        <w:bottom w:val="nil"/>
        <w:right w:val="nil"/>
        <w:between w:val="nil"/>
      </w:pBdr>
      <w:tabs>
        <w:tab w:val="center" w:pos="4252"/>
        <w:tab w:val="right" w:pos="8504"/>
      </w:tabs>
      <w:spacing w:after="0" w:line="240" w:lineRule="auto"/>
      <w:jc w:val="right"/>
      <w:rPr>
        <w:color w:val="000000"/>
      </w:rPr>
    </w:pPr>
  </w:p>
  <w:p w14:paraId="39F3216B" w14:textId="77777777" w:rsidR="00EC4499" w:rsidRDefault="00EC4499">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54D33B" w14:textId="760B6F50" w:rsidR="00EC4499" w:rsidRDefault="00433EA7">
    <w:pPr>
      <w:jc w:val="right"/>
      <w:rPr>
        <w:sz w:val="20"/>
        <w:szCs w:val="20"/>
      </w:rPr>
    </w:pPr>
    <w:r>
      <w:rPr>
        <w:sz w:val="20"/>
        <w:szCs w:val="20"/>
      </w:rPr>
      <w:fldChar w:fldCharType="begin"/>
    </w:r>
    <w:r>
      <w:rPr>
        <w:sz w:val="20"/>
        <w:szCs w:val="20"/>
      </w:rPr>
      <w:instrText>PAGE</w:instrText>
    </w:r>
    <w:r>
      <w:rPr>
        <w:sz w:val="20"/>
        <w:szCs w:val="20"/>
      </w:rPr>
      <w:fldChar w:fldCharType="separate"/>
    </w:r>
    <w:r w:rsidR="00F73D0C">
      <w:rPr>
        <w:noProof/>
        <w:sz w:val="20"/>
        <w:szCs w:val="20"/>
      </w:rPr>
      <w:t>2</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5A6A2E" w14:textId="19EB6196" w:rsidR="00EC4499" w:rsidRDefault="00433EA7">
    <w:pPr>
      <w:jc w:val="right"/>
    </w:pPr>
    <w:r>
      <w:rPr>
        <w:sz w:val="20"/>
        <w:szCs w:val="20"/>
      </w:rPr>
      <w:fldChar w:fldCharType="begin"/>
    </w:r>
    <w:r>
      <w:rPr>
        <w:sz w:val="20"/>
        <w:szCs w:val="20"/>
      </w:rPr>
      <w:instrText>PAGE</w:instrText>
    </w:r>
    <w:r>
      <w:rPr>
        <w:sz w:val="20"/>
        <w:szCs w:val="20"/>
      </w:rPr>
      <w:fldChar w:fldCharType="separate"/>
    </w:r>
    <w:r w:rsidR="00F73D0C">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ECEB2F" w14:textId="77777777" w:rsidR="00FA28BE" w:rsidRDefault="00FA28BE">
      <w:pPr>
        <w:spacing w:after="0" w:line="240" w:lineRule="auto"/>
      </w:pPr>
      <w:r>
        <w:separator/>
      </w:r>
    </w:p>
  </w:footnote>
  <w:footnote w:type="continuationSeparator" w:id="0">
    <w:p w14:paraId="65EDCEE3" w14:textId="77777777" w:rsidR="00FA28BE" w:rsidRDefault="00FA28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5A987" w14:textId="77777777" w:rsidR="00EC4499" w:rsidRDefault="00EC449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B93D5" w14:textId="77777777" w:rsidR="00EC4499" w:rsidRDefault="00EC4499">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D72674"/>
    <w:multiLevelType w:val="multilevel"/>
    <w:tmpl w:val="B22E0BEC"/>
    <w:lvl w:ilvl="0">
      <w:start w:val="1"/>
      <w:numFmt w:val="decimal"/>
      <w:pStyle w:val="Ttulo1"/>
      <w:lvlText w:val="%1."/>
      <w:lvlJc w:val="left"/>
      <w:pPr>
        <w:ind w:left="360" w:hanging="360"/>
      </w:pPr>
      <w:rPr>
        <w:sz w:val="36"/>
        <w:szCs w:val="36"/>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3D21572E"/>
    <w:multiLevelType w:val="multilevel"/>
    <w:tmpl w:val="979816A6"/>
    <w:lvl w:ilvl="0">
      <w:start w:val="4"/>
      <w:numFmt w:val="decimal"/>
      <w:lvlText w:val="%1"/>
      <w:lvlJc w:val="left"/>
      <w:pPr>
        <w:ind w:left="444" w:hanging="444"/>
      </w:pPr>
    </w:lvl>
    <w:lvl w:ilvl="1">
      <w:start w:val="5"/>
      <w:numFmt w:val="decimal"/>
      <w:lvlText w:val="%1.%2"/>
      <w:lvlJc w:val="left"/>
      <w:pPr>
        <w:ind w:left="720" w:hanging="720"/>
      </w:pPr>
    </w:lvl>
    <w:lvl w:ilvl="2">
      <w:start w:val="4"/>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16cid:durableId="1875925171">
    <w:abstractNumId w:val="0"/>
  </w:num>
  <w:num w:numId="2" w16cid:durableId="208811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499"/>
    <w:rsid w:val="00001B88"/>
    <w:rsid w:val="00011E69"/>
    <w:rsid w:val="000124F6"/>
    <w:rsid w:val="00012812"/>
    <w:rsid w:val="00017023"/>
    <w:rsid w:val="00027D8D"/>
    <w:rsid w:val="00033725"/>
    <w:rsid w:val="00033732"/>
    <w:rsid w:val="00035527"/>
    <w:rsid w:val="00037607"/>
    <w:rsid w:val="00037D37"/>
    <w:rsid w:val="00046CF5"/>
    <w:rsid w:val="00055C86"/>
    <w:rsid w:val="0006411B"/>
    <w:rsid w:val="000758B0"/>
    <w:rsid w:val="0008125C"/>
    <w:rsid w:val="00086DBE"/>
    <w:rsid w:val="00087E3A"/>
    <w:rsid w:val="00090D2B"/>
    <w:rsid w:val="00097E20"/>
    <w:rsid w:val="000A1834"/>
    <w:rsid w:val="000A4456"/>
    <w:rsid w:val="000B03CB"/>
    <w:rsid w:val="000B20C5"/>
    <w:rsid w:val="000B26D9"/>
    <w:rsid w:val="000B7199"/>
    <w:rsid w:val="000C4717"/>
    <w:rsid w:val="000C4CD1"/>
    <w:rsid w:val="000C5900"/>
    <w:rsid w:val="000C646B"/>
    <w:rsid w:val="000D3890"/>
    <w:rsid w:val="000D5CA2"/>
    <w:rsid w:val="000E1472"/>
    <w:rsid w:val="000E71B5"/>
    <w:rsid w:val="000F28FD"/>
    <w:rsid w:val="000F31D7"/>
    <w:rsid w:val="000F6460"/>
    <w:rsid w:val="00100850"/>
    <w:rsid w:val="00100882"/>
    <w:rsid w:val="0010409E"/>
    <w:rsid w:val="00112D80"/>
    <w:rsid w:val="001164ED"/>
    <w:rsid w:val="001359E1"/>
    <w:rsid w:val="00141270"/>
    <w:rsid w:val="001417AB"/>
    <w:rsid w:val="00144361"/>
    <w:rsid w:val="00150DAC"/>
    <w:rsid w:val="0015247D"/>
    <w:rsid w:val="00152583"/>
    <w:rsid w:val="00152BC3"/>
    <w:rsid w:val="00155954"/>
    <w:rsid w:val="00163771"/>
    <w:rsid w:val="0016619D"/>
    <w:rsid w:val="00166532"/>
    <w:rsid w:val="00167195"/>
    <w:rsid w:val="0017151E"/>
    <w:rsid w:val="00174443"/>
    <w:rsid w:val="0017708B"/>
    <w:rsid w:val="00186885"/>
    <w:rsid w:val="001A05F5"/>
    <w:rsid w:val="001A65E3"/>
    <w:rsid w:val="001A6A59"/>
    <w:rsid w:val="001A7312"/>
    <w:rsid w:val="001C0F09"/>
    <w:rsid w:val="001C1F3E"/>
    <w:rsid w:val="001C7D99"/>
    <w:rsid w:val="001E31F9"/>
    <w:rsid w:val="001E31FD"/>
    <w:rsid w:val="001E5DB4"/>
    <w:rsid w:val="001F149E"/>
    <w:rsid w:val="001F5548"/>
    <w:rsid w:val="00201E6B"/>
    <w:rsid w:val="00202ABF"/>
    <w:rsid w:val="002147D1"/>
    <w:rsid w:val="002232F8"/>
    <w:rsid w:val="00246F29"/>
    <w:rsid w:val="00250A6B"/>
    <w:rsid w:val="00261CDE"/>
    <w:rsid w:val="00262DDE"/>
    <w:rsid w:val="00266AC2"/>
    <w:rsid w:val="00271CBC"/>
    <w:rsid w:val="0027425B"/>
    <w:rsid w:val="0027438E"/>
    <w:rsid w:val="002761AE"/>
    <w:rsid w:val="002768EE"/>
    <w:rsid w:val="002A1F11"/>
    <w:rsid w:val="002A2B01"/>
    <w:rsid w:val="002B1824"/>
    <w:rsid w:val="002B2822"/>
    <w:rsid w:val="002B2FC7"/>
    <w:rsid w:val="002B463F"/>
    <w:rsid w:val="002B4EE5"/>
    <w:rsid w:val="002B774C"/>
    <w:rsid w:val="002C0007"/>
    <w:rsid w:val="002C448F"/>
    <w:rsid w:val="002D3D1C"/>
    <w:rsid w:val="002D6830"/>
    <w:rsid w:val="002E1349"/>
    <w:rsid w:val="002E38CB"/>
    <w:rsid w:val="002E629C"/>
    <w:rsid w:val="0030179F"/>
    <w:rsid w:val="00307B54"/>
    <w:rsid w:val="003103F1"/>
    <w:rsid w:val="0031713C"/>
    <w:rsid w:val="003337EA"/>
    <w:rsid w:val="0033550B"/>
    <w:rsid w:val="003379CB"/>
    <w:rsid w:val="003457C2"/>
    <w:rsid w:val="00345E8F"/>
    <w:rsid w:val="003461AD"/>
    <w:rsid w:val="00362EB5"/>
    <w:rsid w:val="0036347D"/>
    <w:rsid w:val="003717CF"/>
    <w:rsid w:val="00374DF8"/>
    <w:rsid w:val="00376604"/>
    <w:rsid w:val="003767EE"/>
    <w:rsid w:val="003A6623"/>
    <w:rsid w:val="003B3DB5"/>
    <w:rsid w:val="003B4AA1"/>
    <w:rsid w:val="003B6A6B"/>
    <w:rsid w:val="003B7CD3"/>
    <w:rsid w:val="003C000A"/>
    <w:rsid w:val="003C14E5"/>
    <w:rsid w:val="003D7510"/>
    <w:rsid w:val="003E16F9"/>
    <w:rsid w:val="003E41E8"/>
    <w:rsid w:val="003E6944"/>
    <w:rsid w:val="003E6D47"/>
    <w:rsid w:val="003F0E85"/>
    <w:rsid w:val="003F4A95"/>
    <w:rsid w:val="003F797B"/>
    <w:rsid w:val="00410A73"/>
    <w:rsid w:val="004155A1"/>
    <w:rsid w:val="00417B35"/>
    <w:rsid w:val="00417DDD"/>
    <w:rsid w:val="004236AC"/>
    <w:rsid w:val="00424F66"/>
    <w:rsid w:val="004251BF"/>
    <w:rsid w:val="00433EA7"/>
    <w:rsid w:val="004360BC"/>
    <w:rsid w:val="00442593"/>
    <w:rsid w:val="00445A49"/>
    <w:rsid w:val="00445CF3"/>
    <w:rsid w:val="00456348"/>
    <w:rsid w:val="004577BC"/>
    <w:rsid w:val="0046209F"/>
    <w:rsid w:val="00465DAC"/>
    <w:rsid w:val="00477F43"/>
    <w:rsid w:val="0048255A"/>
    <w:rsid w:val="00491C54"/>
    <w:rsid w:val="004925AC"/>
    <w:rsid w:val="004A1D96"/>
    <w:rsid w:val="004A67CE"/>
    <w:rsid w:val="004B12AA"/>
    <w:rsid w:val="004B7A5B"/>
    <w:rsid w:val="004C4670"/>
    <w:rsid w:val="004C4D02"/>
    <w:rsid w:val="004D222A"/>
    <w:rsid w:val="004D34B8"/>
    <w:rsid w:val="004D5480"/>
    <w:rsid w:val="004F2292"/>
    <w:rsid w:val="004F78CE"/>
    <w:rsid w:val="0051430C"/>
    <w:rsid w:val="0052181B"/>
    <w:rsid w:val="00521B3D"/>
    <w:rsid w:val="00525812"/>
    <w:rsid w:val="00527A9B"/>
    <w:rsid w:val="00535265"/>
    <w:rsid w:val="00540E56"/>
    <w:rsid w:val="0054444B"/>
    <w:rsid w:val="0054623E"/>
    <w:rsid w:val="00547F60"/>
    <w:rsid w:val="005524AD"/>
    <w:rsid w:val="005525A9"/>
    <w:rsid w:val="00552A8C"/>
    <w:rsid w:val="00553C02"/>
    <w:rsid w:val="0055515F"/>
    <w:rsid w:val="00557890"/>
    <w:rsid w:val="00557B64"/>
    <w:rsid w:val="00564607"/>
    <w:rsid w:val="005668B3"/>
    <w:rsid w:val="00566D56"/>
    <w:rsid w:val="005673B2"/>
    <w:rsid w:val="005714B9"/>
    <w:rsid w:val="00575666"/>
    <w:rsid w:val="005759B4"/>
    <w:rsid w:val="00577BE8"/>
    <w:rsid w:val="00581087"/>
    <w:rsid w:val="00594589"/>
    <w:rsid w:val="00595BC5"/>
    <w:rsid w:val="00597322"/>
    <w:rsid w:val="005A477B"/>
    <w:rsid w:val="005B1F8D"/>
    <w:rsid w:val="005B3D63"/>
    <w:rsid w:val="005B6D38"/>
    <w:rsid w:val="005C2996"/>
    <w:rsid w:val="005D54DE"/>
    <w:rsid w:val="005D6B70"/>
    <w:rsid w:val="005E1D9E"/>
    <w:rsid w:val="005F16E8"/>
    <w:rsid w:val="005F22A1"/>
    <w:rsid w:val="005F4AA4"/>
    <w:rsid w:val="005F7383"/>
    <w:rsid w:val="006005C3"/>
    <w:rsid w:val="00606EBC"/>
    <w:rsid w:val="0061054F"/>
    <w:rsid w:val="0061395E"/>
    <w:rsid w:val="0061639E"/>
    <w:rsid w:val="00616F69"/>
    <w:rsid w:val="006217AF"/>
    <w:rsid w:val="0062313D"/>
    <w:rsid w:val="00623A5D"/>
    <w:rsid w:val="006243D4"/>
    <w:rsid w:val="00625320"/>
    <w:rsid w:val="00627049"/>
    <w:rsid w:val="00627D02"/>
    <w:rsid w:val="00634553"/>
    <w:rsid w:val="00636A54"/>
    <w:rsid w:val="00636BED"/>
    <w:rsid w:val="00666A52"/>
    <w:rsid w:val="006672F6"/>
    <w:rsid w:val="00675673"/>
    <w:rsid w:val="006803D4"/>
    <w:rsid w:val="006868B7"/>
    <w:rsid w:val="00686D32"/>
    <w:rsid w:val="006873BE"/>
    <w:rsid w:val="006937FE"/>
    <w:rsid w:val="00696C68"/>
    <w:rsid w:val="006977F3"/>
    <w:rsid w:val="006A3B20"/>
    <w:rsid w:val="006A42DC"/>
    <w:rsid w:val="006A7826"/>
    <w:rsid w:val="006B16AA"/>
    <w:rsid w:val="006B4F66"/>
    <w:rsid w:val="006B705C"/>
    <w:rsid w:val="006C1E42"/>
    <w:rsid w:val="006C7240"/>
    <w:rsid w:val="006D24E5"/>
    <w:rsid w:val="006D31C6"/>
    <w:rsid w:val="006D44F8"/>
    <w:rsid w:val="006D5FD9"/>
    <w:rsid w:val="006D6A04"/>
    <w:rsid w:val="006E2013"/>
    <w:rsid w:val="007003B8"/>
    <w:rsid w:val="007057CC"/>
    <w:rsid w:val="007146FA"/>
    <w:rsid w:val="007306D9"/>
    <w:rsid w:val="00734309"/>
    <w:rsid w:val="00736551"/>
    <w:rsid w:val="0075735E"/>
    <w:rsid w:val="00761709"/>
    <w:rsid w:val="00762754"/>
    <w:rsid w:val="0077090D"/>
    <w:rsid w:val="00775F7A"/>
    <w:rsid w:val="00777A23"/>
    <w:rsid w:val="00780FE2"/>
    <w:rsid w:val="0078525D"/>
    <w:rsid w:val="007901EB"/>
    <w:rsid w:val="00790262"/>
    <w:rsid w:val="00794F4C"/>
    <w:rsid w:val="007A3A62"/>
    <w:rsid w:val="007A7E38"/>
    <w:rsid w:val="007B1664"/>
    <w:rsid w:val="007B56BC"/>
    <w:rsid w:val="007C2AFD"/>
    <w:rsid w:val="007C3FD5"/>
    <w:rsid w:val="007C437B"/>
    <w:rsid w:val="007C4A3E"/>
    <w:rsid w:val="007E007A"/>
    <w:rsid w:val="007E1BC6"/>
    <w:rsid w:val="007E7266"/>
    <w:rsid w:val="007E7872"/>
    <w:rsid w:val="007E7D4E"/>
    <w:rsid w:val="007F5E5A"/>
    <w:rsid w:val="00803391"/>
    <w:rsid w:val="008039D8"/>
    <w:rsid w:val="00804504"/>
    <w:rsid w:val="00804685"/>
    <w:rsid w:val="008047A8"/>
    <w:rsid w:val="00805C72"/>
    <w:rsid w:val="00806FD2"/>
    <w:rsid w:val="00811AF3"/>
    <w:rsid w:val="00824D4C"/>
    <w:rsid w:val="008347B5"/>
    <w:rsid w:val="0083679C"/>
    <w:rsid w:val="00837CF4"/>
    <w:rsid w:val="008426C9"/>
    <w:rsid w:val="008609AB"/>
    <w:rsid w:val="00861E2A"/>
    <w:rsid w:val="00872B83"/>
    <w:rsid w:val="0088170E"/>
    <w:rsid w:val="0088341F"/>
    <w:rsid w:val="00884168"/>
    <w:rsid w:val="00885FC8"/>
    <w:rsid w:val="00891659"/>
    <w:rsid w:val="0089201A"/>
    <w:rsid w:val="00892172"/>
    <w:rsid w:val="008A1437"/>
    <w:rsid w:val="008A1EDB"/>
    <w:rsid w:val="008A224D"/>
    <w:rsid w:val="008A5354"/>
    <w:rsid w:val="008B092B"/>
    <w:rsid w:val="008B38FD"/>
    <w:rsid w:val="008B548D"/>
    <w:rsid w:val="008C0511"/>
    <w:rsid w:val="008C0513"/>
    <w:rsid w:val="008C46A3"/>
    <w:rsid w:val="008D1202"/>
    <w:rsid w:val="008D1FCE"/>
    <w:rsid w:val="008E48BC"/>
    <w:rsid w:val="008F46CB"/>
    <w:rsid w:val="0090373D"/>
    <w:rsid w:val="0090627E"/>
    <w:rsid w:val="009125A7"/>
    <w:rsid w:val="00917BF8"/>
    <w:rsid w:val="00921D59"/>
    <w:rsid w:val="009227CD"/>
    <w:rsid w:val="009232D2"/>
    <w:rsid w:val="0092524B"/>
    <w:rsid w:val="0092799B"/>
    <w:rsid w:val="0093157F"/>
    <w:rsid w:val="00942F1B"/>
    <w:rsid w:val="009431A4"/>
    <w:rsid w:val="00947830"/>
    <w:rsid w:val="00954455"/>
    <w:rsid w:val="00954C22"/>
    <w:rsid w:val="00961E47"/>
    <w:rsid w:val="00974CAB"/>
    <w:rsid w:val="009777A3"/>
    <w:rsid w:val="0098015E"/>
    <w:rsid w:val="00986AD4"/>
    <w:rsid w:val="00993D51"/>
    <w:rsid w:val="00993DEB"/>
    <w:rsid w:val="009970D4"/>
    <w:rsid w:val="009A58AB"/>
    <w:rsid w:val="009A58CA"/>
    <w:rsid w:val="009A6CA1"/>
    <w:rsid w:val="009B2A47"/>
    <w:rsid w:val="009B4D88"/>
    <w:rsid w:val="009B676A"/>
    <w:rsid w:val="009B7933"/>
    <w:rsid w:val="009C1C84"/>
    <w:rsid w:val="009C2B41"/>
    <w:rsid w:val="009D2754"/>
    <w:rsid w:val="009D3EA3"/>
    <w:rsid w:val="009E53BA"/>
    <w:rsid w:val="009E67AB"/>
    <w:rsid w:val="009E7571"/>
    <w:rsid w:val="009F40DB"/>
    <w:rsid w:val="00A03739"/>
    <w:rsid w:val="00A13520"/>
    <w:rsid w:val="00A231BD"/>
    <w:rsid w:val="00A24D35"/>
    <w:rsid w:val="00A24EFC"/>
    <w:rsid w:val="00A31073"/>
    <w:rsid w:val="00A40813"/>
    <w:rsid w:val="00A41132"/>
    <w:rsid w:val="00A46109"/>
    <w:rsid w:val="00A53ED4"/>
    <w:rsid w:val="00A545EB"/>
    <w:rsid w:val="00A57CFE"/>
    <w:rsid w:val="00A62F7B"/>
    <w:rsid w:val="00A6354C"/>
    <w:rsid w:val="00A731E0"/>
    <w:rsid w:val="00A832B8"/>
    <w:rsid w:val="00A83F9D"/>
    <w:rsid w:val="00A86987"/>
    <w:rsid w:val="00A9340F"/>
    <w:rsid w:val="00A96444"/>
    <w:rsid w:val="00A96D0B"/>
    <w:rsid w:val="00AA6415"/>
    <w:rsid w:val="00AB2255"/>
    <w:rsid w:val="00AC0B89"/>
    <w:rsid w:val="00AC2824"/>
    <w:rsid w:val="00AE574D"/>
    <w:rsid w:val="00AE6158"/>
    <w:rsid w:val="00AF0704"/>
    <w:rsid w:val="00AF240C"/>
    <w:rsid w:val="00AF5A16"/>
    <w:rsid w:val="00AF72AD"/>
    <w:rsid w:val="00B00510"/>
    <w:rsid w:val="00B02036"/>
    <w:rsid w:val="00B050F2"/>
    <w:rsid w:val="00B058F1"/>
    <w:rsid w:val="00B06BDE"/>
    <w:rsid w:val="00B07D4E"/>
    <w:rsid w:val="00B1396B"/>
    <w:rsid w:val="00B1715D"/>
    <w:rsid w:val="00B17B44"/>
    <w:rsid w:val="00B20FD3"/>
    <w:rsid w:val="00B222A5"/>
    <w:rsid w:val="00B255AF"/>
    <w:rsid w:val="00B27A20"/>
    <w:rsid w:val="00B34CBE"/>
    <w:rsid w:val="00B3746C"/>
    <w:rsid w:val="00B43CC6"/>
    <w:rsid w:val="00B452C1"/>
    <w:rsid w:val="00B47E33"/>
    <w:rsid w:val="00B532C2"/>
    <w:rsid w:val="00B6371F"/>
    <w:rsid w:val="00B73348"/>
    <w:rsid w:val="00BB18FF"/>
    <w:rsid w:val="00BB212E"/>
    <w:rsid w:val="00BB6AA8"/>
    <w:rsid w:val="00BB7DE0"/>
    <w:rsid w:val="00BC027B"/>
    <w:rsid w:val="00BC73E7"/>
    <w:rsid w:val="00BD7CE9"/>
    <w:rsid w:val="00BE20B0"/>
    <w:rsid w:val="00BE4860"/>
    <w:rsid w:val="00C06897"/>
    <w:rsid w:val="00C126A4"/>
    <w:rsid w:val="00C22618"/>
    <w:rsid w:val="00C279EB"/>
    <w:rsid w:val="00C32BD7"/>
    <w:rsid w:val="00C3363B"/>
    <w:rsid w:val="00C405B3"/>
    <w:rsid w:val="00C40FC1"/>
    <w:rsid w:val="00C52197"/>
    <w:rsid w:val="00C55AD5"/>
    <w:rsid w:val="00C571C6"/>
    <w:rsid w:val="00C624C7"/>
    <w:rsid w:val="00C72C3F"/>
    <w:rsid w:val="00C7732C"/>
    <w:rsid w:val="00C822DC"/>
    <w:rsid w:val="00C8240C"/>
    <w:rsid w:val="00C86525"/>
    <w:rsid w:val="00C92A27"/>
    <w:rsid w:val="00C93943"/>
    <w:rsid w:val="00C94D3E"/>
    <w:rsid w:val="00CA56FB"/>
    <w:rsid w:val="00CA6227"/>
    <w:rsid w:val="00CB17E7"/>
    <w:rsid w:val="00CB2750"/>
    <w:rsid w:val="00CB3726"/>
    <w:rsid w:val="00CB5785"/>
    <w:rsid w:val="00CC3A5A"/>
    <w:rsid w:val="00CC73BD"/>
    <w:rsid w:val="00CD106A"/>
    <w:rsid w:val="00CD67E2"/>
    <w:rsid w:val="00CE00D4"/>
    <w:rsid w:val="00CE2868"/>
    <w:rsid w:val="00CE7A89"/>
    <w:rsid w:val="00CE7D35"/>
    <w:rsid w:val="00CF2350"/>
    <w:rsid w:val="00CF773E"/>
    <w:rsid w:val="00D05102"/>
    <w:rsid w:val="00D101A6"/>
    <w:rsid w:val="00D159BE"/>
    <w:rsid w:val="00D204FC"/>
    <w:rsid w:val="00D265AD"/>
    <w:rsid w:val="00D41BB2"/>
    <w:rsid w:val="00D42888"/>
    <w:rsid w:val="00D53A56"/>
    <w:rsid w:val="00D54AE9"/>
    <w:rsid w:val="00D56BBF"/>
    <w:rsid w:val="00D707FE"/>
    <w:rsid w:val="00D80C89"/>
    <w:rsid w:val="00D91662"/>
    <w:rsid w:val="00D92384"/>
    <w:rsid w:val="00D93E8E"/>
    <w:rsid w:val="00D95E30"/>
    <w:rsid w:val="00D974ED"/>
    <w:rsid w:val="00D97CD3"/>
    <w:rsid w:val="00D97F86"/>
    <w:rsid w:val="00DB2803"/>
    <w:rsid w:val="00DB2EC7"/>
    <w:rsid w:val="00DB4C5C"/>
    <w:rsid w:val="00DC0579"/>
    <w:rsid w:val="00DC2302"/>
    <w:rsid w:val="00DC3551"/>
    <w:rsid w:val="00DC5B4D"/>
    <w:rsid w:val="00DC5D55"/>
    <w:rsid w:val="00DD43E7"/>
    <w:rsid w:val="00DE117F"/>
    <w:rsid w:val="00DE129E"/>
    <w:rsid w:val="00DF02C5"/>
    <w:rsid w:val="00E0028A"/>
    <w:rsid w:val="00E05DC3"/>
    <w:rsid w:val="00E10C42"/>
    <w:rsid w:val="00E15846"/>
    <w:rsid w:val="00E23033"/>
    <w:rsid w:val="00E241C1"/>
    <w:rsid w:val="00E255CC"/>
    <w:rsid w:val="00E30EBC"/>
    <w:rsid w:val="00E31BFE"/>
    <w:rsid w:val="00E32C7B"/>
    <w:rsid w:val="00E334DC"/>
    <w:rsid w:val="00E336A2"/>
    <w:rsid w:val="00E55532"/>
    <w:rsid w:val="00E60819"/>
    <w:rsid w:val="00E64F1E"/>
    <w:rsid w:val="00E73450"/>
    <w:rsid w:val="00E7467E"/>
    <w:rsid w:val="00E75EE2"/>
    <w:rsid w:val="00E80AB7"/>
    <w:rsid w:val="00E81EA5"/>
    <w:rsid w:val="00E84AB0"/>
    <w:rsid w:val="00E91CE4"/>
    <w:rsid w:val="00E93A63"/>
    <w:rsid w:val="00E958A3"/>
    <w:rsid w:val="00EA05FD"/>
    <w:rsid w:val="00EA332A"/>
    <w:rsid w:val="00EA5104"/>
    <w:rsid w:val="00EA7C37"/>
    <w:rsid w:val="00EA7D4D"/>
    <w:rsid w:val="00EB1918"/>
    <w:rsid w:val="00EB1EB6"/>
    <w:rsid w:val="00EB4046"/>
    <w:rsid w:val="00EB5BFF"/>
    <w:rsid w:val="00EC4499"/>
    <w:rsid w:val="00EC76BC"/>
    <w:rsid w:val="00ED3387"/>
    <w:rsid w:val="00ED4D8D"/>
    <w:rsid w:val="00ED4FF0"/>
    <w:rsid w:val="00ED6428"/>
    <w:rsid w:val="00ED6C1B"/>
    <w:rsid w:val="00EE0239"/>
    <w:rsid w:val="00EE5C9E"/>
    <w:rsid w:val="00EF1849"/>
    <w:rsid w:val="00EF291D"/>
    <w:rsid w:val="00EF3810"/>
    <w:rsid w:val="00EF5929"/>
    <w:rsid w:val="00EF7C38"/>
    <w:rsid w:val="00F00F3B"/>
    <w:rsid w:val="00F043FC"/>
    <w:rsid w:val="00F06E31"/>
    <w:rsid w:val="00F07A3A"/>
    <w:rsid w:val="00F112C2"/>
    <w:rsid w:val="00F140A0"/>
    <w:rsid w:val="00F378DB"/>
    <w:rsid w:val="00F42BD4"/>
    <w:rsid w:val="00F448AD"/>
    <w:rsid w:val="00F50CBE"/>
    <w:rsid w:val="00F511B7"/>
    <w:rsid w:val="00F5190C"/>
    <w:rsid w:val="00F73D0C"/>
    <w:rsid w:val="00F76800"/>
    <w:rsid w:val="00F8063E"/>
    <w:rsid w:val="00F85498"/>
    <w:rsid w:val="00F8648E"/>
    <w:rsid w:val="00FA28BE"/>
    <w:rsid w:val="00FB3173"/>
    <w:rsid w:val="00FB37B9"/>
    <w:rsid w:val="00FB541B"/>
    <w:rsid w:val="00FB54EB"/>
    <w:rsid w:val="00FC7A69"/>
    <w:rsid w:val="00FD02AF"/>
    <w:rsid w:val="00FD1375"/>
    <w:rsid w:val="00FE072B"/>
    <w:rsid w:val="00FE2F55"/>
    <w:rsid w:val="00FE6019"/>
    <w:rsid w:val="00FF0895"/>
    <w:rsid w:val="00FF374C"/>
    <w:rsid w:val="00FF53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811ABB"/>
  <w15:docId w15:val="{781547A7-F653-48E4-A292-ADE127426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3C1"/>
  </w:style>
  <w:style w:type="paragraph" w:styleId="Ttulo1">
    <w:name w:val="heading 1"/>
    <w:basedOn w:val="Normal"/>
    <w:next w:val="Normal"/>
    <w:uiPriority w:val="9"/>
    <w:qFormat/>
    <w:rsid w:val="008347B5"/>
    <w:pPr>
      <w:keepNext/>
      <w:keepLines/>
      <w:pageBreakBefore/>
      <w:numPr>
        <w:numId w:val="1"/>
      </w:numPr>
      <w:spacing w:before="480" w:after="0" w:line="360" w:lineRule="auto"/>
      <w:outlineLvl w:val="0"/>
    </w:pPr>
    <w:rPr>
      <w:rFonts w:ascii="Garamond" w:eastAsia="Garamond" w:hAnsi="Garamond" w:cs="Garamond"/>
      <w:b/>
      <w:sz w:val="36"/>
      <w:szCs w:val="36"/>
    </w:rPr>
  </w:style>
  <w:style w:type="paragraph" w:styleId="Ttulo2">
    <w:name w:val="heading 2"/>
    <w:basedOn w:val="Normal"/>
    <w:next w:val="Normal"/>
    <w:link w:val="Ttulo2Char"/>
    <w:uiPriority w:val="9"/>
    <w:unhideWhenUsed/>
    <w:qFormat/>
    <w:pPr>
      <w:keepNext/>
      <w:keepLines/>
      <w:spacing w:before="360" w:after="80"/>
      <w:outlineLvl w:val="1"/>
    </w:pPr>
    <w:rPr>
      <w:b/>
      <w:sz w:val="36"/>
      <w:szCs w:val="36"/>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styleId="Hyperlink">
    <w:name w:val="Hyperlink"/>
    <w:basedOn w:val="Fontepargpadro"/>
    <w:uiPriority w:val="99"/>
    <w:unhideWhenUsed/>
    <w:rsid w:val="001E3D1B"/>
    <w:rPr>
      <w:color w:val="0000FF"/>
      <w:u w:val="single"/>
    </w:rPr>
  </w:style>
  <w:style w:type="character" w:customStyle="1" w:styleId="countup">
    <w:name w:val="countup"/>
    <w:basedOn w:val="Fontepargpadro"/>
    <w:qFormat/>
    <w:rsid w:val="001E3D1B"/>
  </w:style>
  <w:style w:type="paragraph" w:styleId="NormalWeb">
    <w:name w:val="Normal (Web)"/>
    <w:basedOn w:val="Normal"/>
    <w:uiPriority w:val="99"/>
    <w:unhideWhenUsed/>
    <w:qFormat/>
    <w:rsid w:val="001E3D1B"/>
    <w:pPr>
      <w:suppressAutoHyphens/>
      <w:spacing w:beforeAutospacing="1" w:afterAutospacing="1" w:line="240" w:lineRule="auto"/>
    </w:pPr>
    <w:rPr>
      <w:rFonts w:ascii="Times New Roman" w:eastAsia="Times New Roman" w:hAnsi="Times New Roman" w:cs="Times New Roman"/>
      <w:sz w:val="24"/>
      <w:szCs w:val="24"/>
    </w:rPr>
  </w:style>
  <w:style w:type="paragraph" w:customStyle="1" w:styleId="Titulo">
    <w:name w:val="Titulo"/>
    <w:basedOn w:val="Normal"/>
    <w:rsid w:val="00E669EA"/>
    <w:pPr>
      <w:widowControl w:val="0"/>
      <w:spacing w:before="160" w:after="0" w:line="240" w:lineRule="auto"/>
    </w:pPr>
    <w:rPr>
      <w:rFonts w:ascii="Garamond" w:eastAsia="Garamond" w:hAnsi="Garamond" w:cs="Garamond"/>
      <w:sz w:val="28"/>
      <w:szCs w:val="28"/>
      <w:lang w:val="en-GB" w:eastAsia="pt-PT"/>
    </w:rPr>
  </w:style>
  <w:style w:type="paragraph" w:customStyle="1" w:styleId="NomeAluno">
    <w:name w:val="Nome Aluno"/>
    <w:basedOn w:val="Titulo"/>
    <w:rsid w:val="00E669EA"/>
    <w:rPr>
      <w:b/>
      <w:sz w:val="24"/>
      <w:szCs w:val="24"/>
    </w:rPr>
  </w:style>
  <w:style w:type="paragraph" w:customStyle="1" w:styleId="Sub-Titulo1">
    <w:name w:val="Sub-Titulo 1"/>
    <w:basedOn w:val="Normal"/>
    <w:rsid w:val="00E669EA"/>
    <w:pPr>
      <w:spacing w:before="160" w:after="0" w:line="240" w:lineRule="auto"/>
    </w:pPr>
    <w:rPr>
      <w:rFonts w:ascii="Garamond" w:eastAsia="Garamond" w:hAnsi="Garamond" w:cs="Garamond"/>
      <w:sz w:val="24"/>
      <w:szCs w:val="24"/>
      <w:lang w:val="pt-PT" w:eastAsia="pt-PT"/>
    </w:rPr>
  </w:style>
  <w:style w:type="paragraph" w:customStyle="1" w:styleId="Sub-Titulo2">
    <w:name w:val="Sub-Titulo 2"/>
    <w:basedOn w:val="Sub-Titulo1"/>
    <w:rsid w:val="00E669EA"/>
    <w:pPr>
      <w:spacing w:before="80"/>
    </w:pPr>
  </w:style>
  <w:style w:type="paragraph" w:customStyle="1" w:styleId="Orientadores">
    <w:name w:val="Orientadores"/>
    <w:basedOn w:val="Sub-Titulo2"/>
    <w:rsid w:val="00E669EA"/>
    <w:pPr>
      <w:spacing w:before="0" w:line="288" w:lineRule="auto"/>
    </w:pPr>
    <w:rPr>
      <w:b/>
    </w:rPr>
  </w:style>
  <w:style w:type="character" w:styleId="MenoPendente">
    <w:name w:val="Unresolved Mention"/>
    <w:basedOn w:val="Fontepargpadro"/>
    <w:uiPriority w:val="99"/>
    <w:semiHidden/>
    <w:unhideWhenUsed/>
    <w:rsid w:val="00F25B0E"/>
    <w:rPr>
      <w:color w:val="605E5C"/>
      <w:shd w:val="clear" w:color="auto" w:fill="E1DFDD"/>
    </w:rPr>
  </w:style>
  <w:style w:type="paragraph" w:styleId="PargrafodaLista">
    <w:name w:val="List Paragraph"/>
    <w:basedOn w:val="Normal"/>
    <w:uiPriority w:val="34"/>
    <w:qFormat/>
    <w:rsid w:val="00E8117B"/>
    <w:pPr>
      <w:ind w:left="720"/>
      <w:contextualSpacing/>
    </w:pPr>
  </w:style>
  <w:style w:type="paragraph" w:styleId="Pr-formataoHTML">
    <w:name w:val="HTML Preformatted"/>
    <w:basedOn w:val="Normal"/>
    <w:link w:val="Pr-formataoHTMLChar"/>
    <w:uiPriority w:val="99"/>
    <w:unhideWhenUsed/>
    <w:rsid w:val="00A77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A77370"/>
    <w:rPr>
      <w:rFonts w:ascii="Courier New" w:eastAsia="Times New Roman" w:hAnsi="Courier New" w:cs="Courier New"/>
      <w:kern w:val="0"/>
      <w:sz w:val="20"/>
      <w:szCs w:val="20"/>
      <w:lang w:eastAsia="pt-BR"/>
    </w:rPr>
  </w:style>
  <w:style w:type="character" w:customStyle="1" w:styleId="y2iqfc">
    <w:name w:val="y2iqfc"/>
    <w:basedOn w:val="Fontepargpadro"/>
    <w:rsid w:val="00A77370"/>
  </w:style>
  <w:style w:type="paragraph" w:styleId="TextosemFormatao">
    <w:name w:val="Plain Text"/>
    <w:basedOn w:val="Normal"/>
    <w:link w:val="TextosemFormataoChar"/>
    <w:uiPriority w:val="99"/>
    <w:unhideWhenUsed/>
    <w:rsid w:val="00F7256D"/>
    <w:pPr>
      <w:spacing w:after="0" w:line="240" w:lineRule="auto"/>
    </w:pPr>
    <w:rPr>
      <w:rFonts w:ascii="Consolas" w:hAnsi="Consolas"/>
      <w:sz w:val="21"/>
      <w:szCs w:val="21"/>
    </w:rPr>
  </w:style>
  <w:style w:type="character" w:customStyle="1" w:styleId="TextosemFormataoChar">
    <w:name w:val="Texto sem Formatação Char"/>
    <w:basedOn w:val="Fontepargpadro"/>
    <w:link w:val="TextosemFormatao"/>
    <w:uiPriority w:val="99"/>
    <w:rsid w:val="00F7256D"/>
    <w:rPr>
      <w:rFonts w:ascii="Consolas" w:hAnsi="Consolas"/>
      <w:sz w:val="21"/>
      <w:szCs w:val="21"/>
    </w:rPr>
  </w:style>
  <w:style w:type="paragraph" w:styleId="Cabealho">
    <w:name w:val="header"/>
    <w:basedOn w:val="Normal"/>
    <w:link w:val="CabealhoChar"/>
    <w:uiPriority w:val="99"/>
    <w:unhideWhenUsed/>
    <w:rsid w:val="008765B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765B0"/>
  </w:style>
  <w:style w:type="paragraph" w:styleId="Rodap">
    <w:name w:val="footer"/>
    <w:basedOn w:val="Normal"/>
    <w:link w:val="RodapChar"/>
    <w:uiPriority w:val="99"/>
    <w:unhideWhenUsed/>
    <w:rsid w:val="008765B0"/>
    <w:pPr>
      <w:tabs>
        <w:tab w:val="center" w:pos="4252"/>
        <w:tab w:val="right" w:pos="8504"/>
      </w:tabs>
      <w:spacing w:after="0" w:line="240" w:lineRule="auto"/>
    </w:pPr>
  </w:style>
  <w:style w:type="character" w:customStyle="1" w:styleId="RodapChar">
    <w:name w:val="Rodapé Char"/>
    <w:basedOn w:val="Fontepargpadro"/>
    <w:link w:val="Rodap"/>
    <w:uiPriority w:val="99"/>
    <w:rsid w:val="008765B0"/>
  </w:style>
  <w:style w:type="paragraph" w:customStyle="1" w:styleId="EndNoteBibliographyTitle">
    <w:name w:val="EndNote Bibliography Title"/>
    <w:basedOn w:val="Normal"/>
    <w:link w:val="EndNoteBibliographyTitleChar"/>
    <w:rsid w:val="007E783A"/>
    <w:pPr>
      <w:spacing w:after="0"/>
      <w:jc w:val="center"/>
    </w:pPr>
    <w:rPr>
      <w:noProof/>
      <w:lang w:val="en-US"/>
    </w:rPr>
  </w:style>
  <w:style w:type="character" w:customStyle="1" w:styleId="EndNoteBibliographyTitleChar">
    <w:name w:val="EndNote Bibliography Title Char"/>
    <w:basedOn w:val="Fontepargpadro"/>
    <w:link w:val="EndNoteBibliographyTitle"/>
    <w:rsid w:val="007E783A"/>
    <w:rPr>
      <w:rFonts w:ascii="Calibri" w:hAnsi="Calibri" w:cs="Calibri"/>
      <w:noProof/>
      <w:lang w:val="en-US"/>
    </w:rPr>
  </w:style>
  <w:style w:type="paragraph" w:customStyle="1" w:styleId="EndNoteBibliography">
    <w:name w:val="EndNote Bibliography"/>
    <w:basedOn w:val="Normal"/>
    <w:link w:val="EndNoteBibliographyChar"/>
    <w:rsid w:val="007E783A"/>
    <w:pPr>
      <w:spacing w:line="240" w:lineRule="auto"/>
    </w:pPr>
    <w:rPr>
      <w:noProof/>
      <w:lang w:val="en-US"/>
    </w:rPr>
  </w:style>
  <w:style w:type="character" w:customStyle="1" w:styleId="EndNoteBibliographyChar">
    <w:name w:val="EndNote Bibliography Char"/>
    <w:basedOn w:val="Fontepargpadro"/>
    <w:link w:val="EndNoteBibliography"/>
    <w:rsid w:val="007E783A"/>
    <w:rPr>
      <w:rFonts w:ascii="Calibri" w:hAnsi="Calibri" w:cs="Calibri"/>
      <w:noProof/>
      <w:lang w:val="en-US"/>
    </w:rPr>
  </w:style>
  <w:style w:type="paragraph" w:customStyle="1" w:styleId="EndNoteCategoryHeading">
    <w:name w:val="EndNote Category Heading"/>
    <w:basedOn w:val="Normal"/>
    <w:link w:val="EndNoteCategoryHeadingChar"/>
    <w:rsid w:val="007E783A"/>
    <w:pPr>
      <w:spacing w:before="120" w:after="120"/>
    </w:pPr>
    <w:rPr>
      <w:b/>
      <w:noProof/>
      <w:lang w:val="en-US"/>
    </w:rPr>
  </w:style>
  <w:style w:type="character" w:customStyle="1" w:styleId="EndNoteCategoryHeadingChar">
    <w:name w:val="EndNote Category Heading Char"/>
    <w:basedOn w:val="Fontepargpadro"/>
    <w:link w:val="EndNoteCategoryHeading"/>
    <w:rsid w:val="007E783A"/>
    <w:rPr>
      <w:b/>
      <w:noProof/>
      <w:lang w:val="en-US"/>
    </w:rPr>
  </w:style>
  <w:style w:type="character" w:customStyle="1" w:styleId="normaltextrun">
    <w:name w:val="normaltextrun"/>
    <w:basedOn w:val="Fontepargpadro"/>
    <w:rsid w:val="00186E1A"/>
  </w:style>
  <w:style w:type="character" w:styleId="HiperlinkVisitado">
    <w:name w:val="FollowedHyperlink"/>
    <w:basedOn w:val="Fontepargpadro"/>
    <w:uiPriority w:val="99"/>
    <w:semiHidden/>
    <w:unhideWhenUsed/>
    <w:rsid w:val="00933A52"/>
    <w:rPr>
      <w:color w:val="954F72" w:themeColor="followedHyperlink"/>
      <w:u w:val="single"/>
    </w:rPr>
  </w:style>
  <w:style w:type="paragraph" w:customStyle="1" w:styleId="BasicParagraph">
    <w:name w:val="[Basic Paragraph]"/>
    <w:basedOn w:val="Normal"/>
    <w:uiPriority w:val="99"/>
    <w:rsid w:val="00425124"/>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sz w:val="24"/>
      <w:szCs w:val="24"/>
      <w:lang w:val="en-GB"/>
    </w:rPr>
  </w:style>
  <w:style w:type="character" w:customStyle="1" w:styleId="pl-2">
    <w:name w:val="pl-2"/>
    <w:basedOn w:val="Fontepargpadro"/>
    <w:rsid w:val="001E4EC6"/>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70" w:type="dxa"/>
        <w:right w:w="70" w:type="dxa"/>
      </w:tblCellMar>
    </w:tblPr>
  </w:style>
  <w:style w:type="table" w:customStyle="1" w:styleId="a6">
    <w:basedOn w:val="TableNormal"/>
    <w:tblPr>
      <w:tblStyleRowBandSize w:val="1"/>
      <w:tblStyleColBandSize w:val="1"/>
      <w:tblCellMar>
        <w:left w:w="70" w:type="dxa"/>
        <w:right w:w="70" w:type="dxa"/>
      </w:tblCellMar>
    </w:tblPr>
  </w:style>
  <w:style w:type="table" w:customStyle="1" w:styleId="a7">
    <w:basedOn w:val="TableNormal"/>
    <w:tblPr>
      <w:tblStyleRowBandSize w:val="1"/>
      <w:tblStyleColBandSize w:val="1"/>
      <w:tblCellMar>
        <w:left w:w="70" w:type="dxa"/>
        <w:right w:w="70" w:type="dxa"/>
      </w:tblCellMar>
    </w:tblPr>
  </w:style>
  <w:style w:type="table" w:customStyle="1" w:styleId="a8">
    <w:basedOn w:val="TableNormal"/>
    <w:tblPr>
      <w:tblStyleRowBandSize w:val="1"/>
      <w:tblStyleColBandSize w:val="1"/>
      <w:tblCellMar>
        <w:left w:w="70" w:type="dxa"/>
        <w:right w:w="70" w:type="dxa"/>
      </w:tblCellMar>
    </w:tblPr>
  </w:style>
  <w:style w:type="table" w:customStyle="1" w:styleId="a9">
    <w:basedOn w:val="TableNormal"/>
    <w:tblPr>
      <w:tblStyleRowBandSize w:val="1"/>
      <w:tblStyleColBandSize w:val="1"/>
      <w:tblCellMar>
        <w:left w:w="70" w:type="dxa"/>
        <w:right w:w="70" w:type="dxa"/>
      </w:tblCellMar>
    </w:tblPr>
  </w:style>
  <w:style w:type="table" w:customStyle="1" w:styleId="aa">
    <w:basedOn w:val="TableNormal"/>
    <w:tblPr>
      <w:tblStyleRowBandSize w:val="1"/>
      <w:tblStyleColBandSize w:val="1"/>
      <w:tblCellMar>
        <w:left w:w="70" w:type="dxa"/>
        <w:right w:w="70" w:type="dxa"/>
      </w:tblCellMar>
    </w:tblPr>
  </w:style>
  <w:style w:type="table" w:customStyle="1" w:styleId="ab">
    <w:basedOn w:val="TableNormal"/>
    <w:tblPr>
      <w:tblStyleRowBandSize w:val="1"/>
      <w:tblStyleColBandSize w:val="1"/>
      <w:tblCellMar>
        <w:left w:w="70" w:type="dxa"/>
        <w:right w:w="70" w:type="dxa"/>
      </w:tblCellMar>
    </w:tblPr>
  </w:style>
  <w:style w:type="table" w:customStyle="1" w:styleId="ac">
    <w:basedOn w:val="TableNormal"/>
    <w:tblPr>
      <w:tblStyleRowBandSize w:val="1"/>
      <w:tblStyleColBandSize w:val="1"/>
      <w:tblCellMar>
        <w:left w:w="70" w:type="dxa"/>
        <w:right w:w="70" w:type="dxa"/>
      </w:tblCellMar>
    </w:tblPr>
  </w:style>
  <w:style w:type="table" w:customStyle="1" w:styleId="ad">
    <w:basedOn w:val="TableNormal"/>
    <w:tblPr>
      <w:tblStyleRowBandSize w:val="1"/>
      <w:tblStyleColBandSize w:val="1"/>
      <w:tblCellMar>
        <w:left w:w="70" w:type="dxa"/>
        <w:right w:w="70" w:type="dxa"/>
      </w:tblCellMar>
    </w:tblPr>
  </w:style>
  <w:style w:type="table" w:customStyle="1" w:styleId="ae">
    <w:basedOn w:val="TableNormal"/>
    <w:tblPr>
      <w:tblStyleRowBandSize w:val="1"/>
      <w:tblStyleColBandSize w:val="1"/>
      <w:tblCellMar>
        <w:left w:w="70" w:type="dxa"/>
        <w:right w:w="70" w:type="dxa"/>
      </w:tblCellMar>
    </w:tblPr>
  </w:style>
  <w:style w:type="table" w:customStyle="1" w:styleId="af">
    <w:basedOn w:val="TableNormal"/>
    <w:tblPr>
      <w:tblStyleRowBandSize w:val="1"/>
      <w:tblStyleColBandSize w:val="1"/>
      <w:tblCellMar>
        <w:left w:w="70" w:type="dxa"/>
        <w:right w:w="70" w:type="dxa"/>
      </w:tblCellMar>
    </w:tblPr>
  </w:style>
  <w:style w:type="table" w:customStyle="1" w:styleId="af0">
    <w:basedOn w:val="TableNormal"/>
    <w:tblPr>
      <w:tblStyleRowBandSize w:val="1"/>
      <w:tblStyleColBandSize w:val="1"/>
      <w:tblCellMar>
        <w:left w:w="70" w:type="dxa"/>
        <w:right w:w="70" w:type="dxa"/>
      </w:tblCellMar>
    </w:tblPr>
  </w:style>
  <w:style w:type="table" w:customStyle="1" w:styleId="af1">
    <w:basedOn w:val="TableNormal"/>
    <w:tblPr>
      <w:tblStyleRowBandSize w:val="1"/>
      <w:tblStyleColBandSize w:val="1"/>
      <w:tblCellMar>
        <w:left w:w="70" w:type="dxa"/>
        <w:right w:w="70" w:type="dxa"/>
      </w:tblCellMar>
    </w:tblPr>
  </w:style>
  <w:style w:type="table" w:customStyle="1" w:styleId="af2">
    <w:basedOn w:val="TableNormal"/>
    <w:tblPr>
      <w:tblStyleRowBandSize w:val="1"/>
      <w:tblStyleColBandSize w:val="1"/>
      <w:tblCellMar>
        <w:left w:w="70" w:type="dxa"/>
        <w:right w:w="70" w:type="dxa"/>
      </w:tblCellMar>
    </w:tblPr>
  </w:style>
  <w:style w:type="table" w:customStyle="1" w:styleId="af3">
    <w:basedOn w:val="TableNormal"/>
    <w:tblPr>
      <w:tblStyleRowBandSize w:val="1"/>
      <w:tblStyleColBandSize w:val="1"/>
      <w:tblCellMar>
        <w:left w:w="70" w:type="dxa"/>
        <w:right w:w="70" w:type="dxa"/>
      </w:tblCellMar>
    </w:tblPr>
  </w:style>
  <w:style w:type="table" w:customStyle="1" w:styleId="af4">
    <w:basedOn w:val="TableNormal"/>
    <w:tblPr>
      <w:tblStyleRowBandSize w:val="1"/>
      <w:tblStyleColBandSize w:val="1"/>
      <w:tblCellMar>
        <w:left w:w="70" w:type="dxa"/>
        <w:right w:w="70" w:type="dxa"/>
      </w:tblCellMar>
    </w:tblPr>
  </w:style>
  <w:style w:type="table" w:customStyle="1" w:styleId="af5">
    <w:basedOn w:val="TableNormal"/>
    <w:tblPr>
      <w:tblStyleRowBandSize w:val="1"/>
      <w:tblStyleColBandSize w:val="1"/>
      <w:tblCellMar>
        <w:left w:w="70" w:type="dxa"/>
        <w:right w:w="70" w:type="dxa"/>
      </w:tblCellMar>
    </w:tblPr>
  </w:style>
  <w:style w:type="table" w:customStyle="1" w:styleId="af6">
    <w:basedOn w:val="TableNormal"/>
    <w:tblPr>
      <w:tblStyleRowBandSize w:val="1"/>
      <w:tblStyleColBandSize w:val="1"/>
      <w:tblCellMar>
        <w:left w:w="70" w:type="dxa"/>
        <w:right w:w="70" w:type="dxa"/>
      </w:tblCellMar>
    </w:tblPr>
  </w:style>
  <w:style w:type="table" w:customStyle="1" w:styleId="af7">
    <w:basedOn w:val="TableNormal"/>
    <w:tblPr>
      <w:tblStyleRowBandSize w:val="1"/>
      <w:tblStyleColBandSize w:val="1"/>
      <w:tblCellMar>
        <w:left w:w="70" w:type="dxa"/>
        <w:right w:w="70" w:type="dxa"/>
      </w:tblCellMar>
    </w:tblPr>
  </w:style>
  <w:style w:type="table" w:customStyle="1" w:styleId="af8">
    <w:basedOn w:val="TableNormal"/>
    <w:tblPr>
      <w:tblStyleRowBandSize w:val="1"/>
      <w:tblStyleColBandSize w:val="1"/>
      <w:tblCellMar>
        <w:left w:w="70" w:type="dxa"/>
        <w:right w:w="70" w:type="dxa"/>
      </w:tblCellMar>
    </w:tblPr>
  </w:style>
  <w:style w:type="table" w:customStyle="1" w:styleId="af9">
    <w:basedOn w:val="TableNormal"/>
    <w:tblPr>
      <w:tblStyleRowBandSize w:val="1"/>
      <w:tblStyleColBandSize w:val="1"/>
      <w:tblCellMar>
        <w:left w:w="70" w:type="dxa"/>
        <w:right w:w="70" w:type="dxa"/>
      </w:tblCellMar>
    </w:tblPr>
  </w:style>
  <w:style w:type="table" w:customStyle="1" w:styleId="afa">
    <w:basedOn w:val="TableNormal"/>
    <w:tblPr>
      <w:tblStyleRowBandSize w:val="1"/>
      <w:tblStyleColBandSize w:val="1"/>
      <w:tblCellMar>
        <w:left w:w="70" w:type="dxa"/>
        <w:right w:w="70" w:type="dxa"/>
      </w:tblCellMar>
    </w:tblPr>
  </w:style>
  <w:style w:type="table" w:customStyle="1" w:styleId="afb">
    <w:basedOn w:val="TableNormal"/>
    <w:tblPr>
      <w:tblStyleRowBandSize w:val="1"/>
      <w:tblStyleColBandSize w:val="1"/>
      <w:tblCellMar>
        <w:left w:w="70" w:type="dxa"/>
        <w:right w:w="70" w:type="dxa"/>
      </w:tblCellMar>
    </w:tblPr>
  </w:style>
  <w:style w:type="character" w:styleId="Refdecomentrio">
    <w:name w:val="annotation reference"/>
    <w:basedOn w:val="Fontepargpadro"/>
    <w:uiPriority w:val="99"/>
    <w:semiHidden/>
    <w:unhideWhenUsed/>
    <w:rsid w:val="00794F4C"/>
    <w:rPr>
      <w:sz w:val="16"/>
      <w:szCs w:val="16"/>
    </w:rPr>
  </w:style>
  <w:style w:type="paragraph" w:styleId="Textodecomentrio">
    <w:name w:val="annotation text"/>
    <w:basedOn w:val="Normal"/>
    <w:link w:val="TextodecomentrioChar"/>
    <w:uiPriority w:val="99"/>
    <w:unhideWhenUsed/>
    <w:rsid w:val="00794F4C"/>
    <w:pPr>
      <w:spacing w:line="240" w:lineRule="auto"/>
    </w:pPr>
    <w:rPr>
      <w:sz w:val="20"/>
      <w:szCs w:val="20"/>
    </w:rPr>
  </w:style>
  <w:style w:type="character" w:customStyle="1" w:styleId="TextodecomentrioChar">
    <w:name w:val="Texto de comentário Char"/>
    <w:basedOn w:val="Fontepargpadro"/>
    <w:link w:val="Textodecomentrio"/>
    <w:uiPriority w:val="99"/>
    <w:rsid w:val="00794F4C"/>
    <w:rPr>
      <w:sz w:val="20"/>
      <w:szCs w:val="20"/>
    </w:rPr>
  </w:style>
  <w:style w:type="paragraph" w:styleId="Assuntodocomentrio">
    <w:name w:val="annotation subject"/>
    <w:basedOn w:val="Textodecomentrio"/>
    <w:next w:val="Textodecomentrio"/>
    <w:link w:val="AssuntodocomentrioChar"/>
    <w:uiPriority w:val="99"/>
    <w:semiHidden/>
    <w:unhideWhenUsed/>
    <w:rsid w:val="00794F4C"/>
    <w:rPr>
      <w:b/>
      <w:bCs/>
    </w:rPr>
  </w:style>
  <w:style w:type="character" w:customStyle="1" w:styleId="AssuntodocomentrioChar">
    <w:name w:val="Assunto do comentário Char"/>
    <w:basedOn w:val="TextodecomentrioChar"/>
    <w:link w:val="Assuntodocomentrio"/>
    <w:uiPriority w:val="99"/>
    <w:semiHidden/>
    <w:rsid w:val="00794F4C"/>
    <w:rPr>
      <w:b/>
      <w:bCs/>
      <w:sz w:val="20"/>
      <w:szCs w:val="20"/>
    </w:rPr>
  </w:style>
  <w:style w:type="paragraph" w:styleId="Reviso">
    <w:name w:val="Revision"/>
    <w:hidden/>
    <w:uiPriority w:val="99"/>
    <w:semiHidden/>
    <w:rsid w:val="00794F4C"/>
    <w:pPr>
      <w:spacing w:after="0" w:line="240" w:lineRule="auto"/>
    </w:pPr>
  </w:style>
  <w:style w:type="character" w:customStyle="1" w:styleId="Ttulo2Char">
    <w:name w:val="Título 2 Char"/>
    <w:basedOn w:val="Fontepargpadro"/>
    <w:link w:val="Ttulo2"/>
    <w:uiPriority w:val="9"/>
    <w:rsid w:val="006A3B20"/>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1433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anktrack.org/download/developing_effective_grievance_mechanisms_in_the_banking_sector/2018_pa_002_bank_report_faweb_1.pdf" TargetMode="External"/><Relationship Id="rId21" Type="http://schemas.openxmlformats.org/officeDocument/2006/relationships/hyperlink" Target="https://doi.org/10.1002/sd.1938" TargetMode="External"/><Relationship Id="rId42" Type="http://schemas.openxmlformats.org/officeDocument/2006/relationships/hyperlink" Target="https://integratedreporting.ifrs.org/wp-content/uploads/2015/11/1315_MaterialityinIR_Doc_4a_Interactive.pdf" TargetMode="External"/><Relationship Id="rId47" Type="http://schemas.openxmlformats.org/officeDocument/2006/relationships/hyperlink" Target="https://doi.org/10.1186/s41180-018-0022-2" TargetMode="External"/><Relationship Id="rId63" Type="http://schemas.openxmlformats.org/officeDocument/2006/relationships/hyperlink" Target="https://api.mziq.com/mzfilemanager/v2/d/0afe1b62-e299-4dec-a938-763ebc4e2c11/5ef1bf9b-6238-68da-b5c5-1e58c7bc6dca?origin=1" TargetMode="External"/><Relationship Id="rId68" Type="http://schemas.openxmlformats.org/officeDocument/2006/relationships/hyperlink" Target="https://corporateportal.brazil.citibank.com/resources-responsive/pdf/Global-ESG-Report-2022.pdf" TargetMode="External"/><Relationship Id="rId84" Type="http://schemas.openxmlformats.org/officeDocument/2006/relationships/theme" Target="theme/theme1.xml"/><Relationship Id="rId16" Type="http://schemas.openxmlformats.org/officeDocument/2006/relationships/chart" Target="charts/chart3.xml"/><Relationship Id="rId11" Type="http://schemas.openxmlformats.org/officeDocument/2006/relationships/image" Target="media/image2.png"/><Relationship Id="rId32" Type="http://schemas.openxmlformats.org/officeDocument/2006/relationships/hyperlink" Target="https://grandes-litigantes.stg.cloud.cnj.jus.br/" TargetMode="External"/><Relationship Id="rId37" Type="http://schemas.openxmlformats.org/officeDocument/2006/relationships/hyperlink" Target="https://www.globalreporting.org/news/news-center/achieving-transparency-in-the-financial-sectors/" TargetMode="External"/><Relationship Id="rId53" Type="http://schemas.openxmlformats.org/officeDocument/2006/relationships/hyperlink" Target="https://doi.org/10.1002/csr.2453" TargetMode="External"/><Relationship Id="rId58" Type="http://schemas.openxmlformats.org/officeDocument/2006/relationships/hyperlink" Target="https://www.bnb.gov.br/documents/45787/128608/Relat%C3%B3rio+de+Sustentabilidade_ASG+do+Banco+do+Nordeste+-+2022.pdf/" TargetMode="External"/><Relationship Id="rId74" Type="http://schemas.openxmlformats.org/officeDocument/2006/relationships/hyperlink" Target="https://www.jpmorganchase.com/content/dam/jpmc/jpmorgan-chase-and-co/documents/jpmc-esg-report-2021.pdf" TargetMode="External"/><Relationship Id="rId79" Type="http://schemas.openxmlformats.org/officeDocument/2006/relationships/hyperlink" Target="https://www.sicredi.com.br/media/produtos/filer_public/2023/04/10/sicredi_relatorio_sustentabilidade_2022.pdf" TargetMode="External"/><Relationship Id="rId5" Type="http://schemas.openxmlformats.org/officeDocument/2006/relationships/webSettings" Target="webSettings.xml"/><Relationship Id="rId61" Type="http://schemas.openxmlformats.org/officeDocument/2006/relationships/hyperlink" Target="https://www.bradescori.com.br/wp-content/uploads/sites/541/2022/06/Relatorio-Integrado-2021.pdf" TargetMode="External"/><Relationship Id="rId82" Type="http://schemas.openxmlformats.org/officeDocument/2006/relationships/footer" Target="footer3.xml"/><Relationship Id="rId19" Type="http://schemas.openxmlformats.org/officeDocument/2006/relationships/chart" Target="charts/chart5.xml"/><Relationship Id="rId14" Type="http://schemas.openxmlformats.org/officeDocument/2006/relationships/chart" Target="charts/chart1.xml"/><Relationship Id="rId22" Type="http://schemas.openxmlformats.org/officeDocument/2006/relationships/hyperlink" Target="https://valorinveste.globo.com/google/amp/produtos/renda-fixa/debentures-e-divida-privada/noticia/2023/02/13/divida-atualizada-da-americanas-com-cinco-maiores-bancos-credores-e-de-quase-r-18-bi.ghtml" TargetMode="External"/><Relationship Id="rId27" Type="http://schemas.openxmlformats.org/officeDocument/2006/relationships/hyperlink" Target="https://www2.camara.leg.br/atividade-legislativa/comissoes/comissoes-temporarias/parlamentar-de-inquerito/57a-legislatura/cpi-sobre-a-empresa-americanas-s-a" TargetMode="External"/><Relationship Id="rId30" Type="http://schemas.openxmlformats.org/officeDocument/2006/relationships/hyperlink" Target="https://forestsandfinance.org/banking-on-biodiversity-collapse/" TargetMode="External"/><Relationship Id="rId35" Type="http://schemas.openxmlformats.org/officeDocument/2006/relationships/hyperlink" Target="https://www.fincommservices.com/" TargetMode="External"/><Relationship Id="rId43" Type="http://schemas.openxmlformats.org/officeDocument/2006/relationships/hyperlink" Target="https://doi.org/10.3390/su132011409" TargetMode="External"/><Relationship Id="rId48" Type="http://schemas.openxmlformats.org/officeDocument/2006/relationships/hyperlink" Target="https://columbialawreview.org/content/banks-and-climate-governance/" TargetMode="External"/><Relationship Id="rId56" Type="http://schemas.openxmlformats.org/officeDocument/2006/relationships/hyperlink" Target="https://www.bb.com.br/docs/portal/gesem/RelatorioAnual2022.pdf" TargetMode="External"/><Relationship Id="rId64" Type="http://schemas.openxmlformats.org/officeDocument/2006/relationships/hyperlink" Target="https://api.mziq.com/mzfilemanager/v2/d/0afe1b62-e299-4dec-a938-763ebc4e2c11/7cbf4b3f-3105-9e21-2a32-d4c52b1028f2?origin=1" TargetMode="External"/><Relationship Id="rId69" Type="http://schemas.openxmlformats.org/officeDocument/2006/relationships/hyperlink" Target="https://api.mziq.com/mzfilemanager/v2/d/b4dc0b14-a83a-40a9-9545-d9e4f18ed7af/5ec67ebc-0ef0-8300-86b6-cd776728f280?origin=2" TargetMode="External"/><Relationship Id="rId77" Type="http://schemas.openxmlformats.org/officeDocument/2006/relationships/hyperlink" Target="https://cms.santander.com.br/sites/WRI/documentos/url-rel_anual_2022/23-06-08_134229_relat%C3%B3rio%20anual%20integrado%202022_santander%20brasil.pdf" TargetMode="External"/><Relationship Id="rId8" Type="http://schemas.openxmlformats.org/officeDocument/2006/relationships/image" Target="media/image1.png"/><Relationship Id="rId51" Type="http://schemas.openxmlformats.org/officeDocument/2006/relationships/hyperlink" Target="https://sdgtransformationcenter.org/reports/sustainable-development-report-2023" TargetMode="External"/><Relationship Id="rId72" Type="http://schemas.openxmlformats.org/officeDocument/2006/relationships/hyperlink" Target="https://www.itau.com.br/download-file/v2/d/42787847-4cf6-4461-94a5-40ed237dca33/68d95972-c3bd-db69-e71c-be07cd2df046?origin=2" TargetMode="External"/><Relationship Id="rId80"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chart" Target="charts/chart4.xml"/><Relationship Id="rId25" Type="http://schemas.openxmlformats.org/officeDocument/2006/relationships/hyperlink" Target="https://www.bcb.gov.br/cidadaniafinanceira" TargetMode="External"/><Relationship Id="rId33" Type="http://schemas.openxmlformats.org/officeDocument/2006/relationships/hyperlink" Target="https://doi.org/10.1016/j.jclepro.2005.08.013" TargetMode="External"/><Relationship Id="rId38" Type="http://schemas.openxmlformats.org/officeDocument/2006/relationships/hyperlink" Target="https://www.researchgate.net/publication/284746643_What_factors_affect_the_quality_of_sustainability_reports_The_case_of_reports_from_selected_European_Union_member_states" TargetMode="External"/><Relationship Id="rId46" Type="http://schemas.openxmlformats.org/officeDocument/2006/relationships/hyperlink" Target="https://assets.kpmg.com/content/dam/kpmg/br/pdf/2023/4/Global-Survey-of-Sustainability-Reporting-2022_America-Latina.pdf" TargetMode="External"/><Relationship Id="rId59" Type="http://schemas.openxmlformats.org/officeDocument/2006/relationships/hyperlink" Target="https://web.bndes.gov.br/bib/jspui/bitstream/1408/22344/3/PR__REL.ANUAL_2021.pdf" TargetMode="External"/><Relationship Id="rId67" Type="http://schemas.openxmlformats.org/officeDocument/2006/relationships/hyperlink" Target="https://corporateportal.brazil.citibank.com/resources-responsive/pdf/Relatorio_ESG_2021.pdf" TargetMode="External"/><Relationship Id="rId20" Type="http://schemas.openxmlformats.org/officeDocument/2006/relationships/hyperlink" Target="https://acionista.com.br/conselho-consultivo-da-gri-no-brasil-divulga-lista-com-empresas-mais-transparentes-em-sustentabilidade/" TargetMode="External"/><Relationship Id="rId41" Type="http://schemas.openxmlformats.org/officeDocument/2006/relationships/hyperlink" Target="https://malena.ifc.org/" TargetMode="External"/><Relationship Id="rId54" Type="http://schemas.openxmlformats.org/officeDocument/2006/relationships/hyperlink" Target="https://doi.org/10.1007/s10551-015-2597-1" TargetMode="External"/><Relationship Id="rId62" Type="http://schemas.openxmlformats.org/officeDocument/2006/relationships/hyperlink" Target="https://api.mziq.com/mzfilemanager/v2/d/80f2e993-0a30-421a-9470-a4d5c8ad5e9f/b411dff3-201d-68fa-29bb-42b49a250f19?origin=2" TargetMode="External"/><Relationship Id="rId70" Type="http://schemas.openxmlformats.org/officeDocument/2006/relationships/hyperlink" Target="https://api.mziq.com/mzfilemanager/v2/d/b4dc0b14-a83a-40a9-9545-d9e4f18ed7af/05c027a3-466f-99ea-fd77-244d0e8498b8?origin=2" TargetMode="External"/><Relationship Id="rId75" Type="http://schemas.openxmlformats.org/officeDocument/2006/relationships/hyperlink" Target="https://www.jpmorganchase.com/content/dam/jpmc/jpmorgan-chase-and-co/documents/jpmc-esg-report-2022.pdf"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hyperlink" Target="https://www.bcb.gov.br/estabilidadefinanceira/sustentabilidade" TargetMode="External"/><Relationship Id="rId28" Type="http://schemas.openxmlformats.org/officeDocument/2006/relationships/hyperlink" Target="https://doi.org/10.1002/csr.2467" TargetMode="External"/><Relationship Id="rId36" Type="http://schemas.openxmlformats.org/officeDocument/2006/relationships/hyperlink" Target="https://www.globalreporting.org/search/?query=fundamentos" TargetMode="External"/><Relationship Id="rId49" Type="http://schemas.openxmlformats.org/officeDocument/2006/relationships/hyperlink" Target="https://globalcompact.at/wp-content/uploads/2022/09/gri-linkagesdg_gristandards-updatemay2022-final.pdf" TargetMode="External"/><Relationship Id="rId57" Type="http://schemas.openxmlformats.org/officeDocument/2006/relationships/hyperlink" Target="https://www.bnb.gov.br/documents/45787/128608/Relat%C3%B3rio+de+Sustentabilidade+do+Banco+do+Nordeste+-+2021.pdf/" TargetMode="External"/><Relationship Id="rId10" Type="http://schemas.openxmlformats.org/officeDocument/2006/relationships/footer" Target="footer1.xml"/><Relationship Id="rId31" Type="http://schemas.openxmlformats.org/officeDocument/2006/relationships/hyperlink" Target="https://cebds.org/publicacoes/relatorio-reporting-matters-brasil-2023/" TargetMode="External"/><Relationship Id="rId44" Type="http://schemas.openxmlformats.org/officeDocument/2006/relationships/hyperlink" Target="https://www.cnnbrasil.com.br/economia/credores-da-americanas-lista-vai-de-bancos-a-facebook-twitter-e-linkedin/" TargetMode="External"/><Relationship Id="rId52" Type="http://schemas.openxmlformats.org/officeDocument/2006/relationships/hyperlink" Target="https://doi.org/10.1002/csr.1698" TargetMode="External"/><Relationship Id="rId60" Type="http://schemas.openxmlformats.org/officeDocument/2006/relationships/hyperlink" Target="https://www.bndes.gov.br/hotsites/Relatorio_Anual_2022/BNDES_RA2022_PDFao-rev_3005.pdf" TargetMode="External"/><Relationship Id="rId65" Type="http://schemas.openxmlformats.org/officeDocument/2006/relationships/hyperlink" Target="https://www.caixa.gov.br/Downloads/caixa-governanca/Relatorio-Integrado-2021.pdf" TargetMode="External"/><Relationship Id="rId73" Type="http://schemas.openxmlformats.org/officeDocument/2006/relationships/hyperlink" Target="https://www.itau.com.br/download-file/v2/d/42787847-4cf6-4461-94a5-40ed237dca33/0f6d20ef-214f-f8e3-7ceb-432350f7e412?origin=2" TargetMode="External"/><Relationship Id="rId78" Type="http://schemas.openxmlformats.org/officeDocument/2006/relationships/hyperlink" Target="https://www.sicredi.com.br/media/produtos/filer_public/2022/04/26/relatorio_sustentabilidade_sicredi_2021_260422.pdf" TargetMode="External"/><Relationship Id="rId8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malena.ifc.org/" TargetMode="External"/><Relationship Id="rId18" Type="http://schemas.openxmlformats.org/officeDocument/2006/relationships/image" Target="media/image4.png"/><Relationship Id="rId39" Type="http://schemas.openxmlformats.org/officeDocument/2006/relationships/hyperlink" Target="https://www.ibm.com/br-pt/topics/sentiment-analysis" TargetMode="External"/><Relationship Id="rId34" Type="http://schemas.openxmlformats.org/officeDocument/2006/relationships/hyperlink" Target="https://doi.org/10.1002/bsd2.37" TargetMode="External"/><Relationship Id="rId50" Type="http://schemas.openxmlformats.org/officeDocument/2006/relationships/hyperlink" Target="https://www.pwc.com.br/pt/estudos/setores-atividade/financeiro/2024/pesquisa-global-com-investidores-2023.html" TargetMode="External"/><Relationship Id="rId55" Type="http://schemas.openxmlformats.org/officeDocument/2006/relationships/hyperlink" Target="https://www.bb.com.br/docs/portal/gesem/RelatorioAnual2021.pdf" TargetMode="External"/><Relationship Id="rId76" Type="http://schemas.openxmlformats.org/officeDocument/2006/relationships/hyperlink" Target="https://cms.santander.com.br/sites/WRI/documentos/url-rel_esg_2021/22-08-01_213506_relatorio_esg_2021_v3.pdf" TargetMode="External"/><Relationship Id="rId7" Type="http://schemas.openxmlformats.org/officeDocument/2006/relationships/endnotes" Target="endnotes.xml"/><Relationship Id="rId71" Type="http://schemas.openxmlformats.org/officeDocument/2006/relationships/hyperlink" Target="https://api.mziq.com/mzfilemanager/v2/d/b4dc0b14-a83a-40a9-9545-d9e4f18ed7af/b4b33f3b-adc2-13f3-1749-6e12cdfd1687?origin=2" TargetMode="External"/><Relationship Id="rId2" Type="http://schemas.openxmlformats.org/officeDocument/2006/relationships/numbering" Target="numbering.xml"/><Relationship Id="rId29" Type="http://schemas.openxmlformats.org/officeDocument/2006/relationships/hyperlink" Target="https://doi.org/10.1002/sd.2363" TargetMode="External"/><Relationship Id="rId24" Type="http://schemas.openxmlformats.org/officeDocument/2006/relationships/hyperlink" Target="https://www.bcb.gov.br/estabilidadefinanceira/sustentabilidade" TargetMode="External"/><Relationship Id="rId40" Type="http://schemas.openxmlformats.org/officeDocument/2006/relationships/hyperlink" Target="https://www.ifrs.org/content/dam/ifrs/publications/pdf-standards-issb/english/2023/issued/part-a/issb-2023-a-ifrs-s2-climate-related-disclosures.pdf?bypass=on" TargetMode="External"/><Relationship Id="rId45" Type="http://schemas.openxmlformats.org/officeDocument/2006/relationships/hyperlink" Target="https://assets.kpmg.com/content/dam/kpmg/xx/pdf/2020/11/the-time-has-come.pdf" TargetMode="External"/><Relationship Id="rId66" Type="http://schemas.openxmlformats.org/officeDocument/2006/relationships/hyperlink" Target="https://www.caixa.gov.br/Downloads/caixa-relatorio-sustentabilidade/relatorio-sustentabilidade-2022.pd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charts/_rels/chart1.xml.rels><?xml version="1.0" encoding="UTF-8" standalone="yes"?>
<Relationships xmlns="http://schemas.openxmlformats.org/package/2006/relationships"><Relationship Id="rId3" Type="http://schemas.openxmlformats.org/officeDocument/2006/relationships/oleObject" Target="Pasta2"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Pasta2"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Pasta2"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Pasta2"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d.docs.live.net/c5b450017c9b2dc3/Ambiente%20de%20Trabalho/modelos%20tabelas.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DQPI</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Planilha1!$B$3:$B$14</c:f>
              <c:numCache>
                <c:formatCode>General</c:formatCode>
                <c:ptCount val="12"/>
                <c:pt idx="0">
                  <c:v>63</c:v>
                </c:pt>
                <c:pt idx="1">
                  <c:v>49</c:v>
                </c:pt>
                <c:pt idx="2">
                  <c:v>51</c:v>
                </c:pt>
                <c:pt idx="3">
                  <c:v>35</c:v>
                </c:pt>
                <c:pt idx="4">
                  <c:v>48</c:v>
                </c:pt>
                <c:pt idx="5">
                  <c:v>27</c:v>
                </c:pt>
                <c:pt idx="6">
                  <c:v>34</c:v>
                </c:pt>
                <c:pt idx="7">
                  <c:v>34</c:v>
                </c:pt>
                <c:pt idx="8">
                  <c:v>27</c:v>
                </c:pt>
                <c:pt idx="9">
                  <c:v>25</c:v>
                </c:pt>
                <c:pt idx="10">
                  <c:v>27</c:v>
                </c:pt>
                <c:pt idx="11">
                  <c:v>14</c:v>
                </c:pt>
              </c:numCache>
            </c:numRef>
          </c:xVal>
          <c:yVal>
            <c:numRef>
              <c:f>Planilha1!$A$3:$A$14</c:f>
              <c:numCache>
                <c:formatCode>General</c:formatCode>
                <c:ptCount val="12"/>
                <c:pt idx="0">
                  <c:v>248</c:v>
                </c:pt>
                <c:pt idx="1">
                  <c:v>204</c:v>
                </c:pt>
                <c:pt idx="2">
                  <c:v>194</c:v>
                </c:pt>
                <c:pt idx="3">
                  <c:v>191</c:v>
                </c:pt>
                <c:pt idx="4">
                  <c:v>166</c:v>
                </c:pt>
                <c:pt idx="5">
                  <c:v>141</c:v>
                </c:pt>
                <c:pt idx="6">
                  <c:v>134</c:v>
                </c:pt>
                <c:pt idx="7">
                  <c:v>134</c:v>
                </c:pt>
                <c:pt idx="8">
                  <c:v>106</c:v>
                </c:pt>
                <c:pt idx="9">
                  <c:v>102</c:v>
                </c:pt>
                <c:pt idx="10">
                  <c:v>73</c:v>
                </c:pt>
                <c:pt idx="11">
                  <c:v>47</c:v>
                </c:pt>
              </c:numCache>
            </c:numRef>
          </c:yVal>
          <c:smooth val="0"/>
          <c:extLst>
            <c:ext xmlns:c16="http://schemas.microsoft.com/office/drawing/2014/chart" uri="{C3380CC4-5D6E-409C-BE32-E72D297353CC}">
              <c16:uniqueId val="{00000001-FED0-44C4-A191-90039183F7D5}"/>
            </c:ext>
          </c:extLst>
        </c:ser>
        <c:ser>
          <c:idx val="1"/>
          <c:order val="1"/>
          <c:tx>
            <c:v>Previsto(a) DQPI</c:v>
          </c:tx>
          <c:spPr>
            <a:ln w="25400" cap="rnd">
              <a:noFill/>
              <a:round/>
            </a:ln>
            <a:effectLst/>
          </c:spPr>
          <c:marker>
            <c:symbol val="circle"/>
            <c:size val="5"/>
            <c:spPr>
              <a:solidFill>
                <a:schemeClr val="accent2"/>
              </a:solidFill>
              <a:ln w="9525">
                <a:solidFill>
                  <a:schemeClr val="accent2"/>
                </a:solidFill>
              </a:ln>
              <a:effectLst/>
            </c:spPr>
          </c:marker>
          <c:xVal>
            <c:numRef>
              <c:f>Planilha1!$B$3:$B$14</c:f>
              <c:numCache>
                <c:formatCode>General</c:formatCode>
                <c:ptCount val="12"/>
                <c:pt idx="0">
                  <c:v>63</c:v>
                </c:pt>
                <c:pt idx="1">
                  <c:v>49</c:v>
                </c:pt>
                <c:pt idx="2">
                  <c:v>51</c:v>
                </c:pt>
                <c:pt idx="3">
                  <c:v>35</c:v>
                </c:pt>
                <c:pt idx="4">
                  <c:v>48</c:v>
                </c:pt>
                <c:pt idx="5">
                  <c:v>27</c:v>
                </c:pt>
                <c:pt idx="6">
                  <c:v>34</c:v>
                </c:pt>
                <c:pt idx="7">
                  <c:v>34</c:v>
                </c:pt>
                <c:pt idx="8">
                  <c:v>27</c:v>
                </c:pt>
                <c:pt idx="9">
                  <c:v>25</c:v>
                </c:pt>
                <c:pt idx="10">
                  <c:v>27</c:v>
                </c:pt>
                <c:pt idx="11">
                  <c:v>14</c:v>
                </c:pt>
              </c:numCache>
            </c:numRef>
          </c:xVal>
          <c:yVal>
            <c:numRef>
              <c:f>Planilha1!$E$26:$E$37</c:f>
              <c:numCache>
                <c:formatCode>General</c:formatCode>
                <c:ptCount val="12"/>
                <c:pt idx="0">
                  <c:v>248.57220216606495</c:v>
                </c:pt>
                <c:pt idx="1">
                  <c:v>194.53453147072671</c:v>
                </c:pt>
                <c:pt idx="2">
                  <c:v>202.25419871291788</c:v>
                </c:pt>
                <c:pt idx="3">
                  <c:v>140.49686077538848</c:v>
                </c:pt>
                <c:pt idx="4">
                  <c:v>190.67469784963112</c:v>
                </c:pt>
                <c:pt idx="5">
                  <c:v>109.61819180662377</c:v>
                </c:pt>
                <c:pt idx="6">
                  <c:v>136.63702715429289</c:v>
                </c:pt>
                <c:pt idx="7">
                  <c:v>136.63702715429289</c:v>
                </c:pt>
                <c:pt idx="8">
                  <c:v>109.61819180662377</c:v>
                </c:pt>
                <c:pt idx="9">
                  <c:v>101.89852456443259</c:v>
                </c:pt>
                <c:pt idx="10">
                  <c:v>109.61819180662377</c:v>
                </c:pt>
                <c:pt idx="11">
                  <c:v>59.440354732381124</c:v>
                </c:pt>
              </c:numCache>
            </c:numRef>
          </c:yVal>
          <c:smooth val="0"/>
          <c:extLst>
            <c:ext xmlns:c16="http://schemas.microsoft.com/office/drawing/2014/chart" uri="{C3380CC4-5D6E-409C-BE32-E72D297353CC}">
              <c16:uniqueId val="{00000002-FED0-44C4-A191-90039183F7D5}"/>
            </c:ext>
          </c:extLst>
        </c:ser>
        <c:dLbls>
          <c:showLegendKey val="0"/>
          <c:showVal val="0"/>
          <c:showCatName val="0"/>
          <c:showSerName val="0"/>
          <c:showPercent val="0"/>
          <c:showBubbleSize val="0"/>
        </c:dLbls>
        <c:axId val="317324176"/>
        <c:axId val="317323216"/>
      </c:scatterChart>
      <c:valAx>
        <c:axId val="3173241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Conteúdos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17323216"/>
        <c:crosses val="autoZero"/>
        <c:crossBetween val="midCat"/>
      </c:valAx>
      <c:valAx>
        <c:axId val="317323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DQPI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1732417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DQPI</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Planilha1!$B$3:$B$14</c:f>
              <c:numCache>
                <c:formatCode>General</c:formatCode>
                <c:ptCount val="12"/>
                <c:pt idx="0">
                  <c:v>63</c:v>
                </c:pt>
                <c:pt idx="1">
                  <c:v>49</c:v>
                </c:pt>
                <c:pt idx="2">
                  <c:v>51</c:v>
                </c:pt>
                <c:pt idx="3">
                  <c:v>35</c:v>
                </c:pt>
                <c:pt idx="4">
                  <c:v>48</c:v>
                </c:pt>
                <c:pt idx="5">
                  <c:v>27</c:v>
                </c:pt>
                <c:pt idx="6">
                  <c:v>34</c:v>
                </c:pt>
                <c:pt idx="7">
                  <c:v>34</c:v>
                </c:pt>
                <c:pt idx="8">
                  <c:v>27</c:v>
                </c:pt>
                <c:pt idx="9">
                  <c:v>25</c:v>
                </c:pt>
                <c:pt idx="10">
                  <c:v>27</c:v>
                </c:pt>
                <c:pt idx="11">
                  <c:v>14</c:v>
                </c:pt>
              </c:numCache>
            </c:numRef>
          </c:xVal>
          <c:yVal>
            <c:numRef>
              <c:f>Planilha1!$A$3:$A$14</c:f>
              <c:numCache>
                <c:formatCode>General</c:formatCode>
                <c:ptCount val="12"/>
                <c:pt idx="0">
                  <c:v>248</c:v>
                </c:pt>
                <c:pt idx="1">
                  <c:v>204</c:v>
                </c:pt>
                <c:pt idx="2">
                  <c:v>194</c:v>
                </c:pt>
                <c:pt idx="3">
                  <c:v>191</c:v>
                </c:pt>
                <c:pt idx="4">
                  <c:v>166</c:v>
                </c:pt>
                <c:pt idx="5">
                  <c:v>141</c:v>
                </c:pt>
                <c:pt idx="6">
                  <c:v>134</c:v>
                </c:pt>
                <c:pt idx="7">
                  <c:v>134</c:v>
                </c:pt>
                <c:pt idx="8">
                  <c:v>106</c:v>
                </c:pt>
                <c:pt idx="9">
                  <c:v>102</c:v>
                </c:pt>
                <c:pt idx="10">
                  <c:v>73</c:v>
                </c:pt>
                <c:pt idx="11">
                  <c:v>47</c:v>
                </c:pt>
              </c:numCache>
            </c:numRef>
          </c:yVal>
          <c:smooth val="0"/>
          <c:extLst>
            <c:ext xmlns:c16="http://schemas.microsoft.com/office/drawing/2014/chart" uri="{C3380CC4-5D6E-409C-BE32-E72D297353CC}">
              <c16:uniqueId val="{00000001-5E73-470E-B58E-DD177B294097}"/>
            </c:ext>
          </c:extLst>
        </c:ser>
        <c:ser>
          <c:idx val="1"/>
          <c:order val="1"/>
          <c:tx>
            <c:v>Previsto(a) DQPI</c:v>
          </c:tx>
          <c:spPr>
            <a:ln w="25400" cap="rnd">
              <a:noFill/>
              <a:round/>
            </a:ln>
            <a:effectLst/>
          </c:spPr>
          <c:marker>
            <c:symbol val="circle"/>
            <c:size val="5"/>
            <c:spPr>
              <a:solidFill>
                <a:schemeClr val="accent2"/>
              </a:solidFill>
              <a:ln w="9525">
                <a:solidFill>
                  <a:schemeClr val="accent2"/>
                </a:solidFill>
              </a:ln>
              <a:effectLst/>
            </c:spPr>
          </c:marker>
          <c:xVal>
            <c:numRef>
              <c:f>Planilha1!$B$3:$B$14</c:f>
              <c:numCache>
                <c:formatCode>General</c:formatCode>
                <c:ptCount val="12"/>
                <c:pt idx="0">
                  <c:v>63</c:v>
                </c:pt>
                <c:pt idx="1">
                  <c:v>49</c:v>
                </c:pt>
                <c:pt idx="2">
                  <c:v>51</c:v>
                </c:pt>
                <c:pt idx="3">
                  <c:v>35</c:v>
                </c:pt>
                <c:pt idx="4">
                  <c:v>48</c:v>
                </c:pt>
                <c:pt idx="5">
                  <c:v>27</c:v>
                </c:pt>
                <c:pt idx="6">
                  <c:v>34</c:v>
                </c:pt>
                <c:pt idx="7">
                  <c:v>34</c:v>
                </c:pt>
                <c:pt idx="8">
                  <c:v>27</c:v>
                </c:pt>
                <c:pt idx="9">
                  <c:v>25</c:v>
                </c:pt>
                <c:pt idx="10">
                  <c:v>27</c:v>
                </c:pt>
                <c:pt idx="11">
                  <c:v>14</c:v>
                </c:pt>
              </c:numCache>
            </c:numRef>
          </c:xVal>
          <c:yVal>
            <c:numRef>
              <c:f>Planilha1!$E$26:$E$37</c:f>
              <c:numCache>
                <c:formatCode>General</c:formatCode>
                <c:ptCount val="12"/>
                <c:pt idx="0">
                  <c:v>248.57220216606495</c:v>
                </c:pt>
                <c:pt idx="1">
                  <c:v>194.53453147072671</c:v>
                </c:pt>
                <c:pt idx="2">
                  <c:v>202.25419871291788</c:v>
                </c:pt>
                <c:pt idx="3">
                  <c:v>140.49686077538848</c:v>
                </c:pt>
                <c:pt idx="4">
                  <c:v>190.67469784963112</c:v>
                </c:pt>
                <c:pt idx="5">
                  <c:v>109.61819180662377</c:v>
                </c:pt>
                <c:pt idx="6">
                  <c:v>136.63702715429289</c:v>
                </c:pt>
                <c:pt idx="7">
                  <c:v>136.63702715429289</c:v>
                </c:pt>
                <c:pt idx="8">
                  <c:v>109.61819180662377</c:v>
                </c:pt>
                <c:pt idx="9">
                  <c:v>101.89852456443259</c:v>
                </c:pt>
                <c:pt idx="10">
                  <c:v>109.61819180662377</c:v>
                </c:pt>
                <c:pt idx="11">
                  <c:v>59.440354732381124</c:v>
                </c:pt>
              </c:numCache>
            </c:numRef>
          </c:yVal>
          <c:smooth val="0"/>
          <c:extLst>
            <c:ext xmlns:c16="http://schemas.microsoft.com/office/drawing/2014/chart" uri="{C3380CC4-5D6E-409C-BE32-E72D297353CC}">
              <c16:uniqueId val="{00000002-5E73-470E-B58E-DD177B294097}"/>
            </c:ext>
          </c:extLst>
        </c:ser>
        <c:dLbls>
          <c:showLegendKey val="0"/>
          <c:showVal val="0"/>
          <c:showCatName val="0"/>
          <c:showSerName val="0"/>
          <c:showPercent val="0"/>
          <c:showBubbleSize val="0"/>
        </c:dLbls>
        <c:axId val="409611712"/>
        <c:axId val="406798656"/>
      </c:scatterChart>
      <c:valAx>
        <c:axId val="4096117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Conteúdos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406798656"/>
        <c:crosses val="autoZero"/>
        <c:crossBetween val="midCat"/>
      </c:valAx>
      <c:valAx>
        <c:axId val="4067986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DQPI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40961171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DQPI</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Planilha1!$B$3:$B$14</c:f>
              <c:numCache>
                <c:formatCode>General</c:formatCode>
                <c:ptCount val="12"/>
                <c:pt idx="0">
                  <c:v>63</c:v>
                </c:pt>
                <c:pt idx="1">
                  <c:v>49</c:v>
                </c:pt>
                <c:pt idx="2">
                  <c:v>51</c:v>
                </c:pt>
                <c:pt idx="3">
                  <c:v>35</c:v>
                </c:pt>
                <c:pt idx="4">
                  <c:v>48</c:v>
                </c:pt>
                <c:pt idx="5">
                  <c:v>27</c:v>
                </c:pt>
                <c:pt idx="6">
                  <c:v>34</c:v>
                </c:pt>
                <c:pt idx="7">
                  <c:v>34</c:v>
                </c:pt>
                <c:pt idx="8">
                  <c:v>27</c:v>
                </c:pt>
                <c:pt idx="9">
                  <c:v>25</c:v>
                </c:pt>
                <c:pt idx="10">
                  <c:v>27</c:v>
                </c:pt>
                <c:pt idx="11">
                  <c:v>14</c:v>
                </c:pt>
              </c:numCache>
            </c:numRef>
          </c:xVal>
          <c:yVal>
            <c:numRef>
              <c:f>Planilha1!$A$3:$A$14</c:f>
              <c:numCache>
                <c:formatCode>General</c:formatCode>
                <c:ptCount val="12"/>
                <c:pt idx="0">
                  <c:v>248</c:v>
                </c:pt>
                <c:pt idx="1">
                  <c:v>204</c:v>
                </c:pt>
                <c:pt idx="2">
                  <c:v>194</c:v>
                </c:pt>
                <c:pt idx="3">
                  <c:v>191</c:v>
                </c:pt>
                <c:pt idx="4">
                  <c:v>166</c:v>
                </c:pt>
                <c:pt idx="5">
                  <c:v>141</c:v>
                </c:pt>
                <c:pt idx="6">
                  <c:v>134</c:v>
                </c:pt>
                <c:pt idx="7">
                  <c:v>134</c:v>
                </c:pt>
                <c:pt idx="8">
                  <c:v>106</c:v>
                </c:pt>
                <c:pt idx="9">
                  <c:v>102</c:v>
                </c:pt>
                <c:pt idx="10">
                  <c:v>73</c:v>
                </c:pt>
                <c:pt idx="11">
                  <c:v>47</c:v>
                </c:pt>
              </c:numCache>
            </c:numRef>
          </c:yVal>
          <c:smooth val="0"/>
          <c:extLst>
            <c:ext xmlns:c16="http://schemas.microsoft.com/office/drawing/2014/chart" uri="{C3380CC4-5D6E-409C-BE32-E72D297353CC}">
              <c16:uniqueId val="{00000001-8BD4-441D-B8C1-895C04F1F6CE}"/>
            </c:ext>
          </c:extLst>
        </c:ser>
        <c:ser>
          <c:idx val="1"/>
          <c:order val="1"/>
          <c:tx>
            <c:v>Previsto(a) DQPI</c:v>
          </c:tx>
          <c:spPr>
            <a:ln w="25400" cap="rnd">
              <a:noFill/>
              <a:round/>
            </a:ln>
            <a:effectLst/>
          </c:spPr>
          <c:marker>
            <c:symbol val="circle"/>
            <c:size val="5"/>
            <c:spPr>
              <a:solidFill>
                <a:schemeClr val="accent2"/>
              </a:solidFill>
              <a:ln w="9525">
                <a:solidFill>
                  <a:schemeClr val="accent2"/>
                </a:solidFill>
              </a:ln>
              <a:effectLst/>
            </c:spPr>
          </c:marker>
          <c:xVal>
            <c:numRef>
              <c:f>Planilha1!$B$3:$B$14</c:f>
              <c:numCache>
                <c:formatCode>General</c:formatCode>
                <c:ptCount val="12"/>
                <c:pt idx="0">
                  <c:v>63</c:v>
                </c:pt>
                <c:pt idx="1">
                  <c:v>49</c:v>
                </c:pt>
                <c:pt idx="2">
                  <c:v>51</c:v>
                </c:pt>
                <c:pt idx="3">
                  <c:v>35</c:v>
                </c:pt>
                <c:pt idx="4">
                  <c:v>48</c:v>
                </c:pt>
                <c:pt idx="5">
                  <c:v>27</c:v>
                </c:pt>
                <c:pt idx="6">
                  <c:v>34</c:v>
                </c:pt>
                <c:pt idx="7">
                  <c:v>34</c:v>
                </c:pt>
                <c:pt idx="8">
                  <c:v>27</c:v>
                </c:pt>
                <c:pt idx="9">
                  <c:v>25</c:v>
                </c:pt>
                <c:pt idx="10">
                  <c:v>27</c:v>
                </c:pt>
                <c:pt idx="11">
                  <c:v>14</c:v>
                </c:pt>
              </c:numCache>
            </c:numRef>
          </c:xVal>
          <c:yVal>
            <c:numRef>
              <c:f>Planilha1!$E$26:$E$37</c:f>
              <c:numCache>
                <c:formatCode>General</c:formatCode>
                <c:ptCount val="12"/>
                <c:pt idx="0">
                  <c:v>248.57220216606495</c:v>
                </c:pt>
                <c:pt idx="1">
                  <c:v>194.53453147072671</c:v>
                </c:pt>
                <c:pt idx="2">
                  <c:v>202.25419871291788</c:v>
                </c:pt>
                <c:pt idx="3">
                  <c:v>140.49686077538848</c:v>
                </c:pt>
                <c:pt idx="4">
                  <c:v>190.67469784963112</c:v>
                </c:pt>
                <c:pt idx="5">
                  <c:v>109.61819180662377</c:v>
                </c:pt>
                <c:pt idx="6">
                  <c:v>136.63702715429289</c:v>
                </c:pt>
                <c:pt idx="7">
                  <c:v>136.63702715429289</c:v>
                </c:pt>
                <c:pt idx="8">
                  <c:v>109.61819180662377</c:v>
                </c:pt>
                <c:pt idx="9">
                  <c:v>101.89852456443259</c:v>
                </c:pt>
                <c:pt idx="10">
                  <c:v>109.61819180662377</c:v>
                </c:pt>
                <c:pt idx="11">
                  <c:v>59.440354732381124</c:v>
                </c:pt>
              </c:numCache>
            </c:numRef>
          </c:yVal>
          <c:smooth val="0"/>
          <c:extLst>
            <c:ext xmlns:c16="http://schemas.microsoft.com/office/drawing/2014/chart" uri="{C3380CC4-5D6E-409C-BE32-E72D297353CC}">
              <c16:uniqueId val="{00000002-8BD4-441D-B8C1-895C04F1F6CE}"/>
            </c:ext>
          </c:extLst>
        </c:ser>
        <c:dLbls>
          <c:showLegendKey val="0"/>
          <c:showVal val="0"/>
          <c:showCatName val="0"/>
          <c:showSerName val="0"/>
          <c:showPercent val="0"/>
          <c:showBubbleSize val="0"/>
        </c:dLbls>
        <c:axId val="625947664"/>
        <c:axId val="625948624"/>
      </c:scatterChart>
      <c:valAx>
        <c:axId val="6259476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Conteúdos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625948624"/>
        <c:crosses val="autoZero"/>
        <c:crossBetween val="midCat"/>
      </c:valAx>
      <c:valAx>
        <c:axId val="6259486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DQPI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62594766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DQPI</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Planilha1!$B$3:$B$14</c:f>
              <c:numCache>
                <c:formatCode>General</c:formatCode>
                <c:ptCount val="12"/>
                <c:pt idx="0">
                  <c:v>63</c:v>
                </c:pt>
                <c:pt idx="1">
                  <c:v>49</c:v>
                </c:pt>
                <c:pt idx="2">
                  <c:v>51</c:v>
                </c:pt>
                <c:pt idx="3">
                  <c:v>35</c:v>
                </c:pt>
                <c:pt idx="4">
                  <c:v>48</c:v>
                </c:pt>
                <c:pt idx="5">
                  <c:v>27</c:v>
                </c:pt>
                <c:pt idx="6">
                  <c:v>34</c:v>
                </c:pt>
                <c:pt idx="7">
                  <c:v>34</c:v>
                </c:pt>
                <c:pt idx="8">
                  <c:v>27</c:v>
                </c:pt>
                <c:pt idx="9">
                  <c:v>25</c:v>
                </c:pt>
                <c:pt idx="10">
                  <c:v>27</c:v>
                </c:pt>
                <c:pt idx="11">
                  <c:v>14</c:v>
                </c:pt>
              </c:numCache>
            </c:numRef>
          </c:xVal>
          <c:yVal>
            <c:numRef>
              <c:f>Planilha1!$A$3:$A$14</c:f>
              <c:numCache>
                <c:formatCode>General</c:formatCode>
                <c:ptCount val="12"/>
                <c:pt idx="0">
                  <c:v>248</c:v>
                </c:pt>
                <c:pt idx="1">
                  <c:v>204</c:v>
                </c:pt>
                <c:pt idx="2">
                  <c:v>194</c:v>
                </c:pt>
                <c:pt idx="3">
                  <c:v>191</c:v>
                </c:pt>
                <c:pt idx="4">
                  <c:v>166</c:v>
                </c:pt>
                <c:pt idx="5">
                  <c:v>141</c:v>
                </c:pt>
                <c:pt idx="6">
                  <c:v>134</c:v>
                </c:pt>
                <c:pt idx="7">
                  <c:v>134</c:v>
                </c:pt>
                <c:pt idx="8">
                  <c:v>106</c:v>
                </c:pt>
                <c:pt idx="9">
                  <c:v>102</c:v>
                </c:pt>
                <c:pt idx="10">
                  <c:v>73</c:v>
                </c:pt>
                <c:pt idx="11">
                  <c:v>47</c:v>
                </c:pt>
              </c:numCache>
            </c:numRef>
          </c:yVal>
          <c:smooth val="0"/>
          <c:extLst>
            <c:ext xmlns:c16="http://schemas.microsoft.com/office/drawing/2014/chart" uri="{C3380CC4-5D6E-409C-BE32-E72D297353CC}">
              <c16:uniqueId val="{00000001-645D-4DF5-AC51-6A307E68BFC5}"/>
            </c:ext>
          </c:extLst>
        </c:ser>
        <c:ser>
          <c:idx val="1"/>
          <c:order val="1"/>
          <c:tx>
            <c:v>Previsto(a) DQPI</c:v>
          </c:tx>
          <c:spPr>
            <a:ln w="25400" cap="rnd">
              <a:noFill/>
              <a:round/>
            </a:ln>
            <a:effectLst/>
          </c:spPr>
          <c:marker>
            <c:symbol val="circle"/>
            <c:size val="5"/>
            <c:spPr>
              <a:solidFill>
                <a:schemeClr val="accent2"/>
              </a:solidFill>
              <a:ln w="9525">
                <a:solidFill>
                  <a:schemeClr val="accent2"/>
                </a:solidFill>
              </a:ln>
              <a:effectLst/>
            </c:spPr>
          </c:marker>
          <c:xVal>
            <c:numRef>
              <c:f>Planilha1!$B$3:$B$14</c:f>
              <c:numCache>
                <c:formatCode>General</c:formatCode>
                <c:ptCount val="12"/>
                <c:pt idx="0">
                  <c:v>63</c:v>
                </c:pt>
                <c:pt idx="1">
                  <c:v>49</c:v>
                </c:pt>
                <c:pt idx="2">
                  <c:v>51</c:v>
                </c:pt>
                <c:pt idx="3">
                  <c:v>35</c:v>
                </c:pt>
                <c:pt idx="4">
                  <c:v>48</c:v>
                </c:pt>
                <c:pt idx="5">
                  <c:v>27</c:v>
                </c:pt>
                <c:pt idx="6">
                  <c:v>34</c:v>
                </c:pt>
                <c:pt idx="7">
                  <c:v>34</c:v>
                </c:pt>
                <c:pt idx="8">
                  <c:v>27</c:v>
                </c:pt>
                <c:pt idx="9">
                  <c:v>25</c:v>
                </c:pt>
                <c:pt idx="10">
                  <c:v>27</c:v>
                </c:pt>
                <c:pt idx="11">
                  <c:v>14</c:v>
                </c:pt>
              </c:numCache>
            </c:numRef>
          </c:xVal>
          <c:yVal>
            <c:numRef>
              <c:f>Planilha1!$E$26:$E$37</c:f>
              <c:numCache>
                <c:formatCode>General</c:formatCode>
                <c:ptCount val="12"/>
                <c:pt idx="0">
                  <c:v>248.57220216606495</c:v>
                </c:pt>
                <c:pt idx="1">
                  <c:v>194.53453147072671</c:v>
                </c:pt>
                <c:pt idx="2">
                  <c:v>202.25419871291788</c:v>
                </c:pt>
                <c:pt idx="3">
                  <c:v>140.49686077538848</c:v>
                </c:pt>
                <c:pt idx="4">
                  <c:v>190.67469784963112</c:v>
                </c:pt>
                <c:pt idx="5">
                  <c:v>109.61819180662377</c:v>
                </c:pt>
                <c:pt idx="6">
                  <c:v>136.63702715429289</c:v>
                </c:pt>
                <c:pt idx="7">
                  <c:v>136.63702715429289</c:v>
                </c:pt>
                <c:pt idx="8">
                  <c:v>109.61819180662377</c:v>
                </c:pt>
                <c:pt idx="9">
                  <c:v>101.89852456443259</c:v>
                </c:pt>
                <c:pt idx="10">
                  <c:v>109.61819180662377</c:v>
                </c:pt>
                <c:pt idx="11">
                  <c:v>59.440354732381124</c:v>
                </c:pt>
              </c:numCache>
            </c:numRef>
          </c:yVal>
          <c:smooth val="0"/>
          <c:extLst>
            <c:ext xmlns:c16="http://schemas.microsoft.com/office/drawing/2014/chart" uri="{C3380CC4-5D6E-409C-BE32-E72D297353CC}">
              <c16:uniqueId val="{00000002-645D-4DF5-AC51-6A307E68BFC5}"/>
            </c:ext>
          </c:extLst>
        </c:ser>
        <c:dLbls>
          <c:showLegendKey val="0"/>
          <c:showVal val="0"/>
          <c:showCatName val="0"/>
          <c:showSerName val="0"/>
          <c:showPercent val="0"/>
          <c:showBubbleSize val="0"/>
        </c:dLbls>
        <c:axId val="2097390768"/>
        <c:axId val="348002576"/>
      </c:scatterChart>
      <c:valAx>
        <c:axId val="20973907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Conteúdos temáticos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48002576"/>
        <c:crosses val="autoZero"/>
        <c:crossBetween val="midCat"/>
      </c:valAx>
      <c:valAx>
        <c:axId val="3480025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DQPI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0973907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Planilha1!$P$28</c:f>
              <c:strCache>
                <c:ptCount val="1"/>
                <c:pt idx="0">
                  <c:v>Equilíbrio</c:v>
                </c:pt>
              </c:strCache>
            </c:strRef>
          </c:tx>
          <c:spPr>
            <a:solidFill>
              <a:schemeClr val="accent1"/>
            </a:solidFill>
            <a:ln>
              <a:noFill/>
            </a:ln>
            <a:effectLst/>
          </c:spPr>
          <c:invertIfNegative val="0"/>
          <c:cat>
            <c:multiLvlStrRef>
              <c:f>Planilha1!$N$29:$O$52</c:f>
              <c:multiLvlStrCache>
                <c:ptCount val="24"/>
                <c:lvl>
                  <c:pt idx="0">
                    <c:v>21</c:v>
                  </c:pt>
                  <c:pt idx="1">
                    <c:v>22</c:v>
                  </c:pt>
                  <c:pt idx="2">
                    <c:v>21</c:v>
                  </c:pt>
                  <c:pt idx="3">
                    <c:v>22</c:v>
                  </c:pt>
                  <c:pt idx="4">
                    <c:v>21</c:v>
                  </c:pt>
                  <c:pt idx="5">
                    <c:v>22</c:v>
                  </c:pt>
                  <c:pt idx="6">
                    <c:v>21</c:v>
                  </c:pt>
                  <c:pt idx="7">
                    <c:v>22</c:v>
                  </c:pt>
                  <c:pt idx="8">
                    <c:v>21</c:v>
                  </c:pt>
                  <c:pt idx="9">
                    <c:v>22</c:v>
                  </c:pt>
                  <c:pt idx="10">
                    <c:v>21</c:v>
                  </c:pt>
                  <c:pt idx="11">
                    <c:v>22</c:v>
                  </c:pt>
                  <c:pt idx="12">
                    <c:v>21</c:v>
                  </c:pt>
                  <c:pt idx="13">
                    <c:v>22</c:v>
                  </c:pt>
                  <c:pt idx="14">
                    <c:v>21</c:v>
                  </c:pt>
                  <c:pt idx="15">
                    <c:v>22</c:v>
                  </c:pt>
                  <c:pt idx="16">
                    <c:v>21</c:v>
                  </c:pt>
                  <c:pt idx="17">
                    <c:v>22</c:v>
                  </c:pt>
                  <c:pt idx="18">
                    <c:v>21</c:v>
                  </c:pt>
                  <c:pt idx="19">
                    <c:v>22</c:v>
                  </c:pt>
                  <c:pt idx="20">
                    <c:v>21</c:v>
                  </c:pt>
                  <c:pt idx="21">
                    <c:v>22</c:v>
                  </c:pt>
                  <c:pt idx="22">
                    <c:v>21</c:v>
                  </c:pt>
                  <c:pt idx="23">
                    <c:v>22</c:v>
                  </c:pt>
                </c:lvl>
                <c:lvl>
                  <c:pt idx="0">
                    <c:v>BB</c:v>
                  </c:pt>
                  <c:pt idx="2">
                    <c:v>BNB </c:v>
                  </c:pt>
                  <c:pt idx="4">
                    <c:v>BNDES</c:v>
                  </c:pt>
                  <c:pt idx="6">
                    <c:v>Bradesco</c:v>
                  </c:pt>
                  <c:pt idx="8">
                    <c:v>BTG Pactual</c:v>
                  </c:pt>
                  <c:pt idx="10">
                    <c:v>CAIXA</c:v>
                  </c:pt>
                  <c:pt idx="12">
                    <c:v>Citibank</c:v>
                  </c:pt>
                  <c:pt idx="14">
                    <c:v>Inter</c:v>
                  </c:pt>
                  <c:pt idx="16">
                    <c:v>Itaú</c:v>
                  </c:pt>
                  <c:pt idx="18">
                    <c:v>J.P. Morgan </c:v>
                  </c:pt>
                  <c:pt idx="20">
                    <c:v>Santander</c:v>
                  </c:pt>
                  <c:pt idx="22">
                    <c:v>Sicredi</c:v>
                  </c:pt>
                </c:lvl>
              </c:multiLvlStrCache>
            </c:multiLvlStrRef>
          </c:cat>
          <c:val>
            <c:numRef>
              <c:f>Planilha1!$P$29:$P$52</c:f>
              <c:numCache>
                <c:formatCode>General</c:formatCode>
                <c:ptCount val="24"/>
                <c:pt idx="0">
                  <c:v>1</c:v>
                </c:pt>
                <c:pt idx="1">
                  <c:v>1</c:v>
                </c:pt>
                <c:pt idx="2">
                  <c:v>1</c:v>
                </c:pt>
                <c:pt idx="3">
                  <c:v>1</c:v>
                </c:pt>
                <c:pt idx="4">
                  <c:v>1</c:v>
                </c:pt>
                <c:pt idx="5">
                  <c:v>1</c:v>
                </c:pt>
                <c:pt idx="6">
                  <c:v>1.5</c:v>
                </c:pt>
                <c:pt idx="7">
                  <c:v>1.5</c:v>
                </c:pt>
                <c:pt idx="8">
                  <c:v>1</c:v>
                </c:pt>
                <c:pt idx="9">
                  <c:v>1</c:v>
                </c:pt>
                <c:pt idx="10">
                  <c:v>0.5</c:v>
                </c:pt>
                <c:pt idx="11">
                  <c:v>0.5</c:v>
                </c:pt>
                <c:pt idx="12">
                  <c:v>1.5</c:v>
                </c:pt>
                <c:pt idx="13">
                  <c:v>1.5</c:v>
                </c:pt>
                <c:pt idx="14">
                  <c:v>0.5</c:v>
                </c:pt>
                <c:pt idx="15">
                  <c:v>0.5</c:v>
                </c:pt>
                <c:pt idx="16">
                  <c:v>1.5</c:v>
                </c:pt>
                <c:pt idx="17">
                  <c:v>1.5</c:v>
                </c:pt>
                <c:pt idx="18">
                  <c:v>1</c:v>
                </c:pt>
                <c:pt idx="19">
                  <c:v>1</c:v>
                </c:pt>
                <c:pt idx="20">
                  <c:v>1</c:v>
                </c:pt>
                <c:pt idx="21">
                  <c:v>1.5</c:v>
                </c:pt>
                <c:pt idx="22">
                  <c:v>0.5</c:v>
                </c:pt>
                <c:pt idx="23">
                  <c:v>1</c:v>
                </c:pt>
              </c:numCache>
            </c:numRef>
          </c:val>
          <c:extLst>
            <c:ext xmlns:c16="http://schemas.microsoft.com/office/drawing/2014/chart" uri="{C3380CC4-5D6E-409C-BE32-E72D297353CC}">
              <c16:uniqueId val="{00000000-167A-43B5-9118-C0D8DEE805DB}"/>
            </c:ext>
          </c:extLst>
        </c:ser>
        <c:ser>
          <c:idx val="1"/>
          <c:order val="1"/>
          <c:tx>
            <c:strRef>
              <c:f>Planilha1!$Q$28</c:f>
              <c:strCache>
                <c:ptCount val="1"/>
                <c:pt idx="0">
                  <c:v>Comparabilidade</c:v>
                </c:pt>
              </c:strCache>
            </c:strRef>
          </c:tx>
          <c:spPr>
            <a:solidFill>
              <a:schemeClr val="accent2"/>
            </a:solidFill>
            <a:ln>
              <a:noFill/>
            </a:ln>
            <a:effectLst/>
          </c:spPr>
          <c:invertIfNegative val="0"/>
          <c:cat>
            <c:multiLvlStrRef>
              <c:f>Planilha1!$N$29:$O$52</c:f>
              <c:multiLvlStrCache>
                <c:ptCount val="24"/>
                <c:lvl>
                  <c:pt idx="0">
                    <c:v>21</c:v>
                  </c:pt>
                  <c:pt idx="1">
                    <c:v>22</c:v>
                  </c:pt>
                  <c:pt idx="2">
                    <c:v>21</c:v>
                  </c:pt>
                  <c:pt idx="3">
                    <c:v>22</c:v>
                  </c:pt>
                  <c:pt idx="4">
                    <c:v>21</c:v>
                  </c:pt>
                  <c:pt idx="5">
                    <c:v>22</c:v>
                  </c:pt>
                  <c:pt idx="6">
                    <c:v>21</c:v>
                  </c:pt>
                  <c:pt idx="7">
                    <c:v>22</c:v>
                  </c:pt>
                  <c:pt idx="8">
                    <c:v>21</c:v>
                  </c:pt>
                  <c:pt idx="9">
                    <c:v>22</c:v>
                  </c:pt>
                  <c:pt idx="10">
                    <c:v>21</c:v>
                  </c:pt>
                  <c:pt idx="11">
                    <c:v>22</c:v>
                  </c:pt>
                  <c:pt idx="12">
                    <c:v>21</c:v>
                  </c:pt>
                  <c:pt idx="13">
                    <c:v>22</c:v>
                  </c:pt>
                  <c:pt idx="14">
                    <c:v>21</c:v>
                  </c:pt>
                  <c:pt idx="15">
                    <c:v>22</c:v>
                  </c:pt>
                  <c:pt idx="16">
                    <c:v>21</c:v>
                  </c:pt>
                  <c:pt idx="17">
                    <c:v>22</c:v>
                  </c:pt>
                  <c:pt idx="18">
                    <c:v>21</c:v>
                  </c:pt>
                  <c:pt idx="19">
                    <c:v>22</c:v>
                  </c:pt>
                  <c:pt idx="20">
                    <c:v>21</c:v>
                  </c:pt>
                  <c:pt idx="21">
                    <c:v>22</c:v>
                  </c:pt>
                  <c:pt idx="22">
                    <c:v>21</c:v>
                  </c:pt>
                  <c:pt idx="23">
                    <c:v>22</c:v>
                  </c:pt>
                </c:lvl>
                <c:lvl>
                  <c:pt idx="0">
                    <c:v>BB</c:v>
                  </c:pt>
                  <c:pt idx="2">
                    <c:v>BNB </c:v>
                  </c:pt>
                  <c:pt idx="4">
                    <c:v>BNDES</c:v>
                  </c:pt>
                  <c:pt idx="6">
                    <c:v>Bradesco</c:v>
                  </c:pt>
                  <c:pt idx="8">
                    <c:v>BTG Pactual</c:v>
                  </c:pt>
                  <c:pt idx="10">
                    <c:v>CAIXA</c:v>
                  </c:pt>
                  <c:pt idx="12">
                    <c:v>Citibank</c:v>
                  </c:pt>
                  <c:pt idx="14">
                    <c:v>Inter</c:v>
                  </c:pt>
                  <c:pt idx="16">
                    <c:v>Itaú</c:v>
                  </c:pt>
                  <c:pt idx="18">
                    <c:v>J.P. Morgan </c:v>
                  </c:pt>
                  <c:pt idx="20">
                    <c:v>Santander</c:v>
                  </c:pt>
                  <c:pt idx="22">
                    <c:v>Sicredi</c:v>
                  </c:pt>
                </c:lvl>
              </c:multiLvlStrCache>
            </c:multiLvlStrRef>
          </c:cat>
          <c:val>
            <c:numRef>
              <c:f>Planilha1!$Q$29:$Q$52</c:f>
              <c:numCache>
                <c:formatCode>General</c:formatCode>
                <c:ptCount val="24"/>
                <c:pt idx="0">
                  <c:v>2</c:v>
                </c:pt>
                <c:pt idx="1">
                  <c:v>2</c:v>
                </c:pt>
                <c:pt idx="2">
                  <c:v>1.5</c:v>
                </c:pt>
                <c:pt idx="3">
                  <c:v>1.5</c:v>
                </c:pt>
                <c:pt idx="4">
                  <c:v>1.5</c:v>
                </c:pt>
                <c:pt idx="5">
                  <c:v>2</c:v>
                </c:pt>
                <c:pt idx="6">
                  <c:v>2</c:v>
                </c:pt>
                <c:pt idx="7">
                  <c:v>2</c:v>
                </c:pt>
                <c:pt idx="8">
                  <c:v>1</c:v>
                </c:pt>
                <c:pt idx="9">
                  <c:v>2</c:v>
                </c:pt>
                <c:pt idx="10">
                  <c:v>1.5</c:v>
                </c:pt>
                <c:pt idx="11">
                  <c:v>1.5</c:v>
                </c:pt>
                <c:pt idx="12">
                  <c:v>1</c:v>
                </c:pt>
                <c:pt idx="13">
                  <c:v>1.5</c:v>
                </c:pt>
                <c:pt idx="14">
                  <c:v>1</c:v>
                </c:pt>
                <c:pt idx="15">
                  <c:v>1.5</c:v>
                </c:pt>
                <c:pt idx="16">
                  <c:v>2</c:v>
                </c:pt>
                <c:pt idx="17">
                  <c:v>2</c:v>
                </c:pt>
                <c:pt idx="18">
                  <c:v>1</c:v>
                </c:pt>
                <c:pt idx="19">
                  <c:v>1</c:v>
                </c:pt>
                <c:pt idx="20">
                  <c:v>2</c:v>
                </c:pt>
                <c:pt idx="21">
                  <c:v>2</c:v>
                </c:pt>
                <c:pt idx="22">
                  <c:v>2</c:v>
                </c:pt>
                <c:pt idx="23">
                  <c:v>2</c:v>
                </c:pt>
              </c:numCache>
            </c:numRef>
          </c:val>
          <c:extLst>
            <c:ext xmlns:c16="http://schemas.microsoft.com/office/drawing/2014/chart" uri="{C3380CC4-5D6E-409C-BE32-E72D297353CC}">
              <c16:uniqueId val="{00000001-167A-43B5-9118-C0D8DEE805DB}"/>
            </c:ext>
          </c:extLst>
        </c:ser>
        <c:ser>
          <c:idx val="2"/>
          <c:order val="2"/>
          <c:tx>
            <c:strRef>
              <c:f>Planilha1!$R$28</c:f>
              <c:strCache>
                <c:ptCount val="1"/>
                <c:pt idx="0">
                  <c:v>Exatidão</c:v>
                </c:pt>
              </c:strCache>
            </c:strRef>
          </c:tx>
          <c:spPr>
            <a:solidFill>
              <a:schemeClr val="accent3"/>
            </a:solidFill>
            <a:ln>
              <a:noFill/>
            </a:ln>
            <a:effectLst/>
          </c:spPr>
          <c:invertIfNegative val="0"/>
          <c:cat>
            <c:multiLvlStrRef>
              <c:f>Planilha1!$N$29:$O$52</c:f>
              <c:multiLvlStrCache>
                <c:ptCount val="24"/>
                <c:lvl>
                  <c:pt idx="0">
                    <c:v>21</c:v>
                  </c:pt>
                  <c:pt idx="1">
                    <c:v>22</c:v>
                  </c:pt>
                  <c:pt idx="2">
                    <c:v>21</c:v>
                  </c:pt>
                  <c:pt idx="3">
                    <c:v>22</c:v>
                  </c:pt>
                  <c:pt idx="4">
                    <c:v>21</c:v>
                  </c:pt>
                  <c:pt idx="5">
                    <c:v>22</c:v>
                  </c:pt>
                  <c:pt idx="6">
                    <c:v>21</c:v>
                  </c:pt>
                  <c:pt idx="7">
                    <c:v>22</c:v>
                  </c:pt>
                  <c:pt idx="8">
                    <c:v>21</c:v>
                  </c:pt>
                  <c:pt idx="9">
                    <c:v>22</c:v>
                  </c:pt>
                  <c:pt idx="10">
                    <c:v>21</c:v>
                  </c:pt>
                  <c:pt idx="11">
                    <c:v>22</c:v>
                  </c:pt>
                  <c:pt idx="12">
                    <c:v>21</c:v>
                  </c:pt>
                  <c:pt idx="13">
                    <c:v>22</c:v>
                  </c:pt>
                  <c:pt idx="14">
                    <c:v>21</c:v>
                  </c:pt>
                  <c:pt idx="15">
                    <c:v>22</c:v>
                  </c:pt>
                  <c:pt idx="16">
                    <c:v>21</c:v>
                  </c:pt>
                  <c:pt idx="17">
                    <c:v>22</c:v>
                  </c:pt>
                  <c:pt idx="18">
                    <c:v>21</c:v>
                  </c:pt>
                  <c:pt idx="19">
                    <c:v>22</c:v>
                  </c:pt>
                  <c:pt idx="20">
                    <c:v>21</c:v>
                  </c:pt>
                  <c:pt idx="21">
                    <c:v>22</c:v>
                  </c:pt>
                  <c:pt idx="22">
                    <c:v>21</c:v>
                  </c:pt>
                  <c:pt idx="23">
                    <c:v>22</c:v>
                  </c:pt>
                </c:lvl>
                <c:lvl>
                  <c:pt idx="0">
                    <c:v>BB</c:v>
                  </c:pt>
                  <c:pt idx="2">
                    <c:v>BNB </c:v>
                  </c:pt>
                  <c:pt idx="4">
                    <c:v>BNDES</c:v>
                  </c:pt>
                  <c:pt idx="6">
                    <c:v>Bradesco</c:v>
                  </c:pt>
                  <c:pt idx="8">
                    <c:v>BTG Pactual</c:v>
                  </c:pt>
                  <c:pt idx="10">
                    <c:v>CAIXA</c:v>
                  </c:pt>
                  <c:pt idx="12">
                    <c:v>Citibank</c:v>
                  </c:pt>
                  <c:pt idx="14">
                    <c:v>Inter</c:v>
                  </c:pt>
                  <c:pt idx="16">
                    <c:v>Itaú</c:v>
                  </c:pt>
                  <c:pt idx="18">
                    <c:v>J.P. Morgan </c:v>
                  </c:pt>
                  <c:pt idx="20">
                    <c:v>Santander</c:v>
                  </c:pt>
                  <c:pt idx="22">
                    <c:v>Sicredi</c:v>
                  </c:pt>
                </c:lvl>
              </c:multiLvlStrCache>
            </c:multiLvlStrRef>
          </c:cat>
          <c:val>
            <c:numRef>
              <c:f>Planilha1!$R$29:$R$52</c:f>
              <c:numCache>
                <c:formatCode>General</c:formatCode>
                <c:ptCount val="24"/>
                <c:pt idx="0">
                  <c:v>2</c:v>
                </c:pt>
                <c:pt idx="1">
                  <c:v>2</c:v>
                </c:pt>
                <c:pt idx="2">
                  <c:v>2</c:v>
                </c:pt>
                <c:pt idx="3">
                  <c:v>2</c:v>
                </c:pt>
                <c:pt idx="4">
                  <c:v>2</c:v>
                </c:pt>
                <c:pt idx="5">
                  <c:v>2</c:v>
                </c:pt>
                <c:pt idx="6">
                  <c:v>2</c:v>
                </c:pt>
                <c:pt idx="7">
                  <c:v>2</c:v>
                </c:pt>
                <c:pt idx="8">
                  <c:v>2</c:v>
                </c:pt>
                <c:pt idx="9">
                  <c:v>2</c:v>
                </c:pt>
                <c:pt idx="10">
                  <c:v>2</c:v>
                </c:pt>
                <c:pt idx="11">
                  <c:v>2</c:v>
                </c:pt>
                <c:pt idx="12">
                  <c:v>2</c:v>
                </c:pt>
                <c:pt idx="13">
                  <c:v>2</c:v>
                </c:pt>
                <c:pt idx="14">
                  <c:v>2</c:v>
                </c:pt>
                <c:pt idx="15">
                  <c:v>2</c:v>
                </c:pt>
                <c:pt idx="16">
                  <c:v>2</c:v>
                </c:pt>
                <c:pt idx="17">
                  <c:v>2</c:v>
                </c:pt>
                <c:pt idx="18">
                  <c:v>2</c:v>
                </c:pt>
                <c:pt idx="19">
                  <c:v>2</c:v>
                </c:pt>
                <c:pt idx="20">
                  <c:v>2</c:v>
                </c:pt>
                <c:pt idx="21">
                  <c:v>2</c:v>
                </c:pt>
                <c:pt idx="22">
                  <c:v>2</c:v>
                </c:pt>
                <c:pt idx="23">
                  <c:v>2</c:v>
                </c:pt>
              </c:numCache>
            </c:numRef>
          </c:val>
          <c:extLst>
            <c:ext xmlns:c16="http://schemas.microsoft.com/office/drawing/2014/chart" uri="{C3380CC4-5D6E-409C-BE32-E72D297353CC}">
              <c16:uniqueId val="{00000002-167A-43B5-9118-C0D8DEE805DB}"/>
            </c:ext>
          </c:extLst>
        </c:ser>
        <c:ser>
          <c:idx val="3"/>
          <c:order val="3"/>
          <c:tx>
            <c:strRef>
              <c:f>Planilha1!$S$28</c:f>
              <c:strCache>
                <c:ptCount val="1"/>
                <c:pt idx="0">
                  <c:v>Tempestividade</c:v>
                </c:pt>
              </c:strCache>
            </c:strRef>
          </c:tx>
          <c:spPr>
            <a:solidFill>
              <a:schemeClr val="accent4"/>
            </a:solidFill>
            <a:ln>
              <a:noFill/>
            </a:ln>
            <a:effectLst/>
          </c:spPr>
          <c:invertIfNegative val="0"/>
          <c:cat>
            <c:multiLvlStrRef>
              <c:f>Planilha1!$N$29:$O$52</c:f>
              <c:multiLvlStrCache>
                <c:ptCount val="24"/>
                <c:lvl>
                  <c:pt idx="0">
                    <c:v>21</c:v>
                  </c:pt>
                  <c:pt idx="1">
                    <c:v>22</c:v>
                  </c:pt>
                  <c:pt idx="2">
                    <c:v>21</c:v>
                  </c:pt>
                  <c:pt idx="3">
                    <c:v>22</c:v>
                  </c:pt>
                  <c:pt idx="4">
                    <c:v>21</c:v>
                  </c:pt>
                  <c:pt idx="5">
                    <c:v>22</c:v>
                  </c:pt>
                  <c:pt idx="6">
                    <c:v>21</c:v>
                  </c:pt>
                  <c:pt idx="7">
                    <c:v>22</c:v>
                  </c:pt>
                  <c:pt idx="8">
                    <c:v>21</c:v>
                  </c:pt>
                  <c:pt idx="9">
                    <c:v>22</c:v>
                  </c:pt>
                  <c:pt idx="10">
                    <c:v>21</c:v>
                  </c:pt>
                  <c:pt idx="11">
                    <c:v>22</c:v>
                  </c:pt>
                  <c:pt idx="12">
                    <c:v>21</c:v>
                  </c:pt>
                  <c:pt idx="13">
                    <c:v>22</c:v>
                  </c:pt>
                  <c:pt idx="14">
                    <c:v>21</c:v>
                  </c:pt>
                  <c:pt idx="15">
                    <c:v>22</c:v>
                  </c:pt>
                  <c:pt idx="16">
                    <c:v>21</c:v>
                  </c:pt>
                  <c:pt idx="17">
                    <c:v>22</c:v>
                  </c:pt>
                  <c:pt idx="18">
                    <c:v>21</c:v>
                  </c:pt>
                  <c:pt idx="19">
                    <c:v>22</c:v>
                  </c:pt>
                  <c:pt idx="20">
                    <c:v>21</c:v>
                  </c:pt>
                  <c:pt idx="21">
                    <c:v>22</c:v>
                  </c:pt>
                  <c:pt idx="22">
                    <c:v>21</c:v>
                  </c:pt>
                  <c:pt idx="23">
                    <c:v>22</c:v>
                  </c:pt>
                </c:lvl>
                <c:lvl>
                  <c:pt idx="0">
                    <c:v>BB</c:v>
                  </c:pt>
                  <c:pt idx="2">
                    <c:v>BNB </c:v>
                  </c:pt>
                  <c:pt idx="4">
                    <c:v>BNDES</c:v>
                  </c:pt>
                  <c:pt idx="6">
                    <c:v>Bradesco</c:v>
                  </c:pt>
                  <c:pt idx="8">
                    <c:v>BTG Pactual</c:v>
                  </c:pt>
                  <c:pt idx="10">
                    <c:v>CAIXA</c:v>
                  </c:pt>
                  <c:pt idx="12">
                    <c:v>Citibank</c:v>
                  </c:pt>
                  <c:pt idx="14">
                    <c:v>Inter</c:v>
                  </c:pt>
                  <c:pt idx="16">
                    <c:v>Itaú</c:v>
                  </c:pt>
                  <c:pt idx="18">
                    <c:v>J.P. Morgan </c:v>
                  </c:pt>
                  <c:pt idx="20">
                    <c:v>Santander</c:v>
                  </c:pt>
                  <c:pt idx="22">
                    <c:v>Sicredi</c:v>
                  </c:pt>
                </c:lvl>
              </c:multiLvlStrCache>
            </c:multiLvlStrRef>
          </c:cat>
          <c:val>
            <c:numRef>
              <c:f>Planilha1!$S$29:$S$52</c:f>
              <c:numCache>
                <c:formatCode>General</c:formatCode>
                <c:ptCount val="24"/>
                <c:pt idx="0">
                  <c:v>2</c:v>
                </c:pt>
                <c:pt idx="1">
                  <c:v>2</c:v>
                </c:pt>
                <c:pt idx="2">
                  <c:v>1</c:v>
                </c:pt>
                <c:pt idx="3">
                  <c:v>0</c:v>
                </c:pt>
                <c:pt idx="4">
                  <c:v>2</c:v>
                </c:pt>
                <c:pt idx="5">
                  <c:v>2</c:v>
                </c:pt>
                <c:pt idx="6">
                  <c:v>1</c:v>
                </c:pt>
                <c:pt idx="7">
                  <c:v>2</c:v>
                </c:pt>
                <c:pt idx="8">
                  <c:v>2</c:v>
                </c:pt>
                <c:pt idx="9">
                  <c:v>2</c:v>
                </c:pt>
                <c:pt idx="10">
                  <c:v>2</c:v>
                </c:pt>
                <c:pt idx="11">
                  <c:v>0</c:v>
                </c:pt>
                <c:pt idx="12">
                  <c:v>2</c:v>
                </c:pt>
                <c:pt idx="13">
                  <c:v>2</c:v>
                </c:pt>
                <c:pt idx="14">
                  <c:v>2</c:v>
                </c:pt>
                <c:pt idx="15">
                  <c:v>2</c:v>
                </c:pt>
                <c:pt idx="16">
                  <c:v>2</c:v>
                </c:pt>
                <c:pt idx="17">
                  <c:v>2</c:v>
                </c:pt>
                <c:pt idx="18">
                  <c:v>2</c:v>
                </c:pt>
                <c:pt idx="19">
                  <c:v>2</c:v>
                </c:pt>
                <c:pt idx="20">
                  <c:v>1</c:v>
                </c:pt>
                <c:pt idx="21">
                  <c:v>2</c:v>
                </c:pt>
                <c:pt idx="22">
                  <c:v>2</c:v>
                </c:pt>
                <c:pt idx="23">
                  <c:v>2</c:v>
                </c:pt>
              </c:numCache>
            </c:numRef>
          </c:val>
          <c:extLst>
            <c:ext xmlns:c16="http://schemas.microsoft.com/office/drawing/2014/chart" uri="{C3380CC4-5D6E-409C-BE32-E72D297353CC}">
              <c16:uniqueId val="{00000003-167A-43B5-9118-C0D8DEE805DB}"/>
            </c:ext>
          </c:extLst>
        </c:ser>
        <c:ser>
          <c:idx val="4"/>
          <c:order val="4"/>
          <c:tx>
            <c:strRef>
              <c:f>Planilha1!$T$28</c:f>
              <c:strCache>
                <c:ptCount val="1"/>
                <c:pt idx="0">
                  <c:v>Clareza</c:v>
                </c:pt>
              </c:strCache>
            </c:strRef>
          </c:tx>
          <c:spPr>
            <a:solidFill>
              <a:schemeClr val="accent5"/>
            </a:solidFill>
            <a:ln>
              <a:noFill/>
            </a:ln>
            <a:effectLst/>
          </c:spPr>
          <c:invertIfNegative val="0"/>
          <c:cat>
            <c:multiLvlStrRef>
              <c:f>Planilha1!$N$29:$O$52</c:f>
              <c:multiLvlStrCache>
                <c:ptCount val="24"/>
                <c:lvl>
                  <c:pt idx="0">
                    <c:v>21</c:v>
                  </c:pt>
                  <c:pt idx="1">
                    <c:v>22</c:v>
                  </c:pt>
                  <c:pt idx="2">
                    <c:v>21</c:v>
                  </c:pt>
                  <c:pt idx="3">
                    <c:v>22</c:v>
                  </c:pt>
                  <c:pt idx="4">
                    <c:v>21</c:v>
                  </c:pt>
                  <c:pt idx="5">
                    <c:v>22</c:v>
                  </c:pt>
                  <c:pt idx="6">
                    <c:v>21</c:v>
                  </c:pt>
                  <c:pt idx="7">
                    <c:v>22</c:v>
                  </c:pt>
                  <c:pt idx="8">
                    <c:v>21</c:v>
                  </c:pt>
                  <c:pt idx="9">
                    <c:v>22</c:v>
                  </c:pt>
                  <c:pt idx="10">
                    <c:v>21</c:v>
                  </c:pt>
                  <c:pt idx="11">
                    <c:v>22</c:v>
                  </c:pt>
                  <c:pt idx="12">
                    <c:v>21</c:v>
                  </c:pt>
                  <c:pt idx="13">
                    <c:v>22</c:v>
                  </c:pt>
                  <c:pt idx="14">
                    <c:v>21</c:v>
                  </c:pt>
                  <c:pt idx="15">
                    <c:v>22</c:v>
                  </c:pt>
                  <c:pt idx="16">
                    <c:v>21</c:v>
                  </c:pt>
                  <c:pt idx="17">
                    <c:v>22</c:v>
                  </c:pt>
                  <c:pt idx="18">
                    <c:v>21</c:v>
                  </c:pt>
                  <c:pt idx="19">
                    <c:v>22</c:v>
                  </c:pt>
                  <c:pt idx="20">
                    <c:v>21</c:v>
                  </c:pt>
                  <c:pt idx="21">
                    <c:v>22</c:v>
                  </c:pt>
                  <c:pt idx="22">
                    <c:v>21</c:v>
                  </c:pt>
                  <c:pt idx="23">
                    <c:v>22</c:v>
                  </c:pt>
                </c:lvl>
                <c:lvl>
                  <c:pt idx="0">
                    <c:v>BB</c:v>
                  </c:pt>
                  <c:pt idx="2">
                    <c:v>BNB </c:v>
                  </c:pt>
                  <c:pt idx="4">
                    <c:v>BNDES</c:v>
                  </c:pt>
                  <c:pt idx="6">
                    <c:v>Bradesco</c:v>
                  </c:pt>
                  <c:pt idx="8">
                    <c:v>BTG Pactual</c:v>
                  </c:pt>
                  <c:pt idx="10">
                    <c:v>CAIXA</c:v>
                  </c:pt>
                  <c:pt idx="12">
                    <c:v>Citibank</c:v>
                  </c:pt>
                  <c:pt idx="14">
                    <c:v>Inter</c:v>
                  </c:pt>
                  <c:pt idx="16">
                    <c:v>Itaú</c:v>
                  </c:pt>
                  <c:pt idx="18">
                    <c:v>J.P. Morgan </c:v>
                  </c:pt>
                  <c:pt idx="20">
                    <c:v>Santander</c:v>
                  </c:pt>
                  <c:pt idx="22">
                    <c:v>Sicredi</c:v>
                  </c:pt>
                </c:lvl>
              </c:multiLvlStrCache>
            </c:multiLvlStrRef>
          </c:cat>
          <c:val>
            <c:numRef>
              <c:f>Planilha1!$T$29:$T$52</c:f>
              <c:numCache>
                <c:formatCode>General</c:formatCode>
                <c:ptCount val="24"/>
                <c:pt idx="0">
                  <c:v>2</c:v>
                </c:pt>
                <c:pt idx="1">
                  <c:v>2</c:v>
                </c:pt>
                <c:pt idx="2">
                  <c:v>1</c:v>
                </c:pt>
                <c:pt idx="3">
                  <c:v>1</c:v>
                </c:pt>
                <c:pt idx="4">
                  <c:v>2</c:v>
                </c:pt>
                <c:pt idx="5">
                  <c:v>2</c:v>
                </c:pt>
                <c:pt idx="6">
                  <c:v>2</c:v>
                </c:pt>
                <c:pt idx="7">
                  <c:v>2</c:v>
                </c:pt>
                <c:pt idx="8">
                  <c:v>2</c:v>
                </c:pt>
                <c:pt idx="9">
                  <c:v>2</c:v>
                </c:pt>
                <c:pt idx="10">
                  <c:v>1</c:v>
                </c:pt>
                <c:pt idx="11">
                  <c:v>2</c:v>
                </c:pt>
                <c:pt idx="12">
                  <c:v>1</c:v>
                </c:pt>
                <c:pt idx="13">
                  <c:v>1</c:v>
                </c:pt>
                <c:pt idx="14">
                  <c:v>2</c:v>
                </c:pt>
                <c:pt idx="15">
                  <c:v>2</c:v>
                </c:pt>
                <c:pt idx="16">
                  <c:v>2</c:v>
                </c:pt>
                <c:pt idx="17">
                  <c:v>2</c:v>
                </c:pt>
                <c:pt idx="18">
                  <c:v>1</c:v>
                </c:pt>
                <c:pt idx="19">
                  <c:v>1</c:v>
                </c:pt>
                <c:pt idx="20">
                  <c:v>2</c:v>
                </c:pt>
                <c:pt idx="21">
                  <c:v>2</c:v>
                </c:pt>
                <c:pt idx="22">
                  <c:v>2</c:v>
                </c:pt>
                <c:pt idx="23">
                  <c:v>2</c:v>
                </c:pt>
              </c:numCache>
            </c:numRef>
          </c:val>
          <c:extLst>
            <c:ext xmlns:c16="http://schemas.microsoft.com/office/drawing/2014/chart" uri="{C3380CC4-5D6E-409C-BE32-E72D297353CC}">
              <c16:uniqueId val="{00000004-167A-43B5-9118-C0D8DEE805DB}"/>
            </c:ext>
          </c:extLst>
        </c:ser>
        <c:ser>
          <c:idx val="5"/>
          <c:order val="5"/>
          <c:tx>
            <c:strRef>
              <c:f>Planilha1!$U$28</c:f>
              <c:strCache>
                <c:ptCount val="1"/>
                <c:pt idx="0">
                  <c:v>Verificabilidade</c:v>
                </c:pt>
              </c:strCache>
            </c:strRef>
          </c:tx>
          <c:spPr>
            <a:solidFill>
              <a:schemeClr val="accent6"/>
            </a:solidFill>
            <a:ln>
              <a:noFill/>
            </a:ln>
            <a:effectLst/>
          </c:spPr>
          <c:invertIfNegative val="0"/>
          <c:cat>
            <c:multiLvlStrRef>
              <c:f>Planilha1!$N$29:$O$52</c:f>
              <c:multiLvlStrCache>
                <c:ptCount val="24"/>
                <c:lvl>
                  <c:pt idx="0">
                    <c:v>21</c:v>
                  </c:pt>
                  <c:pt idx="1">
                    <c:v>22</c:v>
                  </c:pt>
                  <c:pt idx="2">
                    <c:v>21</c:v>
                  </c:pt>
                  <c:pt idx="3">
                    <c:v>22</c:v>
                  </c:pt>
                  <c:pt idx="4">
                    <c:v>21</c:v>
                  </c:pt>
                  <c:pt idx="5">
                    <c:v>22</c:v>
                  </c:pt>
                  <c:pt idx="6">
                    <c:v>21</c:v>
                  </c:pt>
                  <c:pt idx="7">
                    <c:v>22</c:v>
                  </c:pt>
                  <c:pt idx="8">
                    <c:v>21</c:v>
                  </c:pt>
                  <c:pt idx="9">
                    <c:v>22</c:v>
                  </c:pt>
                  <c:pt idx="10">
                    <c:v>21</c:v>
                  </c:pt>
                  <c:pt idx="11">
                    <c:v>22</c:v>
                  </c:pt>
                  <c:pt idx="12">
                    <c:v>21</c:v>
                  </c:pt>
                  <c:pt idx="13">
                    <c:v>22</c:v>
                  </c:pt>
                  <c:pt idx="14">
                    <c:v>21</c:v>
                  </c:pt>
                  <c:pt idx="15">
                    <c:v>22</c:v>
                  </c:pt>
                  <c:pt idx="16">
                    <c:v>21</c:v>
                  </c:pt>
                  <c:pt idx="17">
                    <c:v>22</c:v>
                  </c:pt>
                  <c:pt idx="18">
                    <c:v>21</c:v>
                  </c:pt>
                  <c:pt idx="19">
                    <c:v>22</c:v>
                  </c:pt>
                  <c:pt idx="20">
                    <c:v>21</c:v>
                  </c:pt>
                  <c:pt idx="21">
                    <c:v>22</c:v>
                  </c:pt>
                  <c:pt idx="22">
                    <c:v>21</c:v>
                  </c:pt>
                  <c:pt idx="23">
                    <c:v>22</c:v>
                  </c:pt>
                </c:lvl>
                <c:lvl>
                  <c:pt idx="0">
                    <c:v>BB</c:v>
                  </c:pt>
                  <c:pt idx="2">
                    <c:v>BNB </c:v>
                  </c:pt>
                  <c:pt idx="4">
                    <c:v>BNDES</c:v>
                  </c:pt>
                  <c:pt idx="6">
                    <c:v>Bradesco</c:v>
                  </c:pt>
                  <c:pt idx="8">
                    <c:v>BTG Pactual</c:v>
                  </c:pt>
                  <c:pt idx="10">
                    <c:v>CAIXA</c:v>
                  </c:pt>
                  <c:pt idx="12">
                    <c:v>Citibank</c:v>
                  </c:pt>
                  <c:pt idx="14">
                    <c:v>Inter</c:v>
                  </c:pt>
                  <c:pt idx="16">
                    <c:v>Itaú</c:v>
                  </c:pt>
                  <c:pt idx="18">
                    <c:v>J.P. Morgan </c:v>
                  </c:pt>
                  <c:pt idx="20">
                    <c:v>Santander</c:v>
                  </c:pt>
                  <c:pt idx="22">
                    <c:v>Sicredi</c:v>
                  </c:pt>
                </c:lvl>
              </c:multiLvlStrCache>
            </c:multiLvlStrRef>
          </c:cat>
          <c:val>
            <c:numRef>
              <c:f>Planilha1!$U$29:$U$52</c:f>
              <c:numCache>
                <c:formatCode>General</c:formatCode>
                <c:ptCount val="24"/>
                <c:pt idx="0">
                  <c:v>1.5</c:v>
                </c:pt>
                <c:pt idx="1">
                  <c:v>1.5</c:v>
                </c:pt>
                <c:pt idx="2">
                  <c:v>1</c:v>
                </c:pt>
                <c:pt idx="3">
                  <c:v>1</c:v>
                </c:pt>
                <c:pt idx="4">
                  <c:v>1.5</c:v>
                </c:pt>
                <c:pt idx="5">
                  <c:v>1.5</c:v>
                </c:pt>
                <c:pt idx="6">
                  <c:v>1.5</c:v>
                </c:pt>
                <c:pt idx="7">
                  <c:v>1.5</c:v>
                </c:pt>
                <c:pt idx="8">
                  <c:v>1</c:v>
                </c:pt>
                <c:pt idx="9">
                  <c:v>1</c:v>
                </c:pt>
                <c:pt idx="10">
                  <c:v>1</c:v>
                </c:pt>
                <c:pt idx="11">
                  <c:v>1.5</c:v>
                </c:pt>
                <c:pt idx="12">
                  <c:v>1</c:v>
                </c:pt>
                <c:pt idx="13">
                  <c:v>1</c:v>
                </c:pt>
                <c:pt idx="14">
                  <c:v>1</c:v>
                </c:pt>
                <c:pt idx="15">
                  <c:v>1</c:v>
                </c:pt>
                <c:pt idx="16">
                  <c:v>1.5</c:v>
                </c:pt>
                <c:pt idx="17">
                  <c:v>1.5</c:v>
                </c:pt>
                <c:pt idx="18">
                  <c:v>0.5</c:v>
                </c:pt>
                <c:pt idx="19">
                  <c:v>0.5</c:v>
                </c:pt>
                <c:pt idx="20">
                  <c:v>1</c:v>
                </c:pt>
                <c:pt idx="21">
                  <c:v>1</c:v>
                </c:pt>
                <c:pt idx="22">
                  <c:v>1.5</c:v>
                </c:pt>
                <c:pt idx="23">
                  <c:v>1.5</c:v>
                </c:pt>
              </c:numCache>
            </c:numRef>
          </c:val>
          <c:extLst>
            <c:ext xmlns:c16="http://schemas.microsoft.com/office/drawing/2014/chart" uri="{C3380CC4-5D6E-409C-BE32-E72D297353CC}">
              <c16:uniqueId val="{00000005-167A-43B5-9118-C0D8DEE805DB}"/>
            </c:ext>
          </c:extLst>
        </c:ser>
        <c:dLbls>
          <c:showLegendKey val="0"/>
          <c:showVal val="0"/>
          <c:showCatName val="0"/>
          <c:showSerName val="0"/>
          <c:showPercent val="0"/>
          <c:showBubbleSize val="0"/>
        </c:dLbls>
        <c:gapWidth val="150"/>
        <c:overlap val="100"/>
        <c:axId val="2070515088"/>
        <c:axId val="145450768"/>
      </c:barChart>
      <c:catAx>
        <c:axId val="2070515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ES"/>
          </a:p>
        </c:txPr>
        <c:crossAx val="145450768"/>
        <c:crosses val="autoZero"/>
        <c:auto val="1"/>
        <c:lblAlgn val="ctr"/>
        <c:lblOffset val="100"/>
        <c:noMultiLvlLbl val="0"/>
      </c:catAx>
      <c:valAx>
        <c:axId val="145450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070515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J/l71aQ8ruYvNS7mnSfi3ovILA==">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1902</TotalTime>
  <Pages>71</Pages>
  <Words>18168</Words>
  <Characters>99928</Characters>
  <Application>Microsoft Office Word</Application>
  <DocSecurity>0</DocSecurity>
  <Lines>832</Lines>
  <Paragraphs>235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Alexandre Pacheco</dc:creator>
  <cp:lastModifiedBy>Alexandre Pacheco</cp:lastModifiedBy>
  <cp:revision>181</cp:revision>
  <dcterms:created xsi:type="dcterms:W3CDTF">2024-08-28T18:15:00Z</dcterms:created>
  <dcterms:modified xsi:type="dcterms:W3CDTF">2024-08-30T04:10:00Z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0x010100D0D1B55468946A4CA519F740032220AF</vt:lpwstr>
  </property>
  <property fmtid="{D5CDD505-2E9C-101B-9397-08002B2CF9AE}" pid="3" name="GrammarlyDocumentId">
    <vt:lpwstr>7c21b8c1ecfd0374910fe7d2adbc0db3ddec8fc390539936bc586baef0e17c34</vt:lpwstr>
  </property>
</Properties>
</file>