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 Spacing"/>
        <w:jc w:val="both"/>
        <w:rPr>
          <w:lang w:val="en-US"/>
        </w:rPr>
      </w:pPr>
    </w:p>
    <w:p>
      <w:pPr>
        <w:pStyle w:val="No Spacing"/>
        <w:jc w:val="center"/>
        <w:rPr>
          <w:b w:val="1"/>
          <w:bCs w:val="1"/>
          <w:outline w:val="0"/>
          <w:color w:val="0070c0"/>
          <w:sz w:val="36"/>
          <w:szCs w:val="36"/>
          <w:u w:color="0070c0"/>
          <w:lang w:val="en-US"/>
          <w14:textFill>
            <w14:solidFill>
              <w14:srgbClr w14:val="0070C0"/>
            </w14:solidFill>
          </w14:textFill>
        </w:rPr>
      </w:pPr>
      <w:r>
        <w:rPr>
          <w:b w:val="1"/>
          <w:bCs w:val="1"/>
          <w:outline w:val="0"/>
          <w:color w:val="0070c0"/>
          <w:sz w:val="36"/>
          <w:szCs w:val="36"/>
          <w:u w:color="0070c0"/>
          <w:rtl w:val="0"/>
          <w:lang w:val="en-US"/>
          <w14:textFill>
            <w14:solidFill>
              <w14:srgbClr w14:val="0070C0"/>
            </w14:solidFill>
          </w14:textFill>
        </w:rPr>
        <w:t>E4E Press Release AECEF</w:t>
      </w:r>
    </w:p>
    <w:p>
      <w:pPr>
        <w:pStyle w:val="No Spacing"/>
        <w:jc w:val="both"/>
        <w:rPr>
          <w:sz w:val="24"/>
          <w:szCs w:val="24"/>
          <w:lang w:val="en-US"/>
        </w:rPr>
      </w:pPr>
    </w:p>
    <w:p>
      <w:pPr>
        <w:pStyle w:val="No Spacing"/>
        <w:jc w:val="both"/>
        <w:rPr>
          <w:b w:val="1"/>
          <w:bCs w:val="1"/>
          <w:sz w:val="24"/>
          <w:szCs w:val="24"/>
          <w:lang w:val="en-US"/>
        </w:rPr>
      </w:pPr>
    </w:p>
    <w:p>
      <w:pPr>
        <w:pStyle w:val="No Spacing"/>
        <w:jc w:val="both"/>
        <w:rPr>
          <w:b w:val="1"/>
          <w:bCs w:val="1"/>
          <w:sz w:val="24"/>
          <w:szCs w:val="24"/>
          <w:lang w:val="en-US"/>
        </w:rPr>
      </w:pPr>
      <w:r>
        <w:rPr>
          <w:b w:val="1"/>
          <w:bCs w:val="1"/>
          <w:sz w:val="24"/>
          <w:szCs w:val="24"/>
          <w:rtl w:val="0"/>
          <w:lang w:val="en-US"/>
        </w:rPr>
        <w:t xml:space="preserve">AECEF in Brussels for the launch of the </w:t>
      </w:r>
      <w:r>
        <w:rPr>
          <w:b w:val="1"/>
          <w:bCs w:val="1"/>
          <w:sz w:val="24"/>
          <w:szCs w:val="24"/>
          <w:rtl w:val="0"/>
          <w:lang w:val="en-US"/>
        </w:rPr>
        <w:t>“</w:t>
      </w:r>
      <w:r>
        <w:rPr>
          <w:b w:val="1"/>
          <w:bCs w:val="1"/>
          <w:sz w:val="24"/>
          <w:szCs w:val="24"/>
          <w:rtl w:val="0"/>
          <w:lang w:val="en-US"/>
        </w:rPr>
        <w:t>Engineers for Europe</w:t>
      </w:r>
      <w:r>
        <w:rPr>
          <w:b w:val="1"/>
          <w:bCs w:val="1"/>
          <w:sz w:val="24"/>
          <w:szCs w:val="24"/>
          <w:rtl w:val="0"/>
          <w:lang w:val="en-US"/>
        </w:rPr>
        <w:t xml:space="preserve">” </w:t>
      </w:r>
      <w:r>
        <w:rPr>
          <w:b w:val="1"/>
          <w:bCs w:val="1"/>
          <w:sz w:val="24"/>
          <w:szCs w:val="24"/>
          <w:rtl w:val="0"/>
          <w:lang w:val="pt-PT"/>
        </w:rPr>
        <w:t xml:space="preserve">(E4E) </w:t>
      </w:r>
      <w:r>
        <w:rPr>
          <w:b w:val="1"/>
          <w:bCs w:val="1"/>
          <w:sz w:val="24"/>
          <w:szCs w:val="24"/>
          <w:rtl w:val="0"/>
          <w:lang w:val="en-US"/>
        </w:rPr>
        <w:t>project co-funded by the Erasmus+ Programme</w:t>
      </w:r>
    </w:p>
    <w:p>
      <w:pPr>
        <w:pStyle w:val="No Spacing"/>
        <w:jc w:val="both"/>
        <w:rPr>
          <w:sz w:val="24"/>
          <w:szCs w:val="24"/>
          <w:lang w:val="en-US"/>
        </w:rPr>
      </w:pPr>
    </w:p>
    <w:p>
      <w:pPr>
        <w:pStyle w:val="No Spacing"/>
        <w:jc w:val="both"/>
        <w:rPr>
          <w:sz w:val="24"/>
          <w:szCs w:val="24"/>
          <w:lang w:val="en-US"/>
        </w:rPr>
      </w:pPr>
      <w:r>
        <w:rPr>
          <w:sz w:val="24"/>
          <w:szCs w:val="24"/>
          <w:rtl w:val="0"/>
          <w:lang w:val="en-US"/>
        </w:rPr>
        <w:t>AECEF, represented by the president Prof. Ni</w:t>
      </w:r>
      <w:r>
        <w:rPr>
          <w:sz w:val="24"/>
          <w:szCs w:val="24"/>
          <w:rtl w:val="0"/>
          <w:lang w:val="pt-PT"/>
        </w:rPr>
        <w:t>k</w:t>
      </w:r>
      <w:r>
        <w:rPr>
          <w:sz w:val="24"/>
          <w:szCs w:val="24"/>
          <w:rtl w:val="0"/>
          <w:lang w:val="en-US"/>
        </w:rPr>
        <w:t>olaos Theodossiou,</w:t>
      </w:r>
      <w:r>
        <w:rPr>
          <w:sz w:val="24"/>
          <w:szCs w:val="24"/>
          <w:rtl w:val="0"/>
          <w:lang w:val="pt-PT"/>
        </w:rPr>
        <w:t>, Prof. C</w:t>
      </w:r>
      <w:r>
        <w:rPr>
          <w:sz w:val="24"/>
          <w:szCs w:val="24"/>
          <w:rtl w:val="0"/>
          <w:lang w:val="pt-PT"/>
        </w:rPr>
        <w:t>é</w:t>
      </w:r>
      <w:r>
        <w:rPr>
          <w:sz w:val="24"/>
          <w:szCs w:val="24"/>
          <w:rtl w:val="0"/>
          <w:lang w:val="pt-PT"/>
        </w:rPr>
        <w:t>dric D</w:t>
      </w:r>
      <w:r>
        <w:rPr>
          <w:sz w:val="24"/>
          <w:szCs w:val="24"/>
          <w:rtl w:val="0"/>
          <w:lang w:val="pt-PT"/>
        </w:rPr>
        <w:t>´</w:t>
      </w:r>
      <w:r>
        <w:rPr>
          <w:sz w:val="24"/>
          <w:szCs w:val="24"/>
          <w:rtl w:val="0"/>
          <w:lang w:val="pt-PT"/>
        </w:rPr>
        <w:t>Mello  and Prof. Alfredo Soeiro,</w:t>
      </w:r>
      <w:r>
        <w:rPr>
          <w:sz w:val="24"/>
          <w:szCs w:val="24"/>
          <w:rtl w:val="0"/>
          <w:lang w:val="en-US"/>
        </w:rPr>
        <w:t xml:space="preserve"> </w:t>
      </w:r>
      <w:r>
        <w:rPr>
          <w:sz w:val="24"/>
          <w:szCs w:val="24"/>
          <w:rtl w:val="0"/>
          <w:lang w:val="pt-PT"/>
        </w:rPr>
        <w:t xml:space="preserve">have been in </w:t>
      </w:r>
      <w:r>
        <w:rPr>
          <w:sz w:val="24"/>
          <w:szCs w:val="24"/>
          <w:rtl w:val="0"/>
          <w:lang w:val="en-US"/>
        </w:rPr>
        <w:t xml:space="preserve">Brussels for the </w:t>
      </w:r>
      <w:r>
        <w:rPr>
          <w:sz w:val="24"/>
          <w:szCs w:val="24"/>
          <w:rtl w:val="0"/>
          <w:lang w:val="pt-PT"/>
        </w:rPr>
        <w:t>meetings</w:t>
      </w:r>
      <w:r>
        <w:rPr>
          <w:sz w:val="24"/>
          <w:szCs w:val="24"/>
          <w:rtl w:val="0"/>
          <w:lang w:val="en-US"/>
        </w:rPr>
        <w:t xml:space="preserve"> of the </w:t>
      </w:r>
      <w:r>
        <w:rPr>
          <w:sz w:val="24"/>
          <w:szCs w:val="24"/>
          <w:rtl w:val="0"/>
          <w:lang w:val="en-US"/>
        </w:rPr>
        <w:t>“</w:t>
      </w:r>
      <w:r>
        <w:rPr>
          <w:sz w:val="24"/>
          <w:szCs w:val="24"/>
          <w:rtl w:val="0"/>
          <w:lang w:val="en-US"/>
        </w:rPr>
        <w:t>Engineers for Europe</w:t>
      </w:r>
      <w:r>
        <w:rPr>
          <w:sz w:val="24"/>
          <w:szCs w:val="24"/>
          <w:rtl w:val="0"/>
          <w:lang w:val="en-US"/>
        </w:rPr>
        <w:t xml:space="preserve">” </w:t>
      </w:r>
      <w:r>
        <w:rPr>
          <w:sz w:val="24"/>
          <w:szCs w:val="24"/>
          <w:rtl w:val="0"/>
          <w:lang w:val="en-US"/>
        </w:rPr>
        <w:t xml:space="preserve">(E4E) project, co-funded by the Erasmus+ programme of the European Union. </w:t>
      </w:r>
    </w:p>
    <w:p>
      <w:pPr>
        <w:pStyle w:val="No Spacing"/>
        <w:jc w:val="both"/>
        <w:rPr>
          <w:sz w:val="24"/>
          <w:szCs w:val="24"/>
          <w:lang w:val="en-US"/>
        </w:rPr>
      </w:pPr>
    </w:p>
    <w:p>
      <w:pPr>
        <w:pStyle w:val="No Spacing"/>
        <w:jc w:val="both"/>
        <w:rPr>
          <w:sz w:val="24"/>
          <w:szCs w:val="24"/>
          <w:lang w:val="en-US"/>
        </w:rPr>
      </w:pPr>
      <w:r>
        <w:rPr>
          <w:sz w:val="24"/>
          <w:szCs w:val="24"/>
          <w:rtl w:val="0"/>
          <w:lang w:val="en-US"/>
        </w:rPr>
        <w:t xml:space="preserve">E4E is an Alliance for Innovation bringing together 13 partners from eight European countries representing the different facets of the engineering profession. The E4E project has three main pillars of institution building, strategic foresight and training to sustain the competitiveness of the engineering profession. </w:t>
      </w:r>
    </w:p>
    <w:p>
      <w:pPr>
        <w:pStyle w:val="No Spacing"/>
        <w:jc w:val="both"/>
        <w:rPr>
          <w:sz w:val="24"/>
          <w:szCs w:val="24"/>
          <w:lang w:val="en-US"/>
        </w:rPr>
      </w:pPr>
    </w:p>
    <w:p>
      <w:pPr>
        <w:pStyle w:val="No Spacing"/>
        <w:jc w:val="both"/>
        <w:rPr>
          <w:sz w:val="24"/>
          <w:szCs w:val="24"/>
          <w:lang w:val="en-US"/>
        </w:rPr>
      </w:pPr>
      <w:r>
        <w:rPr>
          <w:rtl w:val="0"/>
          <w:lang w:val="pt-PT"/>
        </w:rPr>
        <w:t>Engineers Europe (ex-FEANI)</w:t>
      </w:r>
      <w:r>
        <w:rPr>
          <w:sz w:val="24"/>
          <w:szCs w:val="24"/>
          <w:rtl w:val="0"/>
          <w:lang w:val="en-US"/>
        </w:rPr>
        <w:t xml:space="preserve">, is the coordinator of the E4E project and will work with partners </w:t>
      </w:r>
      <w:r>
        <w:rPr>
          <w:sz w:val="24"/>
          <w:szCs w:val="24"/>
          <w:rtl w:val="0"/>
          <w:lang w:val="pt-PT"/>
        </w:rPr>
        <w:t>for</w:t>
      </w:r>
      <w:r>
        <w:rPr>
          <w:sz w:val="24"/>
          <w:szCs w:val="24"/>
          <w:rtl w:val="0"/>
          <w:lang w:val="en-US"/>
        </w:rPr>
        <w:t xml:space="preserve"> </w:t>
      </w:r>
      <w:r>
        <w:rPr>
          <w:sz w:val="24"/>
          <w:szCs w:val="24"/>
          <w:rtl w:val="0"/>
          <w:lang w:val="pt-PT"/>
        </w:rPr>
        <w:t>three years</w:t>
      </w:r>
      <w:r>
        <w:rPr>
          <w:sz w:val="24"/>
          <w:szCs w:val="24"/>
          <w:rtl w:val="0"/>
          <w:lang w:val="en-US"/>
        </w:rPr>
        <w:t xml:space="preserve"> to establish </w:t>
      </w:r>
      <w:r>
        <w:rPr>
          <w:sz w:val="24"/>
          <w:szCs w:val="24"/>
          <w:rtl w:val="0"/>
          <w:lang w:val="pt-PT"/>
        </w:rPr>
        <w:t xml:space="preserve">and use </w:t>
      </w:r>
      <w:r>
        <w:rPr>
          <w:sz w:val="24"/>
          <w:szCs w:val="24"/>
          <w:rtl w:val="0"/>
          <w:lang w:val="en-US"/>
        </w:rPr>
        <w:t xml:space="preserve">the European Engineering Skills Council, identify future trends and needs in skills and competences for engineers and develop innovative training on transversal </w:t>
      </w:r>
      <w:r>
        <w:rPr>
          <w:sz w:val="24"/>
          <w:szCs w:val="24"/>
          <w:rtl w:val="0"/>
          <w:lang w:val="pt-PT"/>
        </w:rPr>
        <w:t xml:space="preserve">competences and </w:t>
      </w:r>
      <w:r>
        <w:rPr>
          <w:sz w:val="24"/>
          <w:szCs w:val="24"/>
          <w:rtl w:val="0"/>
          <w:lang w:val="en-US"/>
        </w:rPr>
        <w:t>skills for the profession.</w:t>
      </w:r>
    </w:p>
    <w:p>
      <w:pPr>
        <w:pStyle w:val="No Spacing"/>
        <w:jc w:val="both"/>
        <w:rPr>
          <w:sz w:val="24"/>
          <w:szCs w:val="24"/>
          <w:lang w:val="en-US"/>
        </w:rPr>
      </w:pPr>
    </w:p>
    <w:p>
      <w:pPr>
        <w:pStyle w:val="No Spacing"/>
        <w:jc w:val="both"/>
        <w:rPr>
          <w:sz w:val="24"/>
          <w:szCs w:val="24"/>
          <w:lang w:val="en-US"/>
        </w:rPr>
      </w:pPr>
      <w:r>
        <w:rPr>
          <w:sz w:val="24"/>
          <w:szCs w:val="24"/>
          <w:rtl w:val="0"/>
          <w:lang w:val="en-US"/>
        </w:rPr>
        <w:t xml:space="preserve">AECEF will play a crucial role in </w:t>
      </w:r>
      <w:r>
        <w:rPr>
          <w:sz w:val="24"/>
          <w:szCs w:val="24"/>
          <w:rtl w:val="0"/>
          <w:lang w:val="pt-PT"/>
        </w:rPr>
        <w:t xml:space="preserve">advising </w:t>
      </w:r>
      <w:r>
        <w:rPr>
          <w:sz w:val="24"/>
          <w:szCs w:val="24"/>
          <w:rtl w:val="0"/>
          <w:lang w:val="en-US"/>
        </w:rPr>
        <w:t>in up</w:t>
      </w:r>
      <w:r>
        <w:rPr>
          <w:sz w:val="24"/>
          <w:szCs w:val="24"/>
          <w:rtl w:val="0"/>
          <w:lang w:val="pt-PT"/>
        </w:rPr>
        <w:t>-</w:t>
      </w:r>
      <w:r>
        <w:rPr>
          <w:sz w:val="24"/>
          <w:szCs w:val="24"/>
          <w:rtl w:val="0"/>
          <w:lang w:val="en-US"/>
        </w:rPr>
        <w:t>skilling and re</w:t>
      </w:r>
      <w:r>
        <w:rPr>
          <w:sz w:val="24"/>
          <w:szCs w:val="24"/>
          <w:rtl w:val="0"/>
          <w:lang w:val="pt-PT"/>
        </w:rPr>
        <w:t>-</w:t>
      </w:r>
      <w:r>
        <w:rPr>
          <w:sz w:val="24"/>
          <w:szCs w:val="24"/>
          <w:rtl w:val="0"/>
          <w:lang w:val="en-US"/>
        </w:rPr>
        <w:t xml:space="preserve">skilling engineers, </w:t>
      </w:r>
      <w:r>
        <w:rPr>
          <w:sz w:val="24"/>
          <w:szCs w:val="24"/>
          <w:rtl w:val="0"/>
          <w:lang w:val="pt-PT"/>
        </w:rPr>
        <w:t xml:space="preserve">in cooperating in education and in training, </w:t>
      </w:r>
      <w:r>
        <w:rPr>
          <w:sz w:val="24"/>
          <w:szCs w:val="24"/>
          <w:rtl w:val="0"/>
          <w:lang w:val="en-US"/>
        </w:rPr>
        <w:t xml:space="preserve">mainly in the areas of Civil Engineering, while: </w:t>
      </w:r>
    </w:p>
    <w:p>
      <w:pPr>
        <w:pStyle w:val="No Spacing"/>
        <w:numPr>
          <w:ilvl w:val="0"/>
          <w:numId w:val="2"/>
        </w:numPr>
        <w:bidi w:val="0"/>
        <w:ind w:right="0"/>
        <w:jc w:val="both"/>
        <w:rPr>
          <w:sz w:val="24"/>
          <w:szCs w:val="24"/>
          <w:rtl w:val="0"/>
          <w:lang w:val="en-US"/>
        </w:rPr>
      </w:pPr>
      <w:r>
        <w:rPr>
          <w:sz w:val="24"/>
          <w:szCs w:val="24"/>
          <w:rtl w:val="0"/>
          <w:lang w:val="en-US"/>
        </w:rPr>
        <w:t>Assessing the landscape of the engineering profession to identify challenges and opportunities in Continuing Professional Development;</w:t>
      </w:r>
    </w:p>
    <w:p>
      <w:pPr>
        <w:pStyle w:val="No Spacing"/>
        <w:numPr>
          <w:ilvl w:val="0"/>
          <w:numId w:val="2"/>
        </w:numPr>
        <w:bidi w:val="0"/>
        <w:ind w:right="0"/>
        <w:jc w:val="both"/>
        <w:rPr>
          <w:sz w:val="24"/>
          <w:szCs w:val="24"/>
          <w:rtl w:val="0"/>
          <w:lang w:val="en-US"/>
        </w:rPr>
      </w:pPr>
      <w:r>
        <w:rPr>
          <w:sz w:val="24"/>
          <w:szCs w:val="24"/>
          <w:rtl w:val="0"/>
          <w:lang w:val="en-US"/>
        </w:rPr>
        <w:t xml:space="preserve">Contributing to the Skills Strategy </w:t>
      </w:r>
      <w:r>
        <w:rPr>
          <w:sz w:val="24"/>
          <w:szCs w:val="24"/>
          <w:rtl w:val="0"/>
          <w:lang w:val="pt-PT"/>
        </w:rPr>
        <w:t>of</w:t>
      </w:r>
      <w:r>
        <w:rPr>
          <w:sz w:val="24"/>
          <w:szCs w:val="24"/>
          <w:rtl w:val="0"/>
          <w:lang w:val="en-US"/>
        </w:rPr>
        <w:t xml:space="preserve"> the European </w:t>
      </w:r>
      <w:r>
        <w:rPr>
          <w:sz w:val="24"/>
          <w:szCs w:val="24"/>
          <w:rtl w:val="0"/>
          <w:lang w:val="pt-PT"/>
        </w:rPr>
        <w:t>E</w:t>
      </w:r>
      <w:r>
        <w:rPr>
          <w:sz w:val="24"/>
          <w:szCs w:val="24"/>
          <w:rtl w:val="0"/>
          <w:lang w:val="en-US"/>
        </w:rPr>
        <w:t>ngineering profession</w:t>
      </w:r>
    </w:p>
    <w:p>
      <w:pPr>
        <w:pStyle w:val="No Spacing"/>
        <w:numPr>
          <w:ilvl w:val="0"/>
          <w:numId w:val="2"/>
        </w:numPr>
        <w:bidi w:val="0"/>
        <w:ind w:right="0"/>
        <w:jc w:val="both"/>
        <w:rPr>
          <w:sz w:val="24"/>
          <w:szCs w:val="24"/>
          <w:rtl w:val="0"/>
          <w:lang w:val="en-US"/>
        </w:rPr>
      </w:pPr>
      <w:r>
        <w:rPr>
          <w:sz w:val="24"/>
          <w:szCs w:val="24"/>
          <w:rtl w:val="0"/>
          <w:lang w:val="en-US"/>
        </w:rPr>
        <w:t xml:space="preserve">Improve Sustainability competences of engineers. </w:t>
      </w:r>
    </w:p>
    <w:p>
      <w:pPr>
        <w:pStyle w:val="No Spacing"/>
        <w:jc w:val="both"/>
        <w:rPr>
          <w:sz w:val="24"/>
          <w:szCs w:val="24"/>
          <w:lang w:val="en-US"/>
        </w:rPr>
      </w:pPr>
    </w:p>
    <w:p>
      <w:pPr>
        <w:pStyle w:val="No Spacing"/>
        <w:jc w:val="both"/>
        <w:rPr>
          <w:lang w:val="en-US"/>
        </w:rPr>
      </w:pPr>
      <w:r>
        <w:rPr>
          <w:sz w:val="24"/>
          <w:szCs w:val="24"/>
          <w:rtl w:val="0"/>
          <w:lang w:val="en-US"/>
        </w:rPr>
        <w:t xml:space="preserve">More information about </w:t>
      </w:r>
      <w:r>
        <w:rPr>
          <w:sz w:val="24"/>
          <w:szCs w:val="24"/>
          <w:rtl w:val="0"/>
          <w:lang w:val="en-US"/>
        </w:rPr>
        <w:t>“</w:t>
      </w:r>
      <w:r>
        <w:rPr>
          <w:sz w:val="24"/>
          <w:szCs w:val="24"/>
          <w:rtl w:val="0"/>
          <w:lang w:val="en-US"/>
        </w:rPr>
        <w:t>Engineers for Europe</w:t>
      </w:r>
      <w:r>
        <w:rPr>
          <w:sz w:val="24"/>
          <w:szCs w:val="24"/>
          <w:rtl w:val="0"/>
          <w:lang w:val="en-US"/>
        </w:rPr>
        <w:t xml:space="preserve">” </w:t>
      </w:r>
      <w:r>
        <w:rPr>
          <w:sz w:val="24"/>
          <w:szCs w:val="24"/>
          <w:rtl w:val="0"/>
          <w:lang w:val="en-US"/>
        </w:rPr>
        <w:t xml:space="preserve">and about AECEF are available at </w:t>
      </w:r>
      <w:r>
        <w:rPr>
          <w:rStyle w:val="Hyperlink.0"/>
          <w:sz w:val="24"/>
          <w:szCs w:val="24"/>
          <w:lang w:val="en-US"/>
        </w:rPr>
        <w:fldChar w:fldCharType="begin" w:fldLock="0"/>
      </w:r>
      <w:r>
        <w:rPr>
          <w:rStyle w:val="Hyperlink.0"/>
          <w:sz w:val="24"/>
          <w:szCs w:val="24"/>
          <w:lang w:val="en-US"/>
        </w:rPr>
        <w:instrText xml:space="preserve"> HYPERLINK "http://www.aecef.net"</w:instrText>
      </w:r>
      <w:r>
        <w:rPr>
          <w:rStyle w:val="Hyperlink.0"/>
          <w:sz w:val="24"/>
          <w:szCs w:val="24"/>
          <w:lang w:val="en-US"/>
        </w:rPr>
        <w:fldChar w:fldCharType="separate" w:fldLock="0"/>
      </w:r>
      <w:r>
        <w:rPr>
          <w:rStyle w:val="Hyperlink.0"/>
          <w:sz w:val="24"/>
          <w:szCs w:val="24"/>
          <w:rtl w:val="0"/>
          <w:lang w:val="en-US"/>
        </w:rPr>
        <w:t>www.aecef.net</w:t>
      </w:r>
      <w:r>
        <w:rPr>
          <w:lang w:val="en-US"/>
        </w:rPr>
        <w:fldChar w:fldCharType="end" w:fldLock="0"/>
      </w:r>
      <w:r>
        <w:rPr>
          <w:sz w:val="24"/>
          <w:szCs w:val="24"/>
          <w:rtl w:val="0"/>
          <w:lang w:val="pt-PT"/>
        </w:rPr>
        <w:t xml:space="preserve"> and </w:t>
      </w:r>
    </w:p>
    <w:p>
      <w:pPr>
        <w:pStyle w:val="No Spacing"/>
        <w:jc w:val="both"/>
        <w:rPr>
          <w:lang w:val="en-US"/>
        </w:rPr>
      </w:pPr>
    </w:p>
    <w:p>
      <w:pPr>
        <w:pStyle w:val="No Spacing"/>
        <w:jc w:val="both"/>
        <w:rPr>
          <w:lang w:val="en-US"/>
        </w:rPr>
      </w:pPr>
    </w:p>
    <w:p>
      <w:pPr>
        <w:pStyle w:val="No Spacing"/>
        <w:jc w:val="center"/>
      </w:pPr>
      <w:r>
        <w:drawing xmlns:a="http://schemas.openxmlformats.org/drawingml/2006/main">
          <wp:inline distT="0" distB="0" distL="0" distR="0">
            <wp:extent cx="1560133" cy="729615"/>
            <wp:effectExtent l="0" t="0" r="0" b="0"/>
            <wp:docPr id="1073741825" name="officeArt object" descr="image001"/>
            <wp:cNvGraphicFramePr/>
            <a:graphic xmlns:a="http://schemas.openxmlformats.org/drawingml/2006/main">
              <a:graphicData uri="http://schemas.openxmlformats.org/drawingml/2006/picture">
                <pic:pic xmlns:pic="http://schemas.openxmlformats.org/drawingml/2006/picture">
                  <pic:nvPicPr>
                    <pic:cNvPr id="1073741825" name="image001" descr="image001"/>
                    <pic:cNvPicPr>
                      <a:picLocks noChangeAspect="1"/>
                    </pic:cNvPicPr>
                  </pic:nvPicPr>
                  <pic:blipFill>
                    <a:blip r:embed="rId4">
                      <a:extLst/>
                    </a:blip>
                    <a:stretch>
                      <a:fillRect/>
                    </a:stretch>
                  </pic:blipFill>
                  <pic:spPr>
                    <a:xfrm>
                      <a:off x="0" y="0"/>
                      <a:ext cx="1560133" cy="729615"/>
                    </a:xfrm>
                    <a:prstGeom prst="rect">
                      <a:avLst/>
                    </a:prstGeom>
                    <a:ln w="12700" cap="flat">
                      <a:noFill/>
                      <a:miter lim="400000"/>
                    </a:ln>
                    <a:effectLst/>
                  </pic:spPr>
                </pic:pic>
              </a:graphicData>
            </a:graphic>
          </wp:inline>
        </w:drawing>
      </w:r>
    </w:p>
    <w:p>
      <w:pPr>
        <w:pStyle w:val="No Spacing"/>
        <w:jc w:val="both"/>
        <w:rPr>
          <w:lang w:val="en-US"/>
        </w:rPr>
      </w:pPr>
    </w:p>
    <w:p>
      <w:pPr>
        <w:pStyle w:val="No Spacing"/>
        <w:jc w:val="center"/>
        <w:rPr>
          <w:rFonts w:ascii="Arial Narrow" w:cs="Arial Narrow" w:hAnsi="Arial Narrow" w:eastAsia="Arial Narrow"/>
          <w:outline w:val="0"/>
          <w:color w:val="0000ff"/>
          <w:u w:color="0000ff"/>
          <w14:textFill>
            <w14:solidFill>
              <w14:srgbClr w14:val="0000FF"/>
            </w14:solidFill>
          </w14:textFill>
        </w:rPr>
      </w:pPr>
      <w:r>
        <w:drawing xmlns:a="http://schemas.openxmlformats.org/drawingml/2006/main">
          <wp:inline distT="0" distB="0" distL="0" distR="0">
            <wp:extent cx="3359135" cy="704731"/>
            <wp:effectExtent l="0" t="0" r="0" b="0"/>
            <wp:docPr id="1073741826" name="officeArt object" descr="Immagine 11"/>
            <wp:cNvGraphicFramePr/>
            <a:graphic xmlns:a="http://schemas.openxmlformats.org/drawingml/2006/main">
              <a:graphicData uri="http://schemas.openxmlformats.org/drawingml/2006/picture">
                <pic:pic xmlns:pic="http://schemas.openxmlformats.org/drawingml/2006/picture">
                  <pic:nvPicPr>
                    <pic:cNvPr id="1073741826" name="Immagine 11" descr="Immagine 11"/>
                    <pic:cNvPicPr>
                      <a:picLocks noChangeAspect="1"/>
                    </pic:cNvPicPr>
                  </pic:nvPicPr>
                  <pic:blipFill>
                    <a:blip r:embed="rId5">
                      <a:extLst/>
                    </a:blip>
                    <a:stretch>
                      <a:fillRect/>
                    </a:stretch>
                  </pic:blipFill>
                  <pic:spPr>
                    <a:xfrm>
                      <a:off x="0" y="0"/>
                      <a:ext cx="3359135" cy="704731"/>
                    </a:xfrm>
                    <a:prstGeom prst="rect">
                      <a:avLst/>
                    </a:prstGeom>
                    <a:ln w="12700" cap="flat">
                      <a:noFill/>
                      <a:miter lim="400000"/>
                    </a:ln>
                    <a:effectLst/>
                  </pic:spPr>
                </pic:pic>
              </a:graphicData>
            </a:graphic>
          </wp:inline>
        </w:drawing>
      </w:r>
      <w:r>
        <w:rPr>
          <w:rFonts w:ascii="Arial Narrow" w:cs="Arial Narrow" w:hAnsi="Arial Narrow" w:eastAsia="Arial Narrow"/>
          <w:outline w:val="0"/>
          <w:color w:val="0000ff"/>
          <w:u w:color="0000ff"/>
          <w14:textFill>
            <w14:solidFill>
              <w14:srgbClr w14:val="0000FF"/>
            </w14:solidFill>
          </w14:textFill>
        </w:rPr>
        <w:drawing xmlns:a="http://schemas.openxmlformats.org/drawingml/2006/main">
          <wp:inline distT="0" distB="0" distL="0" distR="0">
            <wp:extent cx="1047750" cy="1047750"/>
            <wp:effectExtent l="0" t="0" r="0" b="0"/>
            <wp:docPr id="1073741827" name="officeArt object" descr="Picture 2"/>
            <wp:cNvGraphicFramePr/>
            <a:graphic xmlns:a="http://schemas.openxmlformats.org/drawingml/2006/main">
              <a:graphicData uri="http://schemas.openxmlformats.org/drawingml/2006/picture">
                <pic:pic xmlns:pic="http://schemas.openxmlformats.org/drawingml/2006/picture">
                  <pic:nvPicPr>
                    <pic:cNvPr id="1073741827" name="Picture 2" descr="Picture 2"/>
                    <pic:cNvPicPr>
                      <a:picLocks noChangeAspect="1"/>
                    </pic:cNvPicPr>
                  </pic:nvPicPr>
                  <pic:blipFill>
                    <a:blip r:embed="rId6">
                      <a:extLst/>
                    </a:blip>
                    <a:stretch>
                      <a:fillRect/>
                    </a:stretch>
                  </pic:blipFill>
                  <pic:spPr>
                    <a:xfrm>
                      <a:off x="0" y="0"/>
                      <a:ext cx="1047750" cy="1047750"/>
                    </a:xfrm>
                    <a:prstGeom prst="rect">
                      <a:avLst/>
                    </a:prstGeom>
                    <a:ln w="12700" cap="flat">
                      <a:noFill/>
                      <a:miter lim="400000"/>
                    </a:ln>
                    <a:effectLst/>
                  </pic:spPr>
                </pic:pic>
              </a:graphicData>
            </a:graphic>
          </wp:inline>
        </w:drawing>
      </w:r>
    </w:p>
    <w:p>
      <w:pPr>
        <w:pStyle w:val="No Spacing"/>
        <w:jc w:val="both"/>
      </w:pPr>
      <w:r>
        <w:rPr>
          <w:rFonts w:ascii="Arial Narrow" w:cs="Arial Narrow" w:hAnsi="Arial Narrow" w:eastAsia="Arial Narrow"/>
          <w:outline w:val="0"/>
          <w:color w:val="0000ff"/>
          <w:u w:color="0000ff"/>
          <w14:textFill>
            <w14:solidFill>
              <w14:srgbClr w14:val="0000FF"/>
            </w14:solidFill>
          </w14:textFill>
        </w:rPr>
      </w:r>
    </w:p>
    <w:sectPr>
      <w:headerReference w:type="default" r:id="rId7"/>
      <w:footerReference w:type="default" r:id="rId8"/>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Arial Narrow">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 Spacing">
    <w:name w:val="No Spacing"/>
    <w:next w:val="No Spacing"/>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it-IT"/>
      <w14:textFill>
        <w14:solidFill>
          <w14:srgbClr w14:val="000000"/>
        </w14:solidFill>
      </w14:textFill>
    </w:rPr>
  </w:style>
  <w:style w:type="numbering" w:styleId="Imported Style 1">
    <w:name w:val="Imported Style 1"/>
    <w:pPr>
      <w:numPr>
        <w:numId w:val="1"/>
      </w:numPr>
    </w:pPr>
  </w:style>
  <w:style w:type="character" w:styleId="Link">
    <w:name w:val="Link"/>
    <w:rPr>
      <w:outline w:val="0"/>
      <w:color w:val="0563c1"/>
      <w:u w:val="single" w:color="0563c1"/>
      <w14:textFill>
        <w14:solidFill>
          <w14:srgbClr w14:val="0563C1"/>
        </w14:solidFill>
      </w14:textFill>
    </w:rPr>
  </w:style>
  <w:style w:type="character" w:styleId="Hyperlink.0">
    <w:name w:val="Hyperlink.0"/>
    <w:basedOn w:val="Link"/>
    <w:next w:val="Hyperlink.0"/>
    <w:rPr>
      <w:sz w:val="24"/>
      <w:szCs w:val="24"/>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